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EFD202" w14:textId="0931C80D" w:rsidR="00615F1A" w:rsidRPr="00091267" w:rsidRDefault="00DA7B2B" w:rsidP="000551F5">
      <w:pPr>
        <w:spacing w:line="360" w:lineRule="auto"/>
        <w:jc w:val="both"/>
        <w:rPr>
          <w:b/>
          <w:bCs/>
          <w:color w:val="000000" w:themeColor="text1"/>
          <w:lang w:val="en-US"/>
        </w:rPr>
      </w:pPr>
      <w:r w:rsidRPr="0077646F">
        <w:rPr>
          <w:rFonts w:ascii="Calibri" w:hAnsi="Calibri" w:cs="Calibri"/>
          <w:color w:val="000000" w:themeColor="text1"/>
          <w:sz w:val="32"/>
          <w:szCs w:val="32"/>
          <w:lang w:val="en-US"/>
        </w:rPr>
        <w:t>﻿</w:t>
      </w:r>
      <w:r w:rsidR="00615F1A" w:rsidRPr="00091267">
        <w:rPr>
          <w:b/>
          <w:bCs/>
          <w:color w:val="000000" w:themeColor="text1"/>
          <w:lang w:val="en-US"/>
        </w:rPr>
        <w:t>SUPPLEMENTARY MATERIAL</w:t>
      </w:r>
    </w:p>
    <w:p w14:paraId="70F95947" w14:textId="28E2F8B3" w:rsidR="00615F1A" w:rsidRPr="00091267" w:rsidRDefault="00615F1A" w:rsidP="000551F5">
      <w:pPr>
        <w:spacing w:line="360" w:lineRule="auto"/>
        <w:jc w:val="both"/>
        <w:rPr>
          <w:b/>
          <w:bCs/>
          <w:color w:val="000000" w:themeColor="text1"/>
          <w:lang w:val="en-US"/>
        </w:rPr>
      </w:pPr>
    </w:p>
    <w:p w14:paraId="66A03F19" w14:textId="74103DDA" w:rsidR="00335996" w:rsidRPr="00DE1C3A" w:rsidRDefault="00615F1A" w:rsidP="00CA41B7">
      <w:pPr>
        <w:spacing w:line="360" w:lineRule="auto"/>
        <w:jc w:val="both"/>
        <w:rPr>
          <w:b/>
          <w:bCs/>
          <w:color w:val="000000" w:themeColor="text1"/>
          <w:sz w:val="20"/>
          <w:szCs w:val="20"/>
          <w:lang w:val="en-US"/>
        </w:rPr>
      </w:pPr>
      <w:r w:rsidRPr="00DE1C3A">
        <w:rPr>
          <w:b/>
          <w:bCs/>
          <w:color w:val="000000" w:themeColor="text1"/>
          <w:sz w:val="20"/>
          <w:szCs w:val="20"/>
          <w:lang w:val="en-US"/>
        </w:rPr>
        <w:t>Searching string</w:t>
      </w:r>
      <w:r w:rsidR="00335996" w:rsidRPr="00DE1C3A">
        <w:rPr>
          <w:b/>
          <w:bCs/>
          <w:color w:val="000000" w:themeColor="text1"/>
          <w:sz w:val="20"/>
          <w:szCs w:val="20"/>
          <w:lang w:val="en-US"/>
        </w:rPr>
        <w:t xml:space="preserve"> _ main analysis (epidemiology of resistant bloodstream infections and colonization)</w:t>
      </w:r>
    </w:p>
    <w:p w14:paraId="58C5868F" w14:textId="5AEB44BB" w:rsidR="00CA41B7" w:rsidRPr="00DE1C3A" w:rsidRDefault="00CA41B7" w:rsidP="00CA41B7">
      <w:pPr>
        <w:spacing w:line="360" w:lineRule="auto"/>
        <w:jc w:val="both"/>
        <w:rPr>
          <w:color w:val="000000" w:themeColor="text1"/>
          <w:sz w:val="20"/>
          <w:szCs w:val="20"/>
          <w:lang w:val="en-US"/>
        </w:rPr>
      </w:pPr>
      <w:r w:rsidRPr="00DE1C3A">
        <w:rPr>
          <w:color w:val="000000" w:themeColor="text1"/>
          <w:sz w:val="20"/>
          <w:szCs w:val="20"/>
          <w:lang w:val="en-US"/>
        </w:rPr>
        <w:t xml:space="preserve">((("Drug Resistance, Bacterial"[Mesh]) OR "Drug Resistance, Microbial"[Mesh]) OR "Drug Resistance, Multiple, Bacterial"[Mesh] OR </w:t>
      </w:r>
      <w:proofErr w:type="spellStart"/>
      <w:r w:rsidRPr="00DE1C3A">
        <w:rPr>
          <w:color w:val="000000" w:themeColor="text1"/>
          <w:sz w:val="20"/>
          <w:szCs w:val="20"/>
          <w:lang w:val="en-US"/>
        </w:rPr>
        <w:t>resistan</w:t>
      </w:r>
      <w:proofErr w:type="spellEnd"/>
      <w:r w:rsidRPr="00DE1C3A">
        <w:rPr>
          <w:color w:val="000000" w:themeColor="text1"/>
          <w:sz w:val="20"/>
          <w:szCs w:val="20"/>
          <w:lang w:val="en-US"/>
        </w:rPr>
        <w:t xml:space="preserve">*) AND ((((("Stem Cell Transplantation"[Mesh]) OR "Leukemia"[Mesh]) OR "Leukemia, Myeloid"[Mesh]) OR "Leukemia, Lymphoid"[Mesh]) OR "Bone Marrow Transplantation"[Mesh] OR </w:t>
      </w:r>
      <w:proofErr w:type="spellStart"/>
      <w:r w:rsidRPr="00DE1C3A">
        <w:rPr>
          <w:color w:val="000000" w:themeColor="text1"/>
          <w:sz w:val="20"/>
          <w:szCs w:val="20"/>
          <w:lang w:val="en-US"/>
        </w:rPr>
        <w:t>neutrop</w:t>
      </w:r>
      <w:proofErr w:type="spellEnd"/>
      <w:r w:rsidRPr="00DE1C3A">
        <w:rPr>
          <w:color w:val="000000" w:themeColor="text1"/>
          <w:sz w:val="20"/>
          <w:szCs w:val="20"/>
          <w:lang w:val="en-US"/>
        </w:rPr>
        <w:t>*) AND ("Bacteremia"[Mesh] OR "blood stream infection" OR "</w:t>
      </w:r>
      <w:proofErr w:type="spellStart"/>
      <w:r w:rsidRPr="00DE1C3A">
        <w:rPr>
          <w:color w:val="000000" w:themeColor="text1"/>
          <w:sz w:val="20"/>
          <w:szCs w:val="20"/>
          <w:lang w:val="en-US"/>
        </w:rPr>
        <w:t>colonis</w:t>
      </w:r>
      <w:proofErr w:type="spellEnd"/>
      <w:r w:rsidRPr="00DE1C3A">
        <w:rPr>
          <w:color w:val="000000" w:themeColor="text1"/>
          <w:sz w:val="20"/>
          <w:szCs w:val="20"/>
          <w:lang w:val="en-US"/>
        </w:rPr>
        <w:t>*" OR "carriage" OR "carrier" or "</w:t>
      </w:r>
      <w:proofErr w:type="spellStart"/>
      <w:r w:rsidRPr="00DE1C3A">
        <w:rPr>
          <w:color w:val="000000" w:themeColor="text1"/>
          <w:sz w:val="20"/>
          <w:szCs w:val="20"/>
          <w:lang w:val="en-US"/>
        </w:rPr>
        <w:t>coloniz</w:t>
      </w:r>
      <w:proofErr w:type="spellEnd"/>
      <w:r w:rsidRPr="00DE1C3A">
        <w:rPr>
          <w:color w:val="000000" w:themeColor="text1"/>
          <w:sz w:val="20"/>
          <w:szCs w:val="20"/>
          <w:lang w:val="en-US"/>
        </w:rPr>
        <w:t xml:space="preserve">*") AND (((((((("Vancomycin-Resistant Enterococci"[Mesh]) OR "Methicillin-Resistant Staphylococcus aureus"[Mesh]) OR "Gram-Negative Bacterial Infections"[Mesh]) OR "Pseudomonas aeruginosa"[Mesh]) OR "Enterobacteriaceae"[Mesh]) OR "Carbapenem-Resistant Enterobacteriaceae"[Mesh]) OR "Klebsiella pneumoniae"[Mesh]) OR "Escherichia coli"[Mesh])  </w:t>
      </w:r>
    </w:p>
    <w:p w14:paraId="0EB8A084" w14:textId="5BF28E9D" w:rsidR="00335996" w:rsidRDefault="00335996" w:rsidP="00CA41B7">
      <w:pPr>
        <w:spacing w:line="360" w:lineRule="auto"/>
        <w:jc w:val="both"/>
        <w:rPr>
          <w:color w:val="000000" w:themeColor="text1"/>
          <w:lang w:val="en-US"/>
        </w:rPr>
      </w:pPr>
    </w:p>
    <w:p w14:paraId="035612C0" w14:textId="57363445" w:rsidR="00335996" w:rsidRPr="00DE1C3A" w:rsidRDefault="00335996" w:rsidP="00CA41B7">
      <w:pPr>
        <w:spacing w:line="360" w:lineRule="auto"/>
        <w:jc w:val="both"/>
        <w:rPr>
          <w:b/>
          <w:bCs/>
          <w:color w:val="000000" w:themeColor="text1"/>
          <w:sz w:val="20"/>
          <w:szCs w:val="20"/>
          <w:lang w:val="en-US"/>
        </w:rPr>
      </w:pPr>
      <w:r w:rsidRPr="00DE1C3A">
        <w:rPr>
          <w:b/>
          <w:bCs/>
          <w:color w:val="000000" w:themeColor="text1"/>
          <w:sz w:val="20"/>
          <w:szCs w:val="20"/>
          <w:lang w:val="en-US"/>
        </w:rPr>
        <w:t>Searching string _ secondary analysis (impact of fluoroquinolone prophylaxis on the risk of resistant bloodstream infections)</w:t>
      </w:r>
    </w:p>
    <w:p w14:paraId="52E7874A" w14:textId="641361B9" w:rsidR="00335996" w:rsidRPr="00DE1C3A" w:rsidRDefault="00335996" w:rsidP="00335996">
      <w:pPr>
        <w:spacing w:line="360" w:lineRule="auto"/>
        <w:jc w:val="both"/>
        <w:rPr>
          <w:color w:val="000000" w:themeColor="text1"/>
          <w:sz w:val="20"/>
          <w:szCs w:val="20"/>
          <w:lang w:val="en-US"/>
        </w:rPr>
      </w:pPr>
      <w:r w:rsidRPr="00DE1C3A">
        <w:rPr>
          <w:color w:val="000000" w:themeColor="text1"/>
          <w:sz w:val="20"/>
          <w:szCs w:val="20"/>
          <w:lang w:val="en-US"/>
        </w:rPr>
        <w:t xml:space="preserve">((Bone Marrow transplant* OR BMT OR stem cell transplant* OR SCT OR hematopoietic transplant* OR </w:t>
      </w:r>
      <w:proofErr w:type="spellStart"/>
      <w:r w:rsidRPr="00DE1C3A">
        <w:rPr>
          <w:color w:val="000000" w:themeColor="text1"/>
          <w:sz w:val="20"/>
          <w:szCs w:val="20"/>
          <w:lang w:val="en-US"/>
        </w:rPr>
        <w:t>haematopoietic</w:t>
      </w:r>
      <w:proofErr w:type="spellEnd"/>
      <w:r w:rsidRPr="00DE1C3A">
        <w:rPr>
          <w:color w:val="000000" w:themeColor="text1"/>
          <w:sz w:val="20"/>
          <w:szCs w:val="20"/>
          <w:lang w:val="en-US"/>
        </w:rPr>
        <w:t xml:space="preserve"> transplant* OR hematopoietic stem cell transplant* OR </w:t>
      </w:r>
      <w:proofErr w:type="spellStart"/>
      <w:r w:rsidRPr="00DE1C3A">
        <w:rPr>
          <w:color w:val="000000" w:themeColor="text1"/>
          <w:sz w:val="20"/>
          <w:szCs w:val="20"/>
          <w:lang w:val="en-US"/>
        </w:rPr>
        <w:t>haematopoietic</w:t>
      </w:r>
      <w:proofErr w:type="spellEnd"/>
      <w:r w:rsidRPr="00DE1C3A">
        <w:rPr>
          <w:color w:val="000000" w:themeColor="text1"/>
          <w:sz w:val="20"/>
          <w:szCs w:val="20"/>
          <w:lang w:val="en-US"/>
        </w:rPr>
        <w:t xml:space="preserve"> stem cell transplant* OR </w:t>
      </w:r>
      <w:r w:rsidR="005B5C5E">
        <w:rPr>
          <w:color w:val="000000" w:themeColor="text1"/>
          <w:sz w:val="20"/>
          <w:szCs w:val="20"/>
          <w:lang w:val="en-US"/>
        </w:rPr>
        <w:t>HCT</w:t>
      </w:r>
      <w:r w:rsidRPr="00DE1C3A">
        <w:rPr>
          <w:color w:val="000000" w:themeColor="text1"/>
          <w:sz w:val="20"/>
          <w:szCs w:val="20"/>
          <w:lang w:val="en-US"/>
        </w:rPr>
        <w:t xml:space="preserve">) OR (leukemia OR </w:t>
      </w:r>
      <w:proofErr w:type="spellStart"/>
      <w:r w:rsidRPr="00DE1C3A">
        <w:rPr>
          <w:color w:val="000000" w:themeColor="text1"/>
          <w:sz w:val="20"/>
          <w:szCs w:val="20"/>
          <w:lang w:val="en-US"/>
        </w:rPr>
        <w:t>leukaemia</w:t>
      </w:r>
      <w:proofErr w:type="spellEnd"/>
      <w:r w:rsidRPr="00DE1C3A">
        <w:rPr>
          <w:color w:val="000000" w:themeColor="text1"/>
          <w:sz w:val="20"/>
          <w:szCs w:val="20"/>
          <w:lang w:val="en-US"/>
        </w:rPr>
        <w:t xml:space="preserve"> OR acute leukemia OR acute </w:t>
      </w:r>
      <w:proofErr w:type="spellStart"/>
      <w:r w:rsidRPr="00DE1C3A">
        <w:rPr>
          <w:color w:val="000000" w:themeColor="text1"/>
          <w:sz w:val="20"/>
          <w:szCs w:val="20"/>
          <w:lang w:val="en-US"/>
        </w:rPr>
        <w:t>leukeamia</w:t>
      </w:r>
      <w:proofErr w:type="spellEnd"/>
      <w:r w:rsidRPr="00DE1C3A">
        <w:rPr>
          <w:color w:val="000000" w:themeColor="text1"/>
          <w:sz w:val="20"/>
          <w:szCs w:val="20"/>
          <w:lang w:val="en-US"/>
        </w:rPr>
        <w:t xml:space="preserve"> OR ALL OR acute lymphoblastic leukemia OR relapsed leukemia OR relapsed </w:t>
      </w:r>
      <w:proofErr w:type="spellStart"/>
      <w:r w:rsidRPr="00DE1C3A">
        <w:rPr>
          <w:color w:val="000000" w:themeColor="text1"/>
          <w:sz w:val="20"/>
          <w:szCs w:val="20"/>
          <w:lang w:val="en-US"/>
        </w:rPr>
        <w:t>leukaemia</w:t>
      </w:r>
      <w:proofErr w:type="spellEnd"/>
      <w:r w:rsidRPr="00DE1C3A">
        <w:rPr>
          <w:color w:val="000000" w:themeColor="text1"/>
          <w:sz w:val="20"/>
          <w:szCs w:val="20"/>
          <w:lang w:val="en-US"/>
        </w:rPr>
        <w:t xml:space="preserve"> OR relapsed acute leukemia OR relapsed acute </w:t>
      </w:r>
      <w:proofErr w:type="spellStart"/>
      <w:r w:rsidRPr="00DE1C3A">
        <w:rPr>
          <w:color w:val="000000" w:themeColor="text1"/>
          <w:sz w:val="20"/>
          <w:szCs w:val="20"/>
          <w:lang w:val="en-US"/>
        </w:rPr>
        <w:t>leukaemia</w:t>
      </w:r>
      <w:proofErr w:type="spellEnd"/>
      <w:r w:rsidRPr="00DE1C3A">
        <w:rPr>
          <w:color w:val="000000" w:themeColor="text1"/>
          <w:sz w:val="20"/>
          <w:szCs w:val="20"/>
          <w:lang w:val="en-US"/>
        </w:rPr>
        <w:t xml:space="preserve"> OR acute myeloid leukemia OR acute myeloid </w:t>
      </w:r>
      <w:proofErr w:type="spellStart"/>
      <w:r w:rsidRPr="00DE1C3A">
        <w:rPr>
          <w:color w:val="000000" w:themeColor="text1"/>
          <w:sz w:val="20"/>
          <w:szCs w:val="20"/>
          <w:lang w:val="en-US"/>
        </w:rPr>
        <w:t>leukaemia</w:t>
      </w:r>
      <w:proofErr w:type="spellEnd"/>
      <w:r w:rsidRPr="00DE1C3A">
        <w:rPr>
          <w:color w:val="000000" w:themeColor="text1"/>
          <w:sz w:val="20"/>
          <w:szCs w:val="20"/>
          <w:lang w:val="en-US"/>
        </w:rPr>
        <w:t xml:space="preserve"> OR AML OR relapsed acute lymphoblastic leukemia OR relapsed ALL OR relapsed AML OR </w:t>
      </w:r>
      <w:proofErr w:type="spellStart"/>
      <w:r w:rsidRPr="00DE1C3A">
        <w:rPr>
          <w:color w:val="000000" w:themeColor="text1"/>
          <w:sz w:val="20"/>
          <w:szCs w:val="20"/>
          <w:lang w:val="en-US"/>
        </w:rPr>
        <w:t>haematological</w:t>
      </w:r>
      <w:proofErr w:type="spellEnd"/>
      <w:r w:rsidRPr="00DE1C3A">
        <w:rPr>
          <w:color w:val="000000" w:themeColor="text1"/>
          <w:sz w:val="20"/>
          <w:szCs w:val="20"/>
          <w:lang w:val="en-US"/>
        </w:rPr>
        <w:t xml:space="preserve"> malignancies OR hematological malignancies)) AND (levofloxacin OR fluoroquinolones prophylaxis OR levofloxacin prophylaxis OR fluoroquinolones OR ciprofloxacin OR ciprofloxacin prophylaxis)</w:t>
      </w:r>
    </w:p>
    <w:p w14:paraId="18AB9772" w14:textId="4ABD93C9" w:rsidR="00335996" w:rsidRPr="00DE1C3A" w:rsidRDefault="00335996" w:rsidP="000551F5">
      <w:pPr>
        <w:spacing w:line="360" w:lineRule="auto"/>
        <w:jc w:val="both"/>
        <w:rPr>
          <w:color w:val="000000" w:themeColor="text1"/>
          <w:sz w:val="20"/>
          <w:szCs w:val="20"/>
          <w:u w:val="single"/>
          <w:lang w:val="en-US"/>
        </w:rPr>
      </w:pPr>
      <w:r w:rsidRPr="00DE1C3A">
        <w:rPr>
          <w:color w:val="000000" w:themeColor="text1"/>
          <w:sz w:val="20"/>
          <w:szCs w:val="20"/>
          <w:u w:val="single"/>
          <w:lang w:val="en-US"/>
        </w:rPr>
        <w:t>Additional for pediatric search</w:t>
      </w:r>
      <w:r w:rsidRPr="00DE1C3A">
        <w:rPr>
          <w:color w:val="000000" w:themeColor="text1"/>
          <w:sz w:val="20"/>
          <w:szCs w:val="20"/>
          <w:lang w:val="en-US"/>
        </w:rPr>
        <w:t xml:space="preserve">:  AND (Child OR children OR preschool OR infant OR newborn OR minors OR adolescent OR pediatric OR </w:t>
      </w:r>
      <w:proofErr w:type="spellStart"/>
      <w:r w:rsidRPr="00DE1C3A">
        <w:rPr>
          <w:color w:val="000000" w:themeColor="text1"/>
          <w:sz w:val="20"/>
          <w:szCs w:val="20"/>
          <w:lang w:val="en-US"/>
        </w:rPr>
        <w:t>paediatric</w:t>
      </w:r>
      <w:proofErr w:type="spellEnd"/>
      <w:r w:rsidRPr="00DE1C3A">
        <w:rPr>
          <w:color w:val="000000" w:themeColor="text1"/>
          <w:sz w:val="20"/>
          <w:szCs w:val="20"/>
          <w:lang w:val="en-US"/>
        </w:rPr>
        <w:t xml:space="preserve"> OR </w:t>
      </w:r>
      <w:proofErr w:type="spellStart"/>
      <w:r w:rsidRPr="00DE1C3A">
        <w:rPr>
          <w:color w:val="000000" w:themeColor="text1"/>
          <w:sz w:val="20"/>
          <w:szCs w:val="20"/>
          <w:lang w:val="en-US"/>
        </w:rPr>
        <w:t>paediatrics</w:t>
      </w:r>
      <w:proofErr w:type="spellEnd"/>
      <w:r w:rsidRPr="00DE1C3A">
        <w:rPr>
          <w:color w:val="000000" w:themeColor="text1"/>
          <w:sz w:val="20"/>
          <w:szCs w:val="20"/>
          <w:lang w:val="en-US"/>
        </w:rPr>
        <w:t xml:space="preserve"> OR pediatrics OR puberty OR school age OR nursery OR infancy OR baby OR schoolchild OR kid OR toddler OR teen OR teenager OR juvenile OR youth OR young OR childhood)</w:t>
      </w:r>
    </w:p>
    <w:p w14:paraId="21959971" w14:textId="294266BE" w:rsidR="00CA41B7" w:rsidRDefault="00CA41B7" w:rsidP="00CA41B7">
      <w:pPr>
        <w:spacing w:line="360" w:lineRule="auto"/>
        <w:jc w:val="both"/>
        <w:rPr>
          <w:color w:val="000000" w:themeColor="text1"/>
          <w:lang w:val="en-US"/>
        </w:rPr>
      </w:pPr>
    </w:p>
    <w:p w14:paraId="736C47C2" w14:textId="71735DB1" w:rsidR="0066789F" w:rsidRPr="0066789F" w:rsidRDefault="0066789F" w:rsidP="00CA41B7">
      <w:pPr>
        <w:spacing w:line="360" w:lineRule="auto"/>
        <w:jc w:val="both"/>
        <w:rPr>
          <w:b/>
          <w:bCs/>
          <w:color w:val="000000" w:themeColor="text1"/>
          <w:sz w:val="20"/>
          <w:szCs w:val="20"/>
          <w:lang w:val="en-US"/>
        </w:rPr>
      </w:pPr>
      <w:r w:rsidRPr="0066789F">
        <w:rPr>
          <w:b/>
          <w:bCs/>
          <w:color w:val="000000" w:themeColor="text1"/>
          <w:sz w:val="20"/>
          <w:szCs w:val="20"/>
          <w:lang w:val="en-US"/>
        </w:rPr>
        <w:t>Quality assessment</w:t>
      </w:r>
    </w:p>
    <w:p w14:paraId="72431D3A" w14:textId="4B6307CC" w:rsidR="009D7E8A" w:rsidRPr="0066789F" w:rsidRDefault="00E129D1" w:rsidP="00E129D1">
      <w:pPr>
        <w:spacing w:line="360" w:lineRule="auto"/>
        <w:jc w:val="both"/>
        <w:rPr>
          <w:b/>
          <w:bCs/>
          <w:color w:val="000000" w:themeColor="text1"/>
          <w:sz w:val="20"/>
          <w:szCs w:val="20"/>
          <w:lang w:val="en-US"/>
        </w:rPr>
      </w:pPr>
      <w:r w:rsidRPr="00E129D1">
        <w:rPr>
          <w:color w:val="000000" w:themeColor="text1"/>
          <w:sz w:val="20"/>
          <w:szCs w:val="20"/>
          <w:lang w:val="en-US"/>
        </w:rPr>
        <w:t>The Newcastle–Ottawa Scale (NOS) is a quality assessment tool for non-randomized studies, particularly cohort and case-control studies. It evaluates studies based on three broad domains: selection of study groups, comparability of groups, and ascertainment of either the exposure or outcome of interest. Each domain contains specific criteria, with a star-based scoring system awarding up to a maximum of nine stars. Higher scores indicate higher methodological quality and lower risk of bias</w:t>
      </w:r>
      <w:r>
        <w:rPr>
          <w:color w:val="000000" w:themeColor="text1"/>
          <w:sz w:val="20"/>
          <w:szCs w:val="20"/>
          <w:lang w:val="en-US"/>
        </w:rPr>
        <w:fldChar w:fldCharType="begin" w:fldLock="1"/>
      </w:r>
      <w:r w:rsidR="00E9068B">
        <w:rPr>
          <w:color w:val="000000" w:themeColor="text1"/>
          <w:sz w:val="20"/>
          <w:szCs w:val="20"/>
          <w:lang w:val="en-US"/>
        </w:rPr>
        <w:instrText>ADDIN CSL_CITATION {"citationItems":[{"id":"ITEM-1","itemData":{"id":"ITEM-1","issued":{"date-parts":[["0"]]},"title":"Wells GA, Shea B, O'Connell D, Peterson J, Welch V, Losos M, Tugwell P. The Newcastle–Ottawa Scale (NOS) for assessing the quality of nonrandomised studies in meta-analyses.","type":"article"},"uris":["http://www.mendeley.com/documents/?uuid=66b6bff3-f33b-4b54-b8bf-b8bf60a9f9e5"]}],"mendeley":{"formattedCitation":"&lt;sup&gt;1&lt;/sup&gt;","plainTextFormattedCitation":"1","previouslyFormattedCitation":"&lt;sup&gt;1&lt;/sup&gt;"},"properties":{"noteIndex":0},"schema":"https://github.com/citation-style-language/schema/raw/master/csl-citation.json"}</w:instrText>
      </w:r>
      <w:r>
        <w:rPr>
          <w:color w:val="000000" w:themeColor="text1"/>
          <w:sz w:val="20"/>
          <w:szCs w:val="20"/>
          <w:lang w:val="en-US"/>
        </w:rPr>
        <w:fldChar w:fldCharType="separate"/>
      </w:r>
      <w:r w:rsidRPr="00E129D1">
        <w:rPr>
          <w:noProof/>
          <w:color w:val="000000" w:themeColor="text1"/>
          <w:sz w:val="20"/>
          <w:szCs w:val="20"/>
          <w:vertAlign w:val="superscript"/>
          <w:lang w:val="en-US"/>
        </w:rPr>
        <w:t>1</w:t>
      </w:r>
      <w:r>
        <w:rPr>
          <w:color w:val="000000" w:themeColor="text1"/>
          <w:sz w:val="20"/>
          <w:szCs w:val="20"/>
          <w:lang w:val="en-US"/>
        </w:rPr>
        <w:fldChar w:fldCharType="end"/>
      </w:r>
      <w:r w:rsidRPr="00E129D1">
        <w:rPr>
          <w:color w:val="000000" w:themeColor="text1"/>
          <w:sz w:val="20"/>
          <w:szCs w:val="20"/>
          <w:lang w:val="en-US"/>
        </w:rPr>
        <w:t>.</w:t>
      </w:r>
      <w:r>
        <w:rPr>
          <w:color w:val="000000" w:themeColor="text1"/>
          <w:sz w:val="20"/>
          <w:szCs w:val="20"/>
          <w:lang w:val="en-US"/>
        </w:rPr>
        <w:t xml:space="preserve"> </w:t>
      </w:r>
      <w:r w:rsidR="0066789F" w:rsidRPr="0066789F">
        <w:rPr>
          <w:color w:val="000000" w:themeColor="text1"/>
          <w:sz w:val="20"/>
          <w:szCs w:val="20"/>
          <w:lang w:val="en-US"/>
        </w:rPr>
        <w:t xml:space="preserve">Strengthening the Reporting of Observational Studies in Epidemiology (STROBE) statement </w:t>
      </w:r>
      <w:r w:rsidR="0066789F">
        <w:rPr>
          <w:color w:val="000000" w:themeColor="text1"/>
          <w:sz w:val="20"/>
          <w:szCs w:val="20"/>
          <w:lang w:val="en-US"/>
        </w:rPr>
        <w:t xml:space="preserve">was used </w:t>
      </w:r>
      <w:r w:rsidR="0066789F" w:rsidRPr="0066789F">
        <w:rPr>
          <w:color w:val="000000" w:themeColor="text1"/>
          <w:sz w:val="20"/>
          <w:szCs w:val="20"/>
          <w:lang w:val="en-US"/>
        </w:rPr>
        <w:t>to assess the quality of the observational studies included in the systematic review. The STROBE statement is a 22-item tool specifically designed to evaluate the quality of cohort studies</w:t>
      </w:r>
      <w:r w:rsidR="0066789F" w:rsidRPr="0066789F">
        <w:rPr>
          <w:color w:val="000000" w:themeColor="text1"/>
          <w:sz w:val="20"/>
          <w:szCs w:val="20"/>
          <w:lang w:val="en-US"/>
        </w:rPr>
        <w:fldChar w:fldCharType="begin" w:fldLock="1"/>
      </w:r>
      <w:r w:rsidR="00E9068B">
        <w:rPr>
          <w:color w:val="000000" w:themeColor="text1"/>
          <w:sz w:val="20"/>
          <w:szCs w:val="20"/>
          <w:lang w:val="en-US"/>
        </w:rPr>
        <w:instrText>ADDIN CSL_CITATION {"citationItems":[{"id":"ITEM-1","itemData":{"DOI":"10.1016/j.ijsu.2014.07.013","ISSN":"1743-9159","PMID":"25046131","abstract":"Much biomedical research is observational. The reporting of such research is often inadequate, which hampers the assessment of its strengths and weaknesses and of a study's generalisability. The Strengthening the Reporting of Observational Studies in Epidemiology (STROBE) Initiative developed recommendations on what should be included in an accurate and complete report of an observational study. We defined the scope of the recommendations to cover three main study designs: cohort, case-control, and cross-sectional studies. We convened a 2-day workshop in September 2004, with methodologists, researchers, and journal editors to draft a checklist of items. This list was subsequently revised during several meetings of the coordinating group and in e-mail discussions with the larger group of STROBE contributors, taking into account empirical evidence and methodological considerations. The workshop and the subsequent iterative process of consultation and revision resulted in a checklist of 22 items (the STROBE Statement) that relate to the title, abstract, introduction, methods, results, and discussion sections of articles. 18 items are common to all three study designs and four are specific for cohort, case-control, or cross-sectional studies. A detailed Explanation and Elaboration document is published separately and is freely available on the Web sites of PLoS Medicine, Annals of Internal Medicine, and Epidemiology. We hope that the STROBE Statement will contribute to improving the quality of reporting of observational studies.","author":[{"dropping-particle":"","family":"Elm","given":"Erik","non-dropping-particle":"von","parse-names":false,"suffix":""},{"dropping-particle":"","family":"Altman","given":"Douglas G","non-dropping-particle":"","parse-names":false,"suffix":""},{"dropping-particle":"","family":"Egger","given":"Matthias","non-dropping-particle":"","parse-names":false,"suffix":""},{"dropping-particle":"","family":"Pocock","given":"Stuart J","non-dropping-particle":"","parse-names":false,"suffix":""},{"dropping-particle":"","family":"Gøtzsche","given":"Peter C","non-dropping-particle":"","parse-names":false,"suffix":""},{"dropping-particle":"","family":"Vandenbroucke","given":"Jan P","non-dropping-particle":"","parse-names":false,"suffix":""},{"dropping-particle":"","family":"STROBE Initiative","given":"","non-dropping-particle":"","parse-names":false,"suffix":""}],"container-title":"International journal of surgery (London, England)","id":"ITEM-1","issue":"12","issued":{"date-parts":[["2014","12"]]},"page":"1495-9","publisher":"Int J Surg","title":"The Strengthening the Reporting of Observational Studies in Epidemiology (STROBE) Statement: guidelines for reporting observational studies.","type":"article-journal","volume":"12"},"uris":["http://www.mendeley.com/documents/?uuid=6f832e73-9bb2-4ea0-aa05-bde15f649fd2"]}],"mendeley":{"formattedCitation":"&lt;sup&gt;2&lt;/sup&gt;","plainTextFormattedCitation":"2","previouslyFormattedCitation":"&lt;sup&gt;2&lt;/sup&gt;"},"properties":{"noteIndex":0},"schema":"https://github.com/citation-style-language/schema/raw/master/csl-citation.json"}</w:instrText>
      </w:r>
      <w:r w:rsidR="0066789F" w:rsidRPr="0066789F">
        <w:rPr>
          <w:color w:val="000000" w:themeColor="text1"/>
          <w:sz w:val="20"/>
          <w:szCs w:val="20"/>
          <w:lang w:val="en-US"/>
        </w:rPr>
        <w:fldChar w:fldCharType="separate"/>
      </w:r>
      <w:r w:rsidRPr="00E129D1">
        <w:rPr>
          <w:noProof/>
          <w:color w:val="000000" w:themeColor="text1"/>
          <w:sz w:val="20"/>
          <w:szCs w:val="20"/>
          <w:vertAlign w:val="superscript"/>
          <w:lang w:val="en-US"/>
        </w:rPr>
        <w:t>2</w:t>
      </w:r>
      <w:r w:rsidR="0066789F" w:rsidRPr="0066789F">
        <w:rPr>
          <w:color w:val="000000" w:themeColor="text1"/>
          <w:sz w:val="20"/>
          <w:szCs w:val="20"/>
          <w:lang w:val="en-US"/>
        </w:rPr>
        <w:fldChar w:fldCharType="end"/>
      </w:r>
      <w:r w:rsidR="0066789F" w:rsidRPr="0066789F">
        <w:rPr>
          <w:color w:val="000000" w:themeColor="text1"/>
          <w:sz w:val="20"/>
          <w:szCs w:val="20"/>
          <w:lang w:val="en-US"/>
        </w:rPr>
        <w:t>. Items are associated with different sections of an article, such as title and abstract (item 1), introduction (items 2 and 3), methods (items 4-12), results (items 13-17), discussion (items 18-21), and other information (item 22 for funding). Eighteen items are identical for 3 different study designs, whereas 4 items (items 6, 12, 14, and 15) are differentially intended for a specific study type (</w:t>
      </w:r>
      <w:proofErr w:type="gramStart"/>
      <w:r w:rsidR="0066789F" w:rsidRPr="0066789F">
        <w:rPr>
          <w:color w:val="000000" w:themeColor="text1"/>
          <w:sz w:val="20"/>
          <w:szCs w:val="20"/>
          <w:lang w:val="en-US"/>
        </w:rPr>
        <w:t>e.g.</w:t>
      </w:r>
      <w:proofErr w:type="gramEnd"/>
      <w:r w:rsidR="0066789F" w:rsidRPr="0066789F">
        <w:rPr>
          <w:color w:val="000000" w:themeColor="text1"/>
          <w:sz w:val="20"/>
          <w:szCs w:val="20"/>
          <w:lang w:val="en-US"/>
        </w:rPr>
        <w:t xml:space="preserve"> cohort or case-control study</w:t>
      </w:r>
      <w:r w:rsidR="0066789F" w:rsidRPr="00E129D1">
        <w:rPr>
          <w:color w:val="000000" w:themeColor="text1"/>
          <w:sz w:val="20"/>
          <w:szCs w:val="20"/>
          <w:lang w:val="en-US"/>
        </w:rPr>
        <w:t>). The STROBE statement does not provide scoring stratification. As a general rule, the higher the score, the higher the quality of the study. Thus, we created 3 score thresholds corresponding to 3 levels of quality: 0 to 14 was considered low quality; 15 to 2</w:t>
      </w:r>
      <w:r w:rsidR="00AE4F60" w:rsidRPr="00E129D1">
        <w:rPr>
          <w:color w:val="000000" w:themeColor="text1"/>
          <w:sz w:val="20"/>
          <w:szCs w:val="20"/>
          <w:lang w:val="en-US"/>
        </w:rPr>
        <w:t>0</w:t>
      </w:r>
      <w:r w:rsidR="0066789F" w:rsidRPr="00E129D1">
        <w:rPr>
          <w:color w:val="000000" w:themeColor="text1"/>
          <w:sz w:val="20"/>
          <w:szCs w:val="20"/>
          <w:lang w:val="en-US"/>
        </w:rPr>
        <w:t>, intermediate quality; 2</w:t>
      </w:r>
      <w:r w:rsidR="00AE4F60" w:rsidRPr="00E129D1">
        <w:rPr>
          <w:color w:val="000000" w:themeColor="text1"/>
          <w:sz w:val="20"/>
          <w:szCs w:val="20"/>
          <w:lang w:val="en-US"/>
        </w:rPr>
        <w:t>0</w:t>
      </w:r>
      <w:r w:rsidR="0066789F" w:rsidRPr="00E129D1">
        <w:rPr>
          <w:color w:val="000000" w:themeColor="text1"/>
          <w:sz w:val="20"/>
          <w:szCs w:val="20"/>
          <w:lang w:val="en-US"/>
        </w:rPr>
        <w:t xml:space="preserve"> to </w:t>
      </w:r>
      <w:r w:rsidR="00AE4F60" w:rsidRPr="00E129D1">
        <w:rPr>
          <w:color w:val="000000" w:themeColor="text1"/>
          <w:sz w:val="20"/>
          <w:szCs w:val="20"/>
          <w:lang w:val="en-US"/>
        </w:rPr>
        <w:t>22</w:t>
      </w:r>
      <w:r w:rsidR="0066789F" w:rsidRPr="00E129D1">
        <w:rPr>
          <w:color w:val="000000" w:themeColor="text1"/>
          <w:sz w:val="20"/>
          <w:szCs w:val="20"/>
          <w:lang w:val="en-US"/>
        </w:rPr>
        <w:t>, high quality.</w:t>
      </w:r>
      <w:r w:rsidR="0066789F" w:rsidRPr="0066789F">
        <w:rPr>
          <w:color w:val="000000" w:themeColor="text1"/>
          <w:sz w:val="20"/>
          <w:szCs w:val="20"/>
          <w:lang w:val="en-US"/>
        </w:rPr>
        <w:t xml:space="preserve"> </w:t>
      </w:r>
      <w:r w:rsidR="009D7E8A" w:rsidRPr="0066789F">
        <w:rPr>
          <w:b/>
          <w:bCs/>
          <w:color w:val="000000" w:themeColor="text1"/>
          <w:sz w:val="20"/>
          <w:szCs w:val="20"/>
          <w:lang w:val="en-US"/>
        </w:rPr>
        <w:br w:type="page"/>
      </w:r>
    </w:p>
    <w:p w14:paraId="100DCB10" w14:textId="4F5276F0" w:rsidR="00BA23FA" w:rsidRPr="00E129D1" w:rsidRDefault="00CA41B7" w:rsidP="00CA41B7">
      <w:pPr>
        <w:spacing w:line="360" w:lineRule="auto"/>
        <w:jc w:val="both"/>
        <w:rPr>
          <w:color w:val="000000" w:themeColor="text1"/>
          <w:sz w:val="20"/>
          <w:lang w:val="en-US"/>
        </w:rPr>
      </w:pPr>
      <w:r w:rsidRPr="00DE1C3A">
        <w:rPr>
          <w:b/>
          <w:bCs/>
          <w:color w:val="000000" w:themeColor="text1"/>
          <w:sz w:val="20"/>
          <w:szCs w:val="20"/>
          <w:lang w:val="en-US"/>
        </w:rPr>
        <w:lastRenderedPageBreak/>
        <w:t>Supplementary Table S1</w:t>
      </w:r>
      <w:r w:rsidR="00091267" w:rsidRPr="00DE1C3A">
        <w:rPr>
          <w:color w:val="000000" w:themeColor="text1"/>
          <w:sz w:val="20"/>
          <w:szCs w:val="20"/>
          <w:lang w:val="en-US"/>
        </w:rPr>
        <w:t>.</w:t>
      </w:r>
      <w:r w:rsidRPr="00DE1C3A">
        <w:rPr>
          <w:color w:val="000000" w:themeColor="text1"/>
          <w:sz w:val="20"/>
          <w:szCs w:val="20"/>
          <w:lang w:val="en-US"/>
        </w:rPr>
        <w:t xml:space="preserve"> </w:t>
      </w:r>
      <w:r w:rsidR="00091267" w:rsidRPr="00DE1C3A">
        <w:rPr>
          <w:color w:val="000000" w:themeColor="text1"/>
          <w:sz w:val="20"/>
          <w:szCs w:val="20"/>
          <w:lang w:val="en-US"/>
        </w:rPr>
        <w:t>L</w:t>
      </w:r>
      <w:r w:rsidRPr="00DE1C3A">
        <w:rPr>
          <w:color w:val="000000" w:themeColor="text1"/>
          <w:sz w:val="20"/>
          <w:szCs w:val="20"/>
          <w:lang w:val="en-US"/>
        </w:rPr>
        <w:t xml:space="preserve">ist of excluded </w:t>
      </w:r>
      <w:r w:rsidR="003C1B58">
        <w:rPr>
          <w:color w:val="000000" w:themeColor="text1"/>
          <w:sz w:val="20"/>
          <w:szCs w:val="20"/>
          <w:lang w:val="en-US"/>
        </w:rPr>
        <w:t xml:space="preserve">studies </w:t>
      </w:r>
      <w:r w:rsidRPr="00DE1C3A">
        <w:rPr>
          <w:color w:val="000000" w:themeColor="text1"/>
          <w:sz w:val="20"/>
          <w:szCs w:val="20"/>
          <w:lang w:val="en-US"/>
        </w:rPr>
        <w:t>with reason</w:t>
      </w:r>
      <w:r w:rsidR="003C1B58">
        <w:rPr>
          <w:color w:val="000000" w:themeColor="text1"/>
          <w:sz w:val="20"/>
          <w:szCs w:val="20"/>
          <w:lang w:val="en-US"/>
        </w:rPr>
        <w:t>s</w:t>
      </w:r>
      <w:r w:rsidRPr="00DE1C3A">
        <w:rPr>
          <w:color w:val="000000" w:themeColor="text1"/>
          <w:sz w:val="20"/>
          <w:szCs w:val="20"/>
          <w:lang w:val="en-US"/>
        </w:rPr>
        <w:t xml:space="preserve"> for exclusion.</w:t>
      </w:r>
      <w:r w:rsidR="00091267" w:rsidRPr="00DE1C3A">
        <w:rPr>
          <w:color w:val="000000" w:themeColor="text1"/>
          <w:sz w:val="20"/>
          <w:szCs w:val="20"/>
          <w:lang w:val="en-US"/>
        </w:rPr>
        <w:t xml:space="preserve"> </w:t>
      </w:r>
    </w:p>
    <w:tbl>
      <w:tblPr>
        <w:tblStyle w:val="Grigliatabella"/>
        <w:tblW w:w="5000" w:type="pct"/>
        <w:tblLook w:val="04A0" w:firstRow="1" w:lastRow="0" w:firstColumn="1" w:lastColumn="0" w:noHBand="0" w:noVBand="1"/>
      </w:tblPr>
      <w:tblGrid>
        <w:gridCol w:w="5665"/>
        <w:gridCol w:w="3957"/>
      </w:tblGrid>
      <w:tr w:rsidR="00CA41B7" w:rsidRPr="00BB464B" w14:paraId="3AEC051A" w14:textId="77777777" w:rsidTr="00146286">
        <w:tc>
          <w:tcPr>
            <w:tcW w:w="2944" w:type="pct"/>
          </w:tcPr>
          <w:p w14:paraId="497BD195" w14:textId="44698DE5" w:rsidR="00CA41B7" w:rsidRPr="00DB2F73" w:rsidRDefault="003C1B58" w:rsidP="00146286">
            <w:pPr>
              <w:jc w:val="both"/>
              <w:rPr>
                <w:b/>
                <w:bCs/>
                <w:color w:val="000000" w:themeColor="text1"/>
                <w:sz w:val="16"/>
                <w:szCs w:val="16"/>
                <w:lang w:val="en-US"/>
              </w:rPr>
            </w:pPr>
            <w:r>
              <w:rPr>
                <w:b/>
                <w:bCs/>
                <w:color w:val="000000" w:themeColor="text1"/>
                <w:sz w:val="16"/>
                <w:szCs w:val="16"/>
                <w:lang w:val="en-US"/>
              </w:rPr>
              <w:t>Articles</w:t>
            </w:r>
          </w:p>
        </w:tc>
        <w:tc>
          <w:tcPr>
            <w:tcW w:w="2056" w:type="pct"/>
          </w:tcPr>
          <w:p w14:paraId="2E241FFD" w14:textId="77777777" w:rsidR="00CA41B7" w:rsidRPr="00DB2F73" w:rsidRDefault="00CA41B7" w:rsidP="00146286">
            <w:pPr>
              <w:jc w:val="both"/>
              <w:rPr>
                <w:b/>
                <w:bCs/>
                <w:color w:val="000000" w:themeColor="text1"/>
                <w:sz w:val="16"/>
                <w:szCs w:val="16"/>
                <w:lang w:val="en-US"/>
              </w:rPr>
            </w:pPr>
            <w:r w:rsidRPr="00DB2F73">
              <w:rPr>
                <w:b/>
                <w:bCs/>
                <w:color w:val="000000" w:themeColor="text1"/>
                <w:sz w:val="16"/>
                <w:szCs w:val="16"/>
                <w:lang w:val="en-US"/>
              </w:rPr>
              <w:t>Reason for exclusion</w:t>
            </w:r>
          </w:p>
        </w:tc>
      </w:tr>
      <w:tr w:rsidR="00CA41B7" w:rsidRPr="00F20444" w14:paraId="29C078E4" w14:textId="77777777" w:rsidTr="00146286">
        <w:tc>
          <w:tcPr>
            <w:tcW w:w="2944" w:type="pct"/>
          </w:tcPr>
          <w:p w14:paraId="0B8C8845" w14:textId="0618734C" w:rsidR="00CA41B7" w:rsidRPr="00783194" w:rsidRDefault="009B4537" w:rsidP="00146286">
            <w:pPr>
              <w:jc w:val="both"/>
              <w:rPr>
                <w:color w:val="000000" w:themeColor="text1"/>
                <w:sz w:val="16"/>
                <w:szCs w:val="16"/>
                <w:lang w:val="en-US"/>
              </w:rPr>
            </w:pPr>
            <w:r w:rsidRPr="00783194">
              <w:rPr>
                <w:color w:val="000000" w:themeColor="text1"/>
                <w:sz w:val="16"/>
                <w:szCs w:val="16"/>
                <w:lang w:val="en-US"/>
              </w:rPr>
              <w:t xml:space="preserve">Aitken et al 2021, Alterations of the Oral Microbiome and Cumulative Carbapenem Exposure Are Associated </w:t>
            </w:r>
            <w:proofErr w:type="gramStart"/>
            <w:r w:rsidRPr="00783194">
              <w:rPr>
                <w:color w:val="000000" w:themeColor="text1"/>
                <w:sz w:val="16"/>
                <w:szCs w:val="16"/>
                <w:lang w:val="en-US"/>
              </w:rPr>
              <w:t>With</w:t>
            </w:r>
            <w:proofErr w:type="gramEnd"/>
            <w:r w:rsidRPr="00783194">
              <w:rPr>
                <w:color w:val="000000" w:themeColor="text1"/>
                <w:sz w:val="16"/>
                <w:szCs w:val="16"/>
                <w:lang w:val="en-US"/>
              </w:rPr>
              <w:t xml:space="preserve"> </w:t>
            </w:r>
            <w:r w:rsidRPr="00783194">
              <w:rPr>
                <w:i/>
                <w:iCs/>
                <w:color w:val="000000" w:themeColor="text1"/>
                <w:sz w:val="16"/>
                <w:szCs w:val="16"/>
                <w:lang w:val="en-US"/>
              </w:rPr>
              <w:t xml:space="preserve">Stenotrophomonas </w:t>
            </w:r>
            <w:proofErr w:type="spellStart"/>
            <w:r w:rsidRPr="00783194">
              <w:rPr>
                <w:i/>
                <w:iCs/>
                <w:color w:val="000000" w:themeColor="text1"/>
                <w:sz w:val="16"/>
                <w:szCs w:val="16"/>
                <w:lang w:val="en-US"/>
              </w:rPr>
              <w:t>maltophilia</w:t>
            </w:r>
            <w:proofErr w:type="spellEnd"/>
            <w:r w:rsidRPr="00783194">
              <w:rPr>
                <w:i/>
                <w:iCs/>
                <w:color w:val="000000" w:themeColor="text1"/>
                <w:sz w:val="16"/>
                <w:szCs w:val="16"/>
                <w:lang w:val="en-US"/>
              </w:rPr>
              <w:t xml:space="preserve"> </w:t>
            </w:r>
            <w:r w:rsidRPr="00783194">
              <w:rPr>
                <w:color w:val="000000" w:themeColor="text1"/>
                <w:sz w:val="16"/>
                <w:szCs w:val="16"/>
                <w:lang w:val="en-US"/>
              </w:rPr>
              <w:t xml:space="preserve">Infection in Patients With Acute Myeloid Leukemia Receiving Chemotherapy </w:t>
            </w:r>
          </w:p>
        </w:tc>
        <w:tc>
          <w:tcPr>
            <w:tcW w:w="2056" w:type="pct"/>
          </w:tcPr>
          <w:p w14:paraId="29548008" w14:textId="790B03B2" w:rsidR="00CA41B7" w:rsidRPr="00783194" w:rsidRDefault="00C62F27" w:rsidP="00146286">
            <w:pPr>
              <w:jc w:val="both"/>
              <w:rPr>
                <w:color w:val="000000" w:themeColor="text1"/>
                <w:sz w:val="16"/>
                <w:szCs w:val="16"/>
                <w:lang w:val="en-US"/>
              </w:rPr>
            </w:pPr>
            <w:r w:rsidRPr="00783194">
              <w:rPr>
                <w:color w:val="000000" w:themeColor="text1"/>
                <w:sz w:val="16"/>
                <w:szCs w:val="16"/>
                <w:lang w:val="en-US"/>
              </w:rPr>
              <w:t>Mainly focused on microbiome analysis (not clinical)</w:t>
            </w:r>
          </w:p>
        </w:tc>
      </w:tr>
      <w:tr w:rsidR="00C62F27" w:rsidRPr="00F20444" w14:paraId="387F2D2C" w14:textId="77777777" w:rsidTr="00146286">
        <w:tc>
          <w:tcPr>
            <w:tcW w:w="2944" w:type="pct"/>
          </w:tcPr>
          <w:p w14:paraId="2D317A10" w14:textId="3A7696AF" w:rsidR="00C62F27" w:rsidRPr="00783194" w:rsidRDefault="00C62F27" w:rsidP="00146286">
            <w:pPr>
              <w:jc w:val="both"/>
              <w:rPr>
                <w:b/>
                <w:bCs/>
                <w:color w:val="000000" w:themeColor="text1"/>
                <w:sz w:val="16"/>
                <w:szCs w:val="16"/>
                <w:lang w:val="en-US"/>
              </w:rPr>
            </w:pPr>
            <w:r w:rsidRPr="00783194">
              <w:rPr>
                <w:color w:val="000000" w:themeColor="text1"/>
                <w:sz w:val="16"/>
                <w:szCs w:val="16"/>
                <w:lang w:val="en-US"/>
              </w:rPr>
              <w:t xml:space="preserve">Averbuch et al 2022, Bacteremia with </w:t>
            </w:r>
            <w:proofErr w:type="spellStart"/>
            <w:r w:rsidRPr="00783194">
              <w:rPr>
                <w:color w:val="000000" w:themeColor="text1"/>
                <w:sz w:val="16"/>
                <w:szCs w:val="16"/>
                <w:lang w:val="en-US"/>
              </w:rPr>
              <w:t>Carbapenemase</w:t>
            </w:r>
            <w:proofErr w:type="spellEnd"/>
            <w:r w:rsidRPr="00783194">
              <w:rPr>
                <w:color w:val="000000" w:themeColor="text1"/>
                <w:sz w:val="16"/>
                <w:szCs w:val="16"/>
                <w:lang w:val="en-US"/>
              </w:rPr>
              <w:t>-Producing </w:t>
            </w:r>
            <w:proofErr w:type="spellStart"/>
            <w:r w:rsidRPr="00783194">
              <w:rPr>
                <w:i/>
                <w:iCs/>
                <w:color w:val="000000" w:themeColor="text1"/>
                <w:sz w:val="16"/>
                <w:szCs w:val="16"/>
                <w:lang w:val="en-US"/>
              </w:rPr>
              <w:t>Enterobacterales</w:t>
            </w:r>
            <w:proofErr w:type="spellEnd"/>
            <w:r w:rsidRPr="00783194">
              <w:rPr>
                <w:color w:val="000000" w:themeColor="text1"/>
                <w:sz w:val="16"/>
                <w:szCs w:val="16"/>
                <w:lang w:val="en-US"/>
              </w:rPr>
              <w:t> in Immunocompromised Patients Colonized with These Bacteria</w:t>
            </w:r>
          </w:p>
        </w:tc>
        <w:tc>
          <w:tcPr>
            <w:tcW w:w="2056" w:type="pct"/>
          </w:tcPr>
          <w:p w14:paraId="5E247A92" w14:textId="34127780" w:rsidR="00C62F27" w:rsidRPr="00783194" w:rsidRDefault="00C62F27" w:rsidP="00146286">
            <w:pPr>
              <w:jc w:val="both"/>
              <w:rPr>
                <w:color w:val="000000" w:themeColor="text1"/>
                <w:sz w:val="16"/>
                <w:szCs w:val="16"/>
                <w:lang w:val="en-US"/>
              </w:rPr>
            </w:pPr>
            <w:r w:rsidRPr="00783194">
              <w:rPr>
                <w:color w:val="000000" w:themeColor="text1"/>
                <w:sz w:val="16"/>
                <w:szCs w:val="16"/>
                <w:lang w:val="en-US"/>
              </w:rPr>
              <w:t xml:space="preserve">Only Carbapenem-resistant </w:t>
            </w:r>
            <w:proofErr w:type="spellStart"/>
            <w:r w:rsidRPr="00AB0CDA">
              <w:rPr>
                <w:i/>
                <w:color w:val="000000" w:themeColor="text1"/>
                <w:sz w:val="16"/>
                <w:lang w:val="en-US"/>
              </w:rPr>
              <w:t>Enterobacterales</w:t>
            </w:r>
            <w:proofErr w:type="spellEnd"/>
            <w:r w:rsidRPr="00783194">
              <w:rPr>
                <w:color w:val="000000" w:themeColor="text1"/>
                <w:sz w:val="16"/>
                <w:szCs w:val="16"/>
                <w:lang w:val="en-US"/>
              </w:rPr>
              <w:t xml:space="preserve"> selected; no denominator for rates analysis</w:t>
            </w:r>
          </w:p>
        </w:tc>
      </w:tr>
      <w:tr w:rsidR="00CA41B7" w:rsidRPr="00F20444" w14:paraId="20532D9A" w14:textId="77777777" w:rsidTr="00146286">
        <w:tc>
          <w:tcPr>
            <w:tcW w:w="2944" w:type="pct"/>
          </w:tcPr>
          <w:p w14:paraId="57EA8F54" w14:textId="22A9F03E" w:rsidR="00CA41B7" w:rsidRPr="00783194" w:rsidRDefault="009B4537" w:rsidP="00146286">
            <w:pPr>
              <w:jc w:val="both"/>
              <w:rPr>
                <w:color w:val="000000" w:themeColor="text1"/>
                <w:sz w:val="16"/>
                <w:szCs w:val="16"/>
                <w:lang w:val="en-US"/>
              </w:rPr>
            </w:pPr>
            <w:r w:rsidRPr="00783194">
              <w:rPr>
                <w:color w:val="000000" w:themeColor="text1"/>
                <w:sz w:val="16"/>
                <w:szCs w:val="16"/>
                <w:lang w:val="en-US"/>
              </w:rPr>
              <w:t xml:space="preserve">Balkan et al 2014, Blood stream infections due to OXA-48-like </w:t>
            </w:r>
            <w:proofErr w:type="spellStart"/>
            <w:r w:rsidRPr="00783194">
              <w:rPr>
                <w:color w:val="000000" w:themeColor="text1"/>
                <w:sz w:val="16"/>
                <w:szCs w:val="16"/>
                <w:lang w:val="en-US"/>
              </w:rPr>
              <w:t>carbapenemase</w:t>
            </w:r>
            <w:proofErr w:type="spellEnd"/>
            <w:r w:rsidRPr="00783194">
              <w:rPr>
                <w:color w:val="000000" w:themeColor="text1"/>
                <w:sz w:val="16"/>
                <w:szCs w:val="16"/>
                <w:lang w:val="en-US"/>
              </w:rPr>
              <w:t xml:space="preserve">-producing Enterobacteriaceae: treatment and survival </w:t>
            </w:r>
          </w:p>
        </w:tc>
        <w:tc>
          <w:tcPr>
            <w:tcW w:w="2056" w:type="pct"/>
          </w:tcPr>
          <w:p w14:paraId="5C8974D0" w14:textId="55CF9F3A" w:rsidR="00CA41B7" w:rsidRPr="00783194" w:rsidRDefault="00C62F27" w:rsidP="00146286">
            <w:pPr>
              <w:jc w:val="both"/>
              <w:rPr>
                <w:color w:val="000000" w:themeColor="text1"/>
                <w:sz w:val="16"/>
                <w:szCs w:val="16"/>
                <w:lang w:val="en-US"/>
              </w:rPr>
            </w:pPr>
            <w:r w:rsidRPr="00783194">
              <w:rPr>
                <w:color w:val="000000" w:themeColor="text1"/>
                <w:sz w:val="16"/>
                <w:szCs w:val="16"/>
                <w:lang w:val="en-US"/>
              </w:rPr>
              <w:t>Only OXA-48 selected; no denominator for rates analysis</w:t>
            </w:r>
          </w:p>
        </w:tc>
      </w:tr>
      <w:tr w:rsidR="00783194" w:rsidRPr="00F20444" w14:paraId="0E7006D4" w14:textId="77777777" w:rsidTr="00146286">
        <w:tc>
          <w:tcPr>
            <w:tcW w:w="2944" w:type="pct"/>
          </w:tcPr>
          <w:p w14:paraId="32DDC99F" w14:textId="31971BA4" w:rsidR="00783194" w:rsidRPr="00783194" w:rsidRDefault="00783194" w:rsidP="00146286">
            <w:pPr>
              <w:jc w:val="both"/>
              <w:rPr>
                <w:bCs/>
                <w:color w:val="000000" w:themeColor="text1"/>
                <w:sz w:val="16"/>
                <w:szCs w:val="16"/>
                <w:lang w:val="en-US"/>
              </w:rPr>
            </w:pPr>
            <w:proofErr w:type="spellStart"/>
            <w:r w:rsidRPr="00783194">
              <w:rPr>
                <w:bCs/>
                <w:color w:val="000000" w:themeColor="text1"/>
                <w:sz w:val="16"/>
                <w:szCs w:val="16"/>
                <w:lang w:val="en-US"/>
              </w:rPr>
              <w:t>Callejas</w:t>
            </w:r>
            <w:proofErr w:type="spellEnd"/>
            <w:r w:rsidRPr="00783194">
              <w:rPr>
                <w:bCs/>
                <w:color w:val="000000" w:themeColor="text1"/>
                <w:sz w:val="16"/>
                <w:szCs w:val="16"/>
                <w:lang w:val="en-US"/>
              </w:rPr>
              <w:t xml:space="preserve">-Diaz et al 2019, Impact of Pseudomonas aeruginosa </w:t>
            </w:r>
            <w:proofErr w:type="spellStart"/>
            <w:r w:rsidRPr="00783194">
              <w:rPr>
                <w:bCs/>
                <w:color w:val="000000" w:themeColor="text1"/>
                <w:sz w:val="16"/>
                <w:szCs w:val="16"/>
                <w:lang w:val="en-US"/>
              </w:rPr>
              <w:t>bacteraemia</w:t>
            </w:r>
            <w:proofErr w:type="spellEnd"/>
            <w:r w:rsidRPr="00783194">
              <w:rPr>
                <w:bCs/>
                <w:color w:val="000000" w:themeColor="text1"/>
                <w:sz w:val="16"/>
                <w:szCs w:val="16"/>
                <w:lang w:val="en-US"/>
              </w:rPr>
              <w:t xml:space="preserve"> in a tertiary hospital: Mortality and prognostic factors</w:t>
            </w:r>
          </w:p>
        </w:tc>
        <w:tc>
          <w:tcPr>
            <w:tcW w:w="2056" w:type="pct"/>
          </w:tcPr>
          <w:p w14:paraId="018CB7B3" w14:textId="25F00F27" w:rsidR="00783194"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No separated data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 and not-immunocompromised patients with other comorbidities</w:t>
            </w:r>
          </w:p>
        </w:tc>
      </w:tr>
      <w:tr w:rsidR="00783194" w:rsidRPr="00F20444" w14:paraId="68227738" w14:textId="77777777" w:rsidTr="00146286">
        <w:tc>
          <w:tcPr>
            <w:tcW w:w="2944" w:type="pct"/>
          </w:tcPr>
          <w:p w14:paraId="5C5A6784" w14:textId="61136687" w:rsidR="00783194" w:rsidRPr="00783194" w:rsidRDefault="00783194" w:rsidP="00146286">
            <w:pPr>
              <w:jc w:val="both"/>
              <w:rPr>
                <w:bCs/>
                <w:color w:val="000000" w:themeColor="text1"/>
                <w:sz w:val="16"/>
                <w:szCs w:val="16"/>
                <w:lang w:val="en-US"/>
              </w:rPr>
            </w:pPr>
            <w:proofErr w:type="spellStart"/>
            <w:r w:rsidRPr="00783194">
              <w:rPr>
                <w:bCs/>
                <w:color w:val="000000" w:themeColor="text1"/>
                <w:sz w:val="16"/>
                <w:szCs w:val="16"/>
                <w:lang w:val="en-US"/>
              </w:rPr>
              <w:t>Ciofi</w:t>
            </w:r>
            <w:proofErr w:type="spellEnd"/>
            <w:r w:rsidRPr="00783194">
              <w:rPr>
                <w:bCs/>
                <w:color w:val="000000" w:themeColor="text1"/>
                <w:sz w:val="16"/>
                <w:szCs w:val="16"/>
                <w:lang w:val="en-US"/>
              </w:rPr>
              <w:t xml:space="preserve"> </w:t>
            </w:r>
            <w:proofErr w:type="spellStart"/>
            <w:r w:rsidRPr="00783194">
              <w:rPr>
                <w:bCs/>
                <w:color w:val="000000" w:themeColor="text1"/>
                <w:sz w:val="16"/>
                <w:szCs w:val="16"/>
                <w:lang w:val="en-US"/>
              </w:rPr>
              <w:t>Degli</w:t>
            </w:r>
            <w:proofErr w:type="spellEnd"/>
            <w:r w:rsidRPr="00783194">
              <w:rPr>
                <w:bCs/>
                <w:color w:val="000000" w:themeColor="text1"/>
                <w:sz w:val="16"/>
                <w:szCs w:val="16"/>
                <w:lang w:val="en-US"/>
              </w:rPr>
              <w:t xml:space="preserve"> </w:t>
            </w:r>
            <w:proofErr w:type="spellStart"/>
            <w:r w:rsidRPr="00783194">
              <w:rPr>
                <w:bCs/>
                <w:color w:val="000000" w:themeColor="text1"/>
                <w:sz w:val="16"/>
                <w:szCs w:val="16"/>
                <w:lang w:val="en-US"/>
              </w:rPr>
              <w:t>Atti</w:t>
            </w:r>
            <w:proofErr w:type="spellEnd"/>
            <w:r w:rsidRPr="00783194">
              <w:rPr>
                <w:bCs/>
                <w:color w:val="000000" w:themeColor="text1"/>
                <w:sz w:val="16"/>
                <w:szCs w:val="16"/>
                <w:lang w:val="en-US"/>
              </w:rPr>
              <w:t xml:space="preserve"> et al 2019, An outbreak of extremely drug-resistant Pseudomonas aeruginosa in a tertiary care pediatric hospital in Italy</w:t>
            </w:r>
          </w:p>
        </w:tc>
        <w:tc>
          <w:tcPr>
            <w:tcW w:w="2056" w:type="pct"/>
          </w:tcPr>
          <w:p w14:paraId="13420E12" w14:textId="4761875E" w:rsidR="00783194"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Only XDR </w:t>
            </w:r>
            <w:r w:rsidRPr="0004386F">
              <w:rPr>
                <w:i/>
                <w:iCs/>
                <w:color w:val="000000" w:themeColor="text1"/>
                <w:sz w:val="16"/>
                <w:szCs w:val="16"/>
                <w:lang w:val="en-US"/>
              </w:rPr>
              <w:t>Pseudomonas</w:t>
            </w:r>
            <w:r w:rsidRPr="00783194">
              <w:rPr>
                <w:color w:val="000000" w:themeColor="text1"/>
                <w:sz w:val="16"/>
                <w:szCs w:val="16"/>
                <w:lang w:val="en-US"/>
              </w:rPr>
              <w:t xml:space="preserve"> </w:t>
            </w:r>
            <w:r w:rsidRPr="0004386F">
              <w:rPr>
                <w:i/>
                <w:iCs/>
                <w:color w:val="000000" w:themeColor="text1"/>
                <w:sz w:val="16"/>
                <w:szCs w:val="16"/>
                <w:lang w:val="en-US"/>
              </w:rPr>
              <w:t>aeruginosa</w:t>
            </w:r>
            <w:r w:rsidRPr="00783194">
              <w:rPr>
                <w:color w:val="000000" w:themeColor="text1"/>
                <w:sz w:val="16"/>
                <w:szCs w:val="16"/>
                <w:lang w:val="en-US"/>
              </w:rPr>
              <w:t xml:space="preserve"> selected; no denominator for rates analysis</w:t>
            </w:r>
          </w:p>
        </w:tc>
      </w:tr>
      <w:tr w:rsidR="009B4537" w:rsidRPr="00F20444" w14:paraId="336A2830" w14:textId="77777777" w:rsidTr="00146286">
        <w:tc>
          <w:tcPr>
            <w:tcW w:w="2944" w:type="pct"/>
          </w:tcPr>
          <w:p w14:paraId="10BD14BC" w14:textId="1125529A" w:rsidR="009B4537" w:rsidRPr="00783194" w:rsidRDefault="009B4537" w:rsidP="00146286">
            <w:pPr>
              <w:jc w:val="both"/>
              <w:rPr>
                <w:color w:val="000000" w:themeColor="text1"/>
                <w:sz w:val="16"/>
                <w:szCs w:val="16"/>
                <w:lang w:val="en-US"/>
              </w:rPr>
            </w:pPr>
            <w:r w:rsidRPr="00783194">
              <w:rPr>
                <w:color w:val="000000" w:themeColor="text1"/>
                <w:sz w:val="16"/>
                <w:szCs w:val="16"/>
                <w:lang w:val="en-US"/>
              </w:rPr>
              <w:t xml:space="preserve">Friedman et al 2020, Enterococcal Bacteremia in Children </w:t>
            </w:r>
            <w:proofErr w:type="gramStart"/>
            <w:r w:rsidRPr="00783194">
              <w:rPr>
                <w:color w:val="000000" w:themeColor="text1"/>
                <w:sz w:val="16"/>
                <w:szCs w:val="16"/>
                <w:lang w:val="en-US"/>
              </w:rPr>
              <w:t>With</w:t>
            </w:r>
            <w:proofErr w:type="gramEnd"/>
            <w:r w:rsidRPr="00783194">
              <w:rPr>
                <w:color w:val="000000" w:themeColor="text1"/>
                <w:sz w:val="16"/>
                <w:szCs w:val="16"/>
                <w:lang w:val="en-US"/>
              </w:rPr>
              <w:t xml:space="preserve"> Malignancies and </w:t>
            </w:r>
            <w:r w:rsidRPr="009B4537">
              <w:rPr>
                <w:color w:val="000000" w:themeColor="text1"/>
                <w:sz w:val="16"/>
                <w:szCs w:val="16"/>
                <w:lang w:val="en-US"/>
              </w:rPr>
              <w:t>Following Hematopoietic Stem Cell Transplantation</w:t>
            </w:r>
            <w:r w:rsidRPr="00783194">
              <w:rPr>
                <w:color w:val="000000" w:themeColor="text1"/>
                <w:sz w:val="16"/>
                <w:szCs w:val="16"/>
                <w:lang w:val="en-US"/>
              </w:rPr>
              <w:t xml:space="preserve">. </w:t>
            </w:r>
            <w:r w:rsidRPr="009B4537">
              <w:rPr>
                <w:color w:val="000000" w:themeColor="text1"/>
                <w:sz w:val="16"/>
                <w:szCs w:val="16"/>
                <w:lang w:val="en-US"/>
              </w:rPr>
              <w:t xml:space="preserve">A 15-Year Single-Center Experience </w:t>
            </w:r>
          </w:p>
        </w:tc>
        <w:tc>
          <w:tcPr>
            <w:tcW w:w="2056" w:type="pct"/>
          </w:tcPr>
          <w:p w14:paraId="40D12AF7" w14:textId="00A7686D" w:rsidR="009B4537"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No separated resistance data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w:t>
            </w:r>
          </w:p>
        </w:tc>
      </w:tr>
      <w:tr w:rsidR="002B49FB" w:rsidRPr="00F20444" w14:paraId="2D1EE8FB" w14:textId="77777777" w:rsidTr="00146286">
        <w:tc>
          <w:tcPr>
            <w:tcW w:w="2944" w:type="pct"/>
          </w:tcPr>
          <w:p w14:paraId="463DD71C" w14:textId="10250A43" w:rsidR="002B49FB" w:rsidRPr="00783194" w:rsidRDefault="002B49FB" w:rsidP="00146286">
            <w:pPr>
              <w:jc w:val="both"/>
              <w:rPr>
                <w:color w:val="000000" w:themeColor="text1"/>
                <w:sz w:val="16"/>
                <w:szCs w:val="16"/>
                <w:lang w:val="en-US"/>
              </w:rPr>
            </w:pPr>
            <w:proofErr w:type="spellStart"/>
            <w:r w:rsidRPr="00783194">
              <w:rPr>
                <w:color w:val="000000" w:themeColor="text1"/>
                <w:sz w:val="16"/>
                <w:szCs w:val="16"/>
                <w:lang w:val="en-US"/>
              </w:rPr>
              <w:t>Erdem</w:t>
            </w:r>
            <w:proofErr w:type="spellEnd"/>
            <w:r w:rsidRPr="00783194">
              <w:rPr>
                <w:color w:val="000000" w:themeColor="text1"/>
                <w:sz w:val="16"/>
                <w:szCs w:val="16"/>
                <w:lang w:val="en-US"/>
              </w:rPr>
              <w:t xml:space="preserve"> et al 2023, Prospective analysis of febrile neutropenia patients with </w:t>
            </w:r>
            <w:proofErr w:type="spellStart"/>
            <w:r w:rsidRPr="00783194">
              <w:rPr>
                <w:color w:val="000000" w:themeColor="text1"/>
                <w:sz w:val="16"/>
                <w:szCs w:val="16"/>
                <w:lang w:val="en-US"/>
              </w:rPr>
              <w:t>bacteraemia</w:t>
            </w:r>
            <w:proofErr w:type="spellEnd"/>
            <w:r w:rsidRPr="00783194">
              <w:rPr>
                <w:color w:val="000000" w:themeColor="text1"/>
                <w:sz w:val="16"/>
                <w:szCs w:val="16"/>
                <w:lang w:val="en-US"/>
              </w:rPr>
              <w:t xml:space="preserve">: the results of an international ID–IRI study </w:t>
            </w:r>
          </w:p>
        </w:tc>
        <w:tc>
          <w:tcPr>
            <w:tcW w:w="2056" w:type="pct"/>
          </w:tcPr>
          <w:p w14:paraId="4D721866" w14:textId="191F1108" w:rsidR="002B49FB"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No separated resistance data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w:t>
            </w:r>
          </w:p>
        </w:tc>
      </w:tr>
      <w:tr w:rsidR="00783194" w:rsidRPr="00F20444" w14:paraId="330D4B89" w14:textId="77777777" w:rsidTr="00146286">
        <w:tc>
          <w:tcPr>
            <w:tcW w:w="2944" w:type="pct"/>
          </w:tcPr>
          <w:p w14:paraId="5D324A95" w14:textId="3FE4424C" w:rsidR="00783194"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Fernandez-Cruz et al 2019, A Case-Control Study of Real-Life Experience with </w:t>
            </w:r>
            <w:proofErr w:type="spellStart"/>
            <w:r w:rsidRPr="00783194">
              <w:rPr>
                <w:color w:val="000000" w:themeColor="text1"/>
                <w:sz w:val="16"/>
                <w:szCs w:val="16"/>
                <w:lang w:val="en-US"/>
              </w:rPr>
              <w:t>Ceftolozane</w:t>
            </w:r>
            <w:proofErr w:type="spellEnd"/>
            <w:r w:rsidRPr="00783194">
              <w:rPr>
                <w:color w:val="000000" w:themeColor="text1"/>
                <w:sz w:val="16"/>
                <w:szCs w:val="16"/>
                <w:lang w:val="en-US"/>
              </w:rPr>
              <w:t>-Tazobactam in Patients with Hematologic Malignancy and Pseudomonas aeruginosa Infection</w:t>
            </w:r>
          </w:p>
        </w:tc>
        <w:tc>
          <w:tcPr>
            <w:tcW w:w="2056" w:type="pct"/>
          </w:tcPr>
          <w:p w14:paraId="6D6411D7" w14:textId="4CD1F77B" w:rsidR="00783194"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Case-control study on </w:t>
            </w:r>
            <w:r w:rsidRPr="0004386F">
              <w:rPr>
                <w:i/>
                <w:iCs/>
                <w:color w:val="000000" w:themeColor="text1"/>
                <w:sz w:val="16"/>
                <w:szCs w:val="16"/>
                <w:lang w:val="en-US"/>
              </w:rPr>
              <w:t>Pseudomonas aeruginosa</w:t>
            </w:r>
            <w:r w:rsidRPr="00783194">
              <w:rPr>
                <w:color w:val="000000" w:themeColor="text1"/>
                <w:sz w:val="16"/>
                <w:szCs w:val="16"/>
                <w:lang w:val="en-US"/>
              </w:rPr>
              <w:t xml:space="preserve"> infections; no denominator for rates analysis</w:t>
            </w:r>
          </w:p>
        </w:tc>
      </w:tr>
      <w:tr w:rsidR="009B4537" w:rsidRPr="00F20444" w14:paraId="72F95547" w14:textId="77777777" w:rsidTr="00146286">
        <w:tc>
          <w:tcPr>
            <w:tcW w:w="2944" w:type="pct"/>
          </w:tcPr>
          <w:p w14:paraId="1887F0C6" w14:textId="15B57ACC" w:rsidR="009B4537" w:rsidRPr="00783194" w:rsidRDefault="009B4537" w:rsidP="00146286">
            <w:pPr>
              <w:jc w:val="both"/>
              <w:rPr>
                <w:bCs/>
                <w:color w:val="000000" w:themeColor="text1"/>
                <w:sz w:val="16"/>
                <w:szCs w:val="16"/>
                <w:lang w:val="en-US"/>
              </w:rPr>
            </w:pPr>
            <w:proofErr w:type="spellStart"/>
            <w:r w:rsidRPr="00783194">
              <w:rPr>
                <w:bCs/>
                <w:color w:val="000000" w:themeColor="text1"/>
                <w:sz w:val="16"/>
                <w:szCs w:val="16"/>
                <w:lang w:val="en-US"/>
              </w:rPr>
              <w:t>Giacobbe</w:t>
            </w:r>
            <w:proofErr w:type="spellEnd"/>
            <w:r w:rsidRPr="00783194">
              <w:rPr>
                <w:bCs/>
                <w:color w:val="000000" w:themeColor="text1"/>
                <w:sz w:val="16"/>
                <w:szCs w:val="16"/>
                <w:lang w:val="en-US"/>
              </w:rPr>
              <w:t xml:space="preserve"> et al 2015, Risk factors for bloodstream infections due to colistin-resistant KPC-producing Klebsiella pneumoniae: results from a multicenter case–control–control study </w:t>
            </w:r>
          </w:p>
        </w:tc>
        <w:tc>
          <w:tcPr>
            <w:tcW w:w="2056" w:type="pct"/>
          </w:tcPr>
          <w:p w14:paraId="322C9267" w14:textId="28737184" w:rsidR="009B4537" w:rsidRPr="00783194" w:rsidRDefault="00C62F27" w:rsidP="00146286">
            <w:pPr>
              <w:jc w:val="both"/>
              <w:rPr>
                <w:color w:val="000000" w:themeColor="text1"/>
                <w:sz w:val="16"/>
                <w:szCs w:val="16"/>
                <w:lang w:val="en-US"/>
              </w:rPr>
            </w:pPr>
            <w:r w:rsidRPr="00783194">
              <w:rPr>
                <w:color w:val="000000" w:themeColor="text1"/>
                <w:sz w:val="16"/>
                <w:szCs w:val="16"/>
                <w:lang w:val="en-US"/>
              </w:rPr>
              <w:t xml:space="preserve">Only Colistin-resistant </w:t>
            </w:r>
            <w:r w:rsidRPr="0004386F">
              <w:rPr>
                <w:i/>
                <w:iCs/>
                <w:color w:val="000000" w:themeColor="text1"/>
                <w:sz w:val="16"/>
                <w:szCs w:val="16"/>
                <w:lang w:val="en-US"/>
              </w:rPr>
              <w:t>K</w:t>
            </w:r>
            <w:r w:rsidR="00E129D1">
              <w:rPr>
                <w:i/>
                <w:iCs/>
                <w:color w:val="000000" w:themeColor="text1"/>
                <w:sz w:val="16"/>
                <w:szCs w:val="16"/>
                <w:lang w:val="en-US"/>
              </w:rPr>
              <w:t>lebsiella</w:t>
            </w:r>
            <w:r w:rsidR="00CA4985" w:rsidRPr="0004386F">
              <w:rPr>
                <w:i/>
                <w:iCs/>
                <w:color w:val="000000" w:themeColor="text1"/>
                <w:sz w:val="16"/>
                <w:szCs w:val="16"/>
                <w:lang w:val="en-US"/>
              </w:rPr>
              <w:t xml:space="preserve"> p</w:t>
            </w:r>
            <w:r w:rsidRPr="0004386F">
              <w:rPr>
                <w:i/>
                <w:iCs/>
                <w:color w:val="000000" w:themeColor="text1"/>
                <w:sz w:val="16"/>
                <w:szCs w:val="16"/>
                <w:lang w:val="en-US"/>
              </w:rPr>
              <w:t>neumoniae</w:t>
            </w:r>
            <w:r w:rsidRPr="00783194">
              <w:rPr>
                <w:color w:val="000000" w:themeColor="text1"/>
                <w:sz w:val="16"/>
                <w:szCs w:val="16"/>
                <w:lang w:val="en-US"/>
              </w:rPr>
              <w:t xml:space="preserve"> selected; no denominator for rates analysis</w:t>
            </w:r>
          </w:p>
        </w:tc>
      </w:tr>
      <w:tr w:rsidR="009B4537" w:rsidRPr="00F20444" w14:paraId="6643DFDB" w14:textId="77777777" w:rsidTr="00146286">
        <w:tc>
          <w:tcPr>
            <w:tcW w:w="2944" w:type="pct"/>
          </w:tcPr>
          <w:p w14:paraId="6E8CC13B" w14:textId="693DAD66" w:rsidR="009B4537" w:rsidRPr="00783194" w:rsidRDefault="002B49FB" w:rsidP="00146286">
            <w:pPr>
              <w:jc w:val="both"/>
              <w:rPr>
                <w:bCs/>
                <w:color w:val="000000" w:themeColor="text1"/>
                <w:sz w:val="16"/>
                <w:szCs w:val="16"/>
                <w:lang w:val="en-US"/>
              </w:rPr>
            </w:pPr>
            <w:proofErr w:type="spellStart"/>
            <w:r w:rsidRPr="00783194">
              <w:rPr>
                <w:bCs/>
                <w:color w:val="000000" w:themeColor="text1"/>
                <w:sz w:val="16"/>
                <w:szCs w:val="16"/>
                <w:lang w:val="en-US"/>
              </w:rPr>
              <w:t>Gudiol</w:t>
            </w:r>
            <w:proofErr w:type="spellEnd"/>
            <w:r w:rsidRPr="00783194">
              <w:rPr>
                <w:bCs/>
                <w:color w:val="000000" w:themeColor="text1"/>
                <w:sz w:val="16"/>
                <w:szCs w:val="16"/>
                <w:lang w:val="en-US"/>
              </w:rPr>
              <w:t xml:space="preserve"> et al 2016, Clinical features, </w:t>
            </w:r>
            <w:proofErr w:type="spellStart"/>
            <w:r w:rsidRPr="00783194">
              <w:rPr>
                <w:bCs/>
                <w:color w:val="000000" w:themeColor="text1"/>
                <w:sz w:val="16"/>
                <w:szCs w:val="16"/>
                <w:lang w:val="en-US"/>
              </w:rPr>
              <w:t>aetiology</w:t>
            </w:r>
            <w:proofErr w:type="spellEnd"/>
            <w:r w:rsidRPr="00783194">
              <w:rPr>
                <w:bCs/>
                <w:color w:val="000000" w:themeColor="text1"/>
                <w:sz w:val="16"/>
                <w:szCs w:val="16"/>
                <w:lang w:val="en-US"/>
              </w:rPr>
              <w:t xml:space="preserve"> and outcome of </w:t>
            </w:r>
            <w:proofErr w:type="spellStart"/>
            <w:r w:rsidRPr="00783194">
              <w:rPr>
                <w:bCs/>
                <w:color w:val="000000" w:themeColor="text1"/>
                <w:sz w:val="16"/>
                <w:szCs w:val="16"/>
                <w:lang w:val="en-US"/>
              </w:rPr>
              <w:t>bacteraemic</w:t>
            </w:r>
            <w:proofErr w:type="spellEnd"/>
            <w:r w:rsidRPr="00783194">
              <w:rPr>
                <w:bCs/>
                <w:color w:val="000000" w:themeColor="text1"/>
                <w:sz w:val="16"/>
                <w:szCs w:val="16"/>
                <w:lang w:val="en-US"/>
              </w:rPr>
              <w:t xml:space="preserve"> pneumonia in neutropenic cancer patients </w:t>
            </w:r>
          </w:p>
        </w:tc>
        <w:tc>
          <w:tcPr>
            <w:tcW w:w="2056" w:type="pct"/>
          </w:tcPr>
          <w:p w14:paraId="28DDF670" w14:textId="3A209A1C" w:rsidR="009B4537" w:rsidRPr="00783194" w:rsidRDefault="00C62F27" w:rsidP="00146286">
            <w:pPr>
              <w:jc w:val="both"/>
              <w:rPr>
                <w:color w:val="000000" w:themeColor="text1"/>
                <w:sz w:val="16"/>
                <w:szCs w:val="16"/>
                <w:lang w:val="en-US"/>
              </w:rPr>
            </w:pPr>
            <w:r w:rsidRPr="00783194">
              <w:rPr>
                <w:color w:val="000000" w:themeColor="text1"/>
                <w:sz w:val="16"/>
                <w:szCs w:val="16"/>
                <w:lang w:val="en-US"/>
              </w:rPr>
              <w:t xml:space="preserve">Study on </w:t>
            </w:r>
            <w:proofErr w:type="spellStart"/>
            <w:r w:rsidR="0004386F" w:rsidRPr="00783194">
              <w:rPr>
                <w:color w:val="000000" w:themeColor="text1"/>
                <w:sz w:val="16"/>
                <w:szCs w:val="16"/>
                <w:lang w:val="en-US"/>
              </w:rPr>
              <w:t>bac</w:t>
            </w:r>
            <w:r w:rsidR="0004386F">
              <w:rPr>
                <w:color w:val="000000" w:themeColor="text1"/>
                <w:sz w:val="16"/>
                <w:szCs w:val="16"/>
                <w:lang w:val="en-US"/>
              </w:rPr>
              <w:t>t</w:t>
            </w:r>
            <w:r w:rsidR="0004386F" w:rsidRPr="00783194">
              <w:rPr>
                <w:color w:val="000000" w:themeColor="text1"/>
                <w:sz w:val="16"/>
                <w:szCs w:val="16"/>
                <w:lang w:val="en-US"/>
              </w:rPr>
              <w:t>eremi</w:t>
            </w:r>
            <w:r w:rsidR="0004386F">
              <w:rPr>
                <w:color w:val="000000" w:themeColor="text1"/>
                <w:sz w:val="16"/>
                <w:szCs w:val="16"/>
                <w:lang w:val="en-US"/>
              </w:rPr>
              <w:t>c</w:t>
            </w:r>
            <w:proofErr w:type="spellEnd"/>
            <w:r w:rsidRPr="00783194">
              <w:rPr>
                <w:color w:val="000000" w:themeColor="text1"/>
                <w:sz w:val="16"/>
                <w:szCs w:val="16"/>
                <w:lang w:val="en-US"/>
              </w:rPr>
              <w:t xml:space="preserve"> pneumonia; no denominator for rates analysis</w:t>
            </w:r>
          </w:p>
        </w:tc>
      </w:tr>
      <w:tr w:rsidR="009B4537" w:rsidRPr="00F20444" w14:paraId="4F4BA2C7" w14:textId="77777777" w:rsidTr="00146286">
        <w:tc>
          <w:tcPr>
            <w:tcW w:w="2944" w:type="pct"/>
          </w:tcPr>
          <w:p w14:paraId="4C869122" w14:textId="77777777" w:rsidR="002B49FB" w:rsidRPr="00783194" w:rsidRDefault="002B49FB" w:rsidP="00146286">
            <w:pPr>
              <w:jc w:val="both"/>
              <w:rPr>
                <w:color w:val="000000" w:themeColor="text1"/>
                <w:sz w:val="16"/>
                <w:szCs w:val="16"/>
                <w:lang w:val="en-US"/>
              </w:rPr>
            </w:pPr>
            <w:proofErr w:type="spellStart"/>
            <w:r w:rsidRPr="00783194">
              <w:rPr>
                <w:color w:val="000000" w:themeColor="text1"/>
                <w:sz w:val="16"/>
                <w:szCs w:val="16"/>
                <w:lang w:val="en-US"/>
              </w:rPr>
              <w:t>Kontopidou</w:t>
            </w:r>
            <w:proofErr w:type="spellEnd"/>
            <w:r w:rsidRPr="00783194">
              <w:rPr>
                <w:color w:val="000000" w:themeColor="text1"/>
                <w:sz w:val="16"/>
                <w:szCs w:val="16"/>
                <w:lang w:val="en-US"/>
              </w:rPr>
              <w:t xml:space="preserve"> et al 2013, The impact of an antimicrobial cycling strategy </w:t>
            </w:r>
          </w:p>
          <w:p w14:paraId="1B371DD5" w14:textId="1A9A8E88" w:rsidR="009B4537" w:rsidRPr="00783194" w:rsidRDefault="002B49FB" w:rsidP="00146286">
            <w:pPr>
              <w:jc w:val="both"/>
              <w:rPr>
                <w:color w:val="000000" w:themeColor="text1"/>
                <w:sz w:val="16"/>
                <w:szCs w:val="16"/>
              </w:rPr>
            </w:pPr>
            <w:r w:rsidRPr="002B49FB">
              <w:rPr>
                <w:color w:val="000000" w:themeColor="text1"/>
                <w:sz w:val="16"/>
                <w:szCs w:val="16"/>
              </w:rPr>
              <w:t xml:space="preserve">for </w:t>
            </w:r>
            <w:proofErr w:type="spellStart"/>
            <w:r w:rsidRPr="002B49FB">
              <w:rPr>
                <w:color w:val="000000" w:themeColor="text1"/>
                <w:sz w:val="16"/>
                <w:szCs w:val="16"/>
              </w:rPr>
              <w:t>febrile</w:t>
            </w:r>
            <w:proofErr w:type="spellEnd"/>
            <w:r w:rsidRPr="002B49FB">
              <w:rPr>
                <w:color w:val="000000" w:themeColor="text1"/>
                <w:sz w:val="16"/>
                <w:szCs w:val="16"/>
              </w:rPr>
              <w:t xml:space="preserve"> neutropenia in a </w:t>
            </w:r>
            <w:proofErr w:type="spellStart"/>
            <w:r w:rsidRPr="002B49FB">
              <w:rPr>
                <w:color w:val="000000" w:themeColor="text1"/>
                <w:sz w:val="16"/>
                <w:szCs w:val="16"/>
              </w:rPr>
              <w:t>haematology</w:t>
            </w:r>
            <w:proofErr w:type="spellEnd"/>
            <w:r w:rsidRPr="002B49FB">
              <w:rPr>
                <w:color w:val="000000" w:themeColor="text1"/>
                <w:sz w:val="16"/>
                <w:szCs w:val="16"/>
              </w:rPr>
              <w:t xml:space="preserve"> </w:t>
            </w:r>
            <w:proofErr w:type="spellStart"/>
            <w:r w:rsidRPr="002B49FB">
              <w:rPr>
                <w:color w:val="000000" w:themeColor="text1"/>
                <w:sz w:val="16"/>
                <w:szCs w:val="16"/>
              </w:rPr>
              <w:t>unit</w:t>
            </w:r>
            <w:proofErr w:type="spellEnd"/>
            <w:r w:rsidRPr="002B49FB">
              <w:rPr>
                <w:color w:val="000000" w:themeColor="text1"/>
                <w:sz w:val="16"/>
                <w:szCs w:val="16"/>
              </w:rPr>
              <w:t xml:space="preserve"> </w:t>
            </w:r>
          </w:p>
        </w:tc>
        <w:tc>
          <w:tcPr>
            <w:tcW w:w="2056" w:type="pct"/>
          </w:tcPr>
          <w:p w14:paraId="2C804108" w14:textId="343F5EF2" w:rsidR="009B4537" w:rsidRPr="00783194" w:rsidRDefault="00C62F27" w:rsidP="00146286">
            <w:pPr>
              <w:jc w:val="both"/>
              <w:rPr>
                <w:color w:val="000000" w:themeColor="text1"/>
                <w:sz w:val="16"/>
                <w:szCs w:val="16"/>
                <w:lang w:val="en-US"/>
              </w:rPr>
            </w:pPr>
            <w:r w:rsidRPr="00783194">
              <w:rPr>
                <w:color w:val="000000" w:themeColor="text1"/>
                <w:sz w:val="16"/>
                <w:szCs w:val="16"/>
                <w:lang w:val="en-US"/>
              </w:rPr>
              <w:t>Mainly focused on antimicrobial therapy strategy; no denominator for rates analysis</w:t>
            </w:r>
          </w:p>
        </w:tc>
      </w:tr>
      <w:tr w:rsidR="002B49FB" w:rsidRPr="00F20444" w14:paraId="59230A27" w14:textId="77777777" w:rsidTr="00146286">
        <w:tc>
          <w:tcPr>
            <w:tcW w:w="2944" w:type="pct"/>
          </w:tcPr>
          <w:p w14:paraId="735B7453" w14:textId="67C3489E" w:rsidR="002B49FB" w:rsidRPr="00783194" w:rsidRDefault="002B49FB" w:rsidP="00146286">
            <w:pPr>
              <w:jc w:val="both"/>
              <w:rPr>
                <w:color w:val="000000" w:themeColor="text1"/>
                <w:sz w:val="16"/>
                <w:szCs w:val="16"/>
                <w:lang w:val="en-US"/>
              </w:rPr>
            </w:pPr>
            <w:proofErr w:type="spellStart"/>
            <w:r w:rsidRPr="00783194">
              <w:rPr>
                <w:color w:val="000000" w:themeColor="text1"/>
                <w:sz w:val="16"/>
                <w:szCs w:val="16"/>
                <w:lang w:val="en-US"/>
              </w:rPr>
              <w:t>Liss</w:t>
            </w:r>
            <w:proofErr w:type="spellEnd"/>
            <w:r w:rsidRPr="00783194">
              <w:rPr>
                <w:color w:val="000000" w:themeColor="text1"/>
                <w:sz w:val="16"/>
                <w:szCs w:val="16"/>
                <w:lang w:val="en-US"/>
              </w:rPr>
              <w:t xml:space="preserve"> et al 2012, Intestinal </w:t>
            </w:r>
            <w:proofErr w:type="spellStart"/>
            <w:r w:rsidRPr="00783194">
              <w:rPr>
                <w:color w:val="000000" w:themeColor="text1"/>
                <w:sz w:val="16"/>
                <w:szCs w:val="16"/>
                <w:lang w:val="en-US"/>
              </w:rPr>
              <w:t>colonisation</w:t>
            </w:r>
            <w:proofErr w:type="spellEnd"/>
            <w:r w:rsidRPr="00783194">
              <w:rPr>
                <w:color w:val="000000" w:themeColor="text1"/>
                <w:sz w:val="16"/>
                <w:szCs w:val="16"/>
                <w:lang w:val="en-US"/>
              </w:rPr>
              <w:t xml:space="preserve"> and blood stream infections due</w:t>
            </w:r>
            <w:r w:rsidRPr="00783194">
              <w:rPr>
                <w:color w:val="000000" w:themeColor="text1"/>
                <w:sz w:val="16"/>
                <w:szCs w:val="16"/>
                <w:lang w:val="en-US"/>
              </w:rPr>
              <w:br/>
              <w:t xml:space="preserve">to vancomycin-resistant enterococci (VRE) and extended- spectrum beta-lactamase-producing Enterobacteriaceae (ESBLE) in patients with </w:t>
            </w:r>
            <w:proofErr w:type="spellStart"/>
            <w:r w:rsidRPr="00783194">
              <w:rPr>
                <w:color w:val="000000" w:themeColor="text1"/>
                <w:sz w:val="16"/>
                <w:szCs w:val="16"/>
                <w:lang w:val="en-US"/>
              </w:rPr>
              <w:t>haematological</w:t>
            </w:r>
            <w:proofErr w:type="spellEnd"/>
            <w:r w:rsidRPr="00783194">
              <w:rPr>
                <w:color w:val="000000" w:themeColor="text1"/>
                <w:sz w:val="16"/>
                <w:szCs w:val="16"/>
                <w:lang w:val="en-US"/>
              </w:rPr>
              <w:t xml:space="preserve"> and oncological malignancies </w:t>
            </w:r>
          </w:p>
        </w:tc>
        <w:tc>
          <w:tcPr>
            <w:tcW w:w="2056" w:type="pct"/>
          </w:tcPr>
          <w:p w14:paraId="168A77CF" w14:textId="41797B4F" w:rsidR="002B49FB"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No separated resistance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w:t>
            </w:r>
          </w:p>
        </w:tc>
      </w:tr>
      <w:tr w:rsidR="002B49FB" w:rsidRPr="00F20444" w14:paraId="1C29DE89" w14:textId="77777777" w:rsidTr="00146286">
        <w:tc>
          <w:tcPr>
            <w:tcW w:w="2944" w:type="pct"/>
          </w:tcPr>
          <w:p w14:paraId="319BC08A" w14:textId="72ED1CF7" w:rsidR="002B49FB" w:rsidRPr="00783194" w:rsidRDefault="002B49FB" w:rsidP="00146286">
            <w:pPr>
              <w:jc w:val="both"/>
              <w:rPr>
                <w:color w:val="000000" w:themeColor="text1"/>
                <w:sz w:val="16"/>
                <w:szCs w:val="16"/>
                <w:lang w:val="en-US"/>
              </w:rPr>
            </w:pPr>
            <w:r w:rsidRPr="00783194">
              <w:rPr>
                <w:color w:val="000000" w:themeColor="text1"/>
                <w:sz w:val="16"/>
                <w:szCs w:val="16"/>
                <w:lang w:val="en-US"/>
              </w:rPr>
              <w:t>Martinez-Nadal et al 2020, Inappropriate Empirical Antibiotic Treatment in High-</w:t>
            </w:r>
            <w:r w:rsidRPr="002B49FB">
              <w:rPr>
                <w:color w:val="000000" w:themeColor="text1"/>
                <w:sz w:val="16"/>
                <w:szCs w:val="16"/>
                <w:lang w:val="en-US"/>
              </w:rPr>
              <w:t xml:space="preserve">risk Neutropenic Patients </w:t>
            </w:r>
            <w:proofErr w:type="gramStart"/>
            <w:r w:rsidRPr="002B49FB">
              <w:rPr>
                <w:color w:val="000000" w:themeColor="text1"/>
                <w:sz w:val="16"/>
                <w:szCs w:val="16"/>
                <w:lang w:val="en-US"/>
              </w:rPr>
              <w:t>With</w:t>
            </w:r>
            <w:proofErr w:type="gramEnd"/>
            <w:r w:rsidRPr="002B49FB">
              <w:rPr>
                <w:color w:val="000000" w:themeColor="text1"/>
                <w:sz w:val="16"/>
                <w:szCs w:val="16"/>
                <w:lang w:val="en-US"/>
              </w:rPr>
              <w:t xml:space="preserve"> Bacteremia in the Era of Multidrug Resistance </w:t>
            </w:r>
          </w:p>
        </w:tc>
        <w:tc>
          <w:tcPr>
            <w:tcW w:w="2056" w:type="pct"/>
          </w:tcPr>
          <w:p w14:paraId="3F362B59" w14:textId="6745EAF4" w:rsidR="002B49FB"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No separated resistance data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w:t>
            </w:r>
          </w:p>
        </w:tc>
      </w:tr>
      <w:tr w:rsidR="009B4537" w:rsidRPr="00F20444" w14:paraId="68BC1087" w14:textId="77777777" w:rsidTr="00146286">
        <w:tc>
          <w:tcPr>
            <w:tcW w:w="2944" w:type="pct"/>
          </w:tcPr>
          <w:p w14:paraId="28F8A17A" w14:textId="0C3FA1E6" w:rsidR="009B4537" w:rsidRPr="00783194" w:rsidRDefault="002B49FB" w:rsidP="00146286">
            <w:pPr>
              <w:jc w:val="both"/>
              <w:rPr>
                <w:color w:val="000000" w:themeColor="text1"/>
                <w:sz w:val="16"/>
                <w:szCs w:val="16"/>
                <w:lang w:val="en-US"/>
              </w:rPr>
            </w:pPr>
            <w:r w:rsidRPr="00783194">
              <w:rPr>
                <w:color w:val="000000" w:themeColor="text1"/>
                <w:sz w:val="16"/>
                <w:szCs w:val="16"/>
                <w:lang w:val="en-US"/>
              </w:rPr>
              <w:t xml:space="preserve">Ortega et al 2015, </w:t>
            </w:r>
            <w:r w:rsidRPr="002B49FB">
              <w:rPr>
                <w:color w:val="000000" w:themeColor="text1"/>
                <w:sz w:val="16"/>
                <w:szCs w:val="16"/>
                <w:lang w:val="en-US"/>
              </w:rPr>
              <w:t xml:space="preserve">Epidemiology and outcome of </w:t>
            </w:r>
            <w:proofErr w:type="spellStart"/>
            <w:r w:rsidRPr="002B49FB">
              <w:rPr>
                <w:color w:val="000000" w:themeColor="text1"/>
                <w:sz w:val="16"/>
                <w:szCs w:val="16"/>
                <w:lang w:val="en-US"/>
              </w:rPr>
              <w:t>bacteraemia</w:t>
            </w:r>
            <w:proofErr w:type="spellEnd"/>
            <w:r w:rsidRPr="002B49FB">
              <w:rPr>
                <w:color w:val="000000" w:themeColor="text1"/>
                <w:sz w:val="16"/>
                <w:szCs w:val="16"/>
                <w:lang w:val="en-US"/>
              </w:rPr>
              <w:t xml:space="preserve"> in neutropenic patients in a single institution from 1991–2012 </w:t>
            </w:r>
          </w:p>
        </w:tc>
        <w:tc>
          <w:tcPr>
            <w:tcW w:w="2056" w:type="pct"/>
          </w:tcPr>
          <w:p w14:paraId="65577F50" w14:textId="0DB7EBC5" w:rsidR="009B4537" w:rsidRPr="00783194" w:rsidRDefault="00C62F27" w:rsidP="00146286">
            <w:pPr>
              <w:jc w:val="both"/>
              <w:rPr>
                <w:color w:val="000000" w:themeColor="text1"/>
                <w:sz w:val="16"/>
                <w:szCs w:val="16"/>
                <w:lang w:val="en-US"/>
              </w:rPr>
            </w:pPr>
            <w:r w:rsidRPr="00783194">
              <w:rPr>
                <w:color w:val="000000" w:themeColor="text1"/>
                <w:sz w:val="16"/>
                <w:szCs w:val="16"/>
                <w:lang w:val="en-US"/>
              </w:rPr>
              <w:t xml:space="preserve">No separated data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w:t>
            </w:r>
          </w:p>
        </w:tc>
      </w:tr>
      <w:tr w:rsidR="009B4537" w:rsidRPr="00F20444" w14:paraId="498CE1AE" w14:textId="77777777" w:rsidTr="00146286">
        <w:tc>
          <w:tcPr>
            <w:tcW w:w="2944" w:type="pct"/>
          </w:tcPr>
          <w:p w14:paraId="6E813258" w14:textId="5DF2AE06" w:rsidR="009B4537" w:rsidRPr="00783194" w:rsidRDefault="002B49FB" w:rsidP="00146286">
            <w:pPr>
              <w:jc w:val="both"/>
              <w:rPr>
                <w:color w:val="000000" w:themeColor="text1"/>
                <w:sz w:val="16"/>
                <w:szCs w:val="16"/>
                <w:lang w:val="en-US"/>
              </w:rPr>
            </w:pPr>
            <w:proofErr w:type="spellStart"/>
            <w:r w:rsidRPr="00783194">
              <w:rPr>
                <w:color w:val="000000" w:themeColor="text1"/>
                <w:sz w:val="16"/>
                <w:szCs w:val="16"/>
                <w:lang w:val="en-US"/>
              </w:rPr>
              <w:t>Recio</w:t>
            </w:r>
            <w:proofErr w:type="spellEnd"/>
            <w:r w:rsidRPr="00783194">
              <w:rPr>
                <w:color w:val="000000" w:themeColor="text1"/>
                <w:sz w:val="16"/>
                <w:szCs w:val="16"/>
                <w:lang w:val="en-US"/>
              </w:rPr>
              <w:t xml:space="preserve"> et al 2021, Clinical and bacterial characteristics of </w:t>
            </w:r>
            <w:r w:rsidRPr="00783194">
              <w:rPr>
                <w:i/>
                <w:iCs/>
                <w:color w:val="000000" w:themeColor="text1"/>
                <w:sz w:val="16"/>
                <w:szCs w:val="16"/>
                <w:lang w:val="en-US"/>
              </w:rPr>
              <w:t xml:space="preserve">Pseudomonas aeruginosa </w:t>
            </w:r>
            <w:r w:rsidRPr="00783194">
              <w:rPr>
                <w:color w:val="000000" w:themeColor="text1"/>
                <w:sz w:val="16"/>
                <w:szCs w:val="16"/>
                <w:lang w:val="en-US"/>
              </w:rPr>
              <w:t xml:space="preserve">affecting the outcome of patients with </w:t>
            </w:r>
            <w:proofErr w:type="spellStart"/>
            <w:r w:rsidRPr="00783194">
              <w:rPr>
                <w:color w:val="000000" w:themeColor="text1"/>
                <w:sz w:val="16"/>
                <w:szCs w:val="16"/>
                <w:lang w:val="en-US"/>
              </w:rPr>
              <w:t>bacteraemic</w:t>
            </w:r>
            <w:proofErr w:type="spellEnd"/>
            <w:r w:rsidRPr="00783194">
              <w:rPr>
                <w:color w:val="000000" w:themeColor="text1"/>
                <w:sz w:val="16"/>
                <w:szCs w:val="16"/>
                <w:lang w:val="en-US"/>
              </w:rPr>
              <w:t xml:space="preserve"> pneumonia </w:t>
            </w:r>
          </w:p>
        </w:tc>
        <w:tc>
          <w:tcPr>
            <w:tcW w:w="2056" w:type="pct"/>
          </w:tcPr>
          <w:p w14:paraId="6D7556B9" w14:textId="69626AC4" w:rsidR="009B4537" w:rsidRPr="00783194" w:rsidRDefault="00C62F27" w:rsidP="00146286">
            <w:pPr>
              <w:jc w:val="both"/>
              <w:rPr>
                <w:color w:val="000000" w:themeColor="text1"/>
                <w:sz w:val="16"/>
                <w:szCs w:val="16"/>
                <w:lang w:val="en-US"/>
              </w:rPr>
            </w:pPr>
            <w:r w:rsidRPr="00783194">
              <w:rPr>
                <w:color w:val="000000" w:themeColor="text1"/>
                <w:sz w:val="16"/>
                <w:szCs w:val="16"/>
                <w:lang w:val="en-US"/>
              </w:rPr>
              <w:t xml:space="preserve">No separated data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 and not-immunocompromised patients with other comorbidities</w:t>
            </w:r>
          </w:p>
        </w:tc>
      </w:tr>
      <w:tr w:rsidR="00783194" w:rsidRPr="00F20444" w14:paraId="4FB529DD" w14:textId="77777777" w:rsidTr="00146286">
        <w:tc>
          <w:tcPr>
            <w:tcW w:w="2944" w:type="pct"/>
          </w:tcPr>
          <w:p w14:paraId="7096A7BD" w14:textId="78FF0DF0" w:rsidR="00783194" w:rsidRPr="00783194" w:rsidRDefault="00783194" w:rsidP="00146286">
            <w:pPr>
              <w:jc w:val="both"/>
              <w:rPr>
                <w:color w:val="000000" w:themeColor="text1"/>
                <w:sz w:val="16"/>
                <w:szCs w:val="16"/>
                <w:lang w:val="en-US"/>
              </w:rPr>
            </w:pPr>
            <w:proofErr w:type="spellStart"/>
            <w:r w:rsidRPr="00783194">
              <w:rPr>
                <w:color w:val="000000" w:themeColor="text1"/>
                <w:sz w:val="16"/>
                <w:szCs w:val="16"/>
                <w:lang w:val="en-US"/>
              </w:rPr>
              <w:t>Righi</w:t>
            </w:r>
            <w:proofErr w:type="spellEnd"/>
            <w:r w:rsidRPr="00783194">
              <w:rPr>
                <w:color w:val="000000" w:themeColor="text1"/>
                <w:sz w:val="16"/>
                <w:szCs w:val="16"/>
                <w:lang w:val="en-US"/>
              </w:rPr>
              <w:t xml:space="preserve"> et al 2017, Global prevalence of carbapenem resistance in neutropenic patients and association with mortality and carbapenem use: systematic review and meta-analysis </w:t>
            </w:r>
          </w:p>
        </w:tc>
        <w:tc>
          <w:tcPr>
            <w:tcW w:w="2056" w:type="pct"/>
          </w:tcPr>
          <w:p w14:paraId="5EADE19D" w14:textId="1996305C" w:rsidR="00783194"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No separated data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 and not-immunocompromised patients with other comorbidities</w:t>
            </w:r>
          </w:p>
        </w:tc>
      </w:tr>
      <w:tr w:rsidR="00783194" w:rsidRPr="00F20444" w14:paraId="0669584E" w14:textId="77777777" w:rsidTr="00146286">
        <w:tc>
          <w:tcPr>
            <w:tcW w:w="2944" w:type="pct"/>
          </w:tcPr>
          <w:p w14:paraId="135FF17F" w14:textId="6B005987" w:rsidR="00783194" w:rsidRPr="00783194" w:rsidRDefault="00783194" w:rsidP="00146286">
            <w:pPr>
              <w:jc w:val="both"/>
              <w:rPr>
                <w:color w:val="000000" w:themeColor="text1"/>
                <w:sz w:val="16"/>
                <w:szCs w:val="16"/>
                <w:lang w:val="en-US"/>
              </w:rPr>
            </w:pPr>
            <w:proofErr w:type="spellStart"/>
            <w:r w:rsidRPr="00783194">
              <w:rPr>
                <w:color w:val="000000" w:themeColor="text1"/>
                <w:sz w:val="16"/>
                <w:szCs w:val="16"/>
                <w:lang w:val="en-US"/>
              </w:rPr>
              <w:t>Rolo</w:t>
            </w:r>
            <w:proofErr w:type="spellEnd"/>
            <w:r w:rsidRPr="00783194">
              <w:rPr>
                <w:color w:val="000000" w:themeColor="text1"/>
                <w:sz w:val="16"/>
                <w:szCs w:val="16"/>
                <w:lang w:val="en-US"/>
              </w:rPr>
              <w:t xml:space="preserve"> et al 2022, Clinical impact of time-to-positivity of blood cultures on mortality in patients with </w:t>
            </w:r>
            <w:r w:rsidRPr="00783194">
              <w:rPr>
                <w:i/>
                <w:iCs/>
                <w:color w:val="000000" w:themeColor="text1"/>
                <w:sz w:val="16"/>
                <w:szCs w:val="16"/>
                <w:lang w:val="en-US"/>
              </w:rPr>
              <w:t xml:space="preserve">Pseudomonas aeruginosa </w:t>
            </w:r>
            <w:r w:rsidRPr="00783194">
              <w:rPr>
                <w:color w:val="000000" w:themeColor="text1"/>
                <w:sz w:val="16"/>
                <w:szCs w:val="16"/>
                <w:lang w:val="en-US"/>
              </w:rPr>
              <w:t xml:space="preserve">bacteremia </w:t>
            </w:r>
          </w:p>
        </w:tc>
        <w:tc>
          <w:tcPr>
            <w:tcW w:w="2056" w:type="pct"/>
          </w:tcPr>
          <w:p w14:paraId="62C04D7B" w14:textId="242F2213" w:rsidR="00783194"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No separated data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 and not-immunocompromised patients with other comorbidities</w:t>
            </w:r>
          </w:p>
        </w:tc>
      </w:tr>
      <w:tr w:rsidR="00783194" w:rsidRPr="00F20444" w14:paraId="216F799F" w14:textId="77777777" w:rsidTr="00146286">
        <w:tc>
          <w:tcPr>
            <w:tcW w:w="2944" w:type="pct"/>
          </w:tcPr>
          <w:p w14:paraId="657D70DB" w14:textId="544D8CB1" w:rsidR="00783194" w:rsidRPr="00783194" w:rsidRDefault="00783194" w:rsidP="00146286">
            <w:pPr>
              <w:jc w:val="both"/>
              <w:rPr>
                <w:color w:val="000000" w:themeColor="text1"/>
                <w:sz w:val="16"/>
                <w:szCs w:val="16"/>
                <w:lang w:val="en-US"/>
              </w:rPr>
            </w:pPr>
            <w:proofErr w:type="spellStart"/>
            <w:r w:rsidRPr="00783194">
              <w:rPr>
                <w:color w:val="000000" w:themeColor="text1"/>
                <w:sz w:val="16"/>
                <w:szCs w:val="16"/>
                <w:lang w:val="en-US"/>
              </w:rPr>
              <w:t>Tumbarello</w:t>
            </w:r>
            <w:proofErr w:type="spellEnd"/>
            <w:r w:rsidRPr="00783194">
              <w:rPr>
                <w:color w:val="000000" w:themeColor="text1"/>
                <w:sz w:val="16"/>
                <w:szCs w:val="16"/>
                <w:lang w:val="en-US"/>
              </w:rPr>
              <w:t xml:space="preserve"> et al 2021, Ceftazidime-Avibactam Use for Klebsiella pneumoniae </w:t>
            </w:r>
            <w:proofErr w:type="spellStart"/>
            <w:r w:rsidRPr="00783194">
              <w:rPr>
                <w:color w:val="000000" w:themeColor="text1"/>
                <w:sz w:val="16"/>
                <w:szCs w:val="16"/>
                <w:lang w:val="en-US"/>
              </w:rPr>
              <w:t>Carbapenemase</w:t>
            </w:r>
            <w:proofErr w:type="spellEnd"/>
            <w:r w:rsidRPr="00783194">
              <w:rPr>
                <w:color w:val="000000" w:themeColor="text1"/>
                <w:sz w:val="16"/>
                <w:szCs w:val="16"/>
                <w:lang w:val="en-US"/>
              </w:rPr>
              <w:t xml:space="preserve">–Producing </w:t>
            </w:r>
            <w:r w:rsidRPr="00783194">
              <w:rPr>
                <w:i/>
                <w:iCs/>
                <w:color w:val="000000" w:themeColor="text1"/>
                <w:sz w:val="16"/>
                <w:szCs w:val="16"/>
                <w:lang w:val="en-US"/>
              </w:rPr>
              <w:t xml:space="preserve">K. pneumoniae </w:t>
            </w:r>
            <w:r w:rsidRPr="00783194">
              <w:rPr>
                <w:color w:val="000000" w:themeColor="text1"/>
                <w:sz w:val="16"/>
                <w:szCs w:val="16"/>
                <w:lang w:val="en-US"/>
              </w:rPr>
              <w:t xml:space="preserve">Infections: </w:t>
            </w:r>
            <w:r w:rsidRPr="002B49FB">
              <w:rPr>
                <w:color w:val="000000" w:themeColor="text1"/>
                <w:sz w:val="16"/>
                <w:szCs w:val="16"/>
                <w:lang w:val="en-US"/>
              </w:rPr>
              <w:t xml:space="preserve">A Retrospective Observational Multicenter Study </w:t>
            </w:r>
          </w:p>
        </w:tc>
        <w:tc>
          <w:tcPr>
            <w:tcW w:w="2056" w:type="pct"/>
          </w:tcPr>
          <w:p w14:paraId="185F7746" w14:textId="3B307F6E" w:rsidR="00783194"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No separated data for hematological patients </w:t>
            </w:r>
            <w:r w:rsidRPr="00783194">
              <w:rPr>
                <w:i/>
                <w:iCs/>
                <w:color w:val="000000" w:themeColor="text1"/>
                <w:sz w:val="16"/>
                <w:szCs w:val="16"/>
                <w:lang w:val="en-US"/>
              </w:rPr>
              <w:t>versus</w:t>
            </w:r>
            <w:r w:rsidRPr="00783194">
              <w:rPr>
                <w:color w:val="000000" w:themeColor="text1"/>
                <w:sz w:val="16"/>
                <w:szCs w:val="16"/>
                <w:lang w:val="en-US"/>
              </w:rPr>
              <w:t xml:space="preserve"> solid tumors and not-immunocompromised patients with other comorbidities</w:t>
            </w:r>
          </w:p>
        </w:tc>
      </w:tr>
      <w:tr w:rsidR="00783194" w:rsidRPr="00F20444" w14:paraId="258B0EAB" w14:textId="77777777" w:rsidTr="00146286">
        <w:tc>
          <w:tcPr>
            <w:tcW w:w="2944" w:type="pct"/>
          </w:tcPr>
          <w:p w14:paraId="356CEC3D" w14:textId="7B4DAA83" w:rsidR="00783194"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Zuckerman et al 2011, SCT in patients with carbapenem resistant Klebsiella pneumoniae: a single center experience with oral gentamicin for the eradication of carrier state </w:t>
            </w:r>
          </w:p>
        </w:tc>
        <w:tc>
          <w:tcPr>
            <w:tcW w:w="2056" w:type="pct"/>
          </w:tcPr>
          <w:p w14:paraId="2EAFB3A2" w14:textId="4028D05D" w:rsidR="00783194" w:rsidRPr="00783194" w:rsidRDefault="00783194" w:rsidP="00146286">
            <w:pPr>
              <w:jc w:val="both"/>
              <w:rPr>
                <w:color w:val="000000" w:themeColor="text1"/>
                <w:sz w:val="16"/>
                <w:szCs w:val="16"/>
                <w:lang w:val="en-US"/>
              </w:rPr>
            </w:pPr>
            <w:r w:rsidRPr="00783194">
              <w:rPr>
                <w:color w:val="000000" w:themeColor="text1"/>
                <w:sz w:val="16"/>
                <w:szCs w:val="16"/>
                <w:lang w:val="en-US"/>
              </w:rPr>
              <w:t xml:space="preserve">Only Carbapenem-resistant </w:t>
            </w:r>
            <w:r w:rsidR="00E129D1" w:rsidRPr="00E129D1">
              <w:rPr>
                <w:i/>
                <w:iCs/>
                <w:color w:val="000000" w:themeColor="text1"/>
                <w:sz w:val="16"/>
                <w:szCs w:val="16"/>
                <w:lang w:val="en-US"/>
              </w:rPr>
              <w:t>Klebsiella</w:t>
            </w:r>
            <w:r w:rsidR="00E129D1">
              <w:rPr>
                <w:color w:val="000000" w:themeColor="text1"/>
                <w:sz w:val="16"/>
                <w:szCs w:val="16"/>
                <w:lang w:val="en-US"/>
              </w:rPr>
              <w:t xml:space="preserve"> </w:t>
            </w:r>
            <w:r w:rsidR="00CA4985" w:rsidRPr="0004386F">
              <w:rPr>
                <w:i/>
                <w:iCs/>
                <w:color w:val="000000" w:themeColor="text1"/>
                <w:sz w:val="16"/>
                <w:szCs w:val="16"/>
                <w:lang w:val="en-US"/>
              </w:rPr>
              <w:t>p</w:t>
            </w:r>
            <w:r w:rsidRPr="0004386F">
              <w:rPr>
                <w:i/>
                <w:iCs/>
                <w:color w:val="000000" w:themeColor="text1"/>
                <w:sz w:val="16"/>
                <w:szCs w:val="16"/>
                <w:lang w:val="en-US"/>
              </w:rPr>
              <w:t>neumoniae</w:t>
            </w:r>
            <w:r w:rsidRPr="00783194">
              <w:rPr>
                <w:color w:val="000000" w:themeColor="text1"/>
                <w:sz w:val="16"/>
                <w:szCs w:val="16"/>
                <w:lang w:val="en-US"/>
              </w:rPr>
              <w:t xml:space="preserve"> selected; no denominator for rates analysis</w:t>
            </w:r>
          </w:p>
        </w:tc>
      </w:tr>
      <w:tr w:rsidR="00C114CB" w:rsidRPr="00F20444" w14:paraId="296B228F" w14:textId="77777777" w:rsidTr="00146286">
        <w:tc>
          <w:tcPr>
            <w:tcW w:w="2944" w:type="pct"/>
          </w:tcPr>
          <w:p w14:paraId="0C00D715" w14:textId="3E3D22AB" w:rsidR="00C114CB" w:rsidRPr="00C114CB" w:rsidRDefault="00C114CB" w:rsidP="00C114CB">
            <w:pPr>
              <w:jc w:val="both"/>
              <w:rPr>
                <w:color w:val="000000" w:themeColor="text1"/>
                <w:sz w:val="16"/>
                <w:szCs w:val="16"/>
                <w:lang w:val="en-US"/>
              </w:rPr>
            </w:pPr>
            <w:proofErr w:type="spellStart"/>
            <w:r w:rsidRPr="00C114CB">
              <w:rPr>
                <w:color w:val="000000" w:themeColor="text1"/>
                <w:sz w:val="16"/>
                <w:szCs w:val="16"/>
                <w:lang w:val="en-US"/>
              </w:rPr>
              <w:t>Tofas</w:t>
            </w:r>
            <w:proofErr w:type="spellEnd"/>
            <w:r w:rsidRPr="00C114CB">
              <w:rPr>
                <w:color w:val="000000" w:themeColor="text1"/>
                <w:sz w:val="16"/>
                <w:szCs w:val="16"/>
                <w:lang w:val="en-US"/>
              </w:rPr>
              <w:t xml:space="preserve"> et al 2016, </w:t>
            </w:r>
            <w:proofErr w:type="spellStart"/>
            <w:r w:rsidRPr="00C114CB">
              <w:rPr>
                <w:color w:val="000000" w:themeColor="text1"/>
                <w:sz w:val="16"/>
                <w:szCs w:val="16"/>
                <w:lang w:val="en-US"/>
              </w:rPr>
              <w:t>Carbapenemase</w:t>
            </w:r>
            <w:proofErr w:type="spellEnd"/>
            <w:r w:rsidRPr="00C114CB">
              <w:rPr>
                <w:color w:val="000000" w:themeColor="text1"/>
                <w:sz w:val="16"/>
                <w:szCs w:val="16"/>
                <w:lang w:val="en-US"/>
              </w:rPr>
              <w:t xml:space="preserve">-producing Klebsiella pneumoniae bloodstream infections in neutropenic patients with </w:t>
            </w:r>
            <w:proofErr w:type="spellStart"/>
            <w:r w:rsidRPr="00C114CB">
              <w:rPr>
                <w:color w:val="000000" w:themeColor="text1"/>
                <w:sz w:val="16"/>
                <w:szCs w:val="16"/>
                <w:lang w:val="en-US"/>
              </w:rPr>
              <w:t>haematological</w:t>
            </w:r>
            <w:proofErr w:type="spellEnd"/>
            <w:r w:rsidRPr="00C114CB">
              <w:rPr>
                <w:color w:val="000000" w:themeColor="text1"/>
                <w:sz w:val="16"/>
                <w:szCs w:val="16"/>
                <w:lang w:val="en-US"/>
              </w:rPr>
              <w:t xml:space="preserve"> malignancies or aplastic </w:t>
            </w:r>
            <w:proofErr w:type="spellStart"/>
            <w:r w:rsidRPr="00C114CB">
              <w:rPr>
                <w:color w:val="000000" w:themeColor="text1"/>
                <w:sz w:val="16"/>
                <w:szCs w:val="16"/>
                <w:lang w:val="en-US"/>
              </w:rPr>
              <w:t>anaemia</w:t>
            </w:r>
            <w:proofErr w:type="spellEnd"/>
            <w:r w:rsidRPr="00C114CB">
              <w:rPr>
                <w:color w:val="000000" w:themeColor="text1"/>
                <w:sz w:val="16"/>
                <w:szCs w:val="16"/>
                <w:lang w:val="en-US"/>
              </w:rPr>
              <w:t>: Analysis of 50 cases.</w:t>
            </w:r>
          </w:p>
          <w:p w14:paraId="4CFEA286" w14:textId="77777777" w:rsidR="00C114CB" w:rsidRPr="00783194" w:rsidRDefault="00C114CB" w:rsidP="00146286">
            <w:pPr>
              <w:jc w:val="both"/>
              <w:rPr>
                <w:color w:val="000000" w:themeColor="text1"/>
                <w:sz w:val="16"/>
                <w:szCs w:val="16"/>
                <w:lang w:val="en-US"/>
              </w:rPr>
            </w:pPr>
          </w:p>
        </w:tc>
        <w:tc>
          <w:tcPr>
            <w:tcW w:w="2056" w:type="pct"/>
          </w:tcPr>
          <w:p w14:paraId="5FADCBAA" w14:textId="61E95443" w:rsidR="00C114CB" w:rsidRPr="00783194" w:rsidRDefault="00C114CB" w:rsidP="00146286">
            <w:pPr>
              <w:jc w:val="both"/>
              <w:rPr>
                <w:color w:val="000000" w:themeColor="text1"/>
                <w:sz w:val="16"/>
                <w:szCs w:val="16"/>
                <w:lang w:val="en-US"/>
              </w:rPr>
            </w:pPr>
            <w:r w:rsidRPr="00783194">
              <w:rPr>
                <w:color w:val="000000" w:themeColor="text1"/>
                <w:sz w:val="16"/>
                <w:szCs w:val="16"/>
                <w:lang w:val="en-US"/>
              </w:rPr>
              <w:t xml:space="preserve">Only </w:t>
            </w:r>
            <w:r>
              <w:rPr>
                <w:color w:val="000000" w:themeColor="text1"/>
                <w:sz w:val="16"/>
                <w:szCs w:val="16"/>
                <w:lang w:val="en-US"/>
              </w:rPr>
              <w:t>Carbapenem</w:t>
            </w:r>
            <w:r w:rsidRPr="00783194">
              <w:rPr>
                <w:color w:val="000000" w:themeColor="text1"/>
                <w:sz w:val="16"/>
                <w:szCs w:val="16"/>
                <w:lang w:val="en-US"/>
              </w:rPr>
              <w:t xml:space="preserve">-resistant </w:t>
            </w:r>
            <w:r w:rsidR="00E129D1" w:rsidRPr="00E129D1">
              <w:rPr>
                <w:i/>
                <w:iCs/>
                <w:color w:val="000000" w:themeColor="text1"/>
                <w:sz w:val="16"/>
                <w:szCs w:val="16"/>
                <w:lang w:val="en-US"/>
              </w:rPr>
              <w:t>Klebsiella</w:t>
            </w:r>
            <w:r w:rsidR="00E129D1">
              <w:rPr>
                <w:color w:val="000000" w:themeColor="text1"/>
                <w:sz w:val="16"/>
                <w:szCs w:val="16"/>
                <w:lang w:val="en-US"/>
              </w:rPr>
              <w:t xml:space="preserve"> </w:t>
            </w:r>
            <w:r w:rsidR="00CA4985" w:rsidRPr="0004386F">
              <w:rPr>
                <w:i/>
                <w:iCs/>
                <w:color w:val="000000" w:themeColor="text1"/>
                <w:sz w:val="16"/>
                <w:szCs w:val="16"/>
                <w:lang w:val="en-US"/>
              </w:rPr>
              <w:t>p</w:t>
            </w:r>
            <w:r w:rsidRPr="0004386F">
              <w:rPr>
                <w:i/>
                <w:iCs/>
                <w:color w:val="000000" w:themeColor="text1"/>
                <w:sz w:val="16"/>
                <w:szCs w:val="16"/>
                <w:lang w:val="en-US"/>
              </w:rPr>
              <w:t>neumoniae</w:t>
            </w:r>
            <w:r w:rsidRPr="00783194">
              <w:rPr>
                <w:color w:val="000000" w:themeColor="text1"/>
                <w:sz w:val="16"/>
                <w:szCs w:val="16"/>
                <w:lang w:val="en-US"/>
              </w:rPr>
              <w:t xml:space="preserve"> selected; no denominator for rates analysis</w:t>
            </w:r>
          </w:p>
        </w:tc>
      </w:tr>
    </w:tbl>
    <w:p w14:paraId="21C3D9ED" w14:textId="77777777" w:rsidR="00303705" w:rsidRPr="00303705" w:rsidRDefault="00303705" w:rsidP="00303705">
      <w:pPr>
        <w:spacing w:line="360" w:lineRule="auto"/>
        <w:jc w:val="both"/>
        <w:rPr>
          <w:color w:val="000000" w:themeColor="text1"/>
          <w:lang w:val="en-US"/>
        </w:rPr>
      </w:pPr>
    </w:p>
    <w:p w14:paraId="52B7F7F1" w14:textId="77777777" w:rsidR="00451F1E" w:rsidRDefault="00451F1E" w:rsidP="000551F5">
      <w:pPr>
        <w:spacing w:line="360" w:lineRule="auto"/>
        <w:jc w:val="both"/>
        <w:rPr>
          <w:color w:val="000000" w:themeColor="text1"/>
          <w:lang w:val="en-US"/>
        </w:rPr>
      </w:pPr>
    </w:p>
    <w:p w14:paraId="0D8AC183" w14:textId="77777777" w:rsidR="009D7E8A" w:rsidRDefault="009D7E8A">
      <w:pPr>
        <w:rPr>
          <w:b/>
          <w:bCs/>
          <w:color w:val="000000" w:themeColor="text1"/>
          <w:lang w:val="en-US"/>
        </w:rPr>
      </w:pPr>
      <w:r>
        <w:rPr>
          <w:b/>
          <w:bCs/>
          <w:color w:val="000000" w:themeColor="text1"/>
          <w:lang w:val="en-US"/>
        </w:rPr>
        <w:br w:type="page"/>
      </w:r>
    </w:p>
    <w:p w14:paraId="02E55BEB" w14:textId="4D2A26DA" w:rsidR="00E74AB0" w:rsidRPr="00E74AB0" w:rsidRDefault="00E74AB0" w:rsidP="00E74AB0">
      <w:pPr>
        <w:spacing w:line="360" w:lineRule="auto"/>
        <w:jc w:val="both"/>
        <w:rPr>
          <w:color w:val="000000" w:themeColor="text1"/>
          <w:sz w:val="20"/>
          <w:szCs w:val="20"/>
          <w:lang w:val="en-US"/>
        </w:rPr>
      </w:pPr>
      <w:r w:rsidRPr="00E74AB0">
        <w:rPr>
          <w:b/>
          <w:bCs/>
          <w:color w:val="000000" w:themeColor="text1"/>
          <w:sz w:val="20"/>
          <w:szCs w:val="20"/>
          <w:lang w:val="en-US"/>
        </w:rPr>
        <w:lastRenderedPageBreak/>
        <w:t>Table S2</w:t>
      </w:r>
      <w:r w:rsidRPr="00E74AB0">
        <w:rPr>
          <w:color w:val="000000" w:themeColor="text1"/>
          <w:sz w:val="20"/>
          <w:szCs w:val="20"/>
          <w:lang w:val="en-US"/>
        </w:rPr>
        <w:t xml:space="preserve">. Results of quality assessment of all included </w:t>
      </w:r>
      <w:r w:rsidR="00F20444">
        <w:rPr>
          <w:color w:val="000000" w:themeColor="text1"/>
          <w:sz w:val="20"/>
          <w:szCs w:val="20"/>
          <w:lang w:val="en-US"/>
        </w:rPr>
        <w:t xml:space="preserve">observational </w:t>
      </w:r>
      <w:r w:rsidRPr="00E74AB0">
        <w:rPr>
          <w:color w:val="000000" w:themeColor="text1"/>
          <w:sz w:val="20"/>
          <w:szCs w:val="20"/>
          <w:lang w:val="en-US"/>
        </w:rPr>
        <w:t>studies.</w:t>
      </w:r>
    </w:p>
    <w:tbl>
      <w:tblPr>
        <w:tblStyle w:val="Grigliatabella"/>
        <w:tblW w:w="9464" w:type="dxa"/>
        <w:tblLook w:val="04A0" w:firstRow="1" w:lastRow="0" w:firstColumn="1" w:lastColumn="0" w:noHBand="0" w:noVBand="1"/>
      </w:tblPr>
      <w:tblGrid>
        <w:gridCol w:w="475"/>
        <w:gridCol w:w="1647"/>
        <w:gridCol w:w="5499"/>
        <w:gridCol w:w="1843"/>
      </w:tblGrid>
      <w:tr w:rsidR="00E74AB0" w:rsidRPr="006A71D1" w14:paraId="085B8F91" w14:textId="77777777" w:rsidTr="000F55FD">
        <w:tc>
          <w:tcPr>
            <w:tcW w:w="475" w:type="dxa"/>
          </w:tcPr>
          <w:p w14:paraId="3403ED1C" w14:textId="77777777" w:rsidR="00E74AB0" w:rsidRPr="006A71D1" w:rsidRDefault="00E74AB0" w:rsidP="00376C8E">
            <w:pPr>
              <w:spacing w:line="360" w:lineRule="auto"/>
              <w:jc w:val="both"/>
              <w:rPr>
                <w:b/>
                <w:bCs/>
                <w:color w:val="000000" w:themeColor="text1"/>
                <w:sz w:val="16"/>
                <w:szCs w:val="16"/>
                <w:lang w:val="en-US"/>
              </w:rPr>
            </w:pPr>
          </w:p>
        </w:tc>
        <w:tc>
          <w:tcPr>
            <w:tcW w:w="1647" w:type="dxa"/>
          </w:tcPr>
          <w:p w14:paraId="15AC217F" w14:textId="77777777" w:rsidR="00E74AB0" w:rsidRPr="006A71D1" w:rsidRDefault="00E74AB0" w:rsidP="00376C8E">
            <w:pPr>
              <w:spacing w:line="360" w:lineRule="auto"/>
              <w:jc w:val="both"/>
              <w:rPr>
                <w:b/>
                <w:bCs/>
                <w:color w:val="000000" w:themeColor="text1"/>
                <w:sz w:val="16"/>
                <w:szCs w:val="16"/>
                <w:lang w:val="en-US"/>
              </w:rPr>
            </w:pPr>
            <w:r w:rsidRPr="006A71D1">
              <w:rPr>
                <w:b/>
                <w:bCs/>
                <w:color w:val="000000" w:themeColor="text1"/>
                <w:sz w:val="16"/>
                <w:szCs w:val="16"/>
                <w:lang w:val="en-US"/>
              </w:rPr>
              <w:t>Study</w:t>
            </w:r>
          </w:p>
        </w:tc>
        <w:tc>
          <w:tcPr>
            <w:tcW w:w="5499" w:type="dxa"/>
          </w:tcPr>
          <w:p w14:paraId="078DB2D9" w14:textId="16A94D35" w:rsidR="00E74AB0" w:rsidRPr="006A71D1" w:rsidRDefault="00E74AB0" w:rsidP="00376C8E">
            <w:pPr>
              <w:spacing w:line="360" w:lineRule="auto"/>
              <w:jc w:val="both"/>
              <w:rPr>
                <w:b/>
                <w:bCs/>
                <w:color w:val="000000" w:themeColor="text1"/>
                <w:sz w:val="16"/>
                <w:szCs w:val="16"/>
                <w:lang w:val="en-US"/>
              </w:rPr>
            </w:pPr>
            <w:r w:rsidRPr="006A71D1">
              <w:rPr>
                <w:b/>
                <w:bCs/>
                <w:color w:val="000000" w:themeColor="text1"/>
                <w:sz w:val="16"/>
                <w:szCs w:val="16"/>
                <w:lang w:val="en-US"/>
              </w:rPr>
              <w:t>NOS</w:t>
            </w:r>
          </w:p>
        </w:tc>
        <w:tc>
          <w:tcPr>
            <w:tcW w:w="1843" w:type="dxa"/>
          </w:tcPr>
          <w:p w14:paraId="6212DAAA" w14:textId="77777777" w:rsidR="00E74AB0" w:rsidRPr="006A71D1" w:rsidRDefault="00E74AB0" w:rsidP="00376C8E">
            <w:pPr>
              <w:spacing w:line="360" w:lineRule="auto"/>
              <w:jc w:val="both"/>
              <w:rPr>
                <w:b/>
                <w:bCs/>
                <w:color w:val="000000" w:themeColor="text1"/>
                <w:sz w:val="16"/>
                <w:szCs w:val="16"/>
                <w:lang w:val="en-US"/>
              </w:rPr>
            </w:pPr>
            <w:r w:rsidRPr="006A71D1">
              <w:rPr>
                <w:b/>
                <w:bCs/>
                <w:color w:val="000000" w:themeColor="text1"/>
                <w:sz w:val="16"/>
                <w:szCs w:val="16"/>
                <w:lang w:val="en-US"/>
              </w:rPr>
              <w:t xml:space="preserve">STROBE </w:t>
            </w:r>
          </w:p>
        </w:tc>
      </w:tr>
      <w:tr w:rsidR="00E74AB0" w:rsidRPr="006A71D1" w14:paraId="1454A215" w14:textId="77777777" w:rsidTr="000F55FD">
        <w:tc>
          <w:tcPr>
            <w:tcW w:w="475" w:type="dxa"/>
          </w:tcPr>
          <w:p w14:paraId="3B9F5F0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1647" w:type="dxa"/>
          </w:tcPr>
          <w:p w14:paraId="6C0E6A75" w14:textId="060DEC5B"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Akhmedov</w:t>
            </w:r>
            <w:proofErr w:type="spellEnd"/>
            <w:r w:rsidRPr="006A71D1">
              <w:rPr>
                <w:color w:val="000000" w:themeColor="text1"/>
                <w:sz w:val="16"/>
                <w:szCs w:val="16"/>
                <w:lang w:val="en-US"/>
              </w:rPr>
              <w:t xml:space="preserve"> 2023</w:t>
            </w:r>
          </w:p>
        </w:tc>
        <w:tc>
          <w:tcPr>
            <w:tcW w:w="5499" w:type="dxa"/>
          </w:tcPr>
          <w:p w14:paraId="00170A90"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0EFCD3C3"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19/22 - MEDIUM</w:t>
            </w:r>
          </w:p>
        </w:tc>
      </w:tr>
      <w:tr w:rsidR="00E74AB0" w:rsidRPr="006A71D1" w14:paraId="2C98A290" w14:textId="77777777" w:rsidTr="000F55FD">
        <w:tc>
          <w:tcPr>
            <w:tcW w:w="475" w:type="dxa"/>
          </w:tcPr>
          <w:p w14:paraId="0DDAB04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w:t>
            </w:r>
          </w:p>
        </w:tc>
        <w:tc>
          <w:tcPr>
            <w:tcW w:w="1647" w:type="dxa"/>
          </w:tcPr>
          <w:p w14:paraId="19A9615D" w14:textId="77537271"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Albasanz</w:t>
            </w:r>
            <w:proofErr w:type="spellEnd"/>
            <w:r w:rsidRPr="006A71D1">
              <w:rPr>
                <w:color w:val="000000" w:themeColor="text1"/>
                <w:sz w:val="16"/>
                <w:szCs w:val="16"/>
                <w:lang w:val="en-US"/>
              </w:rPr>
              <w:t>-Puig 2021</w:t>
            </w:r>
          </w:p>
        </w:tc>
        <w:tc>
          <w:tcPr>
            <w:tcW w:w="5499" w:type="dxa"/>
          </w:tcPr>
          <w:p w14:paraId="1208FEB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7E1FFF7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3798E2CF" w14:textId="77777777" w:rsidTr="000F55FD">
        <w:tc>
          <w:tcPr>
            <w:tcW w:w="475" w:type="dxa"/>
          </w:tcPr>
          <w:p w14:paraId="76A13B6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w:t>
            </w:r>
          </w:p>
        </w:tc>
        <w:tc>
          <w:tcPr>
            <w:tcW w:w="1647" w:type="dxa"/>
          </w:tcPr>
          <w:p w14:paraId="227127D4" w14:textId="3CF448D5"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Andria 2015</w:t>
            </w:r>
          </w:p>
        </w:tc>
        <w:tc>
          <w:tcPr>
            <w:tcW w:w="5499" w:type="dxa"/>
          </w:tcPr>
          <w:p w14:paraId="6A11AD1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4329D9E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61F358CA" w14:textId="77777777" w:rsidTr="000F55FD">
        <w:tc>
          <w:tcPr>
            <w:tcW w:w="475" w:type="dxa"/>
          </w:tcPr>
          <w:p w14:paraId="7F41F703"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4</w:t>
            </w:r>
          </w:p>
        </w:tc>
        <w:tc>
          <w:tcPr>
            <w:tcW w:w="1647" w:type="dxa"/>
          </w:tcPr>
          <w:p w14:paraId="20AE29CC" w14:textId="0974D295"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Averbuch 2017</w:t>
            </w:r>
          </w:p>
        </w:tc>
        <w:tc>
          <w:tcPr>
            <w:tcW w:w="5499" w:type="dxa"/>
          </w:tcPr>
          <w:p w14:paraId="54864CC0"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3F3B533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21/22 – HIGH </w:t>
            </w:r>
          </w:p>
        </w:tc>
      </w:tr>
      <w:tr w:rsidR="00E74AB0" w:rsidRPr="006A71D1" w14:paraId="3501FAA6" w14:textId="77777777" w:rsidTr="000F55FD">
        <w:tc>
          <w:tcPr>
            <w:tcW w:w="475" w:type="dxa"/>
          </w:tcPr>
          <w:p w14:paraId="4FA21CF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5</w:t>
            </w:r>
          </w:p>
        </w:tc>
        <w:tc>
          <w:tcPr>
            <w:tcW w:w="1647" w:type="dxa"/>
          </w:tcPr>
          <w:p w14:paraId="193F0D6C" w14:textId="06B58CEE"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Ballo</w:t>
            </w:r>
            <w:proofErr w:type="spellEnd"/>
            <w:r w:rsidRPr="006A71D1">
              <w:rPr>
                <w:color w:val="000000" w:themeColor="text1"/>
                <w:sz w:val="16"/>
                <w:szCs w:val="16"/>
                <w:lang w:val="en-US"/>
              </w:rPr>
              <w:t xml:space="preserve"> 2019</w:t>
            </w:r>
          </w:p>
        </w:tc>
        <w:tc>
          <w:tcPr>
            <w:tcW w:w="5499" w:type="dxa"/>
          </w:tcPr>
          <w:p w14:paraId="22F2B73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8/9 (comparability </w:t>
            </w:r>
            <w:r>
              <w:rPr>
                <w:color w:val="000000" w:themeColor="text1"/>
                <w:sz w:val="16"/>
                <w:szCs w:val="16"/>
                <w:lang w:val="en-US"/>
              </w:rPr>
              <w:t>1</w:t>
            </w:r>
            <w:r w:rsidRPr="006A71D1">
              <w:rPr>
                <w:color w:val="000000" w:themeColor="text1"/>
                <w:sz w:val="16"/>
                <w:szCs w:val="16"/>
                <w:lang w:val="en-US"/>
              </w:rPr>
              <w:t xml:space="preserve"> no multivariate)</w:t>
            </w:r>
          </w:p>
        </w:tc>
        <w:tc>
          <w:tcPr>
            <w:tcW w:w="1843" w:type="dxa"/>
          </w:tcPr>
          <w:p w14:paraId="546B5753"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19/22 - MEDIUM</w:t>
            </w:r>
          </w:p>
        </w:tc>
      </w:tr>
      <w:tr w:rsidR="00E74AB0" w:rsidRPr="006A71D1" w14:paraId="325D041E" w14:textId="77777777" w:rsidTr="000F55FD">
        <w:tc>
          <w:tcPr>
            <w:tcW w:w="475" w:type="dxa"/>
          </w:tcPr>
          <w:p w14:paraId="27F97092"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6</w:t>
            </w:r>
          </w:p>
        </w:tc>
        <w:tc>
          <w:tcPr>
            <w:tcW w:w="1647" w:type="dxa"/>
          </w:tcPr>
          <w:p w14:paraId="276068B5" w14:textId="6F3F84E7"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Bilinski</w:t>
            </w:r>
            <w:proofErr w:type="spellEnd"/>
            <w:r w:rsidR="000F55FD">
              <w:rPr>
                <w:color w:val="000000" w:themeColor="text1"/>
                <w:sz w:val="16"/>
                <w:szCs w:val="16"/>
                <w:lang w:val="en-US"/>
              </w:rPr>
              <w:t xml:space="preserve"> </w:t>
            </w:r>
            <w:r w:rsidRPr="006A71D1">
              <w:rPr>
                <w:color w:val="000000" w:themeColor="text1"/>
                <w:sz w:val="16"/>
                <w:szCs w:val="16"/>
                <w:lang w:val="en-US"/>
              </w:rPr>
              <w:t>2016</w:t>
            </w:r>
          </w:p>
        </w:tc>
        <w:tc>
          <w:tcPr>
            <w:tcW w:w="5499" w:type="dxa"/>
          </w:tcPr>
          <w:p w14:paraId="389DAF2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145595B5"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308ECBCB" w14:textId="77777777" w:rsidTr="000F55FD">
        <w:tc>
          <w:tcPr>
            <w:tcW w:w="475" w:type="dxa"/>
          </w:tcPr>
          <w:p w14:paraId="3573B1B0"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7</w:t>
            </w:r>
          </w:p>
        </w:tc>
        <w:tc>
          <w:tcPr>
            <w:tcW w:w="1647" w:type="dxa"/>
          </w:tcPr>
          <w:p w14:paraId="32748F05" w14:textId="41F7311E"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Blennow</w:t>
            </w:r>
            <w:proofErr w:type="spellEnd"/>
            <w:r w:rsidRPr="006A71D1">
              <w:rPr>
                <w:color w:val="000000" w:themeColor="text1"/>
                <w:sz w:val="16"/>
                <w:szCs w:val="16"/>
                <w:lang w:val="en-US"/>
              </w:rPr>
              <w:t xml:space="preserve"> 2014</w:t>
            </w:r>
          </w:p>
        </w:tc>
        <w:tc>
          <w:tcPr>
            <w:tcW w:w="5499" w:type="dxa"/>
          </w:tcPr>
          <w:p w14:paraId="3C9F83B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4E8DCA1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20/22 - MEDIUM</w:t>
            </w:r>
          </w:p>
        </w:tc>
      </w:tr>
      <w:tr w:rsidR="00E74AB0" w:rsidRPr="006A71D1" w14:paraId="67252D56" w14:textId="77777777" w:rsidTr="000F55FD">
        <w:tc>
          <w:tcPr>
            <w:tcW w:w="475" w:type="dxa"/>
          </w:tcPr>
          <w:p w14:paraId="712CF2C0"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8</w:t>
            </w:r>
          </w:p>
        </w:tc>
        <w:tc>
          <w:tcPr>
            <w:tcW w:w="1647" w:type="dxa"/>
          </w:tcPr>
          <w:p w14:paraId="64699EF1" w14:textId="7014ACF0"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Cattaneo</w:t>
            </w:r>
            <w:proofErr w:type="spellEnd"/>
            <w:r w:rsidRPr="006A71D1">
              <w:rPr>
                <w:color w:val="000000" w:themeColor="text1"/>
                <w:sz w:val="16"/>
                <w:szCs w:val="16"/>
                <w:lang w:val="en-US"/>
              </w:rPr>
              <w:t xml:space="preserve"> 2012</w:t>
            </w:r>
          </w:p>
        </w:tc>
        <w:tc>
          <w:tcPr>
            <w:tcW w:w="5499" w:type="dxa"/>
          </w:tcPr>
          <w:p w14:paraId="430372A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8/9 (comparability </w:t>
            </w:r>
            <w:r>
              <w:rPr>
                <w:color w:val="000000" w:themeColor="text1"/>
                <w:sz w:val="16"/>
                <w:szCs w:val="16"/>
                <w:lang w:val="en-US"/>
              </w:rPr>
              <w:t>1</w:t>
            </w:r>
            <w:r w:rsidRPr="006A71D1">
              <w:rPr>
                <w:color w:val="000000" w:themeColor="text1"/>
                <w:sz w:val="16"/>
                <w:szCs w:val="16"/>
                <w:lang w:val="en-US"/>
              </w:rPr>
              <w:t xml:space="preserve"> limited multivariate)</w:t>
            </w:r>
          </w:p>
        </w:tc>
        <w:tc>
          <w:tcPr>
            <w:tcW w:w="1843" w:type="dxa"/>
          </w:tcPr>
          <w:p w14:paraId="7652F245"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17/22 - MEDIUM</w:t>
            </w:r>
          </w:p>
        </w:tc>
      </w:tr>
      <w:tr w:rsidR="00E74AB0" w:rsidRPr="006A71D1" w14:paraId="650D604A" w14:textId="77777777" w:rsidTr="000F55FD">
        <w:tc>
          <w:tcPr>
            <w:tcW w:w="475" w:type="dxa"/>
          </w:tcPr>
          <w:p w14:paraId="18492837"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w:t>
            </w:r>
          </w:p>
        </w:tc>
        <w:tc>
          <w:tcPr>
            <w:tcW w:w="1647" w:type="dxa"/>
          </w:tcPr>
          <w:p w14:paraId="49989601" w14:textId="305CB83C"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Cattaneo</w:t>
            </w:r>
            <w:proofErr w:type="spellEnd"/>
            <w:r w:rsidRPr="006A71D1">
              <w:rPr>
                <w:color w:val="000000" w:themeColor="text1"/>
                <w:sz w:val="16"/>
                <w:szCs w:val="16"/>
                <w:lang w:val="en-US"/>
              </w:rPr>
              <w:t xml:space="preserve"> 2016</w:t>
            </w:r>
          </w:p>
        </w:tc>
        <w:tc>
          <w:tcPr>
            <w:tcW w:w="5499" w:type="dxa"/>
          </w:tcPr>
          <w:p w14:paraId="7DBF7DE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364DE315"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152565CB" w14:textId="77777777" w:rsidTr="000F55FD">
        <w:tc>
          <w:tcPr>
            <w:tcW w:w="475" w:type="dxa"/>
          </w:tcPr>
          <w:p w14:paraId="4D33D18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10</w:t>
            </w:r>
          </w:p>
        </w:tc>
        <w:tc>
          <w:tcPr>
            <w:tcW w:w="1647" w:type="dxa"/>
          </w:tcPr>
          <w:p w14:paraId="57FAB975" w14:textId="1527BBCF"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Chumbita</w:t>
            </w:r>
            <w:proofErr w:type="spellEnd"/>
            <w:r w:rsidRPr="006A71D1">
              <w:rPr>
                <w:color w:val="000000" w:themeColor="text1"/>
                <w:sz w:val="16"/>
                <w:szCs w:val="16"/>
                <w:lang w:val="en-US"/>
              </w:rPr>
              <w:t xml:space="preserve"> 2022</w:t>
            </w:r>
          </w:p>
        </w:tc>
        <w:tc>
          <w:tcPr>
            <w:tcW w:w="5499" w:type="dxa"/>
          </w:tcPr>
          <w:p w14:paraId="48A98FE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2C034972"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20/22 - HIGH</w:t>
            </w:r>
          </w:p>
        </w:tc>
      </w:tr>
      <w:tr w:rsidR="00E74AB0" w:rsidRPr="006A71D1" w14:paraId="6280C01B" w14:textId="77777777" w:rsidTr="000F55FD">
        <w:tc>
          <w:tcPr>
            <w:tcW w:w="475" w:type="dxa"/>
          </w:tcPr>
          <w:p w14:paraId="56BEEC3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11</w:t>
            </w:r>
          </w:p>
        </w:tc>
        <w:tc>
          <w:tcPr>
            <w:tcW w:w="1647" w:type="dxa"/>
          </w:tcPr>
          <w:p w14:paraId="7579FC02" w14:textId="13F41073"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Chumbita</w:t>
            </w:r>
            <w:proofErr w:type="spellEnd"/>
            <w:r w:rsidRPr="006A71D1">
              <w:rPr>
                <w:color w:val="000000" w:themeColor="text1"/>
                <w:sz w:val="16"/>
                <w:szCs w:val="16"/>
                <w:lang w:val="en-US"/>
              </w:rPr>
              <w:t xml:space="preserve"> 2023</w:t>
            </w:r>
          </w:p>
        </w:tc>
        <w:tc>
          <w:tcPr>
            <w:tcW w:w="5499" w:type="dxa"/>
          </w:tcPr>
          <w:p w14:paraId="63C5D1B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370C00A0"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037839A4" w14:textId="77777777" w:rsidTr="000F55FD">
        <w:tc>
          <w:tcPr>
            <w:tcW w:w="475" w:type="dxa"/>
          </w:tcPr>
          <w:p w14:paraId="0056BEA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12</w:t>
            </w:r>
          </w:p>
        </w:tc>
        <w:tc>
          <w:tcPr>
            <w:tcW w:w="1647" w:type="dxa"/>
          </w:tcPr>
          <w:p w14:paraId="1ADDB7C9" w14:textId="35F85C2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rPr>
              <w:t>de la Court</w:t>
            </w:r>
            <w:r w:rsidR="000F55FD">
              <w:rPr>
                <w:color w:val="000000" w:themeColor="text1"/>
                <w:sz w:val="16"/>
                <w:szCs w:val="16"/>
              </w:rPr>
              <w:t xml:space="preserve"> </w:t>
            </w:r>
            <w:r w:rsidRPr="006A71D1">
              <w:rPr>
                <w:color w:val="000000" w:themeColor="text1"/>
                <w:sz w:val="16"/>
                <w:szCs w:val="16"/>
                <w:lang w:val="en-US"/>
              </w:rPr>
              <w:t>2022</w:t>
            </w:r>
          </w:p>
        </w:tc>
        <w:tc>
          <w:tcPr>
            <w:tcW w:w="5499" w:type="dxa"/>
          </w:tcPr>
          <w:p w14:paraId="46E051B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26AAD9F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33BEB6CA" w14:textId="77777777" w:rsidTr="000F55FD">
        <w:tc>
          <w:tcPr>
            <w:tcW w:w="475" w:type="dxa"/>
          </w:tcPr>
          <w:p w14:paraId="3647ED72"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13</w:t>
            </w:r>
          </w:p>
        </w:tc>
        <w:tc>
          <w:tcPr>
            <w:tcW w:w="1647" w:type="dxa"/>
          </w:tcPr>
          <w:p w14:paraId="006CEFFB" w14:textId="2767035A"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Demiraslan</w:t>
            </w:r>
            <w:proofErr w:type="spellEnd"/>
            <w:r w:rsidRPr="006A71D1">
              <w:rPr>
                <w:color w:val="000000" w:themeColor="text1"/>
                <w:sz w:val="16"/>
                <w:szCs w:val="16"/>
                <w:lang w:val="en-US"/>
              </w:rPr>
              <w:t xml:space="preserve"> 2017</w:t>
            </w:r>
          </w:p>
        </w:tc>
        <w:tc>
          <w:tcPr>
            <w:tcW w:w="5499" w:type="dxa"/>
          </w:tcPr>
          <w:p w14:paraId="6E3F212F"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06E90057"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MEDIUM</w:t>
            </w:r>
          </w:p>
        </w:tc>
      </w:tr>
      <w:tr w:rsidR="00E74AB0" w:rsidRPr="006A71D1" w14:paraId="6F84794D" w14:textId="77777777" w:rsidTr="000F55FD">
        <w:tc>
          <w:tcPr>
            <w:tcW w:w="475" w:type="dxa"/>
          </w:tcPr>
          <w:p w14:paraId="36772B2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14</w:t>
            </w:r>
          </w:p>
        </w:tc>
        <w:tc>
          <w:tcPr>
            <w:tcW w:w="1647" w:type="dxa"/>
          </w:tcPr>
          <w:p w14:paraId="14BFC48D" w14:textId="381C0E8D"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Gedik</w:t>
            </w:r>
            <w:proofErr w:type="spellEnd"/>
            <w:r w:rsidRPr="006A71D1">
              <w:rPr>
                <w:color w:val="000000" w:themeColor="text1"/>
                <w:sz w:val="16"/>
                <w:szCs w:val="16"/>
                <w:lang w:val="en-US"/>
              </w:rPr>
              <w:t xml:space="preserve"> 2014</w:t>
            </w:r>
          </w:p>
        </w:tc>
        <w:tc>
          <w:tcPr>
            <w:tcW w:w="5499" w:type="dxa"/>
          </w:tcPr>
          <w:p w14:paraId="1BE403F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7/9 (comparability </w:t>
            </w:r>
            <w:r>
              <w:rPr>
                <w:color w:val="000000" w:themeColor="text1"/>
                <w:sz w:val="16"/>
                <w:szCs w:val="16"/>
                <w:lang w:val="en-US"/>
              </w:rPr>
              <w:t>0</w:t>
            </w:r>
            <w:r w:rsidRPr="006A71D1">
              <w:rPr>
                <w:color w:val="000000" w:themeColor="text1"/>
                <w:sz w:val="16"/>
                <w:szCs w:val="16"/>
                <w:lang w:val="en-US"/>
              </w:rPr>
              <w:t xml:space="preserve"> unadjusted comparison only)</w:t>
            </w:r>
          </w:p>
        </w:tc>
        <w:tc>
          <w:tcPr>
            <w:tcW w:w="1843" w:type="dxa"/>
          </w:tcPr>
          <w:p w14:paraId="157974D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16/22 - MEDIUM</w:t>
            </w:r>
          </w:p>
        </w:tc>
      </w:tr>
      <w:tr w:rsidR="00E74AB0" w:rsidRPr="006A71D1" w14:paraId="1144E324" w14:textId="77777777" w:rsidTr="000F55FD">
        <w:tc>
          <w:tcPr>
            <w:tcW w:w="475" w:type="dxa"/>
          </w:tcPr>
          <w:p w14:paraId="482E8252"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15</w:t>
            </w:r>
          </w:p>
        </w:tc>
        <w:tc>
          <w:tcPr>
            <w:tcW w:w="1647" w:type="dxa"/>
          </w:tcPr>
          <w:p w14:paraId="3B4A6DAA" w14:textId="1BE4EB1A"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Girmenia</w:t>
            </w:r>
            <w:proofErr w:type="spellEnd"/>
            <w:r w:rsidRPr="006A71D1">
              <w:rPr>
                <w:color w:val="000000" w:themeColor="text1"/>
                <w:sz w:val="16"/>
                <w:szCs w:val="16"/>
                <w:lang w:val="en-US"/>
              </w:rPr>
              <w:t xml:space="preserve"> 2015</w:t>
            </w:r>
          </w:p>
        </w:tc>
        <w:tc>
          <w:tcPr>
            <w:tcW w:w="5499" w:type="dxa"/>
          </w:tcPr>
          <w:p w14:paraId="315DDF7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795371E2"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6DB24626" w14:textId="77777777" w:rsidTr="000F55FD">
        <w:tc>
          <w:tcPr>
            <w:tcW w:w="475" w:type="dxa"/>
          </w:tcPr>
          <w:p w14:paraId="1ACA8F42"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16</w:t>
            </w:r>
          </w:p>
        </w:tc>
        <w:tc>
          <w:tcPr>
            <w:tcW w:w="1647" w:type="dxa"/>
          </w:tcPr>
          <w:p w14:paraId="67E68CC6" w14:textId="5B064DD6"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Girmenia</w:t>
            </w:r>
            <w:proofErr w:type="spellEnd"/>
            <w:r w:rsidRPr="006A71D1">
              <w:rPr>
                <w:color w:val="000000" w:themeColor="text1"/>
                <w:sz w:val="16"/>
                <w:szCs w:val="16"/>
                <w:lang w:val="en-US"/>
              </w:rPr>
              <w:t xml:space="preserve"> 2017</w:t>
            </w:r>
          </w:p>
        </w:tc>
        <w:tc>
          <w:tcPr>
            <w:tcW w:w="5499" w:type="dxa"/>
          </w:tcPr>
          <w:p w14:paraId="12B371C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0921B89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614C9568" w14:textId="77777777" w:rsidTr="000F55FD">
        <w:tc>
          <w:tcPr>
            <w:tcW w:w="475" w:type="dxa"/>
          </w:tcPr>
          <w:p w14:paraId="6B3A17D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17</w:t>
            </w:r>
          </w:p>
        </w:tc>
        <w:tc>
          <w:tcPr>
            <w:tcW w:w="1647" w:type="dxa"/>
          </w:tcPr>
          <w:p w14:paraId="2EB16CA5" w14:textId="1F1A9D03"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Gudiol</w:t>
            </w:r>
            <w:proofErr w:type="spellEnd"/>
            <w:r w:rsidRPr="006A71D1">
              <w:rPr>
                <w:color w:val="000000" w:themeColor="text1"/>
                <w:sz w:val="16"/>
                <w:szCs w:val="16"/>
                <w:lang w:val="en-US"/>
              </w:rPr>
              <w:t xml:space="preserve"> 2012</w:t>
            </w:r>
          </w:p>
        </w:tc>
        <w:tc>
          <w:tcPr>
            <w:tcW w:w="5499" w:type="dxa"/>
          </w:tcPr>
          <w:p w14:paraId="67A1D22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7/9 (comparability 0 no regression)</w:t>
            </w:r>
          </w:p>
        </w:tc>
        <w:tc>
          <w:tcPr>
            <w:tcW w:w="1843" w:type="dxa"/>
          </w:tcPr>
          <w:p w14:paraId="4608F93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18/22 - MEDIUM</w:t>
            </w:r>
          </w:p>
        </w:tc>
      </w:tr>
      <w:tr w:rsidR="00E74AB0" w:rsidRPr="006A71D1" w14:paraId="174A8E5B" w14:textId="77777777" w:rsidTr="000F55FD">
        <w:tc>
          <w:tcPr>
            <w:tcW w:w="475" w:type="dxa"/>
          </w:tcPr>
          <w:p w14:paraId="520C90F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18</w:t>
            </w:r>
          </w:p>
        </w:tc>
        <w:tc>
          <w:tcPr>
            <w:tcW w:w="1647" w:type="dxa"/>
          </w:tcPr>
          <w:p w14:paraId="472354C9" w14:textId="321C6B6F"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Gudiol</w:t>
            </w:r>
            <w:proofErr w:type="spellEnd"/>
            <w:r w:rsidRPr="006A71D1">
              <w:rPr>
                <w:color w:val="000000" w:themeColor="text1"/>
                <w:sz w:val="16"/>
                <w:szCs w:val="16"/>
                <w:lang w:val="en-US"/>
              </w:rPr>
              <w:t xml:space="preserve"> 2020</w:t>
            </w:r>
          </w:p>
        </w:tc>
        <w:tc>
          <w:tcPr>
            <w:tcW w:w="5499" w:type="dxa"/>
          </w:tcPr>
          <w:p w14:paraId="31788E2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78F2D7B7"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7C7F58B0" w14:textId="77777777" w:rsidTr="000F55FD">
        <w:tc>
          <w:tcPr>
            <w:tcW w:w="475" w:type="dxa"/>
          </w:tcPr>
          <w:p w14:paraId="2243EAB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19</w:t>
            </w:r>
          </w:p>
        </w:tc>
        <w:tc>
          <w:tcPr>
            <w:tcW w:w="1647" w:type="dxa"/>
          </w:tcPr>
          <w:p w14:paraId="2291188C" w14:textId="38DDDAB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Heidenreich</w:t>
            </w:r>
            <w:r w:rsidR="000F55FD">
              <w:rPr>
                <w:color w:val="000000" w:themeColor="text1"/>
                <w:sz w:val="16"/>
                <w:szCs w:val="16"/>
                <w:lang w:val="en-US"/>
              </w:rPr>
              <w:t xml:space="preserve"> </w:t>
            </w:r>
            <w:r w:rsidRPr="006A71D1">
              <w:rPr>
                <w:color w:val="000000" w:themeColor="text1"/>
                <w:sz w:val="16"/>
                <w:szCs w:val="16"/>
                <w:lang w:val="en-US"/>
              </w:rPr>
              <w:t>2018</w:t>
            </w:r>
          </w:p>
        </w:tc>
        <w:tc>
          <w:tcPr>
            <w:tcW w:w="5499" w:type="dxa"/>
          </w:tcPr>
          <w:p w14:paraId="33677C1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7/9 (comparability 0 no multivariate)</w:t>
            </w:r>
          </w:p>
        </w:tc>
        <w:tc>
          <w:tcPr>
            <w:tcW w:w="1843" w:type="dxa"/>
          </w:tcPr>
          <w:p w14:paraId="240F5D6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18/22 - MEDIUM</w:t>
            </w:r>
          </w:p>
        </w:tc>
      </w:tr>
      <w:tr w:rsidR="00E74AB0" w:rsidRPr="006A71D1" w14:paraId="795AA090" w14:textId="77777777" w:rsidTr="000F55FD">
        <w:tc>
          <w:tcPr>
            <w:tcW w:w="475" w:type="dxa"/>
          </w:tcPr>
          <w:p w14:paraId="3C7A4615"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20</w:t>
            </w:r>
          </w:p>
        </w:tc>
        <w:tc>
          <w:tcPr>
            <w:tcW w:w="1647" w:type="dxa"/>
          </w:tcPr>
          <w:p w14:paraId="39DF6E11" w14:textId="6E0109B2"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Kara 2015</w:t>
            </w:r>
          </w:p>
        </w:tc>
        <w:tc>
          <w:tcPr>
            <w:tcW w:w="5499" w:type="dxa"/>
          </w:tcPr>
          <w:p w14:paraId="4B8E653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7/9 (comparability 0 no regression)</w:t>
            </w:r>
          </w:p>
        </w:tc>
        <w:tc>
          <w:tcPr>
            <w:tcW w:w="1843" w:type="dxa"/>
          </w:tcPr>
          <w:p w14:paraId="30CE673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16/22 _ MEDIUM</w:t>
            </w:r>
          </w:p>
        </w:tc>
      </w:tr>
      <w:tr w:rsidR="00E74AB0" w:rsidRPr="006A71D1" w14:paraId="34D75B7B" w14:textId="77777777" w:rsidTr="000F55FD">
        <w:tc>
          <w:tcPr>
            <w:tcW w:w="475" w:type="dxa"/>
          </w:tcPr>
          <w:p w14:paraId="24CEB09F"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w:t>
            </w:r>
          </w:p>
        </w:tc>
        <w:tc>
          <w:tcPr>
            <w:tcW w:w="1647" w:type="dxa"/>
          </w:tcPr>
          <w:p w14:paraId="285A846D" w14:textId="1C9A7ED9"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Kolar 2015</w:t>
            </w:r>
          </w:p>
        </w:tc>
        <w:tc>
          <w:tcPr>
            <w:tcW w:w="5499" w:type="dxa"/>
          </w:tcPr>
          <w:p w14:paraId="33971A12"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5/9 (selection </w:t>
            </w:r>
            <w:r>
              <w:rPr>
                <w:color w:val="000000" w:themeColor="text1"/>
                <w:sz w:val="16"/>
                <w:szCs w:val="16"/>
                <w:lang w:val="en-US"/>
              </w:rPr>
              <w:t xml:space="preserve">3 </w:t>
            </w:r>
            <w:r w:rsidRPr="006A71D1">
              <w:rPr>
                <w:color w:val="000000" w:themeColor="text1"/>
                <w:sz w:val="16"/>
                <w:szCs w:val="16"/>
                <w:lang w:val="en-US"/>
              </w:rPr>
              <w:t>no non-exposed cohort; comparability</w:t>
            </w:r>
            <w:r>
              <w:rPr>
                <w:color w:val="000000" w:themeColor="text1"/>
                <w:sz w:val="16"/>
                <w:szCs w:val="16"/>
                <w:lang w:val="en-US"/>
              </w:rPr>
              <w:t xml:space="preserve"> 1 </w:t>
            </w:r>
            <w:r w:rsidRPr="006A71D1">
              <w:rPr>
                <w:color w:val="000000" w:themeColor="text1"/>
                <w:sz w:val="16"/>
                <w:szCs w:val="16"/>
                <w:lang w:val="en-US"/>
              </w:rPr>
              <w:t>limited analysis; outcome 1</w:t>
            </w:r>
            <w:r>
              <w:rPr>
                <w:color w:val="000000" w:themeColor="text1"/>
                <w:sz w:val="16"/>
                <w:szCs w:val="16"/>
                <w:lang w:val="en-US"/>
              </w:rPr>
              <w:t xml:space="preserve"> </w:t>
            </w:r>
            <w:r w:rsidRPr="006A71D1">
              <w:rPr>
                <w:color w:val="000000" w:themeColor="text1"/>
                <w:sz w:val="16"/>
                <w:szCs w:val="16"/>
                <w:lang w:val="en-US"/>
              </w:rPr>
              <w:t>inadequate f</w:t>
            </w:r>
            <w:r>
              <w:rPr>
                <w:color w:val="000000" w:themeColor="text1"/>
                <w:sz w:val="16"/>
                <w:szCs w:val="16"/>
                <w:lang w:val="en-US"/>
              </w:rPr>
              <w:t>ollow-</w:t>
            </w:r>
            <w:r w:rsidRPr="006A71D1">
              <w:rPr>
                <w:color w:val="000000" w:themeColor="text1"/>
                <w:sz w:val="16"/>
                <w:szCs w:val="16"/>
                <w:lang w:val="en-US"/>
              </w:rPr>
              <w:t>up)</w:t>
            </w:r>
          </w:p>
        </w:tc>
        <w:tc>
          <w:tcPr>
            <w:tcW w:w="1843" w:type="dxa"/>
          </w:tcPr>
          <w:p w14:paraId="46D0018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14/22 - LOW</w:t>
            </w:r>
          </w:p>
        </w:tc>
      </w:tr>
      <w:tr w:rsidR="00E74AB0" w:rsidRPr="006A71D1" w14:paraId="3AA11614" w14:textId="77777777" w:rsidTr="000F55FD">
        <w:tc>
          <w:tcPr>
            <w:tcW w:w="475" w:type="dxa"/>
          </w:tcPr>
          <w:p w14:paraId="44DD437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22</w:t>
            </w:r>
          </w:p>
        </w:tc>
        <w:tc>
          <w:tcPr>
            <w:tcW w:w="1647" w:type="dxa"/>
          </w:tcPr>
          <w:p w14:paraId="77712402" w14:textId="76A46A9A"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Komurcu</w:t>
            </w:r>
            <w:proofErr w:type="spellEnd"/>
            <w:r w:rsidR="000F55FD">
              <w:rPr>
                <w:color w:val="000000" w:themeColor="text1"/>
                <w:sz w:val="16"/>
                <w:szCs w:val="16"/>
                <w:lang w:val="en-US"/>
              </w:rPr>
              <w:t xml:space="preserve"> </w:t>
            </w:r>
            <w:r w:rsidRPr="006A71D1">
              <w:rPr>
                <w:color w:val="000000" w:themeColor="text1"/>
                <w:sz w:val="16"/>
                <w:szCs w:val="16"/>
                <w:lang w:val="en-US"/>
              </w:rPr>
              <w:t>2020</w:t>
            </w:r>
          </w:p>
        </w:tc>
        <w:tc>
          <w:tcPr>
            <w:tcW w:w="5499" w:type="dxa"/>
          </w:tcPr>
          <w:p w14:paraId="4A7F5863"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7/9 (comparability 0</w:t>
            </w:r>
            <w:r>
              <w:rPr>
                <w:color w:val="000000" w:themeColor="text1"/>
                <w:sz w:val="16"/>
                <w:szCs w:val="16"/>
                <w:lang w:val="en-US"/>
              </w:rPr>
              <w:t xml:space="preserve"> </w:t>
            </w:r>
            <w:r w:rsidRPr="006A71D1">
              <w:rPr>
                <w:color w:val="000000" w:themeColor="text1"/>
                <w:sz w:val="16"/>
                <w:szCs w:val="16"/>
                <w:lang w:val="en-US"/>
              </w:rPr>
              <w:t>no regression)</w:t>
            </w:r>
          </w:p>
        </w:tc>
        <w:tc>
          <w:tcPr>
            <w:tcW w:w="1843" w:type="dxa"/>
          </w:tcPr>
          <w:p w14:paraId="126EAAF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19/22 - MEDIUM</w:t>
            </w:r>
          </w:p>
        </w:tc>
      </w:tr>
      <w:tr w:rsidR="00E74AB0" w:rsidRPr="006A71D1" w14:paraId="686651D9" w14:textId="77777777" w:rsidTr="000F55FD">
        <w:tc>
          <w:tcPr>
            <w:tcW w:w="475" w:type="dxa"/>
          </w:tcPr>
          <w:p w14:paraId="50D8C30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23</w:t>
            </w:r>
          </w:p>
        </w:tc>
        <w:tc>
          <w:tcPr>
            <w:tcW w:w="1647" w:type="dxa"/>
          </w:tcPr>
          <w:p w14:paraId="26BE9B24" w14:textId="0932A303"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Kossow</w:t>
            </w:r>
            <w:proofErr w:type="spellEnd"/>
            <w:r w:rsidRPr="006A71D1">
              <w:rPr>
                <w:color w:val="000000" w:themeColor="text1"/>
                <w:sz w:val="16"/>
                <w:szCs w:val="16"/>
                <w:lang w:val="en-US"/>
              </w:rPr>
              <w:t xml:space="preserve"> 2017</w:t>
            </w:r>
          </w:p>
        </w:tc>
        <w:tc>
          <w:tcPr>
            <w:tcW w:w="5499" w:type="dxa"/>
          </w:tcPr>
          <w:p w14:paraId="7952855F"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8/9 (comparability </w:t>
            </w:r>
            <w:r>
              <w:rPr>
                <w:color w:val="000000" w:themeColor="text1"/>
                <w:sz w:val="16"/>
                <w:szCs w:val="16"/>
                <w:lang w:val="en-US"/>
              </w:rPr>
              <w:t xml:space="preserve">1 </w:t>
            </w:r>
            <w:r w:rsidRPr="006A71D1">
              <w:rPr>
                <w:color w:val="000000" w:themeColor="text1"/>
                <w:sz w:val="16"/>
                <w:szCs w:val="16"/>
                <w:lang w:val="en-US"/>
              </w:rPr>
              <w:t>no multivariate)</w:t>
            </w:r>
          </w:p>
        </w:tc>
        <w:tc>
          <w:tcPr>
            <w:tcW w:w="1843" w:type="dxa"/>
          </w:tcPr>
          <w:p w14:paraId="6DD390C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20/22 - HIGH</w:t>
            </w:r>
          </w:p>
        </w:tc>
      </w:tr>
      <w:tr w:rsidR="00E74AB0" w:rsidRPr="006A71D1" w14:paraId="79A72CD1" w14:textId="77777777" w:rsidTr="000F55FD">
        <w:tc>
          <w:tcPr>
            <w:tcW w:w="475" w:type="dxa"/>
          </w:tcPr>
          <w:p w14:paraId="385EE22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24</w:t>
            </w:r>
          </w:p>
        </w:tc>
        <w:tc>
          <w:tcPr>
            <w:tcW w:w="1647" w:type="dxa"/>
          </w:tcPr>
          <w:p w14:paraId="2B16B05C" w14:textId="27FBFD56"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Mahida</w:t>
            </w:r>
            <w:proofErr w:type="spellEnd"/>
            <w:r w:rsidRPr="006A71D1">
              <w:rPr>
                <w:color w:val="000000" w:themeColor="text1"/>
                <w:sz w:val="16"/>
                <w:szCs w:val="16"/>
                <w:lang w:val="en-US"/>
              </w:rPr>
              <w:t xml:space="preserve"> 2018</w:t>
            </w:r>
          </w:p>
        </w:tc>
        <w:tc>
          <w:tcPr>
            <w:tcW w:w="5499" w:type="dxa"/>
          </w:tcPr>
          <w:p w14:paraId="20788A1F"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4/9 (</w:t>
            </w:r>
            <w:r>
              <w:rPr>
                <w:color w:val="000000" w:themeColor="text1"/>
                <w:sz w:val="16"/>
                <w:szCs w:val="16"/>
                <w:lang w:val="en-US"/>
              </w:rPr>
              <w:t xml:space="preserve">selection </w:t>
            </w:r>
            <w:r w:rsidRPr="006A71D1">
              <w:rPr>
                <w:color w:val="000000" w:themeColor="text1"/>
                <w:sz w:val="16"/>
                <w:szCs w:val="16"/>
                <w:lang w:val="en-US"/>
              </w:rPr>
              <w:t>2 no pts data; comparability 0 no regression; outcome 2 no adequate assessment of outcomes)</w:t>
            </w:r>
          </w:p>
        </w:tc>
        <w:tc>
          <w:tcPr>
            <w:tcW w:w="1843" w:type="dxa"/>
          </w:tcPr>
          <w:p w14:paraId="4B5792C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11/22 - LOW</w:t>
            </w:r>
          </w:p>
        </w:tc>
      </w:tr>
      <w:tr w:rsidR="00E74AB0" w:rsidRPr="006A71D1" w14:paraId="56E626B0" w14:textId="77777777" w:rsidTr="000F55FD">
        <w:tc>
          <w:tcPr>
            <w:tcW w:w="475" w:type="dxa"/>
          </w:tcPr>
          <w:p w14:paraId="1D6F3B2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25</w:t>
            </w:r>
          </w:p>
        </w:tc>
        <w:tc>
          <w:tcPr>
            <w:tcW w:w="1647" w:type="dxa"/>
          </w:tcPr>
          <w:p w14:paraId="4F3DDA87" w14:textId="09449B06"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Marin 2014</w:t>
            </w:r>
          </w:p>
        </w:tc>
        <w:tc>
          <w:tcPr>
            <w:tcW w:w="5499" w:type="dxa"/>
          </w:tcPr>
          <w:p w14:paraId="12F55B3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69B81AB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3186CA1B" w14:textId="77777777" w:rsidTr="000F55FD">
        <w:tc>
          <w:tcPr>
            <w:tcW w:w="475" w:type="dxa"/>
          </w:tcPr>
          <w:p w14:paraId="566714F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26</w:t>
            </w:r>
          </w:p>
        </w:tc>
        <w:tc>
          <w:tcPr>
            <w:tcW w:w="1647" w:type="dxa"/>
          </w:tcPr>
          <w:p w14:paraId="4B9C1834" w14:textId="6C4E0C8E"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Micozzi</w:t>
            </w:r>
            <w:proofErr w:type="spellEnd"/>
            <w:r w:rsidRPr="006A71D1">
              <w:rPr>
                <w:color w:val="000000" w:themeColor="text1"/>
                <w:sz w:val="16"/>
                <w:szCs w:val="16"/>
                <w:lang w:val="en-US"/>
              </w:rPr>
              <w:t xml:space="preserve"> 2017</w:t>
            </w:r>
          </w:p>
        </w:tc>
        <w:tc>
          <w:tcPr>
            <w:tcW w:w="5499" w:type="dxa"/>
          </w:tcPr>
          <w:p w14:paraId="3E595FE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05BFFE2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19/22 - MEDIUM</w:t>
            </w:r>
          </w:p>
        </w:tc>
      </w:tr>
      <w:tr w:rsidR="00E74AB0" w:rsidRPr="006A71D1" w14:paraId="2BF4DC84" w14:textId="77777777" w:rsidTr="000F55FD">
        <w:tc>
          <w:tcPr>
            <w:tcW w:w="475" w:type="dxa"/>
          </w:tcPr>
          <w:p w14:paraId="1B044BC5"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27</w:t>
            </w:r>
          </w:p>
        </w:tc>
        <w:tc>
          <w:tcPr>
            <w:tcW w:w="1647" w:type="dxa"/>
          </w:tcPr>
          <w:p w14:paraId="0EDB95DE" w14:textId="2E96DAA1"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Mikulska</w:t>
            </w:r>
            <w:proofErr w:type="spellEnd"/>
            <w:r w:rsidRPr="006A71D1">
              <w:rPr>
                <w:color w:val="000000" w:themeColor="text1"/>
                <w:sz w:val="16"/>
                <w:szCs w:val="16"/>
                <w:lang w:val="en-US"/>
              </w:rPr>
              <w:t xml:space="preserve"> 2018</w:t>
            </w:r>
          </w:p>
        </w:tc>
        <w:tc>
          <w:tcPr>
            <w:tcW w:w="5499" w:type="dxa"/>
          </w:tcPr>
          <w:p w14:paraId="19111C33"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40738CFF"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649ACF07" w14:textId="77777777" w:rsidTr="000F55FD">
        <w:tc>
          <w:tcPr>
            <w:tcW w:w="475" w:type="dxa"/>
          </w:tcPr>
          <w:p w14:paraId="6BBC918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28</w:t>
            </w:r>
          </w:p>
        </w:tc>
        <w:tc>
          <w:tcPr>
            <w:tcW w:w="1647" w:type="dxa"/>
          </w:tcPr>
          <w:p w14:paraId="3C282FF4" w14:textId="7A5BCB65"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Pagano 2014</w:t>
            </w:r>
          </w:p>
        </w:tc>
        <w:tc>
          <w:tcPr>
            <w:tcW w:w="5499" w:type="dxa"/>
          </w:tcPr>
          <w:p w14:paraId="6CC46EC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5/9 (selection3 no comparator; comparability 0 no regression; outcome 2 no adequate f-up)</w:t>
            </w:r>
          </w:p>
        </w:tc>
        <w:tc>
          <w:tcPr>
            <w:tcW w:w="1843" w:type="dxa"/>
          </w:tcPr>
          <w:p w14:paraId="46DB42B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13/22 - LOW</w:t>
            </w:r>
          </w:p>
        </w:tc>
      </w:tr>
      <w:tr w:rsidR="00E74AB0" w:rsidRPr="006A71D1" w14:paraId="72138E74" w14:textId="77777777" w:rsidTr="000F55FD">
        <w:tc>
          <w:tcPr>
            <w:tcW w:w="475" w:type="dxa"/>
          </w:tcPr>
          <w:p w14:paraId="22051F0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29</w:t>
            </w:r>
          </w:p>
        </w:tc>
        <w:tc>
          <w:tcPr>
            <w:tcW w:w="1647" w:type="dxa"/>
          </w:tcPr>
          <w:p w14:paraId="39832C93" w14:textId="2EBBEC0F"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Patriarca</w:t>
            </w:r>
            <w:proofErr w:type="spellEnd"/>
            <w:r w:rsidRPr="006A71D1">
              <w:rPr>
                <w:color w:val="000000" w:themeColor="text1"/>
                <w:sz w:val="16"/>
                <w:szCs w:val="16"/>
                <w:lang w:val="en-US"/>
              </w:rPr>
              <w:t xml:space="preserve"> 2017</w:t>
            </w:r>
          </w:p>
        </w:tc>
        <w:tc>
          <w:tcPr>
            <w:tcW w:w="5499" w:type="dxa"/>
          </w:tcPr>
          <w:p w14:paraId="7851DA9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773CC9B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21/22 -HIGH</w:t>
            </w:r>
          </w:p>
        </w:tc>
      </w:tr>
      <w:tr w:rsidR="00E74AB0" w:rsidRPr="006A71D1" w14:paraId="0662A58E" w14:textId="77777777" w:rsidTr="000F55FD">
        <w:tc>
          <w:tcPr>
            <w:tcW w:w="475" w:type="dxa"/>
          </w:tcPr>
          <w:p w14:paraId="734CE6A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30</w:t>
            </w:r>
          </w:p>
        </w:tc>
        <w:tc>
          <w:tcPr>
            <w:tcW w:w="1647" w:type="dxa"/>
          </w:tcPr>
          <w:p w14:paraId="6839B83C" w14:textId="7BBA221F"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Puerta-Alcalde</w:t>
            </w:r>
            <w:r w:rsidR="000F55FD">
              <w:rPr>
                <w:color w:val="000000" w:themeColor="text1"/>
                <w:sz w:val="16"/>
                <w:szCs w:val="16"/>
                <w:lang w:val="en-US"/>
              </w:rPr>
              <w:t xml:space="preserve"> </w:t>
            </w:r>
            <w:r w:rsidRPr="006A71D1">
              <w:rPr>
                <w:color w:val="000000" w:themeColor="text1"/>
                <w:sz w:val="16"/>
                <w:szCs w:val="16"/>
                <w:lang w:val="en-US"/>
              </w:rPr>
              <w:t>2020</w:t>
            </w:r>
          </w:p>
        </w:tc>
        <w:tc>
          <w:tcPr>
            <w:tcW w:w="5499" w:type="dxa"/>
          </w:tcPr>
          <w:p w14:paraId="095DC3B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6D2A2F3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MEDIUM</w:t>
            </w:r>
          </w:p>
        </w:tc>
      </w:tr>
      <w:tr w:rsidR="00E74AB0" w:rsidRPr="006A71D1" w14:paraId="0F5FA169" w14:textId="77777777" w:rsidTr="000F55FD">
        <w:tc>
          <w:tcPr>
            <w:tcW w:w="475" w:type="dxa"/>
          </w:tcPr>
          <w:p w14:paraId="1175F83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31</w:t>
            </w:r>
          </w:p>
        </w:tc>
        <w:tc>
          <w:tcPr>
            <w:tcW w:w="1647" w:type="dxa"/>
          </w:tcPr>
          <w:p w14:paraId="75BF9E88" w14:textId="35D306D6"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Ram 2012</w:t>
            </w:r>
          </w:p>
        </w:tc>
        <w:tc>
          <w:tcPr>
            <w:tcW w:w="5499" w:type="dxa"/>
          </w:tcPr>
          <w:p w14:paraId="5331B7B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7/9 (comparability </w:t>
            </w:r>
            <w:r>
              <w:rPr>
                <w:color w:val="000000" w:themeColor="text1"/>
                <w:sz w:val="16"/>
                <w:szCs w:val="16"/>
                <w:lang w:val="en-US"/>
              </w:rPr>
              <w:t xml:space="preserve">1 </w:t>
            </w:r>
            <w:r w:rsidRPr="006A71D1">
              <w:rPr>
                <w:color w:val="000000" w:themeColor="text1"/>
                <w:sz w:val="16"/>
                <w:szCs w:val="16"/>
                <w:lang w:val="en-US"/>
              </w:rPr>
              <w:t>no multivariate; outcome 2 missing data)</w:t>
            </w:r>
          </w:p>
        </w:tc>
        <w:tc>
          <w:tcPr>
            <w:tcW w:w="1843" w:type="dxa"/>
          </w:tcPr>
          <w:p w14:paraId="356218D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19/22 - MEDIUM</w:t>
            </w:r>
          </w:p>
        </w:tc>
      </w:tr>
      <w:tr w:rsidR="00E74AB0" w:rsidRPr="006A71D1" w14:paraId="25BB1D88" w14:textId="77777777" w:rsidTr="000F55FD">
        <w:tc>
          <w:tcPr>
            <w:tcW w:w="475" w:type="dxa"/>
          </w:tcPr>
          <w:p w14:paraId="62C0008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32</w:t>
            </w:r>
          </w:p>
        </w:tc>
        <w:tc>
          <w:tcPr>
            <w:tcW w:w="1647" w:type="dxa"/>
          </w:tcPr>
          <w:p w14:paraId="7AE1FF08" w14:textId="6BFF2248"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Scheich</w:t>
            </w:r>
            <w:proofErr w:type="spellEnd"/>
            <w:r w:rsidRPr="006A71D1">
              <w:rPr>
                <w:color w:val="000000" w:themeColor="text1"/>
                <w:sz w:val="16"/>
                <w:szCs w:val="16"/>
                <w:lang w:val="en-US"/>
              </w:rPr>
              <w:t xml:space="preserve"> 2017</w:t>
            </w:r>
          </w:p>
        </w:tc>
        <w:tc>
          <w:tcPr>
            <w:tcW w:w="5499" w:type="dxa"/>
          </w:tcPr>
          <w:p w14:paraId="4B01BFA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1D2168B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20/22 - HIGH</w:t>
            </w:r>
          </w:p>
        </w:tc>
      </w:tr>
      <w:tr w:rsidR="00E74AB0" w:rsidRPr="006A71D1" w14:paraId="20DF7D14" w14:textId="77777777" w:rsidTr="000F55FD">
        <w:tc>
          <w:tcPr>
            <w:tcW w:w="475" w:type="dxa"/>
          </w:tcPr>
          <w:p w14:paraId="1668B73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33</w:t>
            </w:r>
          </w:p>
        </w:tc>
        <w:tc>
          <w:tcPr>
            <w:tcW w:w="1647" w:type="dxa"/>
          </w:tcPr>
          <w:p w14:paraId="4A494D10" w14:textId="79C0941D"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Scheich</w:t>
            </w:r>
            <w:proofErr w:type="spellEnd"/>
            <w:r w:rsidRPr="006A71D1">
              <w:rPr>
                <w:color w:val="000000" w:themeColor="text1"/>
                <w:sz w:val="16"/>
                <w:szCs w:val="16"/>
                <w:lang w:val="en-US"/>
              </w:rPr>
              <w:t xml:space="preserve"> 2018</w:t>
            </w:r>
          </w:p>
        </w:tc>
        <w:tc>
          <w:tcPr>
            <w:tcW w:w="5499" w:type="dxa"/>
          </w:tcPr>
          <w:p w14:paraId="791E2C5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8/9 (comparability 1 no multivariate)</w:t>
            </w:r>
          </w:p>
        </w:tc>
        <w:tc>
          <w:tcPr>
            <w:tcW w:w="1843" w:type="dxa"/>
          </w:tcPr>
          <w:p w14:paraId="1598C58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17/22 - MEDIUM</w:t>
            </w:r>
          </w:p>
        </w:tc>
      </w:tr>
      <w:tr w:rsidR="00E74AB0" w:rsidRPr="006A71D1" w14:paraId="2A281A88" w14:textId="77777777" w:rsidTr="000F55FD">
        <w:tc>
          <w:tcPr>
            <w:tcW w:w="475" w:type="dxa"/>
          </w:tcPr>
          <w:p w14:paraId="38CE2D5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34</w:t>
            </w:r>
          </w:p>
        </w:tc>
        <w:tc>
          <w:tcPr>
            <w:tcW w:w="1647" w:type="dxa"/>
          </w:tcPr>
          <w:p w14:paraId="58AE9B4D" w14:textId="2A32CBC8"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Tofas</w:t>
            </w:r>
            <w:proofErr w:type="spellEnd"/>
            <w:r w:rsidR="000F55FD">
              <w:rPr>
                <w:color w:val="000000" w:themeColor="text1"/>
                <w:sz w:val="16"/>
                <w:szCs w:val="16"/>
                <w:lang w:val="en-US"/>
              </w:rPr>
              <w:t xml:space="preserve"> </w:t>
            </w:r>
            <w:r w:rsidRPr="006A71D1">
              <w:rPr>
                <w:color w:val="000000" w:themeColor="text1"/>
                <w:sz w:val="16"/>
                <w:szCs w:val="16"/>
                <w:lang w:val="en-US"/>
              </w:rPr>
              <w:t>2017</w:t>
            </w:r>
          </w:p>
        </w:tc>
        <w:tc>
          <w:tcPr>
            <w:tcW w:w="5499" w:type="dxa"/>
          </w:tcPr>
          <w:p w14:paraId="3D88CF5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4487D5F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20/22 -HIGH</w:t>
            </w:r>
          </w:p>
        </w:tc>
      </w:tr>
      <w:tr w:rsidR="00E74AB0" w:rsidRPr="006A71D1" w14:paraId="03AC440C" w14:textId="77777777" w:rsidTr="000F55FD">
        <w:tc>
          <w:tcPr>
            <w:tcW w:w="475" w:type="dxa"/>
          </w:tcPr>
          <w:p w14:paraId="5F8E96E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35</w:t>
            </w:r>
          </w:p>
        </w:tc>
        <w:tc>
          <w:tcPr>
            <w:tcW w:w="1647" w:type="dxa"/>
          </w:tcPr>
          <w:p w14:paraId="7C408218" w14:textId="50961F12"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Trecarichi</w:t>
            </w:r>
            <w:proofErr w:type="spellEnd"/>
            <w:r w:rsidRPr="006A71D1">
              <w:rPr>
                <w:color w:val="000000" w:themeColor="text1"/>
                <w:sz w:val="16"/>
                <w:szCs w:val="16"/>
                <w:lang w:val="en-US"/>
              </w:rPr>
              <w:t xml:space="preserve"> 2015</w:t>
            </w:r>
          </w:p>
        </w:tc>
        <w:tc>
          <w:tcPr>
            <w:tcW w:w="5499" w:type="dxa"/>
          </w:tcPr>
          <w:p w14:paraId="51CBD2E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1367797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36468738" w14:textId="77777777" w:rsidTr="000F55FD">
        <w:tc>
          <w:tcPr>
            <w:tcW w:w="475" w:type="dxa"/>
          </w:tcPr>
          <w:p w14:paraId="02BB241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36</w:t>
            </w:r>
          </w:p>
        </w:tc>
        <w:tc>
          <w:tcPr>
            <w:tcW w:w="1647" w:type="dxa"/>
          </w:tcPr>
          <w:p w14:paraId="6064C592" w14:textId="17FC9969"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Trecarichi</w:t>
            </w:r>
            <w:proofErr w:type="spellEnd"/>
            <w:r w:rsidRPr="006A71D1">
              <w:rPr>
                <w:color w:val="000000" w:themeColor="text1"/>
                <w:sz w:val="16"/>
                <w:szCs w:val="16"/>
                <w:lang w:val="en-US"/>
              </w:rPr>
              <w:t xml:space="preserve"> 2016</w:t>
            </w:r>
          </w:p>
        </w:tc>
        <w:tc>
          <w:tcPr>
            <w:tcW w:w="5499" w:type="dxa"/>
          </w:tcPr>
          <w:p w14:paraId="14FC60D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311CBB3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21/22 – HIGH  </w:t>
            </w:r>
          </w:p>
        </w:tc>
      </w:tr>
      <w:tr w:rsidR="00E74AB0" w:rsidRPr="006A71D1" w14:paraId="1A9747A0" w14:textId="77777777" w:rsidTr="000F55FD">
        <w:tc>
          <w:tcPr>
            <w:tcW w:w="475" w:type="dxa"/>
          </w:tcPr>
          <w:p w14:paraId="4ABE3434" w14:textId="77777777" w:rsidR="00E74AB0" w:rsidRPr="006A71D1" w:rsidRDefault="00E74AB0" w:rsidP="00376C8E">
            <w:pPr>
              <w:spacing w:line="360" w:lineRule="auto"/>
              <w:jc w:val="both"/>
              <w:rPr>
                <w:color w:val="000000" w:themeColor="text1"/>
                <w:sz w:val="16"/>
                <w:szCs w:val="16"/>
                <w:lang w:val="en-US"/>
              </w:rPr>
            </w:pPr>
            <w:r>
              <w:rPr>
                <w:color w:val="000000" w:themeColor="text1"/>
                <w:sz w:val="16"/>
                <w:szCs w:val="16"/>
                <w:lang w:val="en-US"/>
              </w:rPr>
              <w:t>37</w:t>
            </w:r>
          </w:p>
        </w:tc>
        <w:tc>
          <w:tcPr>
            <w:tcW w:w="1647" w:type="dxa"/>
          </w:tcPr>
          <w:p w14:paraId="7DE585F4" w14:textId="60F4520D" w:rsidR="00E74AB0" w:rsidRPr="006A71D1" w:rsidRDefault="00E74AB0" w:rsidP="00376C8E">
            <w:pPr>
              <w:spacing w:line="360" w:lineRule="auto"/>
              <w:jc w:val="both"/>
              <w:rPr>
                <w:color w:val="000000" w:themeColor="text1"/>
                <w:sz w:val="16"/>
                <w:szCs w:val="16"/>
                <w:lang w:val="en-US"/>
              </w:rPr>
            </w:pPr>
            <w:proofErr w:type="spellStart"/>
            <w:r>
              <w:rPr>
                <w:color w:val="000000" w:themeColor="text1"/>
                <w:sz w:val="16"/>
                <w:szCs w:val="16"/>
                <w:lang w:val="en-US"/>
              </w:rPr>
              <w:t>Trecarichi</w:t>
            </w:r>
            <w:proofErr w:type="spellEnd"/>
            <w:r>
              <w:rPr>
                <w:color w:val="000000" w:themeColor="text1"/>
                <w:sz w:val="16"/>
                <w:szCs w:val="16"/>
                <w:lang w:val="en-US"/>
              </w:rPr>
              <w:t xml:space="preserve"> 2019</w:t>
            </w:r>
          </w:p>
        </w:tc>
        <w:tc>
          <w:tcPr>
            <w:tcW w:w="5499" w:type="dxa"/>
          </w:tcPr>
          <w:p w14:paraId="6950E463" w14:textId="77777777" w:rsidR="00E74AB0" w:rsidRPr="006A71D1" w:rsidRDefault="00E74AB0" w:rsidP="00376C8E">
            <w:pPr>
              <w:spacing w:line="360" w:lineRule="auto"/>
              <w:jc w:val="both"/>
              <w:rPr>
                <w:color w:val="000000" w:themeColor="text1"/>
                <w:sz w:val="16"/>
                <w:szCs w:val="16"/>
                <w:lang w:val="en-US"/>
              </w:rPr>
            </w:pPr>
            <w:r>
              <w:rPr>
                <w:color w:val="000000" w:themeColor="text1"/>
                <w:sz w:val="16"/>
                <w:szCs w:val="16"/>
                <w:lang w:val="en-US"/>
              </w:rPr>
              <w:t>9/9</w:t>
            </w:r>
          </w:p>
        </w:tc>
        <w:tc>
          <w:tcPr>
            <w:tcW w:w="1843" w:type="dxa"/>
          </w:tcPr>
          <w:p w14:paraId="5F56A8D1" w14:textId="77777777" w:rsidR="00E74AB0" w:rsidRPr="006A71D1" w:rsidRDefault="00E74AB0" w:rsidP="00376C8E">
            <w:pPr>
              <w:spacing w:line="360" w:lineRule="auto"/>
              <w:jc w:val="both"/>
              <w:rPr>
                <w:color w:val="000000" w:themeColor="text1"/>
                <w:sz w:val="16"/>
                <w:szCs w:val="16"/>
                <w:lang w:val="en-US"/>
              </w:rPr>
            </w:pPr>
            <w:r>
              <w:rPr>
                <w:color w:val="000000" w:themeColor="text1"/>
                <w:sz w:val="16"/>
                <w:szCs w:val="16"/>
                <w:lang w:val="en-US"/>
              </w:rPr>
              <w:t>21/22 - HIGH</w:t>
            </w:r>
          </w:p>
        </w:tc>
      </w:tr>
      <w:tr w:rsidR="00E74AB0" w:rsidRPr="006A71D1" w14:paraId="6A70F388" w14:textId="77777777" w:rsidTr="000F55FD">
        <w:tc>
          <w:tcPr>
            <w:tcW w:w="475" w:type="dxa"/>
          </w:tcPr>
          <w:p w14:paraId="38A3759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w:t>
            </w:r>
            <w:r>
              <w:rPr>
                <w:color w:val="000000" w:themeColor="text1"/>
                <w:sz w:val="16"/>
                <w:szCs w:val="16"/>
                <w:lang w:val="en-US"/>
              </w:rPr>
              <w:t>8</w:t>
            </w:r>
          </w:p>
        </w:tc>
        <w:tc>
          <w:tcPr>
            <w:tcW w:w="1647" w:type="dxa"/>
          </w:tcPr>
          <w:p w14:paraId="71E382CA" w14:textId="13D802E9"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Vehreschild</w:t>
            </w:r>
            <w:proofErr w:type="spellEnd"/>
            <w:r w:rsidRPr="006A71D1">
              <w:rPr>
                <w:color w:val="000000" w:themeColor="text1"/>
                <w:sz w:val="16"/>
                <w:szCs w:val="16"/>
                <w:lang w:val="en-US"/>
              </w:rPr>
              <w:t xml:space="preserve"> 2014</w:t>
            </w:r>
          </w:p>
        </w:tc>
        <w:tc>
          <w:tcPr>
            <w:tcW w:w="5499" w:type="dxa"/>
          </w:tcPr>
          <w:p w14:paraId="401D642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9/9</w:t>
            </w:r>
          </w:p>
        </w:tc>
        <w:tc>
          <w:tcPr>
            <w:tcW w:w="1843" w:type="dxa"/>
          </w:tcPr>
          <w:p w14:paraId="42985E93"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21/22 - HIGH</w:t>
            </w:r>
          </w:p>
        </w:tc>
      </w:tr>
      <w:tr w:rsidR="00E74AB0" w:rsidRPr="006A71D1" w14:paraId="32667503" w14:textId="77777777" w:rsidTr="000F55FD">
        <w:tc>
          <w:tcPr>
            <w:tcW w:w="475" w:type="dxa"/>
          </w:tcPr>
          <w:p w14:paraId="0A3BA93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3</w:t>
            </w:r>
            <w:r>
              <w:rPr>
                <w:color w:val="000000" w:themeColor="text1"/>
                <w:sz w:val="16"/>
                <w:szCs w:val="16"/>
                <w:lang w:val="en-US"/>
              </w:rPr>
              <w:t>9</w:t>
            </w:r>
          </w:p>
        </w:tc>
        <w:tc>
          <w:tcPr>
            <w:tcW w:w="1647" w:type="dxa"/>
          </w:tcPr>
          <w:p w14:paraId="2DD7394F" w14:textId="451D65D2" w:rsidR="00E74AB0" w:rsidRPr="006A71D1" w:rsidRDefault="00E74AB0" w:rsidP="00376C8E">
            <w:pPr>
              <w:spacing w:line="360" w:lineRule="auto"/>
              <w:jc w:val="both"/>
              <w:rPr>
                <w:color w:val="000000" w:themeColor="text1"/>
                <w:sz w:val="16"/>
                <w:szCs w:val="16"/>
                <w:lang w:val="en-US"/>
              </w:rPr>
            </w:pPr>
            <w:proofErr w:type="spellStart"/>
            <w:r w:rsidRPr="006A71D1">
              <w:rPr>
                <w:color w:val="000000" w:themeColor="text1"/>
                <w:sz w:val="16"/>
                <w:szCs w:val="16"/>
                <w:lang w:val="en-US"/>
              </w:rPr>
              <w:t>Zavrelovaa</w:t>
            </w:r>
            <w:proofErr w:type="spellEnd"/>
            <w:r w:rsidRPr="006A71D1">
              <w:rPr>
                <w:color w:val="000000" w:themeColor="text1"/>
                <w:sz w:val="16"/>
                <w:szCs w:val="16"/>
                <w:lang w:val="en-US"/>
              </w:rPr>
              <w:t xml:space="preserve"> 2019</w:t>
            </w:r>
          </w:p>
        </w:tc>
        <w:tc>
          <w:tcPr>
            <w:tcW w:w="5499" w:type="dxa"/>
          </w:tcPr>
          <w:p w14:paraId="34BE6A7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8/9 (comparability </w:t>
            </w:r>
            <w:r>
              <w:rPr>
                <w:color w:val="000000" w:themeColor="text1"/>
                <w:sz w:val="16"/>
                <w:szCs w:val="16"/>
                <w:lang w:val="en-US"/>
              </w:rPr>
              <w:t xml:space="preserve">1 </w:t>
            </w:r>
            <w:r w:rsidRPr="006A71D1">
              <w:rPr>
                <w:color w:val="000000" w:themeColor="text1"/>
                <w:sz w:val="16"/>
                <w:szCs w:val="16"/>
                <w:lang w:val="en-US"/>
              </w:rPr>
              <w:t>no multivariate)</w:t>
            </w:r>
          </w:p>
        </w:tc>
        <w:tc>
          <w:tcPr>
            <w:tcW w:w="1843" w:type="dxa"/>
          </w:tcPr>
          <w:p w14:paraId="0807E846"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17/22 - MEDIUM</w:t>
            </w:r>
          </w:p>
        </w:tc>
      </w:tr>
    </w:tbl>
    <w:p w14:paraId="1FA3B4AE" w14:textId="12513406" w:rsidR="00E74AB0" w:rsidRPr="00E74AB0" w:rsidRDefault="00E74AB0" w:rsidP="00E74AB0">
      <w:pPr>
        <w:spacing w:line="360" w:lineRule="auto"/>
        <w:jc w:val="both"/>
        <w:rPr>
          <w:color w:val="000000" w:themeColor="text1"/>
          <w:sz w:val="20"/>
          <w:szCs w:val="20"/>
          <w:lang w:val="en-US"/>
        </w:rPr>
      </w:pPr>
      <w:r w:rsidRPr="00E74AB0">
        <w:rPr>
          <w:color w:val="000000" w:themeColor="text1"/>
          <w:sz w:val="20"/>
          <w:szCs w:val="20"/>
          <w:lang w:val="en-US"/>
        </w:rPr>
        <w:t>NOS, Newcastle-Ottawa Scale; STROBE, Strengthening the Reporting of Observational Studies in Epidemiology</w:t>
      </w:r>
    </w:p>
    <w:p w14:paraId="665740B7" w14:textId="77777777" w:rsidR="00E74AB0" w:rsidRDefault="00E74AB0" w:rsidP="00E74AB0">
      <w:pPr>
        <w:rPr>
          <w:color w:val="000000" w:themeColor="text1"/>
          <w:lang w:val="en-US"/>
        </w:rPr>
      </w:pPr>
      <w:r>
        <w:rPr>
          <w:color w:val="000000" w:themeColor="text1"/>
          <w:lang w:val="en-US"/>
        </w:rPr>
        <w:br w:type="page"/>
      </w:r>
    </w:p>
    <w:p w14:paraId="3C5A8D97" w14:textId="3EE79CFA" w:rsidR="00E74AB0" w:rsidRPr="006A71D1" w:rsidRDefault="00E74AB0" w:rsidP="00E74AB0">
      <w:pPr>
        <w:spacing w:line="360" w:lineRule="auto"/>
        <w:jc w:val="both"/>
        <w:rPr>
          <w:color w:val="000000" w:themeColor="text1"/>
          <w:sz w:val="20"/>
          <w:szCs w:val="20"/>
          <w:lang w:val="en-US"/>
        </w:rPr>
      </w:pPr>
      <w:r w:rsidRPr="00480256">
        <w:rPr>
          <w:b/>
          <w:bCs/>
          <w:color w:val="000000" w:themeColor="text1"/>
          <w:sz w:val="20"/>
          <w:szCs w:val="20"/>
          <w:lang w:val="en-US"/>
        </w:rPr>
        <w:lastRenderedPageBreak/>
        <w:t>Table S</w:t>
      </w:r>
      <w:r w:rsidR="00480256" w:rsidRPr="00480256">
        <w:rPr>
          <w:b/>
          <w:bCs/>
          <w:color w:val="000000" w:themeColor="text1"/>
          <w:sz w:val="20"/>
          <w:szCs w:val="20"/>
          <w:lang w:val="en-US"/>
        </w:rPr>
        <w:t>3</w:t>
      </w:r>
      <w:r w:rsidRPr="00480256">
        <w:rPr>
          <w:color w:val="000000" w:themeColor="text1"/>
          <w:sz w:val="20"/>
          <w:szCs w:val="20"/>
          <w:lang w:val="en-US"/>
        </w:rPr>
        <w:t xml:space="preserve"> </w:t>
      </w:r>
      <w:proofErr w:type="gramStart"/>
      <w:r w:rsidR="00480256">
        <w:rPr>
          <w:color w:val="000000" w:themeColor="text1"/>
          <w:sz w:val="20"/>
          <w:szCs w:val="20"/>
          <w:lang w:val="en-US"/>
        </w:rPr>
        <w:t>Single-item</w:t>
      </w:r>
      <w:proofErr w:type="gramEnd"/>
      <w:r w:rsidR="00480256">
        <w:rPr>
          <w:color w:val="000000" w:themeColor="text1"/>
          <w:sz w:val="20"/>
          <w:szCs w:val="20"/>
          <w:lang w:val="en-US"/>
        </w:rPr>
        <w:t xml:space="preserve"> grading</w:t>
      </w:r>
      <w:r w:rsidRPr="00480256">
        <w:rPr>
          <w:color w:val="000000" w:themeColor="text1"/>
          <w:sz w:val="20"/>
          <w:szCs w:val="20"/>
          <w:lang w:val="en-US"/>
        </w:rPr>
        <w:t xml:space="preserve"> </w:t>
      </w:r>
      <w:r w:rsidR="0092446D">
        <w:rPr>
          <w:color w:val="000000" w:themeColor="text1"/>
          <w:sz w:val="20"/>
          <w:szCs w:val="20"/>
          <w:lang w:val="en-US"/>
        </w:rPr>
        <w:t xml:space="preserve">according to </w:t>
      </w:r>
      <w:r w:rsidRPr="00480256">
        <w:rPr>
          <w:color w:val="000000" w:themeColor="text1"/>
          <w:sz w:val="20"/>
          <w:szCs w:val="20"/>
          <w:lang w:val="en-US"/>
        </w:rPr>
        <w:t>STROBE assessment</w:t>
      </w:r>
      <w:r w:rsidRPr="006A71D1">
        <w:rPr>
          <w:color w:val="000000" w:themeColor="text1"/>
          <w:sz w:val="20"/>
          <w:szCs w:val="20"/>
          <w:lang w:val="en-US"/>
        </w:rPr>
        <w:t xml:space="preserve"> </w:t>
      </w:r>
    </w:p>
    <w:tbl>
      <w:tblPr>
        <w:tblStyle w:val="Grigliatabella"/>
        <w:tblW w:w="0" w:type="auto"/>
        <w:tblLook w:val="04A0" w:firstRow="1" w:lastRow="0" w:firstColumn="1" w:lastColumn="0" w:noHBand="0" w:noVBand="1"/>
      </w:tblPr>
      <w:tblGrid>
        <w:gridCol w:w="376"/>
        <w:gridCol w:w="1726"/>
        <w:gridCol w:w="376"/>
        <w:gridCol w:w="376"/>
        <w:gridCol w:w="376"/>
        <w:gridCol w:w="376"/>
        <w:gridCol w:w="376"/>
        <w:gridCol w:w="376"/>
        <w:gridCol w:w="376"/>
        <w:gridCol w:w="376"/>
        <w:gridCol w:w="376"/>
        <w:gridCol w:w="376"/>
        <w:gridCol w:w="376"/>
        <w:gridCol w:w="376"/>
        <w:gridCol w:w="376"/>
        <w:gridCol w:w="376"/>
        <w:gridCol w:w="376"/>
        <w:gridCol w:w="376"/>
        <w:gridCol w:w="376"/>
        <w:gridCol w:w="376"/>
        <w:gridCol w:w="376"/>
        <w:gridCol w:w="376"/>
      </w:tblGrid>
      <w:tr w:rsidR="00E74AB0" w:rsidRPr="006A71D1" w14:paraId="74723468" w14:textId="77777777" w:rsidTr="00376C8E">
        <w:tc>
          <w:tcPr>
            <w:tcW w:w="0" w:type="auto"/>
          </w:tcPr>
          <w:p w14:paraId="78F69CEA" w14:textId="77777777" w:rsidR="00E74AB0" w:rsidRPr="006A71D1" w:rsidRDefault="00E74AB0" w:rsidP="00376C8E">
            <w:pPr>
              <w:spacing w:line="360" w:lineRule="auto"/>
              <w:jc w:val="both"/>
              <w:rPr>
                <w:b/>
                <w:bCs/>
                <w:color w:val="000000" w:themeColor="text1"/>
                <w:sz w:val="16"/>
                <w:szCs w:val="16"/>
                <w:lang w:val="en-US"/>
              </w:rPr>
            </w:pPr>
          </w:p>
        </w:tc>
        <w:tc>
          <w:tcPr>
            <w:tcW w:w="0" w:type="auto"/>
          </w:tcPr>
          <w:p w14:paraId="27EEACA7" w14:textId="77777777" w:rsidR="00E74AB0" w:rsidRPr="006A71D1" w:rsidRDefault="00E74AB0" w:rsidP="00376C8E">
            <w:pPr>
              <w:spacing w:line="360" w:lineRule="auto"/>
              <w:jc w:val="both"/>
              <w:rPr>
                <w:b/>
                <w:bCs/>
                <w:color w:val="000000" w:themeColor="text1"/>
                <w:sz w:val="16"/>
                <w:szCs w:val="16"/>
              </w:rPr>
            </w:pPr>
            <w:proofErr w:type="spellStart"/>
            <w:r w:rsidRPr="006A71D1">
              <w:rPr>
                <w:b/>
                <w:bCs/>
                <w:color w:val="000000" w:themeColor="text1"/>
                <w:sz w:val="16"/>
                <w:szCs w:val="16"/>
              </w:rPr>
              <w:t>Studies</w:t>
            </w:r>
            <w:proofErr w:type="spellEnd"/>
            <w:r>
              <w:rPr>
                <w:b/>
                <w:bCs/>
                <w:color w:val="000000" w:themeColor="text1"/>
                <w:sz w:val="16"/>
                <w:szCs w:val="16"/>
              </w:rPr>
              <w:t xml:space="preserve"> 1-20</w:t>
            </w:r>
          </w:p>
        </w:tc>
        <w:tc>
          <w:tcPr>
            <w:tcW w:w="0" w:type="auto"/>
          </w:tcPr>
          <w:p w14:paraId="0A624F06"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w:t>
            </w:r>
          </w:p>
        </w:tc>
        <w:tc>
          <w:tcPr>
            <w:tcW w:w="0" w:type="auto"/>
          </w:tcPr>
          <w:p w14:paraId="787E502D"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w:t>
            </w:r>
          </w:p>
        </w:tc>
        <w:tc>
          <w:tcPr>
            <w:tcW w:w="0" w:type="auto"/>
          </w:tcPr>
          <w:p w14:paraId="20D6B4A1"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w:t>
            </w:r>
          </w:p>
        </w:tc>
        <w:tc>
          <w:tcPr>
            <w:tcW w:w="0" w:type="auto"/>
          </w:tcPr>
          <w:p w14:paraId="67DC35B7"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4</w:t>
            </w:r>
          </w:p>
        </w:tc>
        <w:tc>
          <w:tcPr>
            <w:tcW w:w="0" w:type="auto"/>
          </w:tcPr>
          <w:p w14:paraId="06059449"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5</w:t>
            </w:r>
          </w:p>
        </w:tc>
        <w:tc>
          <w:tcPr>
            <w:tcW w:w="0" w:type="auto"/>
          </w:tcPr>
          <w:p w14:paraId="1F167017"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6</w:t>
            </w:r>
          </w:p>
        </w:tc>
        <w:tc>
          <w:tcPr>
            <w:tcW w:w="0" w:type="auto"/>
          </w:tcPr>
          <w:p w14:paraId="3AD6E558"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7</w:t>
            </w:r>
          </w:p>
        </w:tc>
        <w:tc>
          <w:tcPr>
            <w:tcW w:w="0" w:type="auto"/>
          </w:tcPr>
          <w:p w14:paraId="61292347"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8</w:t>
            </w:r>
          </w:p>
        </w:tc>
        <w:tc>
          <w:tcPr>
            <w:tcW w:w="0" w:type="auto"/>
          </w:tcPr>
          <w:p w14:paraId="023B517C"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9</w:t>
            </w:r>
          </w:p>
        </w:tc>
        <w:tc>
          <w:tcPr>
            <w:tcW w:w="0" w:type="auto"/>
          </w:tcPr>
          <w:p w14:paraId="38B1AABC"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10</w:t>
            </w:r>
          </w:p>
        </w:tc>
        <w:tc>
          <w:tcPr>
            <w:tcW w:w="0" w:type="auto"/>
          </w:tcPr>
          <w:p w14:paraId="12EFB9FB"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11</w:t>
            </w:r>
          </w:p>
        </w:tc>
        <w:tc>
          <w:tcPr>
            <w:tcW w:w="0" w:type="auto"/>
          </w:tcPr>
          <w:p w14:paraId="11BE87D6"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12</w:t>
            </w:r>
          </w:p>
        </w:tc>
        <w:tc>
          <w:tcPr>
            <w:tcW w:w="0" w:type="auto"/>
          </w:tcPr>
          <w:p w14:paraId="556DD251"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13</w:t>
            </w:r>
          </w:p>
        </w:tc>
        <w:tc>
          <w:tcPr>
            <w:tcW w:w="0" w:type="auto"/>
          </w:tcPr>
          <w:p w14:paraId="712A4264"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14</w:t>
            </w:r>
          </w:p>
        </w:tc>
        <w:tc>
          <w:tcPr>
            <w:tcW w:w="0" w:type="auto"/>
          </w:tcPr>
          <w:p w14:paraId="7D41F5C7"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15</w:t>
            </w:r>
          </w:p>
        </w:tc>
        <w:tc>
          <w:tcPr>
            <w:tcW w:w="0" w:type="auto"/>
          </w:tcPr>
          <w:p w14:paraId="667ED272"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16</w:t>
            </w:r>
          </w:p>
        </w:tc>
        <w:tc>
          <w:tcPr>
            <w:tcW w:w="0" w:type="auto"/>
          </w:tcPr>
          <w:p w14:paraId="2A5C42B2"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17</w:t>
            </w:r>
          </w:p>
        </w:tc>
        <w:tc>
          <w:tcPr>
            <w:tcW w:w="0" w:type="auto"/>
          </w:tcPr>
          <w:p w14:paraId="307773FE"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18</w:t>
            </w:r>
          </w:p>
        </w:tc>
        <w:tc>
          <w:tcPr>
            <w:tcW w:w="0" w:type="auto"/>
          </w:tcPr>
          <w:p w14:paraId="71A99C21"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19</w:t>
            </w:r>
          </w:p>
        </w:tc>
        <w:tc>
          <w:tcPr>
            <w:tcW w:w="0" w:type="auto"/>
          </w:tcPr>
          <w:p w14:paraId="12D79B6C"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20</w:t>
            </w:r>
          </w:p>
        </w:tc>
      </w:tr>
      <w:tr w:rsidR="00E74AB0" w:rsidRPr="006A71D1" w14:paraId="1FC3599C" w14:textId="77777777" w:rsidTr="00376C8E">
        <w:tc>
          <w:tcPr>
            <w:tcW w:w="0" w:type="auto"/>
          </w:tcPr>
          <w:p w14:paraId="5C51602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8E1D6F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 xml:space="preserve">Title and </w:t>
            </w:r>
            <w:proofErr w:type="spellStart"/>
            <w:r w:rsidRPr="006A71D1">
              <w:rPr>
                <w:color w:val="000000" w:themeColor="text1"/>
                <w:sz w:val="16"/>
                <w:szCs w:val="16"/>
              </w:rPr>
              <w:t>abstract</w:t>
            </w:r>
            <w:proofErr w:type="spellEnd"/>
          </w:p>
        </w:tc>
        <w:tc>
          <w:tcPr>
            <w:tcW w:w="0" w:type="auto"/>
          </w:tcPr>
          <w:p w14:paraId="4B016B3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07A3B5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C43AB8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B18775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4A6426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94D68E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9BEC58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ABC04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5FD2D0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CB5445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10B1BB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233F79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EAEB5E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F85021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CACDAA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E4C42E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EAE9D4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BD3DFE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A42064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1F7855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20861896" w14:textId="77777777" w:rsidTr="00376C8E">
        <w:tc>
          <w:tcPr>
            <w:tcW w:w="0" w:type="auto"/>
          </w:tcPr>
          <w:p w14:paraId="24518AF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2</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3"/>
              <w:gridCol w:w="66"/>
              <w:gridCol w:w="81"/>
            </w:tblGrid>
            <w:tr w:rsidR="00E74AB0" w:rsidRPr="006A71D1" w14:paraId="7D34DC36" w14:textId="77777777" w:rsidTr="00376C8E">
              <w:trPr>
                <w:tblCellSpacing w:w="15" w:type="dxa"/>
              </w:trPr>
              <w:tc>
                <w:tcPr>
                  <w:tcW w:w="2540" w:type="dxa"/>
                  <w:vAlign w:val="center"/>
                  <w:hideMark/>
                </w:tcPr>
                <w:p w14:paraId="674C0E2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 xml:space="preserve">Background and </w:t>
                  </w:r>
                  <w:proofErr w:type="spellStart"/>
                  <w:r w:rsidRPr="006A71D1">
                    <w:rPr>
                      <w:color w:val="000000" w:themeColor="text1"/>
                      <w:sz w:val="16"/>
                      <w:szCs w:val="16"/>
                    </w:rPr>
                    <w:t>rationale</w:t>
                  </w:r>
                  <w:proofErr w:type="spellEnd"/>
                </w:p>
              </w:tc>
              <w:tc>
                <w:tcPr>
                  <w:tcW w:w="36" w:type="dxa"/>
                  <w:vAlign w:val="center"/>
                  <w:hideMark/>
                </w:tcPr>
                <w:p w14:paraId="6BC7B66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 xml:space="preserve"> </w:t>
                  </w:r>
                </w:p>
              </w:tc>
              <w:tc>
                <w:tcPr>
                  <w:tcW w:w="36" w:type="dxa"/>
                  <w:vAlign w:val="center"/>
                  <w:hideMark/>
                </w:tcPr>
                <w:p w14:paraId="67AD44CA" w14:textId="77777777" w:rsidR="00E74AB0" w:rsidRPr="006A71D1" w:rsidRDefault="00E74AB0" w:rsidP="00376C8E">
                  <w:pPr>
                    <w:spacing w:line="360" w:lineRule="auto"/>
                    <w:jc w:val="both"/>
                    <w:rPr>
                      <w:color w:val="000000" w:themeColor="text1"/>
                      <w:sz w:val="16"/>
                      <w:szCs w:val="16"/>
                    </w:rPr>
                  </w:pPr>
                </w:p>
              </w:tc>
            </w:tr>
          </w:tbl>
          <w:p w14:paraId="6FF0F3DB" w14:textId="77777777" w:rsidR="00E74AB0" w:rsidRPr="006A71D1" w:rsidRDefault="00E74AB0" w:rsidP="00376C8E">
            <w:pPr>
              <w:spacing w:line="360" w:lineRule="auto"/>
              <w:jc w:val="both"/>
              <w:rPr>
                <w:color w:val="000000" w:themeColor="text1"/>
                <w:sz w:val="16"/>
                <w:szCs w:val="16"/>
              </w:rPr>
            </w:pPr>
          </w:p>
        </w:tc>
        <w:tc>
          <w:tcPr>
            <w:tcW w:w="0" w:type="auto"/>
          </w:tcPr>
          <w:p w14:paraId="09C81CA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D003BD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D05572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0EDC3D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C7F0A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0BD63E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CAEA39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2C65EF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F365A1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32BD45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37DE43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FA937A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C8A62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19B37F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ABF5DC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A7E04C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F89DE9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72C5B2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BB2F33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B2A4AD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03C3DF37" w14:textId="77777777" w:rsidTr="00376C8E">
        <w:tc>
          <w:tcPr>
            <w:tcW w:w="0" w:type="auto"/>
          </w:tcPr>
          <w:p w14:paraId="5369FD5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3</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96"/>
              <w:gridCol w:w="81"/>
            </w:tblGrid>
            <w:tr w:rsidR="00E74AB0" w:rsidRPr="006A71D1" w14:paraId="635238B5" w14:textId="77777777" w:rsidTr="00376C8E">
              <w:trPr>
                <w:tblCellSpacing w:w="15" w:type="dxa"/>
              </w:trPr>
              <w:tc>
                <w:tcPr>
                  <w:tcW w:w="1051" w:type="dxa"/>
                  <w:vAlign w:val="center"/>
                  <w:hideMark/>
                </w:tcPr>
                <w:p w14:paraId="2429046B"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Objectives</w:t>
                  </w:r>
                  <w:proofErr w:type="spellEnd"/>
                </w:p>
              </w:tc>
              <w:tc>
                <w:tcPr>
                  <w:tcW w:w="36" w:type="dxa"/>
                  <w:vAlign w:val="center"/>
                  <w:hideMark/>
                </w:tcPr>
                <w:p w14:paraId="549B427B" w14:textId="77777777" w:rsidR="00E74AB0" w:rsidRPr="006A71D1" w:rsidRDefault="00E74AB0" w:rsidP="00376C8E">
                  <w:pPr>
                    <w:spacing w:line="360" w:lineRule="auto"/>
                    <w:jc w:val="both"/>
                    <w:rPr>
                      <w:color w:val="000000" w:themeColor="text1"/>
                      <w:sz w:val="16"/>
                      <w:szCs w:val="16"/>
                    </w:rPr>
                  </w:pPr>
                </w:p>
              </w:tc>
            </w:tr>
          </w:tbl>
          <w:p w14:paraId="6456514B" w14:textId="77777777" w:rsidR="00E74AB0" w:rsidRPr="006A71D1" w:rsidRDefault="00E74AB0" w:rsidP="00376C8E">
            <w:pPr>
              <w:spacing w:line="360" w:lineRule="auto"/>
              <w:jc w:val="both"/>
              <w:rPr>
                <w:color w:val="000000" w:themeColor="text1"/>
                <w:sz w:val="16"/>
                <w:szCs w:val="16"/>
              </w:rPr>
            </w:pPr>
          </w:p>
        </w:tc>
        <w:tc>
          <w:tcPr>
            <w:tcW w:w="0" w:type="auto"/>
          </w:tcPr>
          <w:p w14:paraId="5E79866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7262DA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EB252C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A1DB65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0E8131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2317F7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FF4132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190BDD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8CF39F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0F0A62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B23210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DB7C5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E1B723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DF9F53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940DFC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8D6846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8A14CF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F125D6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E95D85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599439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4DF9C97F" w14:textId="77777777" w:rsidTr="00376C8E">
        <w:tc>
          <w:tcPr>
            <w:tcW w:w="0" w:type="auto"/>
          </w:tcPr>
          <w:p w14:paraId="0C56FA2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4</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00"/>
              <w:gridCol w:w="81"/>
            </w:tblGrid>
            <w:tr w:rsidR="00E74AB0" w:rsidRPr="006A71D1" w14:paraId="688FC521" w14:textId="77777777" w:rsidTr="00376C8E">
              <w:trPr>
                <w:tblCellSpacing w:w="15" w:type="dxa"/>
              </w:trPr>
              <w:tc>
                <w:tcPr>
                  <w:tcW w:w="36" w:type="dxa"/>
                  <w:vAlign w:val="center"/>
                  <w:hideMark/>
                </w:tcPr>
                <w:p w14:paraId="7FC77458" w14:textId="77777777" w:rsidR="00E74AB0" w:rsidRPr="006A71D1" w:rsidRDefault="00E74AB0" w:rsidP="00376C8E">
                  <w:pPr>
                    <w:spacing w:line="360" w:lineRule="auto"/>
                    <w:jc w:val="both"/>
                    <w:rPr>
                      <w:color w:val="000000" w:themeColor="text1"/>
                      <w:sz w:val="16"/>
                      <w:szCs w:val="16"/>
                    </w:rPr>
                  </w:pPr>
                </w:p>
              </w:tc>
              <w:tc>
                <w:tcPr>
                  <w:tcW w:w="1270" w:type="dxa"/>
                  <w:vAlign w:val="center"/>
                  <w:hideMark/>
                </w:tcPr>
                <w:p w14:paraId="21C74D6E"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Study</w:t>
                  </w:r>
                  <w:proofErr w:type="spellEnd"/>
                  <w:r w:rsidRPr="006A71D1">
                    <w:rPr>
                      <w:color w:val="000000" w:themeColor="text1"/>
                      <w:sz w:val="16"/>
                      <w:szCs w:val="16"/>
                    </w:rPr>
                    <w:t xml:space="preserve"> design</w:t>
                  </w:r>
                </w:p>
              </w:tc>
              <w:tc>
                <w:tcPr>
                  <w:tcW w:w="36" w:type="dxa"/>
                  <w:vAlign w:val="center"/>
                  <w:hideMark/>
                </w:tcPr>
                <w:p w14:paraId="75F2395E" w14:textId="77777777" w:rsidR="00E74AB0" w:rsidRPr="006A71D1" w:rsidRDefault="00E74AB0" w:rsidP="00376C8E">
                  <w:pPr>
                    <w:spacing w:line="360" w:lineRule="auto"/>
                    <w:jc w:val="both"/>
                    <w:rPr>
                      <w:color w:val="000000" w:themeColor="text1"/>
                      <w:sz w:val="16"/>
                      <w:szCs w:val="16"/>
                    </w:rPr>
                  </w:pPr>
                </w:p>
              </w:tc>
            </w:tr>
          </w:tbl>
          <w:p w14:paraId="6E8A7819" w14:textId="77777777" w:rsidR="00E74AB0" w:rsidRPr="006A71D1" w:rsidRDefault="00E74AB0" w:rsidP="00376C8E">
            <w:pPr>
              <w:spacing w:line="360" w:lineRule="auto"/>
              <w:jc w:val="both"/>
              <w:rPr>
                <w:color w:val="000000" w:themeColor="text1"/>
                <w:sz w:val="16"/>
                <w:szCs w:val="16"/>
              </w:rPr>
            </w:pPr>
          </w:p>
        </w:tc>
        <w:tc>
          <w:tcPr>
            <w:tcW w:w="0" w:type="auto"/>
          </w:tcPr>
          <w:p w14:paraId="512E539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94A83A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AAA754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862720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3BD17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83613B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D9E3D0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A97F33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25A24E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74673E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4DA4C4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ACF8F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7D7E5E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09BEEB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922B3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3479D1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D61B4C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860E5B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859C33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A3337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23124B52" w14:textId="77777777" w:rsidTr="00376C8E">
        <w:tc>
          <w:tcPr>
            <w:tcW w:w="0" w:type="auto"/>
          </w:tcPr>
          <w:p w14:paraId="02B3FD9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5</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429"/>
            </w:tblGrid>
            <w:tr w:rsidR="00E74AB0" w:rsidRPr="006A71D1" w14:paraId="6C38C2B8" w14:textId="77777777" w:rsidTr="00376C8E">
              <w:trPr>
                <w:tblCellSpacing w:w="15" w:type="dxa"/>
              </w:trPr>
              <w:tc>
                <w:tcPr>
                  <w:tcW w:w="36" w:type="dxa"/>
                  <w:vAlign w:val="center"/>
                  <w:hideMark/>
                </w:tcPr>
                <w:p w14:paraId="4E14EF6F" w14:textId="77777777" w:rsidR="00E74AB0" w:rsidRPr="006A71D1" w:rsidRDefault="00E74AB0" w:rsidP="00376C8E">
                  <w:pPr>
                    <w:spacing w:line="360" w:lineRule="auto"/>
                    <w:jc w:val="both"/>
                    <w:rPr>
                      <w:color w:val="000000" w:themeColor="text1"/>
                      <w:sz w:val="16"/>
                      <w:szCs w:val="16"/>
                    </w:rPr>
                  </w:pPr>
                </w:p>
              </w:tc>
              <w:tc>
                <w:tcPr>
                  <w:tcW w:w="2264" w:type="dxa"/>
                  <w:vAlign w:val="center"/>
                  <w:hideMark/>
                </w:tcPr>
                <w:p w14:paraId="14326426"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Setting</w:t>
                  </w:r>
                  <w:proofErr w:type="spellEnd"/>
                  <w:r w:rsidRPr="006A71D1">
                    <w:rPr>
                      <w:color w:val="000000" w:themeColor="text1"/>
                      <w:sz w:val="16"/>
                      <w:szCs w:val="16"/>
                    </w:rPr>
                    <w:t xml:space="preserve">, location, </w:t>
                  </w:r>
                  <w:proofErr w:type="spellStart"/>
                  <w:r w:rsidRPr="006A71D1">
                    <w:rPr>
                      <w:color w:val="000000" w:themeColor="text1"/>
                      <w:sz w:val="16"/>
                      <w:szCs w:val="16"/>
                    </w:rPr>
                    <w:t>dates</w:t>
                  </w:r>
                  <w:proofErr w:type="spellEnd"/>
                  <w:r w:rsidRPr="006A71D1">
                    <w:rPr>
                      <w:color w:val="000000" w:themeColor="text1"/>
                      <w:sz w:val="16"/>
                      <w:szCs w:val="16"/>
                    </w:rPr>
                    <w:t xml:space="preserve"> </w:t>
                  </w:r>
                </w:p>
              </w:tc>
            </w:tr>
          </w:tbl>
          <w:p w14:paraId="58930088" w14:textId="77777777" w:rsidR="00E74AB0" w:rsidRPr="006A71D1" w:rsidRDefault="00E74AB0" w:rsidP="00376C8E">
            <w:pPr>
              <w:spacing w:line="360" w:lineRule="auto"/>
              <w:jc w:val="both"/>
              <w:rPr>
                <w:color w:val="000000" w:themeColor="text1"/>
                <w:sz w:val="16"/>
                <w:szCs w:val="16"/>
              </w:rPr>
            </w:pPr>
          </w:p>
        </w:tc>
        <w:tc>
          <w:tcPr>
            <w:tcW w:w="0" w:type="auto"/>
          </w:tcPr>
          <w:p w14:paraId="1A884CA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9F0938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D598AF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F354AF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A89139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7C21E8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D19756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4BB081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632B32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20E98C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50724E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E20081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DE2439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C47D73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B1921C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E31378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12C931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613605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06325D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6B0AE0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0EC38A50" w14:textId="77777777" w:rsidTr="00376C8E">
        <w:tc>
          <w:tcPr>
            <w:tcW w:w="0" w:type="auto"/>
          </w:tcPr>
          <w:p w14:paraId="0FE0426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6</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6A71D1" w14:paraId="78A9DA9E" w14:textId="77777777" w:rsidTr="00376C8E">
              <w:trPr>
                <w:tblCellSpacing w:w="15" w:type="dxa"/>
              </w:trPr>
              <w:tc>
                <w:tcPr>
                  <w:tcW w:w="36" w:type="dxa"/>
                  <w:vAlign w:val="center"/>
                  <w:hideMark/>
                </w:tcPr>
                <w:p w14:paraId="296083C6" w14:textId="77777777" w:rsidR="00E74AB0" w:rsidRPr="006A71D1" w:rsidRDefault="00E74AB0" w:rsidP="00376C8E">
                  <w:pPr>
                    <w:spacing w:line="360" w:lineRule="auto"/>
                    <w:jc w:val="both"/>
                    <w:rPr>
                      <w:color w:val="000000" w:themeColor="text1"/>
                      <w:sz w:val="16"/>
                      <w:szCs w:val="16"/>
                    </w:rPr>
                  </w:pPr>
                </w:p>
              </w:tc>
              <w:tc>
                <w:tcPr>
                  <w:tcW w:w="2119" w:type="dxa"/>
                  <w:vAlign w:val="center"/>
                  <w:hideMark/>
                </w:tcPr>
                <w:p w14:paraId="76ABFD4C"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Participants</w:t>
                  </w:r>
                  <w:proofErr w:type="spellEnd"/>
                  <w:r w:rsidRPr="006A71D1">
                    <w:rPr>
                      <w:color w:val="000000" w:themeColor="text1"/>
                      <w:sz w:val="16"/>
                      <w:szCs w:val="16"/>
                    </w:rPr>
                    <w:t xml:space="preserve"> </w:t>
                  </w:r>
                  <w:proofErr w:type="spellStart"/>
                  <w:r w:rsidRPr="006A71D1">
                    <w:rPr>
                      <w:color w:val="000000" w:themeColor="text1"/>
                      <w:sz w:val="16"/>
                      <w:szCs w:val="16"/>
                    </w:rPr>
                    <w:t>eligibility</w:t>
                  </w:r>
                  <w:proofErr w:type="spellEnd"/>
                  <w:r w:rsidRPr="006A71D1">
                    <w:rPr>
                      <w:color w:val="000000" w:themeColor="text1"/>
                      <w:sz w:val="16"/>
                      <w:szCs w:val="16"/>
                    </w:rPr>
                    <w:t xml:space="preserve"> </w:t>
                  </w:r>
                </w:p>
              </w:tc>
              <w:tc>
                <w:tcPr>
                  <w:tcW w:w="36" w:type="dxa"/>
                  <w:vAlign w:val="center"/>
                  <w:hideMark/>
                </w:tcPr>
                <w:p w14:paraId="3F21398E" w14:textId="77777777" w:rsidR="00E74AB0" w:rsidRPr="006A71D1" w:rsidRDefault="00E74AB0" w:rsidP="00376C8E">
                  <w:pPr>
                    <w:spacing w:line="360" w:lineRule="auto"/>
                    <w:jc w:val="both"/>
                    <w:rPr>
                      <w:color w:val="000000" w:themeColor="text1"/>
                      <w:sz w:val="16"/>
                      <w:szCs w:val="16"/>
                    </w:rPr>
                  </w:pPr>
                </w:p>
              </w:tc>
            </w:tr>
          </w:tbl>
          <w:p w14:paraId="2734DE07" w14:textId="77777777" w:rsidR="00E74AB0" w:rsidRPr="006A71D1" w:rsidRDefault="00E74AB0" w:rsidP="00376C8E">
            <w:pPr>
              <w:spacing w:line="360" w:lineRule="auto"/>
              <w:jc w:val="both"/>
              <w:rPr>
                <w:color w:val="000000" w:themeColor="text1"/>
                <w:sz w:val="16"/>
                <w:szCs w:val="16"/>
              </w:rPr>
            </w:pPr>
          </w:p>
        </w:tc>
        <w:tc>
          <w:tcPr>
            <w:tcW w:w="0" w:type="auto"/>
          </w:tcPr>
          <w:p w14:paraId="32368B7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191DED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41E292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41CC72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F11202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F0B2AB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A73AC2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2A0ABB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8E93B6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6983AF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91B65E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B20598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31691D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3E6A9A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306068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35A47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9F2416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DC377F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EDE021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603118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3E35DD0E" w14:textId="77777777" w:rsidTr="00376C8E">
        <w:tc>
          <w:tcPr>
            <w:tcW w:w="0" w:type="auto"/>
          </w:tcPr>
          <w:p w14:paraId="7E9DC99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7</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960"/>
              <w:gridCol w:w="81"/>
            </w:tblGrid>
            <w:tr w:rsidR="00E74AB0" w:rsidRPr="006A71D1" w14:paraId="5EA50457" w14:textId="77777777" w:rsidTr="00376C8E">
              <w:trPr>
                <w:tblCellSpacing w:w="15" w:type="dxa"/>
              </w:trPr>
              <w:tc>
                <w:tcPr>
                  <w:tcW w:w="36" w:type="dxa"/>
                  <w:vAlign w:val="center"/>
                  <w:hideMark/>
                </w:tcPr>
                <w:p w14:paraId="064CB933" w14:textId="77777777" w:rsidR="00E74AB0" w:rsidRPr="006A71D1" w:rsidRDefault="00E74AB0" w:rsidP="00376C8E">
                  <w:pPr>
                    <w:spacing w:line="360" w:lineRule="auto"/>
                    <w:jc w:val="both"/>
                    <w:rPr>
                      <w:color w:val="000000" w:themeColor="text1"/>
                      <w:sz w:val="16"/>
                      <w:szCs w:val="16"/>
                    </w:rPr>
                  </w:pPr>
                </w:p>
              </w:tc>
              <w:tc>
                <w:tcPr>
                  <w:tcW w:w="930" w:type="dxa"/>
                  <w:vAlign w:val="center"/>
                  <w:hideMark/>
                </w:tcPr>
                <w:p w14:paraId="48698450"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Variables</w:t>
                  </w:r>
                  <w:proofErr w:type="spellEnd"/>
                </w:p>
              </w:tc>
              <w:tc>
                <w:tcPr>
                  <w:tcW w:w="36" w:type="dxa"/>
                  <w:vAlign w:val="center"/>
                  <w:hideMark/>
                </w:tcPr>
                <w:p w14:paraId="1305C00A" w14:textId="77777777" w:rsidR="00E74AB0" w:rsidRPr="006A71D1" w:rsidRDefault="00E74AB0" w:rsidP="00376C8E">
                  <w:pPr>
                    <w:spacing w:line="360" w:lineRule="auto"/>
                    <w:jc w:val="both"/>
                    <w:rPr>
                      <w:color w:val="000000" w:themeColor="text1"/>
                      <w:sz w:val="16"/>
                      <w:szCs w:val="16"/>
                    </w:rPr>
                  </w:pPr>
                </w:p>
              </w:tc>
            </w:tr>
          </w:tbl>
          <w:p w14:paraId="7BA46D18" w14:textId="77777777" w:rsidR="00E74AB0" w:rsidRPr="006A71D1" w:rsidRDefault="00E74AB0" w:rsidP="00376C8E">
            <w:pPr>
              <w:spacing w:line="360" w:lineRule="auto"/>
              <w:jc w:val="both"/>
              <w:rPr>
                <w:color w:val="000000" w:themeColor="text1"/>
                <w:sz w:val="16"/>
                <w:szCs w:val="16"/>
              </w:rPr>
            </w:pPr>
          </w:p>
        </w:tc>
        <w:tc>
          <w:tcPr>
            <w:tcW w:w="0" w:type="auto"/>
          </w:tcPr>
          <w:p w14:paraId="6DFA3CB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3F7E9D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8D36B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1CAFC2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338E39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88046A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C23B8A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170CBA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F414A0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6C1437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F45CEB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41771C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274EDC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AD3E41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DE2CBB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0ADA7C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10B8DF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350EC9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290D30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8FD085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174DCD25" w14:textId="77777777" w:rsidTr="00376C8E">
        <w:tc>
          <w:tcPr>
            <w:tcW w:w="0" w:type="auto"/>
          </w:tcPr>
          <w:p w14:paraId="336E27B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8</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F20444" w14:paraId="25EC708F" w14:textId="77777777" w:rsidTr="00376C8E">
              <w:trPr>
                <w:tblCellSpacing w:w="15" w:type="dxa"/>
              </w:trPr>
              <w:tc>
                <w:tcPr>
                  <w:tcW w:w="36" w:type="dxa"/>
                  <w:vAlign w:val="center"/>
                  <w:hideMark/>
                </w:tcPr>
                <w:p w14:paraId="23F5A7B1" w14:textId="77777777" w:rsidR="00E74AB0" w:rsidRPr="006A71D1" w:rsidRDefault="00E74AB0" w:rsidP="00376C8E">
                  <w:pPr>
                    <w:spacing w:line="360" w:lineRule="auto"/>
                    <w:jc w:val="both"/>
                    <w:rPr>
                      <w:color w:val="000000" w:themeColor="text1"/>
                      <w:sz w:val="16"/>
                      <w:szCs w:val="16"/>
                    </w:rPr>
                  </w:pPr>
                </w:p>
              </w:tc>
              <w:tc>
                <w:tcPr>
                  <w:tcW w:w="4049" w:type="dxa"/>
                  <w:vAlign w:val="center"/>
                  <w:hideMark/>
                </w:tcPr>
                <w:p w14:paraId="222EE47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Data sources and measurement methods </w:t>
                  </w:r>
                </w:p>
              </w:tc>
              <w:tc>
                <w:tcPr>
                  <w:tcW w:w="36" w:type="dxa"/>
                  <w:vAlign w:val="center"/>
                  <w:hideMark/>
                </w:tcPr>
                <w:p w14:paraId="7BFFF87B" w14:textId="77777777" w:rsidR="00E74AB0" w:rsidRPr="006A71D1" w:rsidRDefault="00E74AB0" w:rsidP="00376C8E">
                  <w:pPr>
                    <w:spacing w:line="360" w:lineRule="auto"/>
                    <w:jc w:val="both"/>
                    <w:rPr>
                      <w:color w:val="000000" w:themeColor="text1"/>
                      <w:sz w:val="16"/>
                      <w:szCs w:val="16"/>
                      <w:lang w:val="en-US"/>
                    </w:rPr>
                  </w:pPr>
                </w:p>
              </w:tc>
            </w:tr>
          </w:tbl>
          <w:p w14:paraId="7AA6EABF" w14:textId="77777777" w:rsidR="00E74AB0" w:rsidRPr="006A71D1" w:rsidRDefault="00E74AB0" w:rsidP="00376C8E">
            <w:pPr>
              <w:spacing w:line="360" w:lineRule="auto"/>
              <w:jc w:val="both"/>
              <w:rPr>
                <w:color w:val="000000" w:themeColor="text1"/>
                <w:sz w:val="16"/>
                <w:szCs w:val="16"/>
                <w:lang w:val="en-US"/>
              </w:rPr>
            </w:pPr>
          </w:p>
        </w:tc>
        <w:tc>
          <w:tcPr>
            <w:tcW w:w="0" w:type="auto"/>
          </w:tcPr>
          <w:p w14:paraId="7088A88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45B74380"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22A55F57"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3D475E47"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75F8A32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5E99104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311325B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469B1C8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47A307BE"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546CD88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6EBC2223"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42768A2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589EFAA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66035FA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2A79EC07"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22609845"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6EBE4CB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15928E95"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3274AC4B"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41027BA2"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r>
      <w:tr w:rsidR="00E74AB0" w:rsidRPr="006A71D1" w14:paraId="121F933F" w14:textId="77777777" w:rsidTr="00376C8E">
        <w:tc>
          <w:tcPr>
            <w:tcW w:w="0" w:type="auto"/>
          </w:tcPr>
          <w:p w14:paraId="1EC3CF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9</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429"/>
            </w:tblGrid>
            <w:tr w:rsidR="00E74AB0" w:rsidRPr="006A71D1" w14:paraId="7AAE7AA7" w14:textId="77777777" w:rsidTr="00376C8E">
              <w:trPr>
                <w:tblCellSpacing w:w="15" w:type="dxa"/>
              </w:trPr>
              <w:tc>
                <w:tcPr>
                  <w:tcW w:w="36" w:type="dxa"/>
                  <w:vAlign w:val="center"/>
                  <w:hideMark/>
                </w:tcPr>
                <w:p w14:paraId="58F73B90" w14:textId="77777777" w:rsidR="00E74AB0" w:rsidRPr="006A71D1" w:rsidRDefault="00E74AB0" w:rsidP="00376C8E">
                  <w:pPr>
                    <w:spacing w:line="360" w:lineRule="auto"/>
                    <w:jc w:val="both"/>
                    <w:rPr>
                      <w:color w:val="000000" w:themeColor="text1"/>
                      <w:sz w:val="16"/>
                      <w:szCs w:val="16"/>
                    </w:rPr>
                  </w:pPr>
                </w:p>
              </w:tc>
              <w:tc>
                <w:tcPr>
                  <w:tcW w:w="1483" w:type="dxa"/>
                  <w:vAlign w:val="center"/>
                  <w:hideMark/>
                </w:tcPr>
                <w:p w14:paraId="1FB4EB2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Bias addressed</w:t>
                  </w:r>
                </w:p>
              </w:tc>
            </w:tr>
          </w:tbl>
          <w:p w14:paraId="12A4550D" w14:textId="77777777" w:rsidR="00E74AB0" w:rsidRPr="006A71D1" w:rsidRDefault="00E74AB0" w:rsidP="00376C8E">
            <w:pPr>
              <w:spacing w:line="360" w:lineRule="auto"/>
              <w:jc w:val="both"/>
              <w:rPr>
                <w:color w:val="000000" w:themeColor="text1"/>
                <w:sz w:val="16"/>
                <w:szCs w:val="16"/>
              </w:rPr>
            </w:pPr>
          </w:p>
        </w:tc>
        <w:tc>
          <w:tcPr>
            <w:tcW w:w="0" w:type="auto"/>
          </w:tcPr>
          <w:p w14:paraId="455F9B4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7FD4DE8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46A359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997AE0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AFB8B1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F14080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E8525E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50BC03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EDA121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EF5C05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14E0D9B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10C407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E11843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10A4FA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39DB3E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40C35C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3790E3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622D02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098849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624856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6659253A" w14:textId="77777777" w:rsidTr="00376C8E">
        <w:tc>
          <w:tcPr>
            <w:tcW w:w="0" w:type="auto"/>
          </w:tcPr>
          <w:p w14:paraId="606099E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10</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429"/>
            </w:tblGrid>
            <w:tr w:rsidR="00E74AB0" w:rsidRPr="006A71D1" w14:paraId="5E6C63D4" w14:textId="77777777" w:rsidTr="00376C8E">
              <w:trPr>
                <w:tblCellSpacing w:w="15" w:type="dxa"/>
              </w:trPr>
              <w:tc>
                <w:tcPr>
                  <w:tcW w:w="36" w:type="dxa"/>
                  <w:vAlign w:val="center"/>
                  <w:hideMark/>
                </w:tcPr>
                <w:p w14:paraId="74FCE75D" w14:textId="77777777" w:rsidR="00E74AB0" w:rsidRPr="006A71D1" w:rsidRDefault="00E74AB0" w:rsidP="00376C8E">
                  <w:pPr>
                    <w:spacing w:line="360" w:lineRule="auto"/>
                    <w:jc w:val="both"/>
                    <w:rPr>
                      <w:color w:val="000000" w:themeColor="text1"/>
                      <w:sz w:val="16"/>
                      <w:szCs w:val="16"/>
                    </w:rPr>
                  </w:pPr>
                </w:p>
              </w:tc>
              <w:tc>
                <w:tcPr>
                  <w:tcW w:w="1930" w:type="dxa"/>
                  <w:vAlign w:val="center"/>
                  <w:hideMark/>
                </w:tcPr>
                <w:p w14:paraId="2544E0AF"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Study</w:t>
                  </w:r>
                  <w:proofErr w:type="spellEnd"/>
                  <w:r w:rsidRPr="006A71D1">
                    <w:rPr>
                      <w:color w:val="000000" w:themeColor="text1"/>
                      <w:sz w:val="16"/>
                      <w:szCs w:val="16"/>
                    </w:rPr>
                    <w:t xml:space="preserve"> </w:t>
                  </w:r>
                  <w:proofErr w:type="spellStart"/>
                  <w:r w:rsidRPr="006A71D1">
                    <w:rPr>
                      <w:color w:val="000000" w:themeColor="text1"/>
                      <w:sz w:val="16"/>
                      <w:szCs w:val="16"/>
                    </w:rPr>
                    <w:t>size</w:t>
                  </w:r>
                  <w:proofErr w:type="spellEnd"/>
                  <w:r w:rsidRPr="006A71D1">
                    <w:rPr>
                      <w:color w:val="000000" w:themeColor="text1"/>
                      <w:sz w:val="16"/>
                      <w:szCs w:val="16"/>
                    </w:rPr>
                    <w:t xml:space="preserve"> </w:t>
                  </w:r>
                  <w:proofErr w:type="spellStart"/>
                  <w:r w:rsidRPr="006A71D1">
                    <w:rPr>
                      <w:color w:val="000000" w:themeColor="text1"/>
                      <w:sz w:val="16"/>
                      <w:szCs w:val="16"/>
                    </w:rPr>
                    <w:t>rationale</w:t>
                  </w:r>
                  <w:proofErr w:type="spellEnd"/>
                  <w:r w:rsidRPr="006A71D1">
                    <w:rPr>
                      <w:color w:val="000000" w:themeColor="text1"/>
                      <w:sz w:val="16"/>
                      <w:szCs w:val="16"/>
                    </w:rPr>
                    <w:t xml:space="preserve"> </w:t>
                  </w:r>
                </w:p>
              </w:tc>
            </w:tr>
          </w:tbl>
          <w:p w14:paraId="7F3E9613" w14:textId="77777777" w:rsidR="00E74AB0" w:rsidRPr="006A71D1" w:rsidRDefault="00E74AB0" w:rsidP="00376C8E">
            <w:pPr>
              <w:spacing w:line="360" w:lineRule="auto"/>
              <w:jc w:val="both"/>
              <w:rPr>
                <w:color w:val="000000" w:themeColor="text1"/>
                <w:sz w:val="16"/>
                <w:szCs w:val="16"/>
              </w:rPr>
            </w:pPr>
          </w:p>
        </w:tc>
        <w:tc>
          <w:tcPr>
            <w:tcW w:w="0" w:type="auto"/>
          </w:tcPr>
          <w:p w14:paraId="1F1063D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2D3229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8E2115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3C0B37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72B29DA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957B27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466571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5291C9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53A04D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DD8E3A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4A364C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1B5ED71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06ED6F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73A79E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7962A1F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7EDBE1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6A2DF0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15426B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45DA29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732E3C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4D175C41" w14:textId="77777777" w:rsidTr="00376C8E">
        <w:tc>
          <w:tcPr>
            <w:tcW w:w="0" w:type="auto"/>
          </w:tcPr>
          <w:p w14:paraId="04F61D6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11</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6A71D1" w14:paraId="01F9C4DE" w14:textId="77777777" w:rsidTr="00376C8E">
              <w:trPr>
                <w:tblCellSpacing w:w="15" w:type="dxa"/>
              </w:trPr>
              <w:tc>
                <w:tcPr>
                  <w:tcW w:w="36" w:type="dxa"/>
                  <w:vAlign w:val="center"/>
                  <w:hideMark/>
                </w:tcPr>
                <w:p w14:paraId="70D2D181" w14:textId="77777777" w:rsidR="00E74AB0" w:rsidRPr="006A71D1" w:rsidRDefault="00E74AB0" w:rsidP="00376C8E">
                  <w:pPr>
                    <w:spacing w:line="360" w:lineRule="auto"/>
                    <w:jc w:val="both"/>
                    <w:rPr>
                      <w:color w:val="000000" w:themeColor="text1"/>
                      <w:sz w:val="16"/>
                      <w:szCs w:val="16"/>
                    </w:rPr>
                  </w:pPr>
                </w:p>
              </w:tc>
              <w:tc>
                <w:tcPr>
                  <w:tcW w:w="2179" w:type="dxa"/>
                  <w:vAlign w:val="center"/>
                  <w:hideMark/>
                </w:tcPr>
                <w:p w14:paraId="62BC40F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 xml:space="preserve">Quantitative </w:t>
                  </w:r>
                  <w:proofErr w:type="spellStart"/>
                  <w:r w:rsidRPr="006A71D1">
                    <w:rPr>
                      <w:color w:val="000000" w:themeColor="text1"/>
                      <w:sz w:val="16"/>
                      <w:szCs w:val="16"/>
                    </w:rPr>
                    <w:t>variables</w:t>
                  </w:r>
                  <w:proofErr w:type="spellEnd"/>
                  <w:r w:rsidRPr="006A71D1">
                    <w:rPr>
                      <w:color w:val="000000" w:themeColor="text1"/>
                      <w:sz w:val="16"/>
                      <w:szCs w:val="16"/>
                    </w:rPr>
                    <w:t xml:space="preserve"> </w:t>
                  </w:r>
                </w:p>
              </w:tc>
              <w:tc>
                <w:tcPr>
                  <w:tcW w:w="36" w:type="dxa"/>
                  <w:vAlign w:val="center"/>
                  <w:hideMark/>
                </w:tcPr>
                <w:p w14:paraId="6B1439C9" w14:textId="77777777" w:rsidR="00E74AB0" w:rsidRPr="006A71D1" w:rsidRDefault="00E74AB0" w:rsidP="00376C8E">
                  <w:pPr>
                    <w:spacing w:line="360" w:lineRule="auto"/>
                    <w:jc w:val="both"/>
                    <w:rPr>
                      <w:color w:val="000000" w:themeColor="text1"/>
                      <w:sz w:val="16"/>
                      <w:szCs w:val="16"/>
                    </w:rPr>
                  </w:pPr>
                </w:p>
              </w:tc>
            </w:tr>
          </w:tbl>
          <w:p w14:paraId="66021B0A" w14:textId="77777777" w:rsidR="00E74AB0" w:rsidRPr="006A71D1" w:rsidRDefault="00E74AB0" w:rsidP="00376C8E">
            <w:pPr>
              <w:spacing w:line="360" w:lineRule="auto"/>
              <w:jc w:val="both"/>
              <w:rPr>
                <w:color w:val="000000" w:themeColor="text1"/>
                <w:sz w:val="16"/>
                <w:szCs w:val="16"/>
              </w:rPr>
            </w:pPr>
          </w:p>
        </w:tc>
        <w:tc>
          <w:tcPr>
            <w:tcW w:w="0" w:type="auto"/>
          </w:tcPr>
          <w:p w14:paraId="79D436C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D4699E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88C224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30C612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CF6E65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6F03A2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8F4B9C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F87AA3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299A5D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B7B38B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13B8CA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48F1FF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1CAC70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B437ED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764CEC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15D5A4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55CE8D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85CC5B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A1AAA6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C07AA2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276FCDF5" w14:textId="77777777" w:rsidTr="00376C8E">
        <w:tc>
          <w:tcPr>
            <w:tcW w:w="0" w:type="auto"/>
          </w:tcPr>
          <w:p w14:paraId="143B0B8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12</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6A71D1" w14:paraId="3740A841" w14:textId="77777777" w:rsidTr="00376C8E">
              <w:trPr>
                <w:tblCellSpacing w:w="15" w:type="dxa"/>
              </w:trPr>
              <w:tc>
                <w:tcPr>
                  <w:tcW w:w="36" w:type="dxa"/>
                  <w:vAlign w:val="center"/>
                  <w:hideMark/>
                </w:tcPr>
                <w:p w14:paraId="3836BCD9" w14:textId="77777777" w:rsidR="00E74AB0" w:rsidRPr="006A71D1" w:rsidRDefault="00E74AB0" w:rsidP="00376C8E">
                  <w:pPr>
                    <w:spacing w:line="360" w:lineRule="auto"/>
                    <w:jc w:val="both"/>
                    <w:rPr>
                      <w:color w:val="000000" w:themeColor="text1"/>
                      <w:sz w:val="16"/>
                      <w:szCs w:val="16"/>
                    </w:rPr>
                  </w:pPr>
                </w:p>
              </w:tc>
              <w:tc>
                <w:tcPr>
                  <w:tcW w:w="1891" w:type="dxa"/>
                  <w:vAlign w:val="center"/>
                  <w:hideMark/>
                </w:tcPr>
                <w:p w14:paraId="26F7932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 xml:space="preserve">Statistical </w:t>
                  </w:r>
                  <w:proofErr w:type="spellStart"/>
                  <w:r w:rsidRPr="006A71D1">
                    <w:rPr>
                      <w:color w:val="000000" w:themeColor="text1"/>
                      <w:sz w:val="16"/>
                      <w:szCs w:val="16"/>
                    </w:rPr>
                    <w:t>methods</w:t>
                  </w:r>
                  <w:proofErr w:type="spellEnd"/>
                  <w:r w:rsidRPr="006A71D1">
                    <w:rPr>
                      <w:color w:val="000000" w:themeColor="text1"/>
                      <w:sz w:val="16"/>
                      <w:szCs w:val="16"/>
                    </w:rPr>
                    <w:t xml:space="preserve"> </w:t>
                  </w:r>
                </w:p>
              </w:tc>
              <w:tc>
                <w:tcPr>
                  <w:tcW w:w="36" w:type="dxa"/>
                  <w:vAlign w:val="center"/>
                  <w:hideMark/>
                </w:tcPr>
                <w:p w14:paraId="02D4C2C5" w14:textId="77777777" w:rsidR="00E74AB0" w:rsidRPr="006A71D1" w:rsidRDefault="00E74AB0" w:rsidP="00376C8E">
                  <w:pPr>
                    <w:spacing w:line="360" w:lineRule="auto"/>
                    <w:jc w:val="both"/>
                    <w:rPr>
                      <w:color w:val="000000" w:themeColor="text1"/>
                      <w:sz w:val="16"/>
                      <w:szCs w:val="16"/>
                    </w:rPr>
                  </w:pPr>
                </w:p>
              </w:tc>
            </w:tr>
          </w:tbl>
          <w:p w14:paraId="4683914B" w14:textId="77777777" w:rsidR="00E74AB0" w:rsidRPr="006A71D1" w:rsidRDefault="00E74AB0" w:rsidP="00376C8E">
            <w:pPr>
              <w:spacing w:line="360" w:lineRule="auto"/>
              <w:jc w:val="both"/>
              <w:rPr>
                <w:color w:val="000000" w:themeColor="text1"/>
                <w:sz w:val="16"/>
                <w:szCs w:val="16"/>
              </w:rPr>
            </w:pPr>
          </w:p>
        </w:tc>
        <w:tc>
          <w:tcPr>
            <w:tcW w:w="0" w:type="auto"/>
          </w:tcPr>
          <w:p w14:paraId="4069C64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4E7ADE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707BEF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F3655E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28AA4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BD039A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E40D2E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7E6A3F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62DAE6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1884D3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06AF0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C75E2B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188007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985C71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C33A79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4B1AE8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F80C33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9CCDBF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3201A5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19EE2C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346C4419" w14:textId="77777777" w:rsidTr="00376C8E">
        <w:tc>
          <w:tcPr>
            <w:tcW w:w="0" w:type="auto"/>
          </w:tcPr>
          <w:p w14:paraId="073CF0A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13</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429"/>
            </w:tblGrid>
            <w:tr w:rsidR="00E74AB0" w:rsidRPr="006A71D1" w14:paraId="12EDE8B1" w14:textId="77777777" w:rsidTr="00376C8E">
              <w:trPr>
                <w:tblCellSpacing w:w="15" w:type="dxa"/>
              </w:trPr>
              <w:tc>
                <w:tcPr>
                  <w:tcW w:w="36" w:type="dxa"/>
                  <w:vAlign w:val="center"/>
                  <w:hideMark/>
                </w:tcPr>
                <w:p w14:paraId="47E9A098" w14:textId="77777777" w:rsidR="00E74AB0" w:rsidRPr="006A71D1" w:rsidRDefault="00E74AB0" w:rsidP="00376C8E">
                  <w:pPr>
                    <w:spacing w:line="360" w:lineRule="auto"/>
                    <w:jc w:val="both"/>
                    <w:rPr>
                      <w:color w:val="000000" w:themeColor="text1"/>
                      <w:sz w:val="16"/>
                      <w:szCs w:val="16"/>
                    </w:rPr>
                  </w:pPr>
                </w:p>
              </w:tc>
              <w:tc>
                <w:tcPr>
                  <w:tcW w:w="1667" w:type="dxa"/>
                  <w:vAlign w:val="center"/>
                  <w:hideMark/>
                </w:tcPr>
                <w:p w14:paraId="68C2C434"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Participants</w:t>
                  </w:r>
                  <w:proofErr w:type="spellEnd"/>
                  <w:r w:rsidRPr="006A71D1">
                    <w:rPr>
                      <w:color w:val="000000" w:themeColor="text1"/>
                      <w:sz w:val="16"/>
                      <w:szCs w:val="16"/>
                    </w:rPr>
                    <w:t xml:space="preserve"> flow </w:t>
                  </w:r>
                </w:p>
              </w:tc>
            </w:tr>
          </w:tbl>
          <w:p w14:paraId="4C04940F" w14:textId="77777777" w:rsidR="00E74AB0" w:rsidRPr="006A71D1" w:rsidRDefault="00E74AB0" w:rsidP="00376C8E">
            <w:pPr>
              <w:spacing w:line="360" w:lineRule="auto"/>
              <w:jc w:val="both"/>
              <w:rPr>
                <w:color w:val="000000" w:themeColor="text1"/>
                <w:sz w:val="16"/>
                <w:szCs w:val="16"/>
              </w:rPr>
            </w:pPr>
          </w:p>
        </w:tc>
        <w:tc>
          <w:tcPr>
            <w:tcW w:w="0" w:type="auto"/>
          </w:tcPr>
          <w:p w14:paraId="66B0E16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AC44A7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768ADF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5E6993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A90036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1DF8A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7CC0CF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A1A513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EABBED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DC5401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3392B4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33DB96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1FF6FC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F6EFAD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F998E4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0F5006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21D66D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CFFA79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6CC2E9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223D9E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4468C56C" w14:textId="77777777" w:rsidTr="00376C8E">
        <w:tc>
          <w:tcPr>
            <w:tcW w:w="0" w:type="auto"/>
          </w:tcPr>
          <w:p w14:paraId="387D353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14</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6A71D1" w14:paraId="220D6505" w14:textId="77777777" w:rsidTr="00376C8E">
              <w:trPr>
                <w:tblCellSpacing w:w="15" w:type="dxa"/>
              </w:trPr>
              <w:tc>
                <w:tcPr>
                  <w:tcW w:w="36" w:type="dxa"/>
                  <w:vAlign w:val="center"/>
                  <w:hideMark/>
                </w:tcPr>
                <w:p w14:paraId="36708B47" w14:textId="77777777" w:rsidR="00E74AB0" w:rsidRPr="006A71D1" w:rsidRDefault="00E74AB0" w:rsidP="00376C8E">
                  <w:pPr>
                    <w:spacing w:line="360" w:lineRule="auto"/>
                    <w:jc w:val="both"/>
                    <w:rPr>
                      <w:color w:val="000000" w:themeColor="text1"/>
                      <w:sz w:val="16"/>
                      <w:szCs w:val="16"/>
                    </w:rPr>
                  </w:pPr>
                </w:p>
              </w:tc>
              <w:tc>
                <w:tcPr>
                  <w:tcW w:w="1612" w:type="dxa"/>
                  <w:vAlign w:val="center"/>
                  <w:hideMark/>
                </w:tcPr>
                <w:p w14:paraId="169BF105"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Descriptive</w:t>
                  </w:r>
                  <w:proofErr w:type="spellEnd"/>
                  <w:r w:rsidRPr="006A71D1">
                    <w:rPr>
                      <w:color w:val="000000" w:themeColor="text1"/>
                      <w:sz w:val="16"/>
                      <w:szCs w:val="16"/>
                    </w:rPr>
                    <w:t xml:space="preserve"> data </w:t>
                  </w:r>
                </w:p>
              </w:tc>
              <w:tc>
                <w:tcPr>
                  <w:tcW w:w="36" w:type="dxa"/>
                  <w:vAlign w:val="center"/>
                  <w:hideMark/>
                </w:tcPr>
                <w:p w14:paraId="777A1891" w14:textId="77777777" w:rsidR="00E74AB0" w:rsidRPr="006A71D1" w:rsidRDefault="00E74AB0" w:rsidP="00376C8E">
                  <w:pPr>
                    <w:spacing w:line="360" w:lineRule="auto"/>
                    <w:jc w:val="both"/>
                    <w:rPr>
                      <w:color w:val="000000" w:themeColor="text1"/>
                      <w:sz w:val="16"/>
                      <w:szCs w:val="16"/>
                    </w:rPr>
                  </w:pPr>
                </w:p>
              </w:tc>
            </w:tr>
          </w:tbl>
          <w:p w14:paraId="76E92B7B" w14:textId="77777777" w:rsidR="00E74AB0" w:rsidRPr="006A71D1" w:rsidRDefault="00E74AB0" w:rsidP="00376C8E">
            <w:pPr>
              <w:spacing w:line="360" w:lineRule="auto"/>
              <w:jc w:val="both"/>
              <w:rPr>
                <w:color w:val="000000" w:themeColor="text1"/>
                <w:sz w:val="16"/>
                <w:szCs w:val="16"/>
              </w:rPr>
            </w:pPr>
          </w:p>
        </w:tc>
        <w:tc>
          <w:tcPr>
            <w:tcW w:w="0" w:type="auto"/>
          </w:tcPr>
          <w:p w14:paraId="6A36168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80A206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78A5C4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202B42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CC559F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A18210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AB714E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CA8DCB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527742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9FCDB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EA2CAC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649249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F0D332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86F72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6838A3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F5B3D4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A4B5F1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88C682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D835AE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3425FF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0DDCC22C" w14:textId="77777777" w:rsidTr="00376C8E">
        <w:tc>
          <w:tcPr>
            <w:tcW w:w="0" w:type="auto"/>
          </w:tcPr>
          <w:p w14:paraId="026AA4A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15</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429"/>
            </w:tblGrid>
            <w:tr w:rsidR="00E74AB0" w:rsidRPr="006A71D1" w14:paraId="5D525990" w14:textId="77777777" w:rsidTr="00376C8E">
              <w:trPr>
                <w:tblCellSpacing w:w="15" w:type="dxa"/>
              </w:trPr>
              <w:tc>
                <w:tcPr>
                  <w:tcW w:w="36" w:type="dxa"/>
                  <w:vAlign w:val="center"/>
                  <w:hideMark/>
                </w:tcPr>
                <w:p w14:paraId="503AEA57" w14:textId="77777777" w:rsidR="00E74AB0" w:rsidRPr="006A71D1" w:rsidRDefault="00E74AB0" w:rsidP="00376C8E">
                  <w:pPr>
                    <w:spacing w:line="360" w:lineRule="auto"/>
                    <w:jc w:val="both"/>
                    <w:rPr>
                      <w:color w:val="000000" w:themeColor="text1"/>
                      <w:sz w:val="16"/>
                      <w:szCs w:val="16"/>
                    </w:rPr>
                  </w:pPr>
                </w:p>
              </w:tc>
              <w:tc>
                <w:tcPr>
                  <w:tcW w:w="1426" w:type="dxa"/>
                  <w:vAlign w:val="center"/>
                  <w:hideMark/>
                </w:tcPr>
                <w:p w14:paraId="7F3CDF60"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Outcome</w:t>
                  </w:r>
                  <w:proofErr w:type="spellEnd"/>
                  <w:r w:rsidRPr="006A71D1">
                    <w:rPr>
                      <w:color w:val="000000" w:themeColor="text1"/>
                      <w:sz w:val="16"/>
                      <w:szCs w:val="16"/>
                    </w:rPr>
                    <w:t xml:space="preserve"> data </w:t>
                  </w:r>
                </w:p>
              </w:tc>
            </w:tr>
          </w:tbl>
          <w:p w14:paraId="3B42D489" w14:textId="77777777" w:rsidR="00E74AB0" w:rsidRPr="006A71D1" w:rsidRDefault="00E74AB0" w:rsidP="00376C8E">
            <w:pPr>
              <w:spacing w:line="360" w:lineRule="auto"/>
              <w:jc w:val="both"/>
              <w:rPr>
                <w:color w:val="000000" w:themeColor="text1"/>
                <w:sz w:val="16"/>
                <w:szCs w:val="16"/>
              </w:rPr>
            </w:pPr>
          </w:p>
        </w:tc>
        <w:tc>
          <w:tcPr>
            <w:tcW w:w="0" w:type="auto"/>
          </w:tcPr>
          <w:p w14:paraId="0DE062D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43C882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13F326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07D802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9A9E66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5F8EAE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957FA3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F27754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7CA5E4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98FF34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274E60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9AA52D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639054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48D5D3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E3D3B8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E21875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75180E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CCADA2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D20323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733EB7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3B6C8A2D" w14:textId="77777777" w:rsidTr="00376C8E">
        <w:tc>
          <w:tcPr>
            <w:tcW w:w="0" w:type="auto"/>
          </w:tcPr>
          <w:p w14:paraId="6911BD3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16</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268"/>
              <w:gridCol w:w="81"/>
            </w:tblGrid>
            <w:tr w:rsidR="00E74AB0" w:rsidRPr="006A71D1" w14:paraId="2EEC7372" w14:textId="77777777" w:rsidTr="00376C8E">
              <w:trPr>
                <w:tblCellSpacing w:w="15" w:type="dxa"/>
              </w:trPr>
              <w:tc>
                <w:tcPr>
                  <w:tcW w:w="36" w:type="dxa"/>
                  <w:vAlign w:val="center"/>
                  <w:hideMark/>
                </w:tcPr>
                <w:p w14:paraId="6894DFC3" w14:textId="77777777" w:rsidR="00E74AB0" w:rsidRPr="006A71D1" w:rsidRDefault="00E74AB0" w:rsidP="00376C8E">
                  <w:pPr>
                    <w:spacing w:line="360" w:lineRule="auto"/>
                    <w:jc w:val="both"/>
                    <w:rPr>
                      <w:color w:val="000000" w:themeColor="text1"/>
                      <w:sz w:val="16"/>
                      <w:szCs w:val="16"/>
                    </w:rPr>
                  </w:pPr>
                </w:p>
              </w:tc>
              <w:tc>
                <w:tcPr>
                  <w:tcW w:w="1238" w:type="dxa"/>
                  <w:vAlign w:val="center"/>
                  <w:hideMark/>
                </w:tcPr>
                <w:p w14:paraId="3259348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Main results </w:t>
                  </w:r>
                </w:p>
              </w:tc>
              <w:tc>
                <w:tcPr>
                  <w:tcW w:w="36" w:type="dxa"/>
                  <w:vAlign w:val="center"/>
                  <w:hideMark/>
                </w:tcPr>
                <w:p w14:paraId="2341D09A" w14:textId="77777777" w:rsidR="00E74AB0" w:rsidRPr="006A71D1" w:rsidRDefault="00E74AB0" w:rsidP="00376C8E">
                  <w:pPr>
                    <w:spacing w:line="360" w:lineRule="auto"/>
                    <w:jc w:val="both"/>
                    <w:rPr>
                      <w:color w:val="000000" w:themeColor="text1"/>
                      <w:sz w:val="16"/>
                      <w:szCs w:val="16"/>
                    </w:rPr>
                  </w:pPr>
                </w:p>
              </w:tc>
            </w:tr>
          </w:tbl>
          <w:p w14:paraId="4015AB8A" w14:textId="77777777" w:rsidR="00E74AB0" w:rsidRPr="006A71D1" w:rsidRDefault="00E74AB0" w:rsidP="00376C8E">
            <w:pPr>
              <w:spacing w:line="360" w:lineRule="auto"/>
              <w:jc w:val="both"/>
              <w:rPr>
                <w:color w:val="000000" w:themeColor="text1"/>
                <w:sz w:val="16"/>
                <w:szCs w:val="16"/>
              </w:rPr>
            </w:pPr>
          </w:p>
        </w:tc>
        <w:tc>
          <w:tcPr>
            <w:tcW w:w="0" w:type="auto"/>
          </w:tcPr>
          <w:p w14:paraId="1A629FC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4987C8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8EEC5D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B29F2F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35C0B9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D344E9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AB7779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B74481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FF02A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014DDF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B95044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ED2220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E7091F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F9D147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1825E6C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1123A5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354758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A2E24D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48658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F6B88D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64C4EB95" w14:textId="77777777" w:rsidTr="00376C8E">
        <w:tc>
          <w:tcPr>
            <w:tcW w:w="0" w:type="auto"/>
          </w:tcPr>
          <w:p w14:paraId="4DFDA86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17</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6A71D1" w14:paraId="1D7B3D70" w14:textId="77777777" w:rsidTr="00376C8E">
              <w:trPr>
                <w:tblCellSpacing w:w="15" w:type="dxa"/>
              </w:trPr>
              <w:tc>
                <w:tcPr>
                  <w:tcW w:w="36" w:type="dxa"/>
                  <w:vAlign w:val="center"/>
                  <w:hideMark/>
                </w:tcPr>
                <w:p w14:paraId="173353C3" w14:textId="77777777" w:rsidR="00E74AB0" w:rsidRPr="006A71D1" w:rsidRDefault="00E74AB0" w:rsidP="00376C8E">
                  <w:pPr>
                    <w:spacing w:line="360" w:lineRule="auto"/>
                    <w:jc w:val="both"/>
                    <w:rPr>
                      <w:color w:val="000000" w:themeColor="text1"/>
                      <w:sz w:val="16"/>
                      <w:szCs w:val="16"/>
                    </w:rPr>
                  </w:pPr>
                </w:p>
              </w:tc>
              <w:tc>
                <w:tcPr>
                  <w:tcW w:w="3972" w:type="dxa"/>
                  <w:vAlign w:val="center"/>
                  <w:hideMark/>
                </w:tcPr>
                <w:p w14:paraId="2721247A"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Other</w:t>
                  </w:r>
                  <w:proofErr w:type="spellEnd"/>
                  <w:r w:rsidRPr="006A71D1">
                    <w:rPr>
                      <w:color w:val="000000" w:themeColor="text1"/>
                      <w:sz w:val="16"/>
                      <w:szCs w:val="16"/>
                    </w:rPr>
                    <w:t xml:space="preserve"> </w:t>
                  </w:r>
                  <w:proofErr w:type="spellStart"/>
                  <w:r w:rsidRPr="006A71D1">
                    <w:rPr>
                      <w:color w:val="000000" w:themeColor="text1"/>
                      <w:sz w:val="16"/>
                      <w:szCs w:val="16"/>
                    </w:rPr>
                    <w:t>analyses</w:t>
                  </w:r>
                  <w:proofErr w:type="spellEnd"/>
                  <w:r w:rsidRPr="006A71D1">
                    <w:rPr>
                      <w:color w:val="000000" w:themeColor="text1"/>
                      <w:sz w:val="16"/>
                      <w:szCs w:val="16"/>
                    </w:rPr>
                    <w:t xml:space="preserve"> (</w:t>
                  </w:r>
                  <w:proofErr w:type="spellStart"/>
                  <w:r w:rsidRPr="006A71D1">
                    <w:rPr>
                      <w:color w:val="000000" w:themeColor="text1"/>
                      <w:sz w:val="16"/>
                      <w:szCs w:val="16"/>
                    </w:rPr>
                    <w:t>subgroups</w:t>
                  </w:r>
                  <w:proofErr w:type="spellEnd"/>
                  <w:r w:rsidRPr="006A71D1">
                    <w:rPr>
                      <w:color w:val="000000" w:themeColor="text1"/>
                      <w:sz w:val="16"/>
                      <w:szCs w:val="16"/>
                    </w:rPr>
                    <w:t>)</w:t>
                  </w:r>
                </w:p>
              </w:tc>
              <w:tc>
                <w:tcPr>
                  <w:tcW w:w="36" w:type="dxa"/>
                  <w:vAlign w:val="center"/>
                  <w:hideMark/>
                </w:tcPr>
                <w:p w14:paraId="3D811E7C" w14:textId="77777777" w:rsidR="00E74AB0" w:rsidRPr="006A71D1" w:rsidRDefault="00E74AB0" w:rsidP="00376C8E">
                  <w:pPr>
                    <w:spacing w:line="360" w:lineRule="auto"/>
                    <w:jc w:val="both"/>
                    <w:rPr>
                      <w:color w:val="000000" w:themeColor="text1"/>
                      <w:sz w:val="16"/>
                      <w:szCs w:val="16"/>
                    </w:rPr>
                  </w:pPr>
                </w:p>
              </w:tc>
            </w:tr>
          </w:tbl>
          <w:p w14:paraId="1BF0A29E" w14:textId="77777777" w:rsidR="00E74AB0" w:rsidRPr="006A71D1" w:rsidRDefault="00E74AB0" w:rsidP="00376C8E">
            <w:pPr>
              <w:spacing w:line="360" w:lineRule="auto"/>
              <w:jc w:val="both"/>
              <w:rPr>
                <w:color w:val="000000" w:themeColor="text1"/>
                <w:sz w:val="16"/>
                <w:szCs w:val="16"/>
              </w:rPr>
            </w:pPr>
          </w:p>
        </w:tc>
        <w:tc>
          <w:tcPr>
            <w:tcW w:w="0" w:type="auto"/>
          </w:tcPr>
          <w:p w14:paraId="799B525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B22C9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C649E9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B25515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1AD3BF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DE2144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318FD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967D19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EE1822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C4BC1C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155C96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31D6E9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B281A0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C7A63F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E59DF2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8D2047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C02902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9617EE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C4EA0F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F81E1E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743CD817" w14:textId="77777777" w:rsidTr="00376C8E">
        <w:tc>
          <w:tcPr>
            <w:tcW w:w="0" w:type="auto"/>
          </w:tcPr>
          <w:p w14:paraId="718E8CA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18</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6A71D1" w14:paraId="4D76A379" w14:textId="77777777" w:rsidTr="00376C8E">
              <w:trPr>
                <w:tblCellSpacing w:w="15" w:type="dxa"/>
              </w:trPr>
              <w:tc>
                <w:tcPr>
                  <w:tcW w:w="36" w:type="dxa"/>
                  <w:vAlign w:val="center"/>
                  <w:hideMark/>
                </w:tcPr>
                <w:p w14:paraId="04B75849" w14:textId="77777777" w:rsidR="00E74AB0" w:rsidRPr="006A71D1" w:rsidRDefault="00E74AB0" w:rsidP="00376C8E">
                  <w:pPr>
                    <w:spacing w:line="360" w:lineRule="auto"/>
                    <w:jc w:val="both"/>
                    <w:rPr>
                      <w:color w:val="000000" w:themeColor="text1"/>
                      <w:sz w:val="16"/>
                      <w:szCs w:val="16"/>
                    </w:rPr>
                  </w:pPr>
                </w:p>
              </w:tc>
              <w:tc>
                <w:tcPr>
                  <w:tcW w:w="2402" w:type="dxa"/>
                  <w:vAlign w:val="center"/>
                  <w:hideMark/>
                </w:tcPr>
                <w:p w14:paraId="08C2AC2F"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Discussion</w:t>
                  </w:r>
                  <w:proofErr w:type="spellEnd"/>
                  <w:r w:rsidRPr="006A71D1">
                    <w:rPr>
                      <w:color w:val="000000" w:themeColor="text1"/>
                      <w:sz w:val="16"/>
                      <w:szCs w:val="16"/>
                    </w:rPr>
                    <w:t xml:space="preserve"> of </w:t>
                  </w:r>
                  <w:proofErr w:type="spellStart"/>
                  <w:r w:rsidRPr="006A71D1">
                    <w:rPr>
                      <w:color w:val="000000" w:themeColor="text1"/>
                      <w:sz w:val="16"/>
                      <w:szCs w:val="16"/>
                    </w:rPr>
                    <w:t>key</w:t>
                  </w:r>
                  <w:proofErr w:type="spellEnd"/>
                  <w:r w:rsidRPr="006A71D1">
                    <w:rPr>
                      <w:color w:val="000000" w:themeColor="text1"/>
                      <w:sz w:val="16"/>
                      <w:szCs w:val="16"/>
                    </w:rPr>
                    <w:t xml:space="preserve"> </w:t>
                  </w:r>
                  <w:proofErr w:type="spellStart"/>
                  <w:r w:rsidRPr="006A71D1">
                    <w:rPr>
                      <w:color w:val="000000" w:themeColor="text1"/>
                      <w:sz w:val="16"/>
                      <w:szCs w:val="16"/>
                    </w:rPr>
                    <w:t>results</w:t>
                  </w:r>
                  <w:proofErr w:type="spellEnd"/>
                </w:p>
              </w:tc>
              <w:tc>
                <w:tcPr>
                  <w:tcW w:w="36" w:type="dxa"/>
                  <w:vAlign w:val="center"/>
                  <w:hideMark/>
                </w:tcPr>
                <w:p w14:paraId="2F543B60" w14:textId="77777777" w:rsidR="00E74AB0" w:rsidRPr="006A71D1" w:rsidRDefault="00E74AB0" w:rsidP="00376C8E">
                  <w:pPr>
                    <w:spacing w:line="360" w:lineRule="auto"/>
                    <w:jc w:val="both"/>
                    <w:rPr>
                      <w:color w:val="000000" w:themeColor="text1"/>
                      <w:sz w:val="16"/>
                      <w:szCs w:val="16"/>
                    </w:rPr>
                  </w:pPr>
                </w:p>
              </w:tc>
            </w:tr>
          </w:tbl>
          <w:p w14:paraId="5B6A2B60" w14:textId="77777777" w:rsidR="00E74AB0" w:rsidRPr="006A71D1" w:rsidRDefault="00E74AB0" w:rsidP="00376C8E">
            <w:pPr>
              <w:spacing w:line="360" w:lineRule="auto"/>
              <w:jc w:val="both"/>
              <w:rPr>
                <w:color w:val="000000" w:themeColor="text1"/>
                <w:sz w:val="16"/>
                <w:szCs w:val="16"/>
              </w:rPr>
            </w:pPr>
          </w:p>
        </w:tc>
        <w:tc>
          <w:tcPr>
            <w:tcW w:w="0" w:type="auto"/>
          </w:tcPr>
          <w:p w14:paraId="130EFA9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0B017D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E90958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BC491B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F16EC2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D6D6EE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A436CC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7AFF8B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4E62F3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DAE58F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4983C4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F4E028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EC4DE5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192D16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877300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F79984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6D4276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3F7553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28CA91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93FEB9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0814444F" w14:textId="77777777" w:rsidTr="00376C8E">
        <w:tc>
          <w:tcPr>
            <w:tcW w:w="0" w:type="auto"/>
          </w:tcPr>
          <w:p w14:paraId="5D3ACFF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19</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111"/>
              <w:gridCol w:w="318"/>
            </w:tblGrid>
            <w:tr w:rsidR="00E74AB0" w:rsidRPr="006A71D1" w14:paraId="4222AE73" w14:textId="77777777" w:rsidTr="00376C8E">
              <w:trPr>
                <w:tblCellSpacing w:w="15" w:type="dxa"/>
              </w:trPr>
              <w:tc>
                <w:tcPr>
                  <w:tcW w:w="36" w:type="dxa"/>
                  <w:vAlign w:val="center"/>
                  <w:hideMark/>
                </w:tcPr>
                <w:p w14:paraId="3448CF88" w14:textId="77777777" w:rsidR="00E74AB0" w:rsidRPr="006A71D1" w:rsidRDefault="00E74AB0" w:rsidP="00376C8E">
                  <w:pPr>
                    <w:spacing w:line="360" w:lineRule="auto"/>
                    <w:jc w:val="both"/>
                    <w:rPr>
                      <w:color w:val="000000" w:themeColor="text1"/>
                      <w:sz w:val="16"/>
                      <w:szCs w:val="16"/>
                    </w:rPr>
                  </w:pPr>
                </w:p>
              </w:tc>
              <w:tc>
                <w:tcPr>
                  <w:tcW w:w="1671" w:type="dxa"/>
                  <w:vAlign w:val="center"/>
                  <w:hideMark/>
                </w:tcPr>
                <w:p w14:paraId="684E72F7"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Study</w:t>
                  </w:r>
                  <w:proofErr w:type="spellEnd"/>
                  <w:r w:rsidRPr="006A71D1">
                    <w:rPr>
                      <w:color w:val="000000" w:themeColor="text1"/>
                      <w:sz w:val="16"/>
                      <w:szCs w:val="16"/>
                    </w:rPr>
                    <w:t xml:space="preserve"> </w:t>
                  </w:r>
                  <w:proofErr w:type="spellStart"/>
                  <w:r w:rsidRPr="006A71D1">
                    <w:rPr>
                      <w:color w:val="000000" w:themeColor="text1"/>
                      <w:sz w:val="16"/>
                      <w:szCs w:val="16"/>
                    </w:rPr>
                    <w:t>limitations</w:t>
                  </w:r>
                  <w:proofErr w:type="spellEnd"/>
                  <w:r w:rsidRPr="006A71D1">
                    <w:rPr>
                      <w:color w:val="000000" w:themeColor="text1"/>
                      <w:sz w:val="16"/>
                      <w:szCs w:val="16"/>
                    </w:rPr>
                    <w:t xml:space="preserve"> </w:t>
                  </w:r>
                </w:p>
              </w:tc>
              <w:tc>
                <w:tcPr>
                  <w:tcW w:w="655" w:type="dxa"/>
                  <w:vAlign w:val="center"/>
                  <w:hideMark/>
                </w:tcPr>
                <w:p w14:paraId="249D506A" w14:textId="77777777" w:rsidR="00E74AB0" w:rsidRPr="006A71D1" w:rsidRDefault="00E74AB0" w:rsidP="00376C8E">
                  <w:pPr>
                    <w:spacing w:line="360" w:lineRule="auto"/>
                    <w:jc w:val="both"/>
                    <w:rPr>
                      <w:color w:val="000000" w:themeColor="text1"/>
                      <w:sz w:val="16"/>
                      <w:szCs w:val="16"/>
                    </w:rPr>
                  </w:pPr>
                </w:p>
              </w:tc>
            </w:tr>
          </w:tbl>
          <w:p w14:paraId="478B579B" w14:textId="77777777" w:rsidR="00E74AB0" w:rsidRPr="006A71D1" w:rsidRDefault="00E74AB0" w:rsidP="00376C8E">
            <w:pPr>
              <w:spacing w:line="360" w:lineRule="auto"/>
              <w:jc w:val="both"/>
              <w:rPr>
                <w:color w:val="000000" w:themeColor="text1"/>
                <w:sz w:val="16"/>
                <w:szCs w:val="16"/>
              </w:rPr>
            </w:pPr>
          </w:p>
        </w:tc>
        <w:tc>
          <w:tcPr>
            <w:tcW w:w="0" w:type="auto"/>
          </w:tcPr>
          <w:p w14:paraId="47ACA96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EAC06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E5462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BC037B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826CF4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3EBE36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B7F371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A70427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FB1DCE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73E9A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AD66DF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F44E06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06213E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DA1829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81CC62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2EBCA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ABF7B6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EEEC11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871730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357BDA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57AE5BF7" w14:textId="77777777" w:rsidTr="00376C8E">
        <w:tc>
          <w:tcPr>
            <w:tcW w:w="0" w:type="auto"/>
          </w:tcPr>
          <w:p w14:paraId="0C8D2F7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20</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6A71D1" w14:paraId="34A3481D" w14:textId="77777777" w:rsidTr="00376C8E">
              <w:trPr>
                <w:tblCellSpacing w:w="15" w:type="dxa"/>
              </w:trPr>
              <w:tc>
                <w:tcPr>
                  <w:tcW w:w="36" w:type="dxa"/>
                  <w:vAlign w:val="center"/>
                  <w:hideMark/>
                </w:tcPr>
                <w:p w14:paraId="1F63AF5F" w14:textId="77777777" w:rsidR="00E74AB0" w:rsidRPr="006A71D1" w:rsidRDefault="00E74AB0" w:rsidP="00376C8E">
                  <w:pPr>
                    <w:spacing w:line="360" w:lineRule="auto"/>
                    <w:jc w:val="both"/>
                    <w:rPr>
                      <w:color w:val="000000" w:themeColor="text1"/>
                      <w:sz w:val="16"/>
                      <w:szCs w:val="16"/>
                    </w:rPr>
                  </w:pPr>
                </w:p>
              </w:tc>
              <w:tc>
                <w:tcPr>
                  <w:tcW w:w="2254" w:type="dxa"/>
                  <w:vAlign w:val="center"/>
                  <w:hideMark/>
                </w:tcPr>
                <w:p w14:paraId="4E4B84A3"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Interpretation</w:t>
                  </w:r>
                  <w:proofErr w:type="spellEnd"/>
                  <w:r w:rsidRPr="006A71D1">
                    <w:rPr>
                      <w:color w:val="000000" w:themeColor="text1"/>
                      <w:sz w:val="16"/>
                      <w:szCs w:val="16"/>
                    </w:rPr>
                    <w:t xml:space="preserve"> </w:t>
                  </w:r>
                  <w:proofErr w:type="spellStart"/>
                  <w:r w:rsidRPr="006A71D1">
                    <w:rPr>
                      <w:color w:val="000000" w:themeColor="text1"/>
                      <w:sz w:val="16"/>
                      <w:szCs w:val="16"/>
                    </w:rPr>
                    <w:t>justified</w:t>
                  </w:r>
                  <w:proofErr w:type="spellEnd"/>
                </w:p>
              </w:tc>
              <w:tc>
                <w:tcPr>
                  <w:tcW w:w="36" w:type="dxa"/>
                  <w:vAlign w:val="center"/>
                  <w:hideMark/>
                </w:tcPr>
                <w:p w14:paraId="422C32BD" w14:textId="77777777" w:rsidR="00E74AB0" w:rsidRPr="006A71D1" w:rsidRDefault="00E74AB0" w:rsidP="00376C8E">
                  <w:pPr>
                    <w:spacing w:line="360" w:lineRule="auto"/>
                    <w:jc w:val="both"/>
                    <w:rPr>
                      <w:color w:val="000000" w:themeColor="text1"/>
                      <w:sz w:val="16"/>
                      <w:szCs w:val="16"/>
                    </w:rPr>
                  </w:pPr>
                </w:p>
              </w:tc>
            </w:tr>
          </w:tbl>
          <w:p w14:paraId="77125700" w14:textId="77777777" w:rsidR="00E74AB0" w:rsidRPr="006A71D1" w:rsidRDefault="00E74AB0" w:rsidP="00376C8E">
            <w:pPr>
              <w:spacing w:line="360" w:lineRule="auto"/>
              <w:jc w:val="both"/>
              <w:rPr>
                <w:color w:val="000000" w:themeColor="text1"/>
                <w:sz w:val="16"/>
                <w:szCs w:val="16"/>
              </w:rPr>
            </w:pPr>
          </w:p>
        </w:tc>
        <w:tc>
          <w:tcPr>
            <w:tcW w:w="0" w:type="auto"/>
          </w:tcPr>
          <w:p w14:paraId="15A08C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B35C53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8DCC63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8AD455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A4AAD4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DE6EC3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EFFD46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83C9D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E2D19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98E4B5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2ED342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0F5A29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A6A609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E07E7C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052B6B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038A85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89F7A0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9196FF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FE9B95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47716B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16682181" w14:textId="77777777" w:rsidTr="00376C8E">
        <w:tc>
          <w:tcPr>
            <w:tcW w:w="0" w:type="auto"/>
          </w:tcPr>
          <w:p w14:paraId="570B008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21</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6A71D1" w14:paraId="03CDF80D" w14:textId="77777777" w:rsidTr="00376C8E">
              <w:trPr>
                <w:tblCellSpacing w:w="15" w:type="dxa"/>
              </w:trPr>
              <w:tc>
                <w:tcPr>
                  <w:tcW w:w="36" w:type="dxa"/>
                  <w:vAlign w:val="center"/>
                  <w:hideMark/>
                </w:tcPr>
                <w:p w14:paraId="5C1F0C4F" w14:textId="77777777" w:rsidR="00E74AB0" w:rsidRPr="006A71D1" w:rsidRDefault="00E74AB0" w:rsidP="00376C8E">
                  <w:pPr>
                    <w:spacing w:line="360" w:lineRule="auto"/>
                    <w:jc w:val="both"/>
                    <w:rPr>
                      <w:color w:val="000000" w:themeColor="text1"/>
                      <w:sz w:val="16"/>
                      <w:szCs w:val="16"/>
                    </w:rPr>
                  </w:pPr>
                </w:p>
              </w:tc>
              <w:tc>
                <w:tcPr>
                  <w:tcW w:w="2567" w:type="dxa"/>
                  <w:vAlign w:val="center"/>
                  <w:hideMark/>
                </w:tcPr>
                <w:p w14:paraId="2E281C6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 xml:space="preserve">Funding sources and roles </w:t>
                  </w:r>
                </w:p>
              </w:tc>
              <w:tc>
                <w:tcPr>
                  <w:tcW w:w="36" w:type="dxa"/>
                  <w:vAlign w:val="center"/>
                  <w:hideMark/>
                </w:tcPr>
                <w:p w14:paraId="53D74063" w14:textId="77777777" w:rsidR="00E74AB0" w:rsidRPr="006A71D1" w:rsidRDefault="00E74AB0" w:rsidP="00376C8E">
                  <w:pPr>
                    <w:spacing w:line="360" w:lineRule="auto"/>
                    <w:jc w:val="both"/>
                    <w:rPr>
                      <w:color w:val="000000" w:themeColor="text1"/>
                      <w:sz w:val="16"/>
                      <w:szCs w:val="16"/>
                    </w:rPr>
                  </w:pPr>
                </w:p>
              </w:tc>
            </w:tr>
          </w:tbl>
          <w:p w14:paraId="0FB1B549" w14:textId="77777777" w:rsidR="00E74AB0" w:rsidRPr="006A71D1" w:rsidRDefault="00E74AB0" w:rsidP="00376C8E">
            <w:pPr>
              <w:spacing w:line="360" w:lineRule="auto"/>
              <w:jc w:val="both"/>
              <w:rPr>
                <w:color w:val="000000" w:themeColor="text1"/>
                <w:sz w:val="16"/>
                <w:szCs w:val="16"/>
              </w:rPr>
            </w:pPr>
          </w:p>
        </w:tc>
        <w:tc>
          <w:tcPr>
            <w:tcW w:w="0" w:type="auto"/>
          </w:tcPr>
          <w:p w14:paraId="2F846B9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62050E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0CD827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712FE6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EB7645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C91B8D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D6D22E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EE0584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FA842C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516F76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D1F0BB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B10E2F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1DEF64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19A69D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BDA4BF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0A1492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8031C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F01E27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59431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96FF07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574F00FE" w14:textId="77777777" w:rsidTr="00376C8E">
        <w:tc>
          <w:tcPr>
            <w:tcW w:w="0" w:type="auto"/>
          </w:tcPr>
          <w:p w14:paraId="33DA0E6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22</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48"/>
              <w:gridCol w:w="81"/>
            </w:tblGrid>
            <w:tr w:rsidR="00E74AB0" w:rsidRPr="006A71D1" w14:paraId="4DDE7760" w14:textId="77777777" w:rsidTr="00376C8E">
              <w:trPr>
                <w:tblCellSpacing w:w="15" w:type="dxa"/>
              </w:trPr>
              <w:tc>
                <w:tcPr>
                  <w:tcW w:w="36" w:type="dxa"/>
                  <w:vAlign w:val="center"/>
                  <w:hideMark/>
                </w:tcPr>
                <w:p w14:paraId="4F677CA1" w14:textId="77777777" w:rsidR="00E74AB0" w:rsidRPr="006A71D1" w:rsidRDefault="00E74AB0" w:rsidP="00376C8E">
                  <w:pPr>
                    <w:spacing w:line="360" w:lineRule="auto"/>
                    <w:jc w:val="both"/>
                    <w:rPr>
                      <w:color w:val="000000" w:themeColor="text1"/>
                      <w:sz w:val="16"/>
                      <w:szCs w:val="16"/>
                    </w:rPr>
                  </w:pPr>
                </w:p>
              </w:tc>
              <w:tc>
                <w:tcPr>
                  <w:tcW w:w="1515" w:type="dxa"/>
                  <w:vAlign w:val="center"/>
                  <w:hideMark/>
                </w:tcPr>
                <w:p w14:paraId="502505F4" w14:textId="77777777" w:rsidR="00E74AB0" w:rsidRPr="006A71D1" w:rsidRDefault="00E74AB0" w:rsidP="00376C8E">
                  <w:pPr>
                    <w:spacing w:line="360" w:lineRule="auto"/>
                    <w:jc w:val="both"/>
                    <w:rPr>
                      <w:color w:val="000000" w:themeColor="text1"/>
                      <w:sz w:val="16"/>
                      <w:szCs w:val="16"/>
                    </w:rPr>
                  </w:pPr>
                  <w:proofErr w:type="spellStart"/>
                  <w:r w:rsidRPr="006A71D1">
                    <w:rPr>
                      <w:color w:val="000000" w:themeColor="text1"/>
                      <w:sz w:val="16"/>
                      <w:szCs w:val="16"/>
                    </w:rPr>
                    <w:t>Ethics</w:t>
                  </w:r>
                  <w:proofErr w:type="spellEnd"/>
                  <w:r w:rsidRPr="006A71D1">
                    <w:rPr>
                      <w:color w:val="000000" w:themeColor="text1"/>
                      <w:sz w:val="16"/>
                      <w:szCs w:val="16"/>
                    </w:rPr>
                    <w:t xml:space="preserve"> </w:t>
                  </w:r>
                  <w:proofErr w:type="spellStart"/>
                  <w:r w:rsidRPr="006A71D1">
                    <w:rPr>
                      <w:color w:val="000000" w:themeColor="text1"/>
                      <w:sz w:val="16"/>
                      <w:szCs w:val="16"/>
                    </w:rPr>
                    <w:t>approval</w:t>
                  </w:r>
                  <w:proofErr w:type="spellEnd"/>
                  <w:r w:rsidRPr="006A71D1">
                    <w:rPr>
                      <w:color w:val="000000" w:themeColor="text1"/>
                      <w:sz w:val="16"/>
                      <w:szCs w:val="16"/>
                    </w:rPr>
                    <w:t xml:space="preserve"> </w:t>
                  </w:r>
                </w:p>
              </w:tc>
              <w:tc>
                <w:tcPr>
                  <w:tcW w:w="36" w:type="dxa"/>
                  <w:vAlign w:val="center"/>
                  <w:hideMark/>
                </w:tcPr>
                <w:p w14:paraId="376236D6" w14:textId="77777777" w:rsidR="00E74AB0" w:rsidRPr="006A71D1" w:rsidRDefault="00E74AB0" w:rsidP="00376C8E">
                  <w:pPr>
                    <w:spacing w:line="360" w:lineRule="auto"/>
                    <w:jc w:val="both"/>
                    <w:rPr>
                      <w:color w:val="000000" w:themeColor="text1"/>
                      <w:sz w:val="16"/>
                      <w:szCs w:val="16"/>
                    </w:rPr>
                  </w:pPr>
                </w:p>
              </w:tc>
            </w:tr>
          </w:tbl>
          <w:p w14:paraId="6A966A3A" w14:textId="77777777" w:rsidR="00E74AB0" w:rsidRPr="006A71D1" w:rsidRDefault="00E74AB0" w:rsidP="00376C8E">
            <w:pPr>
              <w:spacing w:line="360" w:lineRule="auto"/>
              <w:jc w:val="both"/>
              <w:rPr>
                <w:color w:val="000000" w:themeColor="text1"/>
                <w:sz w:val="16"/>
                <w:szCs w:val="16"/>
              </w:rPr>
            </w:pPr>
          </w:p>
        </w:tc>
        <w:tc>
          <w:tcPr>
            <w:tcW w:w="0" w:type="auto"/>
          </w:tcPr>
          <w:p w14:paraId="2776106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761323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6D125A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09F3DA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80E224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1454D5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AB3EDD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3B96ED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BDEC88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CBF143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9777EE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84B9C7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7BD439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2D6B59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2017BD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DF87EA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11EE80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9B8A3A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B6ACCE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B42A8B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129C5656" w14:textId="77777777" w:rsidTr="00376C8E">
        <w:tc>
          <w:tcPr>
            <w:tcW w:w="0" w:type="auto"/>
          </w:tcPr>
          <w:p w14:paraId="0CE5F6EE" w14:textId="77777777" w:rsidR="00E74AB0" w:rsidRPr="006A71D1" w:rsidRDefault="00E74AB0" w:rsidP="00376C8E">
            <w:pPr>
              <w:spacing w:line="360" w:lineRule="auto"/>
              <w:jc w:val="both"/>
              <w:rPr>
                <w:b/>
                <w:bCs/>
                <w:color w:val="000000" w:themeColor="text1"/>
                <w:sz w:val="16"/>
                <w:szCs w:val="16"/>
              </w:rPr>
            </w:pPr>
          </w:p>
        </w:tc>
        <w:tc>
          <w:tcPr>
            <w:tcW w:w="0" w:type="auto"/>
          </w:tcPr>
          <w:p w14:paraId="6D3EB617"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Total</w:t>
            </w:r>
          </w:p>
        </w:tc>
        <w:tc>
          <w:tcPr>
            <w:tcW w:w="0" w:type="auto"/>
          </w:tcPr>
          <w:p w14:paraId="19DC81F3"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19</w:t>
            </w:r>
          </w:p>
        </w:tc>
        <w:tc>
          <w:tcPr>
            <w:tcW w:w="0" w:type="auto"/>
          </w:tcPr>
          <w:p w14:paraId="3B7208D7"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20C9F779"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7F27AEDA"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306BCF7E"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19</w:t>
            </w:r>
          </w:p>
        </w:tc>
        <w:tc>
          <w:tcPr>
            <w:tcW w:w="0" w:type="auto"/>
          </w:tcPr>
          <w:p w14:paraId="3303D6A3"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354DF818"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19</w:t>
            </w:r>
          </w:p>
        </w:tc>
        <w:tc>
          <w:tcPr>
            <w:tcW w:w="0" w:type="auto"/>
          </w:tcPr>
          <w:p w14:paraId="0B337222"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17</w:t>
            </w:r>
          </w:p>
        </w:tc>
        <w:tc>
          <w:tcPr>
            <w:tcW w:w="0" w:type="auto"/>
          </w:tcPr>
          <w:p w14:paraId="4FAE4BC8"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6C9E11CB"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20</w:t>
            </w:r>
          </w:p>
        </w:tc>
        <w:tc>
          <w:tcPr>
            <w:tcW w:w="0" w:type="auto"/>
          </w:tcPr>
          <w:p w14:paraId="071D864C"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12B5B44E"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5FD2CBA2"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34DAE1A4"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16</w:t>
            </w:r>
          </w:p>
        </w:tc>
        <w:tc>
          <w:tcPr>
            <w:tcW w:w="0" w:type="auto"/>
          </w:tcPr>
          <w:p w14:paraId="4C0F179C"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7A099D00"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5DD90754"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18</w:t>
            </w:r>
          </w:p>
        </w:tc>
        <w:tc>
          <w:tcPr>
            <w:tcW w:w="0" w:type="auto"/>
          </w:tcPr>
          <w:p w14:paraId="69FB04F1"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5DF9932D"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18</w:t>
            </w:r>
          </w:p>
        </w:tc>
        <w:tc>
          <w:tcPr>
            <w:tcW w:w="0" w:type="auto"/>
          </w:tcPr>
          <w:p w14:paraId="4A900854"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16</w:t>
            </w:r>
          </w:p>
        </w:tc>
      </w:tr>
    </w:tbl>
    <w:p w14:paraId="12A8D03A" w14:textId="77777777" w:rsidR="00E74AB0" w:rsidRPr="006A71D1" w:rsidRDefault="00E74AB0" w:rsidP="00E74AB0">
      <w:pPr>
        <w:spacing w:line="360" w:lineRule="auto"/>
        <w:jc w:val="both"/>
        <w:rPr>
          <w:color w:val="000000" w:themeColor="text1"/>
        </w:rPr>
      </w:pPr>
    </w:p>
    <w:p w14:paraId="7148F046" w14:textId="77777777" w:rsidR="00E74AB0" w:rsidRDefault="00E74AB0" w:rsidP="00E74AB0">
      <w:pPr>
        <w:spacing w:line="360" w:lineRule="auto"/>
        <w:jc w:val="both"/>
        <w:rPr>
          <w:color w:val="000000" w:themeColor="text1"/>
        </w:rPr>
      </w:pPr>
    </w:p>
    <w:p w14:paraId="163697E8" w14:textId="77777777" w:rsidR="00E74AB0" w:rsidRDefault="00E74AB0" w:rsidP="00E74AB0">
      <w:pPr>
        <w:spacing w:line="360" w:lineRule="auto"/>
        <w:jc w:val="both"/>
        <w:rPr>
          <w:color w:val="000000" w:themeColor="text1"/>
        </w:rPr>
      </w:pPr>
    </w:p>
    <w:p w14:paraId="476E571A" w14:textId="77777777" w:rsidR="00E74AB0" w:rsidRDefault="00E74AB0" w:rsidP="00E74AB0">
      <w:pPr>
        <w:spacing w:line="360" w:lineRule="auto"/>
        <w:jc w:val="both"/>
        <w:rPr>
          <w:color w:val="000000" w:themeColor="text1"/>
        </w:rPr>
      </w:pPr>
    </w:p>
    <w:p w14:paraId="6F1066A5" w14:textId="77777777" w:rsidR="00E74AB0" w:rsidRDefault="00E74AB0" w:rsidP="00E74AB0">
      <w:pPr>
        <w:spacing w:line="360" w:lineRule="auto"/>
        <w:jc w:val="both"/>
        <w:rPr>
          <w:color w:val="000000" w:themeColor="text1"/>
        </w:rPr>
      </w:pPr>
    </w:p>
    <w:p w14:paraId="633EBEDA" w14:textId="77777777" w:rsidR="00E74AB0" w:rsidRPr="006A71D1" w:rsidRDefault="00E74AB0" w:rsidP="00E74AB0">
      <w:pPr>
        <w:spacing w:line="360" w:lineRule="auto"/>
        <w:jc w:val="both"/>
        <w:rPr>
          <w:color w:val="000000" w:themeColor="text1"/>
          <w:sz w:val="20"/>
          <w:szCs w:val="20"/>
          <w:lang w:val="en-US"/>
        </w:rPr>
      </w:pPr>
    </w:p>
    <w:tbl>
      <w:tblPr>
        <w:tblStyle w:val="Grigliatabella"/>
        <w:tblpPr w:leftFromText="141" w:rightFromText="141" w:vertAnchor="page" w:horzAnchor="margin" w:tblpY="1551"/>
        <w:tblW w:w="0" w:type="auto"/>
        <w:tblLook w:val="04A0" w:firstRow="1" w:lastRow="0" w:firstColumn="1" w:lastColumn="0" w:noHBand="0" w:noVBand="1"/>
      </w:tblPr>
      <w:tblGrid>
        <w:gridCol w:w="376"/>
        <w:gridCol w:w="2102"/>
        <w:gridCol w:w="376"/>
        <w:gridCol w:w="376"/>
        <w:gridCol w:w="376"/>
        <w:gridCol w:w="376"/>
        <w:gridCol w:w="376"/>
        <w:gridCol w:w="376"/>
        <w:gridCol w:w="376"/>
        <w:gridCol w:w="376"/>
        <w:gridCol w:w="376"/>
        <w:gridCol w:w="376"/>
        <w:gridCol w:w="376"/>
        <w:gridCol w:w="376"/>
        <w:gridCol w:w="376"/>
        <w:gridCol w:w="376"/>
        <w:gridCol w:w="376"/>
        <w:gridCol w:w="376"/>
        <w:gridCol w:w="376"/>
        <w:gridCol w:w="376"/>
        <w:gridCol w:w="376"/>
      </w:tblGrid>
      <w:tr w:rsidR="00E74AB0" w:rsidRPr="006A71D1" w14:paraId="03095CCB" w14:textId="77777777" w:rsidTr="00376C8E">
        <w:trPr>
          <w:trHeight w:val="272"/>
        </w:trPr>
        <w:tc>
          <w:tcPr>
            <w:tcW w:w="0" w:type="auto"/>
          </w:tcPr>
          <w:p w14:paraId="792C9539" w14:textId="77777777" w:rsidR="00E74AB0" w:rsidRPr="006A71D1" w:rsidRDefault="00E74AB0" w:rsidP="00376C8E">
            <w:pPr>
              <w:spacing w:line="360" w:lineRule="auto"/>
              <w:jc w:val="both"/>
              <w:rPr>
                <w:b/>
                <w:bCs/>
                <w:color w:val="000000" w:themeColor="text1"/>
                <w:sz w:val="16"/>
                <w:szCs w:val="16"/>
                <w:lang w:val="en-US"/>
              </w:rPr>
            </w:pPr>
          </w:p>
        </w:tc>
        <w:tc>
          <w:tcPr>
            <w:tcW w:w="0" w:type="auto"/>
          </w:tcPr>
          <w:p w14:paraId="3E65985A" w14:textId="77777777" w:rsidR="00E74AB0" w:rsidRPr="006A71D1" w:rsidRDefault="00E74AB0" w:rsidP="00376C8E">
            <w:pPr>
              <w:spacing w:line="360" w:lineRule="auto"/>
              <w:jc w:val="both"/>
              <w:rPr>
                <w:b/>
                <w:bCs/>
                <w:color w:val="000000" w:themeColor="text1"/>
                <w:sz w:val="16"/>
                <w:szCs w:val="16"/>
                <w:lang w:val="en-US"/>
              </w:rPr>
            </w:pPr>
            <w:proofErr w:type="spellStart"/>
            <w:r w:rsidRPr="006A71D1">
              <w:rPr>
                <w:b/>
                <w:bCs/>
                <w:color w:val="000000" w:themeColor="text1"/>
                <w:sz w:val="16"/>
                <w:szCs w:val="16"/>
              </w:rPr>
              <w:t>Studies</w:t>
            </w:r>
            <w:proofErr w:type="spellEnd"/>
            <w:r>
              <w:rPr>
                <w:b/>
                <w:bCs/>
                <w:color w:val="000000" w:themeColor="text1"/>
                <w:sz w:val="16"/>
                <w:szCs w:val="16"/>
              </w:rPr>
              <w:t xml:space="preserve"> 21-39</w:t>
            </w:r>
          </w:p>
        </w:tc>
        <w:tc>
          <w:tcPr>
            <w:tcW w:w="0" w:type="auto"/>
          </w:tcPr>
          <w:p w14:paraId="5A929D38"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45A65618"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22</w:t>
            </w:r>
          </w:p>
        </w:tc>
        <w:tc>
          <w:tcPr>
            <w:tcW w:w="0" w:type="auto"/>
          </w:tcPr>
          <w:p w14:paraId="1941AE03"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23</w:t>
            </w:r>
          </w:p>
        </w:tc>
        <w:tc>
          <w:tcPr>
            <w:tcW w:w="0" w:type="auto"/>
          </w:tcPr>
          <w:p w14:paraId="07BD7406"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24</w:t>
            </w:r>
          </w:p>
        </w:tc>
        <w:tc>
          <w:tcPr>
            <w:tcW w:w="0" w:type="auto"/>
          </w:tcPr>
          <w:p w14:paraId="0A18AFDF"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25</w:t>
            </w:r>
          </w:p>
        </w:tc>
        <w:tc>
          <w:tcPr>
            <w:tcW w:w="0" w:type="auto"/>
          </w:tcPr>
          <w:p w14:paraId="701FBF7F"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26</w:t>
            </w:r>
          </w:p>
        </w:tc>
        <w:tc>
          <w:tcPr>
            <w:tcW w:w="0" w:type="auto"/>
          </w:tcPr>
          <w:p w14:paraId="0D0261E7"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27</w:t>
            </w:r>
          </w:p>
        </w:tc>
        <w:tc>
          <w:tcPr>
            <w:tcW w:w="0" w:type="auto"/>
          </w:tcPr>
          <w:p w14:paraId="2F728AA6"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28</w:t>
            </w:r>
          </w:p>
        </w:tc>
        <w:tc>
          <w:tcPr>
            <w:tcW w:w="0" w:type="auto"/>
          </w:tcPr>
          <w:p w14:paraId="583DD0D4"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29</w:t>
            </w:r>
          </w:p>
        </w:tc>
        <w:tc>
          <w:tcPr>
            <w:tcW w:w="0" w:type="auto"/>
          </w:tcPr>
          <w:p w14:paraId="56813CA4"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30</w:t>
            </w:r>
          </w:p>
        </w:tc>
        <w:tc>
          <w:tcPr>
            <w:tcW w:w="0" w:type="auto"/>
          </w:tcPr>
          <w:p w14:paraId="3700416F"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31</w:t>
            </w:r>
          </w:p>
        </w:tc>
        <w:tc>
          <w:tcPr>
            <w:tcW w:w="0" w:type="auto"/>
          </w:tcPr>
          <w:p w14:paraId="1FDB21B5"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32</w:t>
            </w:r>
          </w:p>
        </w:tc>
        <w:tc>
          <w:tcPr>
            <w:tcW w:w="0" w:type="auto"/>
          </w:tcPr>
          <w:p w14:paraId="34A8E330"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33</w:t>
            </w:r>
          </w:p>
        </w:tc>
        <w:tc>
          <w:tcPr>
            <w:tcW w:w="0" w:type="auto"/>
          </w:tcPr>
          <w:p w14:paraId="4E207863"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34</w:t>
            </w:r>
          </w:p>
        </w:tc>
        <w:tc>
          <w:tcPr>
            <w:tcW w:w="0" w:type="auto"/>
          </w:tcPr>
          <w:p w14:paraId="4EB74089"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35</w:t>
            </w:r>
          </w:p>
        </w:tc>
        <w:tc>
          <w:tcPr>
            <w:tcW w:w="0" w:type="auto"/>
          </w:tcPr>
          <w:p w14:paraId="6733A80D"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36</w:t>
            </w:r>
          </w:p>
        </w:tc>
        <w:tc>
          <w:tcPr>
            <w:tcW w:w="0" w:type="auto"/>
          </w:tcPr>
          <w:p w14:paraId="43C2E439"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37</w:t>
            </w:r>
          </w:p>
        </w:tc>
        <w:tc>
          <w:tcPr>
            <w:tcW w:w="0" w:type="auto"/>
          </w:tcPr>
          <w:p w14:paraId="26BA2EF5"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38</w:t>
            </w:r>
          </w:p>
        </w:tc>
        <w:tc>
          <w:tcPr>
            <w:tcW w:w="0" w:type="auto"/>
          </w:tcPr>
          <w:p w14:paraId="4FA83516" w14:textId="77777777" w:rsidR="00E74AB0" w:rsidRPr="006A71D1" w:rsidRDefault="00E74AB0" w:rsidP="00376C8E">
            <w:pPr>
              <w:spacing w:line="360" w:lineRule="auto"/>
              <w:jc w:val="both"/>
              <w:rPr>
                <w:b/>
                <w:bCs/>
                <w:color w:val="000000" w:themeColor="text1"/>
                <w:sz w:val="16"/>
                <w:szCs w:val="16"/>
              </w:rPr>
            </w:pPr>
            <w:r>
              <w:rPr>
                <w:b/>
                <w:bCs/>
                <w:color w:val="000000" w:themeColor="text1"/>
                <w:sz w:val="16"/>
                <w:szCs w:val="16"/>
              </w:rPr>
              <w:t>39</w:t>
            </w:r>
          </w:p>
        </w:tc>
      </w:tr>
      <w:tr w:rsidR="00E74AB0" w:rsidRPr="006A71D1" w14:paraId="253A0017" w14:textId="77777777" w:rsidTr="00376C8E">
        <w:trPr>
          <w:trHeight w:val="272"/>
        </w:trPr>
        <w:tc>
          <w:tcPr>
            <w:tcW w:w="0" w:type="auto"/>
          </w:tcPr>
          <w:p w14:paraId="19399C6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2311DC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 xml:space="preserve">Title and </w:t>
            </w:r>
            <w:proofErr w:type="spellStart"/>
            <w:r w:rsidRPr="006A71D1">
              <w:rPr>
                <w:color w:val="000000" w:themeColor="text1"/>
                <w:sz w:val="16"/>
                <w:szCs w:val="16"/>
              </w:rPr>
              <w:t>abstract</w:t>
            </w:r>
            <w:proofErr w:type="spellEnd"/>
          </w:p>
        </w:tc>
        <w:tc>
          <w:tcPr>
            <w:tcW w:w="0" w:type="auto"/>
          </w:tcPr>
          <w:p w14:paraId="414FC19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BC2B27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448B2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B9BBC9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09F1A7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2C71BB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B806A6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87E6FC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592B28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D8D13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3DE3C5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FBC980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1217C5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CAC052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E4F549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46CB73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9BD7FC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DC34E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BE5AD6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445F99E6" w14:textId="77777777" w:rsidTr="00376C8E">
        <w:trPr>
          <w:trHeight w:val="272"/>
        </w:trPr>
        <w:tc>
          <w:tcPr>
            <w:tcW w:w="0" w:type="auto"/>
          </w:tcPr>
          <w:p w14:paraId="3D224A9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2</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28"/>
              <w:gridCol w:w="66"/>
              <w:gridCol w:w="81"/>
            </w:tblGrid>
            <w:tr w:rsidR="00E74AB0" w:rsidRPr="006A71D1" w14:paraId="1A0AF6D9" w14:textId="77777777" w:rsidTr="00376C8E">
              <w:trPr>
                <w:tblCellSpacing w:w="15" w:type="dxa"/>
              </w:trPr>
              <w:tc>
                <w:tcPr>
                  <w:tcW w:w="0" w:type="auto"/>
                  <w:vAlign w:val="center"/>
                  <w:hideMark/>
                </w:tcPr>
                <w:p w14:paraId="67958E8D"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r w:rsidRPr="006A71D1">
                    <w:rPr>
                      <w:color w:val="000000" w:themeColor="text1"/>
                      <w:sz w:val="16"/>
                      <w:szCs w:val="16"/>
                    </w:rPr>
                    <w:t xml:space="preserve">Background and </w:t>
                  </w:r>
                  <w:proofErr w:type="spellStart"/>
                  <w:r w:rsidRPr="006A71D1">
                    <w:rPr>
                      <w:color w:val="000000" w:themeColor="text1"/>
                      <w:sz w:val="16"/>
                      <w:szCs w:val="16"/>
                    </w:rPr>
                    <w:t>rationale</w:t>
                  </w:r>
                  <w:proofErr w:type="spellEnd"/>
                </w:p>
              </w:tc>
              <w:tc>
                <w:tcPr>
                  <w:tcW w:w="0" w:type="auto"/>
                  <w:vAlign w:val="center"/>
                  <w:hideMark/>
                </w:tcPr>
                <w:p w14:paraId="6F8A9A6D"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r w:rsidRPr="006A71D1">
                    <w:rPr>
                      <w:color w:val="000000" w:themeColor="text1"/>
                      <w:sz w:val="16"/>
                      <w:szCs w:val="16"/>
                    </w:rPr>
                    <w:t xml:space="preserve"> </w:t>
                  </w:r>
                </w:p>
              </w:tc>
              <w:tc>
                <w:tcPr>
                  <w:tcW w:w="0" w:type="auto"/>
                  <w:vAlign w:val="center"/>
                  <w:hideMark/>
                </w:tcPr>
                <w:p w14:paraId="33533452"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31AC9A21" w14:textId="77777777" w:rsidR="00E74AB0" w:rsidRPr="006A71D1" w:rsidRDefault="00E74AB0" w:rsidP="00376C8E">
            <w:pPr>
              <w:spacing w:line="360" w:lineRule="auto"/>
              <w:jc w:val="both"/>
              <w:rPr>
                <w:color w:val="000000" w:themeColor="text1"/>
                <w:sz w:val="16"/>
                <w:szCs w:val="16"/>
              </w:rPr>
            </w:pPr>
          </w:p>
        </w:tc>
        <w:tc>
          <w:tcPr>
            <w:tcW w:w="0" w:type="auto"/>
          </w:tcPr>
          <w:p w14:paraId="45A1BFC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946FC5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34ADD7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A1FB60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D9674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FFB2DD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21A55F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760BBC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5115DA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64269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CD1209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DDC8B8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0E1ED9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663DBF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FFAA27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D36B1B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4CFCE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28EAC3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672923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7B52B417" w14:textId="77777777" w:rsidTr="00376C8E">
        <w:trPr>
          <w:trHeight w:val="272"/>
        </w:trPr>
        <w:tc>
          <w:tcPr>
            <w:tcW w:w="0" w:type="auto"/>
          </w:tcPr>
          <w:p w14:paraId="229FF18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3</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60"/>
              <w:gridCol w:w="81"/>
            </w:tblGrid>
            <w:tr w:rsidR="00E74AB0" w:rsidRPr="006A71D1" w14:paraId="7BF551EE" w14:textId="77777777" w:rsidTr="00376C8E">
              <w:trPr>
                <w:tblCellSpacing w:w="15" w:type="dxa"/>
              </w:trPr>
              <w:tc>
                <w:tcPr>
                  <w:tcW w:w="0" w:type="auto"/>
                  <w:vAlign w:val="center"/>
                  <w:hideMark/>
                </w:tcPr>
                <w:p w14:paraId="6D02CF17"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Objectives</w:t>
                  </w:r>
                  <w:proofErr w:type="spellEnd"/>
                </w:p>
              </w:tc>
              <w:tc>
                <w:tcPr>
                  <w:tcW w:w="0" w:type="auto"/>
                  <w:vAlign w:val="center"/>
                  <w:hideMark/>
                </w:tcPr>
                <w:p w14:paraId="1FCFA4E3"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0D5523E1" w14:textId="77777777" w:rsidR="00E74AB0" w:rsidRPr="006A71D1" w:rsidRDefault="00E74AB0" w:rsidP="00376C8E">
            <w:pPr>
              <w:spacing w:line="360" w:lineRule="auto"/>
              <w:jc w:val="both"/>
              <w:rPr>
                <w:color w:val="000000" w:themeColor="text1"/>
                <w:sz w:val="16"/>
                <w:szCs w:val="16"/>
              </w:rPr>
            </w:pPr>
          </w:p>
        </w:tc>
        <w:tc>
          <w:tcPr>
            <w:tcW w:w="0" w:type="auto"/>
          </w:tcPr>
          <w:p w14:paraId="164E318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0CDCF4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29566C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893C80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86DFDE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EB16DD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7CFA76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456BDA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EB6FE0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D3BE8C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E5EB1E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1DCA67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8EA129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6D9220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2FB05D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31CC64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1EF673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8575F2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AEA588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64949342" w14:textId="77777777" w:rsidTr="00376C8E">
        <w:trPr>
          <w:trHeight w:val="272"/>
        </w:trPr>
        <w:tc>
          <w:tcPr>
            <w:tcW w:w="0" w:type="auto"/>
          </w:tcPr>
          <w:p w14:paraId="2ED3C50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4</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892"/>
              <w:gridCol w:w="81"/>
            </w:tblGrid>
            <w:tr w:rsidR="00E74AB0" w:rsidRPr="006A71D1" w14:paraId="0C41764E" w14:textId="77777777" w:rsidTr="00376C8E">
              <w:trPr>
                <w:tblCellSpacing w:w="15" w:type="dxa"/>
              </w:trPr>
              <w:tc>
                <w:tcPr>
                  <w:tcW w:w="0" w:type="auto"/>
                  <w:vAlign w:val="center"/>
                  <w:hideMark/>
                </w:tcPr>
                <w:p w14:paraId="0D3A5BF6"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12E6AB9C"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Study</w:t>
                  </w:r>
                  <w:proofErr w:type="spellEnd"/>
                  <w:r w:rsidRPr="006A71D1">
                    <w:rPr>
                      <w:color w:val="000000" w:themeColor="text1"/>
                      <w:sz w:val="16"/>
                      <w:szCs w:val="16"/>
                    </w:rPr>
                    <w:t xml:space="preserve"> design</w:t>
                  </w:r>
                </w:p>
              </w:tc>
              <w:tc>
                <w:tcPr>
                  <w:tcW w:w="0" w:type="auto"/>
                  <w:vAlign w:val="center"/>
                  <w:hideMark/>
                </w:tcPr>
                <w:p w14:paraId="36523ED6"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46644AA7" w14:textId="77777777" w:rsidR="00E74AB0" w:rsidRPr="006A71D1" w:rsidRDefault="00E74AB0" w:rsidP="00376C8E">
            <w:pPr>
              <w:spacing w:line="360" w:lineRule="auto"/>
              <w:jc w:val="both"/>
              <w:rPr>
                <w:color w:val="000000" w:themeColor="text1"/>
                <w:sz w:val="16"/>
                <w:szCs w:val="16"/>
              </w:rPr>
            </w:pPr>
          </w:p>
        </w:tc>
        <w:tc>
          <w:tcPr>
            <w:tcW w:w="0" w:type="auto"/>
          </w:tcPr>
          <w:p w14:paraId="1090CAF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DC7984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D29FC9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ECBFF0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304798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DB707C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1B2786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6C1946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1B66375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B65BFE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97EC1D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EDF9AF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349D11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1E7893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A87FAB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DAA395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6677A6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AD0991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F8ECE7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61999AA5" w14:textId="77777777" w:rsidTr="00376C8E">
        <w:trPr>
          <w:trHeight w:val="272"/>
        </w:trPr>
        <w:tc>
          <w:tcPr>
            <w:tcW w:w="0" w:type="auto"/>
          </w:tcPr>
          <w:p w14:paraId="32E242D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5</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533"/>
            </w:tblGrid>
            <w:tr w:rsidR="00E74AB0" w:rsidRPr="006A71D1" w14:paraId="5027DCFE" w14:textId="77777777" w:rsidTr="00376C8E">
              <w:trPr>
                <w:tblCellSpacing w:w="15" w:type="dxa"/>
              </w:trPr>
              <w:tc>
                <w:tcPr>
                  <w:tcW w:w="0" w:type="auto"/>
                  <w:vAlign w:val="center"/>
                  <w:hideMark/>
                </w:tcPr>
                <w:p w14:paraId="2D2BE3BD"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07CCA022"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Setting</w:t>
                  </w:r>
                  <w:proofErr w:type="spellEnd"/>
                  <w:r w:rsidRPr="006A71D1">
                    <w:rPr>
                      <w:color w:val="000000" w:themeColor="text1"/>
                      <w:sz w:val="16"/>
                      <w:szCs w:val="16"/>
                    </w:rPr>
                    <w:t xml:space="preserve">, location, </w:t>
                  </w:r>
                  <w:proofErr w:type="spellStart"/>
                  <w:r w:rsidRPr="006A71D1">
                    <w:rPr>
                      <w:color w:val="000000" w:themeColor="text1"/>
                      <w:sz w:val="16"/>
                      <w:szCs w:val="16"/>
                    </w:rPr>
                    <w:t>dates</w:t>
                  </w:r>
                  <w:proofErr w:type="spellEnd"/>
                  <w:r w:rsidRPr="006A71D1">
                    <w:rPr>
                      <w:color w:val="000000" w:themeColor="text1"/>
                      <w:sz w:val="16"/>
                      <w:szCs w:val="16"/>
                    </w:rPr>
                    <w:t xml:space="preserve"> </w:t>
                  </w:r>
                </w:p>
              </w:tc>
            </w:tr>
          </w:tbl>
          <w:p w14:paraId="2455CF4C" w14:textId="77777777" w:rsidR="00E74AB0" w:rsidRPr="006A71D1" w:rsidRDefault="00E74AB0" w:rsidP="00376C8E">
            <w:pPr>
              <w:spacing w:line="360" w:lineRule="auto"/>
              <w:jc w:val="both"/>
              <w:rPr>
                <w:color w:val="000000" w:themeColor="text1"/>
                <w:sz w:val="16"/>
                <w:szCs w:val="16"/>
              </w:rPr>
            </w:pPr>
          </w:p>
        </w:tc>
        <w:tc>
          <w:tcPr>
            <w:tcW w:w="0" w:type="auto"/>
          </w:tcPr>
          <w:p w14:paraId="0AFE53F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E86E9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4E78FB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28138C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26CB15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EDD330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FB4FC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230AD5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077660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F912E6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FAED1F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0B96CF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496D63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9A5C21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712F33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D08AA0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06F480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82AEFA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2390C4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210DB850" w14:textId="77777777" w:rsidTr="00376C8E">
        <w:trPr>
          <w:trHeight w:val="272"/>
        </w:trPr>
        <w:tc>
          <w:tcPr>
            <w:tcW w:w="0" w:type="auto"/>
          </w:tcPr>
          <w:p w14:paraId="5CCEA06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6</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478"/>
              <w:gridCol w:w="81"/>
            </w:tblGrid>
            <w:tr w:rsidR="00E74AB0" w:rsidRPr="006A71D1" w14:paraId="7F54B517" w14:textId="77777777" w:rsidTr="00376C8E">
              <w:trPr>
                <w:tblCellSpacing w:w="15" w:type="dxa"/>
              </w:trPr>
              <w:tc>
                <w:tcPr>
                  <w:tcW w:w="0" w:type="auto"/>
                  <w:vAlign w:val="center"/>
                  <w:hideMark/>
                </w:tcPr>
                <w:p w14:paraId="7DEBA46B"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540F8E63"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Participants</w:t>
                  </w:r>
                  <w:proofErr w:type="spellEnd"/>
                  <w:r w:rsidRPr="006A71D1">
                    <w:rPr>
                      <w:color w:val="000000" w:themeColor="text1"/>
                      <w:sz w:val="16"/>
                      <w:szCs w:val="16"/>
                    </w:rPr>
                    <w:t xml:space="preserve"> </w:t>
                  </w:r>
                  <w:proofErr w:type="spellStart"/>
                  <w:r w:rsidRPr="006A71D1">
                    <w:rPr>
                      <w:color w:val="000000" w:themeColor="text1"/>
                      <w:sz w:val="16"/>
                      <w:szCs w:val="16"/>
                    </w:rPr>
                    <w:t>eligibility</w:t>
                  </w:r>
                  <w:proofErr w:type="spellEnd"/>
                  <w:r w:rsidRPr="006A71D1">
                    <w:rPr>
                      <w:color w:val="000000" w:themeColor="text1"/>
                      <w:sz w:val="16"/>
                      <w:szCs w:val="16"/>
                    </w:rPr>
                    <w:t xml:space="preserve"> </w:t>
                  </w:r>
                </w:p>
              </w:tc>
              <w:tc>
                <w:tcPr>
                  <w:tcW w:w="0" w:type="auto"/>
                  <w:vAlign w:val="center"/>
                  <w:hideMark/>
                </w:tcPr>
                <w:p w14:paraId="73D64CFF"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6FB42744" w14:textId="77777777" w:rsidR="00E74AB0" w:rsidRPr="006A71D1" w:rsidRDefault="00E74AB0" w:rsidP="00376C8E">
            <w:pPr>
              <w:spacing w:line="360" w:lineRule="auto"/>
              <w:jc w:val="both"/>
              <w:rPr>
                <w:color w:val="000000" w:themeColor="text1"/>
                <w:sz w:val="16"/>
                <w:szCs w:val="16"/>
              </w:rPr>
            </w:pPr>
          </w:p>
        </w:tc>
        <w:tc>
          <w:tcPr>
            <w:tcW w:w="0" w:type="auto"/>
          </w:tcPr>
          <w:p w14:paraId="6D535BE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1F9A50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13CDDF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71C90E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DEF693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4A3925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2329C2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A9E527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6CFBE6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AC89EA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D7C5F8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76AF5F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D6A2EA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D8C08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029E03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18C086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42C4B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2540A1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D15313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2371B53D" w14:textId="77777777" w:rsidTr="00376C8E">
        <w:trPr>
          <w:trHeight w:val="272"/>
        </w:trPr>
        <w:tc>
          <w:tcPr>
            <w:tcW w:w="0" w:type="auto"/>
          </w:tcPr>
          <w:p w14:paraId="2664AAC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7</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74"/>
              <w:gridCol w:w="81"/>
            </w:tblGrid>
            <w:tr w:rsidR="00E74AB0" w:rsidRPr="006A71D1" w14:paraId="06BD84BD" w14:textId="77777777" w:rsidTr="00376C8E">
              <w:trPr>
                <w:tblCellSpacing w:w="15" w:type="dxa"/>
              </w:trPr>
              <w:tc>
                <w:tcPr>
                  <w:tcW w:w="0" w:type="auto"/>
                  <w:vAlign w:val="center"/>
                  <w:hideMark/>
                </w:tcPr>
                <w:p w14:paraId="7EF88CB3"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203AAB43"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Variables</w:t>
                  </w:r>
                  <w:proofErr w:type="spellEnd"/>
                </w:p>
              </w:tc>
              <w:tc>
                <w:tcPr>
                  <w:tcW w:w="0" w:type="auto"/>
                  <w:vAlign w:val="center"/>
                  <w:hideMark/>
                </w:tcPr>
                <w:p w14:paraId="05C8E31D"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2F99F8CA" w14:textId="77777777" w:rsidR="00E74AB0" w:rsidRPr="006A71D1" w:rsidRDefault="00E74AB0" w:rsidP="00376C8E">
            <w:pPr>
              <w:spacing w:line="360" w:lineRule="auto"/>
              <w:jc w:val="both"/>
              <w:rPr>
                <w:color w:val="000000" w:themeColor="text1"/>
                <w:sz w:val="16"/>
                <w:szCs w:val="16"/>
              </w:rPr>
            </w:pPr>
          </w:p>
        </w:tc>
        <w:tc>
          <w:tcPr>
            <w:tcW w:w="0" w:type="auto"/>
          </w:tcPr>
          <w:p w14:paraId="40EA24B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18F575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315D2A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73E75C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23946D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A5F36A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1C0F71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2D322D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8EB650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98F5A6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B8B858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28F0FD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55EBB7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E4A855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BEA54E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C7731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996FF1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0C5D97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135AE7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2D79DD12" w14:textId="77777777" w:rsidTr="00376C8E">
        <w:trPr>
          <w:trHeight w:val="272"/>
        </w:trPr>
        <w:tc>
          <w:tcPr>
            <w:tcW w:w="0" w:type="auto"/>
          </w:tcPr>
          <w:p w14:paraId="5C42A1A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8</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724"/>
              <w:gridCol w:w="81"/>
            </w:tblGrid>
            <w:tr w:rsidR="00E74AB0" w:rsidRPr="00F20444" w14:paraId="07618C0F" w14:textId="77777777" w:rsidTr="00376C8E">
              <w:trPr>
                <w:tblCellSpacing w:w="15" w:type="dxa"/>
              </w:trPr>
              <w:tc>
                <w:tcPr>
                  <w:tcW w:w="0" w:type="auto"/>
                  <w:vAlign w:val="center"/>
                  <w:hideMark/>
                </w:tcPr>
                <w:p w14:paraId="033F675F"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326D5EBC" w14:textId="77777777" w:rsidR="00E74AB0" w:rsidRPr="006A71D1" w:rsidRDefault="00E74AB0" w:rsidP="00F20444">
                  <w:pPr>
                    <w:framePr w:hSpace="141" w:wrap="around" w:vAnchor="page" w:hAnchor="margin" w:y="1551"/>
                    <w:spacing w:line="360" w:lineRule="auto"/>
                    <w:jc w:val="both"/>
                    <w:rPr>
                      <w:color w:val="000000" w:themeColor="text1"/>
                      <w:sz w:val="16"/>
                      <w:szCs w:val="16"/>
                      <w:lang w:val="en-US"/>
                    </w:rPr>
                  </w:pPr>
                  <w:r w:rsidRPr="006A71D1">
                    <w:rPr>
                      <w:color w:val="000000" w:themeColor="text1"/>
                      <w:sz w:val="16"/>
                      <w:szCs w:val="16"/>
                      <w:lang w:val="en-US"/>
                    </w:rPr>
                    <w:t xml:space="preserve">Data sources and measurement methods </w:t>
                  </w:r>
                </w:p>
              </w:tc>
              <w:tc>
                <w:tcPr>
                  <w:tcW w:w="0" w:type="auto"/>
                  <w:vAlign w:val="center"/>
                  <w:hideMark/>
                </w:tcPr>
                <w:p w14:paraId="28D8271F" w14:textId="77777777" w:rsidR="00E74AB0" w:rsidRPr="006A71D1" w:rsidRDefault="00E74AB0" w:rsidP="00F20444">
                  <w:pPr>
                    <w:framePr w:hSpace="141" w:wrap="around" w:vAnchor="page" w:hAnchor="margin" w:y="1551"/>
                    <w:spacing w:line="360" w:lineRule="auto"/>
                    <w:jc w:val="both"/>
                    <w:rPr>
                      <w:color w:val="000000" w:themeColor="text1"/>
                      <w:sz w:val="16"/>
                      <w:szCs w:val="16"/>
                      <w:lang w:val="en-US"/>
                    </w:rPr>
                  </w:pPr>
                </w:p>
              </w:tc>
            </w:tr>
          </w:tbl>
          <w:p w14:paraId="4446CCFA" w14:textId="77777777" w:rsidR="00E74AB0" w:rsidRPr="006A71D1" w:rsidRDefault="00E74AB0" w:rsidP="00376C8E">
            <w:pPr>
              <w:spacing w:line="360" w:lineRule="auto"/>
              <w:jc w:val="both"/>
              <w:rPr>
                <w:color w:val="000000" w:themeColor="text1"/>
                <w:sz w:val="16"/>
                <w:szCs w:val="16"/>
                <w:lang w:val="en-US"/>
              </w:rPr>
            </w:pPr>
          </w:p>
        </w:tc>
        <w:tc>
          <w:tcPr>
            <w:tcW w:w="0" w:type="auto"/>
          </w:tcPr>
          <w:p w14:paraId="6B326F2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08DE3CCD"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50CF490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3B319977"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78D930BC"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3F2F999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2023913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0F86CBA4"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413F1231"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2BA9C3CF"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2AC9A62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14F80AB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0AC02BE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09612ED0"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704D98A2"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6BE56C18"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5B70CEA0"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11B3BE59"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c>
          <w:tcPr>
            <w:tcW w:w="0" w:type="auto"/>
          </w:tcPr>
          <w:p w14:paraId="379A173A" w14:textId="77777777" w:rsidR="00E74AB0" w:rsidRPr="006A71D1" w:rsidRDefault="00E74AB0" w:rsidP="00376C8E">
            <w:pPr>
              <w:spacing w:line="360" w:lineRule="auto"/>
              <w:jc w:val="both"/>
              <w:rPr>
                <w:color w:val="000000" w:themeColor="text1"/>
                <w:sz w:val="16"/>
                <w:szCs w:val="16"/>
                <w:lang w:val="en-US"/>
              </w:rPr>
            </w:pPr>
            <w:r w:rsidRPr="006A71D1">
              <w:rPr>
                <w:color w:val="000000" w:themeColor="text1"/>
                <w:sz w:val="16"/>
                <w:szCs w:val="16"/>
                <w:lang w:val="en-US"/>
              </w:rPr>
              <w:t>1</w:t>
            </w:r>
          </w:p>
        </w:tc>
      </w:tr>
      <w:tr w:rsidR="00E74AB0" w:rsidRPr="006A71D1" w14:paraId="7C1FCB50" w14:textId="77777777" w:rsidTr="00376C8E">
        <w:trPr>
          <w:trHeight w:val="272"/>
        </w:trPr>
        <w:tc>
          <w:tcPr>
            <w:tcW w:w="0" w:type="auto"/>
          </w:tcPr>
          <w:p w14:paraId="3722BC9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9</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031"/>
            </w:tblGrid>
            <w:tr w:rsidR="00E74AB0" w:rsidRPr="006A71D1" w14:paraId="47D67B61" w14:textId="77777777" w:rsidTr="00376C8E">
              <w:trPr>
                <w:tblCellSpacing w:w="15" w:type="dxa"/>
              </w:trPr>
              <w:tc>
                <w:tcPr>
                  <w:tcW w:w="0" w:type="auto"/>
                  <w:vAlign w:val="center"/>
                  <w:hideMark/>
                </w:tcPr>
                <w:p w14:paraId="4AA946B7"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5B0AC939" w14:textId="77777777" w:rsidR="00E74AB0" w:rsidRPr="006A71D1" w:rsidRDefault="00E74AB0" w:rsidP="00F20444">
                  <w:pPr>
                    <w:framePr w:hSpace="141" w:wrap="around" w:vAnchor="page" w:hAnchor="margin" w:y="1551"/>
                    <w:spacing w:line="360" w:lineRule="auto"/>
                    <w:jc w:val="both"/>
                    <w:rPr>
                      <w:color w:val="000000" w:themeColor="text1"/>
                      <w:sz w:val="16"/>
                      <w:szCs w:val="16"/>
                      <w:lang w:val="en-US"/>
                    </w:rPr>
                  </w:pPr>
                  <w:r w:rsidRPr="006A71D1">
                    <w:rPr>
                      <w:color w:val="000000" w:themeColor="text1"/>
                      <w:sz w:val="16"/>
                      <w:szCs w:val="16"/>
                      <w:lang w:val="en-US"/>
                    </w:rPr>
                    <w:t>Bias addressed</w:t>
                  </w:r>
                </w:p>
              </w:tc>
            </w:tr>
          </w:tbl>
          <w:p w14:paraId="0A4812C1" w14:textId="77777777" w:rsidR="00E74AB0" w:rsidRPr="006A71D1" w:rsidRDefault="00E74AB0" w:rsidP="00376C8E">
            <w:pPr>
              <w:spacing w:line="360" w:lineRule="auto"/>
              <w:jc w:val="both"/>
              <w:rPr>
                <w:color w:val="000000" w:themeColor="text1"/>
                <w:sz w:val="16"/>
                <w:szCs w:val="16"/>
              </w:rPr>
            </w:pPr>
          </w:p>
        </w:tc>
        <w:tc>
          <w:tcPr>
            <w:tcW w:w="0" w:type="auto"/>
          </w:tcPr>
          <w:p w14:paraId="0A0439C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F293B9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BE007D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C98AF5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88BBBA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3ABCDA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0FDC93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31D811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DED88E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CAAA97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A340B0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996F80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FB54BF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9309B3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8BEC42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977D0B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48F512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92825A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4390FC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2EE73646" w14:textId="77777777" w:rsidTr="00376C8E">
        <w:trPr>
          <w:trHeight w:val="272"/>
        </w:trPr>
        <w:tc>
          <w:tcPr>
            <w:tcW w:w="0" w:type="auto"/>
          </w:tcPr>
          <w:p w14:paraId="6AC7C3D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10</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337"/>
            </w:tblGrid>
            <w:tr w:rsidR="00E74AB0" w:rsidRPr="006A71D1" w14:paraId="20538D48" w14:textId="77777777" w:rsidTr="00376C8E">
              <w:trPr>
                <w:tblCellSpacing w:w="15" w:type="dxa"/>
              </w:trPr>
              <w:tc>
                <w:tcPr>
                  <w:tcW w:w="0" w:type="auto"/>
                  <w:vAlign w:val="center"/>
                  <w:hideMark/>
                </w:tcPr>
                <w:p w14:paraId="0CB0A151"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6F29594B"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Study</w:t>
                  </w:r>
                  <w:proofErr w:type="spellEnd"/>
                  <w:r w:rsidRPr="006A71D1">
                    <w:rPr>
                      <w:color w:val="000000" w:themeColor="text1"/>
                      <w:sz w:val="16"/>
                      <w:szCs w:val="16"/>
                    </w:rPr>
                    <w:t xml:space="preserve"> </w:t>
                  </w:r>
                  <w:proofErr w:type="spellStart"/>
                  <w:r w:rsidRPr="006A71D1">
                    <w:rPr>
                      <w:color w:val="000000" w:themeColor="text1"/>
                      <w:sz w:val="16"/>
                      <w:szCs w:val="16"/>
                    </w:rPr>
                    <w:t>size</w:t>
                  </w:r>
                  <w:proofErr w:type="spellEnd"/>
                  <w:r w:rsidRPr="006A71D1">
                    <w:rPr>
                      <w:color w:val="000000" w:themeColor="text1"/>
                      <w:sz w:val="16"/>
                      <w:szCs w:val="16"/>
                    </w:rPr>
                    <w:t xml:space="preserve"> </w:t>
                  </w:r>
                  <w:proofErr w:type="spellStart"/>
                  <w:r w:rsidRPr="006A71D1">
                    <w:rPr>
                      <w:color w:val="000000" w:themeColor="text1"/>
                      <w:sz w:val="16"/>
                      <w:szCs w:val="16"/>
                    </w:rPr>
                    <w:t>rationale</w:t>
                  </w:r>
                  <w:proofErr w:type="spellEnd"/>
                  <w:r w:rsidRPr="006A71D1">
                    <w:rPr>
                      <w:color w:val="000000" w:themeColor="text1"/>
                      <w:sz w:val="16"/>
                      <w:szCs w:val="16"/>
                    </w:rPr>
                    <w:t xml:space="preserve"> </w:t>
                  </w:r>
                </w:p>
              </w:tc>
            </w:tr>
          </w:tbl>
          <w:p w14:paraId="405FC086" w14:textId="77777777" w:rsidR="00E74AB0" w:rsidRPr="006A71D1" w:rsidRDefault="00E74AB0" w:rsidP="00376C8E">
            <w:pPr>
              <w:spacing w:line="360" w:lineRule="auto"/>
              <w:jc w:val="both"/>
              <w:rPr>
                <w:color w:val="000000" w:themeColor="text1"/>
                <w:sz w:val="16"/>
                <w:szCs w:val="16"/>
              </w:rPr>
            </w:pPr>
          </w:p>
        </w:tc>
        <w:tc>
          <w:tcPr>
            <w:tcW w:w="0" w:type="auto"/>
          </w:tcPr>
          <w:p w14:paraId="3469A57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3FD25A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199B78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7122A3A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8ED80A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A6C929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241104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51AA16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9AEC0F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02C8CD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823927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7B66C7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C6CFD6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C4169C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482B9C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61EB92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3B1D22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7D8ED5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181669D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76120849" w14:textId="77777777" w:rsidTr="00376C8E">
        <w:trPr>
          <w:trHeight w:val="272"/>
        </w:trPr>
        <w:tc>
          <w:tcPr>
            <w:tcW w:w="0" w:type="auto"/>
          </w:tcPr>
          <w:p w14:paraId="7719D4B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11</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469"/>
              <w:gridCol w:w="81"/>
            </w:tblGrid>
            <w:tr w:rsidR="00E74AB0" w:rsidRPr="006A71D1" w14:paraId="54A730E3" w14:textId="77777777" w:rsidTr="00376C8E">
              <w:trPr>
                <w:tblCellSpacing w:w="15" w:type="dxa"/>
              </w:trPr>
              <w:tc>
                <w:tcPr>
                  <w:tcW w:w="0" w:type="auto"/>
                  <w:vAlign w:val="center"/>
                  <w:hideMark/>
                </w:tcPr>
                <w:p w14:paraId="3503A1DE"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67658C80"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r w:rsidRPr="006A71D1">
                    <w:rPr>
                      <w:color w:val="000000" w:themeColor="text1"/>
                      <w:sz w:val="16"/>
                      <w:szCs w:val="16"/>
                    </w:rPr>
                    <w:t xml:space="preserve">Quantitative </w:t>
                  </w:r>
                  <w:proofErr w:type="spellStart"/>
                  <w:r w:rsidRPr="006A71D1">
                    <w:rPr>
                      <w:color w:val="000000" w:themeColor="text1"/>
                      <w:sz w:val="16"/>
                      <w:szCs w:val="16"/>
                    </w:rPr>
                    <w:t>variables</w:t>
                  </w:r>
                  <w:proofErr w:type="spellEnd"/>
                  <w:r w:rsidRPr="006A71D1">
                    <w:rPr>
                      <w:color w:val="000000" w:themeColor="text1"/>
                      <w:sz w:val="16"/>
                      <w:szCs w:val="16"/>
                    </w:rPr>
                    <w:t xml:space="preserve"> </w:t>
                  </w:r>
                </w:p>
              </w:tc>
              <w:tc>
                <w:tcPr>
                  <w:tcW w:w="0" w:type="auto"/>
                  <w:vAlign w:val="center"/>
                  <w:hideMark/>
                </w:tcPr>
                <w:p w14:paraId="3DCBF5F3"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2D0B447D" w14:textId="77777777" w:rsidR="00E74AB0" w:rsidRPr="006A71D1" w:rsidRDefault="00E74AB0" w:rsidP="00376C8E">
            <w:pPr>
              <w:spacing w:line="360" w:lineRule="auto"/>
              <w:jc w:val="both"/>
              <w:rPr>
                <w:color w:val="000000" w:themeColor="text1"/>
                <w:sz w:val="16"/>
                <w:szCs w:val="16"/>
              </w:rPr>
            </w:pPr>
          </w:p>
        </w:tc>
        <w:tc>
          <w:tcPr>
            <w:tcW w:w="0" w:type="auto"/>
          </w:tcPr>
          <w:p w14:paraId="244F48F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0AE6E7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ECFA89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F82690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047E7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C74B9A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022EE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FCD3BF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7F823E7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2A3E71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4E5920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61F2E1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38209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548155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9671FB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43988E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E45C75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5FCD15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EF69DD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5472A297" w14:textId="77777777" w:rsidTr="00376C8E">
        <w:trPr>
          <w:trHeight w:val="272"/>
        </w:trPr>
        <w:tc>
          <w:tcPr>
            <w:tcW w:w="0" w:type="auto"/>
          </w:tcPr>
          <w:p w14:paraId="2CD4C7C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12</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274"/>
              <w:gridCol w:w="81"/>
            </w:tblGrid>
            <w:tr w:rsidR="00E74AB0" w:rsidRPr="006A71D1" w14:paraId="5239DB8B" w14:textId="77777777" w:rsidTr="00376C8E">
              <w:trPr>
                <w:tblCellSpacing w:w="15" w:type="dxa"/>
              </w:trPr>
              <w:tc>
                <w:tcPr>
                  <w:tcW w:w="0" w:type="auto"/>
                  <w:vAlign w:val="center"/>
                  <w:hideMark/>
                </w:tcPr>
                <w:p w14:paraId="7A01602E"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21D3AFB6"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r w:rsidRPr="006A71D1">
                    <w:rPr>
                      <w:color w:val="000000" w:themeColor="text1"/>
                      <w:sz w:val="16"/>
                      <w:szCs w:val="16"/>
                    </w:rPr>
                    <w:t xml:space="preserve">Statistical </w:t>
                  </w:r>
                  <w:proofErr w:type="spellStart"/>
                  <w:r w:rsidRPr="006A71D1">
                    <w:rPr>
                      <w:color w:val="000000" w:themeColor="text1"/>
                      <w:sz w:val="16"/>
                      <w:szCs w:val="16"/>
                    </w:rPr>
                    <w:t>methods</w:t>
                  </w:r>
                  <w:proofErr w:type="spellEnd"/>
                  <w:r w:rsidRPr="006A71D1">
                    <w:rPr>
                      <w:color w:val="000000" w:themeColor="text1"/>
                      <w:sz w:val="16"/>
                      <w:szCs w:val="16"/>
                    </w:rPr>
                    <w:t xml:space="preserve"> </w:t>
                  </w:r>
                </w:p>
              </w:tc>
              <w:tc>
                <w:tcPr>
                  <w:tcW w:w="0" w:type="auto"/>
                  <w:vAlign w:val="center"/>
                  <w:hideMark/>
                </w:tcPr>
                <w:p w14:paraId="51089B47"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10A83ACA" w14:textId="77777777" w:rsidR="00E74AB0" w:rsidRPr="006A71D1" w:rsidRDefault="00E74AB0" w:rsidP="00376C8E">
            <w:pPr>
              <w:spacing w:line="360" w:lineRule="auto"/>
              <w:jc w:val="both"/>
              <w:rPr>
                <w:color w:val="000000" w:themeColor="text1"/>
                <w:sz w:val="16"/>
                <w:szCs w:val="16"/>
              </w:rPr>
            </w:pPr>
          </w:p>
        </w:tc>
        <w:tc>
          <w:tcPr>
            <w:tcW w:w="0" w:type="auto"/>
          </w:tcPr>
          <w:p w14:paraId="20E4225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B05231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F20F76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EBF618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F0CC28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90345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234283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F7E4E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21555B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78671F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BCE45A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352F15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0021A2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BB2522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306E2B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A35191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2107C8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D86BDA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25C13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3DBB364C" w14:textId="77777777" w:rsidTr="00376C8E">
        <w:trPr>
          <w:trHeight w:val="272"/>
        </w:trPr>
        <w:tc>
          <w:tcPr>
            <w:tcW w:w="0" w:type="auto"/>
          </w:tcPr>
          <w:p w14:paraId="4CD4508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13</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164"/>
            </w:tblGrid>
            <w:tr w:rsidR="00E74AB0" w:rsidRPr="006A71D1" w14:paraId="268267B9" w14:textId="77777777" w:rsidTr="00376C8E">
              <w:trPr>
                <w:tblCellSpacing w:w="15" w:type="dxa"/>
              </w:trPr>
              <w:tc>
                <w:tcPr>
                  <w:tcW w:w="0" w:type="auto"/>
                  <w:vAlign w:val="center"/>
                  <w:hideMark/>
                </w:tcPr>
                <w:p w14:paraId="08210995"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76794CC0"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Participants</w:t>
                  </w:r>
                  <w:proofErr w:type="spellEnd"/>
                  <w:r w:rsidRPr="006A71D1">
                    <w:rPr>
                      <w:color w:val="000000" w:themeColor="text1"/>
                      <w:sz w:val="16"/>
                      <w:szCs w:val="16"/>
                    </w:rPr>
                    <w:t xml:space="preserve"> flow </w:t>
                  </w:r>
                </w:p>
              </w:tc>
            </w:tr>
          </w:tbl>
          <w:p w14:paraId="73D1F55A" w14:textId="77777777" w:rsidR="00E74AB0" w:rsidRPr="006A71D1" w:rsidRDefault="00E74AB0" w:rsidP="00376C8E">
            <w:pPr>
              <w:spacing w:line="360" w:lineRule="auto"/>
              <w:jc w:val="both"/>
              <w:rPr>
                <w:color w:val="000000" w:themeColor="text1"/>
                <w:sz w:val="16"/>
                <w:szCs w:val="16"/>
              </w:rPr>
            </w:pPr>
          </w:p>
        </w:tc>
        <w:tc>
          <w:tcPr>
            <w:tcW w:w="0" w:type="auto"/>
          </w:tcPr>
          <w:p w14:paraId="58BE730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1D4FE52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D15FA0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F26C77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3DBF45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DD5343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741E32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5B309E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08EF2F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0C2C6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110FA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7E91C95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9E5E26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432A59B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AC076F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4A1492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A816D4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24A61D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A9914A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1CE2CEFF" w14:textId="77777777" w:rsidTr="00376C8E">
        <w:trPr>
          <w:trHeight w:val="272"/>
        </w:trPr>
        <w:tc>
          <w:tcPr>
            <w:tcW w:w="0" w:type="auto"/>
          </w:tcPr>
          <w:p w14:paraId="521EC85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14</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104"/>
              <w:gridCol w:w="81"/>
            </w:tblGrid>
            <w:tr w:rsidR="00E74AB0" w:rsidRPr="006A71D1" w14:paraId="6B7A4C7E" w14:textId="77777777" w:rsidTr="00376C8E">
              <w:trPr>
                <w:tblCellSpacing w:w="15" w:type="dxa"/>
              </w:trPr>
              <w:tc>
                <w:tcPr>
                  <w:tcW w:w="0" w:type="auto"/>
                  <w:vAlign w:val="center"/>
                  <w:hideMark/>
                </w:tcPr>
                <w:p w14:paraId="01F89D6E"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39BC470C"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Descriptive</w:t>
                  </w:r>
                  <w:proofErr w:type="spellEnd"/>
                  <w:r w:rsidRPr="006A71D1">
                    <w:rPr>
                      <w:color w:val="000000" w:themeColor="text1"/>
                      <w:sz w:val="16"/>
                      <w:szCs w:val="16"/>
                    </w:rPr>
                    <w:t xml:space="preserve"> data </w:t>
                  </w:r>
                </w:p>
              </w:tc>
              <w:tc>
                <w:tcPr>
                  <w:tcW w:w="0" w:type="auto"/>
                  <w:vAlign w:val="center"/>
                  <w:hideMark/>
                </w:tcPr>
                <w:p w14:paraId="06FE7926"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4DD565A0" w14:textId="77777777" w:rsidR="00E74AB0" w:rsidRPr="006A71D1" w:rsidRDefault="00E74AB0" w:rsidP="00376C8E">
            <w:pPr>
              <w:spacing w:line="360" w:lineRule="auto"/>
              <w:jc w:val="both"/>
              <w:rPr>
                <w:color w:val="000000" w:themeColor="text1"/>
                <w:sz w:val="16"/>
                <w:szCs w:val="16"/>
              </w:rPr>
            </w:pPr>
          </w:p>
        </w:tc>
        <w:tc>
          <w:tcPr>
            <w:tcW w:w="0" w:type="auto"/>
          </w:tcPr>
          <w:p w14:paraId="0EA87BA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09D597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F7D03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F6F35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1E2CB7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4A4732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3E2F17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457437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2C329A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420EEA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E71B0A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A93B57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FA651A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A984EC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01449D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562AE5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5C7915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41F2D2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B14829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65B59B14" w14:textId="77777777" w:rsidTr="00376C8E">
        <w:trPr>
          <w:trHeight w:val="272"/>
        </w:trPr>
        <w:tc>
          <w:tcPr>
            <w:tcW w:w="0" w:type="auto"/>
          </w:tcPr>
          <w:p w14:paraId="442BD4F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15</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968"/>
            </w:tblGrid>
            <w:tr w:rsidR="00E74AB0" w:rsidRPr="006A71D1" w14:paraId="21E4BC8A" w14:textId="77777777" w:rsidTr="00376C8E">
              <w:trPr>
                <w:tblCellSpacing w:w="15" w:type="dxa"/>
              </w:trPr>
              <w:tc>
                <w:tcPr>
                  <w:tcW w:w="0" w:type="auto"/>
                  <w:vAlign w:val="center"/>
                  <w:hideMark/>
                </w:tcPr>
                <w:p w14:paraId="60950641"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501DCA3F"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Outcome</w:t>
                  </w:r>
                  <w:proofErr w:type="spellEnd"/>
                  <w:r w:rsidRPr="006A71D1">
                    <w:rPr>
                      <w:color w:val="000000" w:themeColor="text1"/>
                      <w:sz w:val="16"/>
                      <w:szCs w:val="16"/>
                    </w:rPr>
                    <w:t xml:space="preserve"> data </w:t>
                  </w:r>
                </w:p>
              </w:tc>
            </w:tr>
          </w:tbl>
          <w:p w14:paraId="5F21B1F4" w14:textId="77777777" w:rsidR="00E74AB0" w:rsidRPr="006A71D1" w:rsidRDefault="00E74AB0" w:rsidP="00376C8E">
            <w:pPr>
              <w:spacing w:line="360" w:lineRule="auto"/>
              <w:jc w:val="both"/>
              <w:rPr>
                <w:color w:val="000000" w:themeColor="text1"/>
                <w:sz w:val="16"/>
                <w:szCs w:val="16"/>
              </w:rPr>
            </w:pPr>
          </w:p>
        </w:tc>
        <w:tc>
          <w:tcPr>
            <w:tcW w:w="0" w:type="auto"/>
          </w:tcPr>
          <w:p w14:paraId="2AB4C3D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73CA060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855AB6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99D9A9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2E4126B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478195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E721CE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ACB265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E8A33A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EBED3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3F88AF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0F7BE6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B4F863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4DD23A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2ACB90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743C7D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E57669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A06971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9E0875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5DFDC856" w14:textId="77777777" w:rsidTr="00376C8E">
        <w:trPr>
          <w:trHeight w:val="272"/>
        </w:trPr>
        <w:tc>
          <w:tcPr>
            <w:tcW w:w="0" w:type="auto"/>
          </w:tcPr>
          <w:p w14:paraId="030B332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16</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856"/>
              <w:gridCol w:w="81"/>
            </w:tblGrid>
            <w:tr w:rsidR="00E74AB0" w:rsidRPr="006A71D1" w14:paraId="04410D49" w14:textId="77777777" w:rsidTr="00376C8E">
              <w:trPr>
                <w:tblCellSpacing w:w="15" w:type="dxa"/>
              </w:trPr>
              <w:tc>
                <w:tcPr>
                  <w:tcW w:w="0" w:type="auto"/>
                  <w:vAlign w:val="center"/>
                  <w:hideMark/>
                </w:tcPr>
                <w:p w14:paraId="5FB4F278"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3BC6C701" w14:textId="77777777" w:rsidR="00E74AB0" w:rsidRPr="006A71D1" w:rsidRDefault="00E74AB0" w:rsidP="00F20444">
                  <w:pPr>
                    <w:framePr w:hSpace="141" w:wrap="around" w:vAnchor="page" w:hAnchor="margin" w:y="1551"/>
                    <w:spacing w:line="360" w:lineRule="auto"/>
                    <w:jc w:val="both"/>
                    <w:rPr>
                      <w:color w:val="000000" w:themeColor="text1"/>
                      <w:sz w:val="16"/>
                      <w:szCs w:val="16"/>
                      <w:lang w:val="en-US"/>
                    </w:rPr>
                  </w:pPr>
                  <w:r w:rsidRPr="006A71D1">
                    <w:rPr>
                      <w:color w:val="000000" w:themeColor="text1"/>
                      <w:sz w:val="16"/>
                      <w:szCs w:val="16"/>
                      <w:lang w:val="en-US"/>
                    </w:rPr>
                    <w:t xml:space="preserve">Main results </w:t>
                  </w:r>
                </w:p>
              </w:tc>
              <w:tc>
                <w:tcPr>
                  <w:tcW w:w="0" w:type="auto"/>
                  <w:vAlign w:val="center"/>
                  <w:hideMark/>
                </w:tcPr>
                <w:p w14:paraId="53CD40F0"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4EA751AE" w14:textId="77777777" w:rsidR="00E74AB0" w:rsidRPr="006A71D1" w:rsidRDefault="00E74AB0" w:rsidP="00376C8E">
            <w:pPr>
              <w:spacing w:line="360" w:lineRule="auto"/>
              <w:jc w:val="both"/>
              <w:rPr>
                <w:color w:val="000000" w:themeColor="text1"/>
                <w:sz w:val="16"/>
                <w:szCs w:val="16"/>
              </w:rPr>
            </w:pPr>
          </w:p>
        </w:tc>
        <w:tc>
          <w:tcPr>
            <w:tcW w:w="0" w:type="auto"/>
          </w:tcPr>
          <w:p w14:paraId="03F567D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789D5E9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842F5F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BE2CB3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69BBA1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F3E5FB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6EAD02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93FB4B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C03CC4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8C1BCA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B6F373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4A6566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C4D9F4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8E5772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618409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B7300F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5F9571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98F69F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DE0392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4ADE316D" w14:textId="77777777" w:rsidTr="00376C8E">
        <w:trPr>
          <w:trHeight w:val="272"/>
        </w:trPr>
        <w:tc>
          <w:tcPr>
            <w:tcW w:w="0" w:type="auto"/>
          </w:tcPr>
          <w:p w14:paraId="6BFB816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17</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724"/>
              <w:gridCol w:w="81"/>
            </w:tblGrid>
            <w:tr w:rsidR="00E74AB0" w:rsidRPr="006A71D1" w14:paraId="5CDB4952" w14:textId="77777777" w:rsidTr="00376C8E">
              <w:trPr>
                <w:tblCellSpacing w:w="15" w:type="dxa"/>
              </w:trPr>
              <w:tc>
                <w:tcPr>
                  <w:tcW w:w="0" w:type="auto"/>
                  <w:vAlign w:val="center"/>
                  <w:hideMark/>
                </w:tcPr>
                <w:p w14:paraId="2AA0376B"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5F7AC608"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Other</w:t>
                  </w:r>
                  <w:proofErr w:type="spellEnd"/>
                  <w:r w:rsidRPr="006A71D1">
                    <w:rPr>
                      <w:color w:val="000000" w:themeColor="text1"/>
                      <w:sz w:val="16"/>
                      <w:szCs w:val="16"/>
                    </w:rPr>
                    <w:t xml:space="preserve"> </w:t>
                  </w:r>
                  <w:proofErr w:type="spellStart"/>
                  <w:r w:rsidRPr="006A71D1">
                    <w:rPr>
                      <w:color w:val="000000" w:themeColor="text1"/>
                      <w:sz w:val="16"/>
                      <w:szCs w:val="16"/>
                    </w:rPr>
                    <w:t>analyses</w:t>
                  </w:r>
                  <w:proofErr w:type="spellEnd"/>
                  <w:r w:rsidRPr="006A71D1">
                    <w:rPr>
                      <w:color w:val="000000" w:themeColor="text1"/>
                      <w:sz w:val="16"/>
                      <w:szCs w:val="16"/>
                    </w:rPr>
                    <w:t xml:space="preserve"> (</w:t>
                  </w:r>
                  <w:proofErr w:type="spellStart"/>
                  <w:r w:rsidRPr="006A71D1">
                    <w:rPr>
                      <w:color w:val="000000" w:themeColor="text1"/>
                      <w:sz w:val="16"/>
                      <w:szCs w:val="16"/>
                    </w:rPr>
                    <w:t>subgroups</w:t>
                  </w:r>
                  <w:proofErr w:type="spellEnd"/>
                  <w:r w:rsidRPr="006A71D1">
                    <w:rPr>
                      <w:color w:val="000000" w:themeColor="text1"/>
                      <w:sz w:val="16"/>
                      <w:szCs w:val="16"/>
                    </w:rPr>
                    <w:t xml:space="preserve">, </w:t>
                  </w:r>
                  <w:proofErr w:type="spellStart"/>
                  <w:r w:rsidRPr="006A71D1">
                    <w:rPr>
                      <w:color w:val="000000" w:themeColor="text1"/>
                      <w:sz w:val="16"/>
                      <w:szCs w:val="16"/>
                    </w:rPr>
                    <w:t>interactions</w:t>
                  </w:r>
                  <w:proofErr w:type="spellEnd"/>
                  <w:r w:rsidRPr="006A71D1">
                    <w:rPr>
                      <w:color w:val="000000" w:themeColor="text1"/>
                      <w:sz w:val="16"/>
                      <w:szCs w:val="16"/>
                    </w:rPr>
                    <w:t>)</w:t>
                  </w:r>
                </w:p>
              </w:tc>
              <w:tc>
                <w:tcPr>
                  <w:tcW w:w="0" w:type="auto"/>
                  <w:vAlign w:val="center"/>
                  <w:hideMark/>
                </w:tcPr>
                <w:p w14:paraId="040C09A9"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6398C014" w14:textId="77777777" w:rsidR="00E74AB0" w:rsidRPr="006A71D1" w:rsidRDefault="00E74AB0" w:rsidP="00376C8E">
            <w:pPr>
              <w:spacing w:line="360" w:lineRule="auto"/>
              <w:jc w:val="both"/>
              <w:rPr>
                <w:color w:val="000000" w:themeColor="text1"/>
                <w:sz w:val="16"/>
                <w:szCs w:val="16"/>
              </w:rPr>
            </w:pPr>
          </w:p>
        </w:tc>
        <w:tc>
          <w:tcPr>
            <w:tcW w:w="0" w:type="auto"/>
          </w:tcPr>
          <w:p w14:paraId="760DB1A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666481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CE75E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31BD36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0D88EF8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5AE0C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E6EAD2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6F5901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5A6149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F714C0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87DD06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DB1CE6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948E37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1C4C45F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524215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61FEAE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184B4F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B1FD91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FD78A3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6ABDB4E9" w14:textId="77777777" w:rsidTr="00376C8E">
        <w:trPr>
          <w:trHeight w:val="272"/>
        </w:trPr>
        <w:tc>
          <w:tcPr>
            <w:tcW w:w="0" w:type="auto"/>
          </w:tcPr>
          <w:p w14:paraId="491B0D7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18</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665"/>
              <w:gridCol w:w="81"/>
            </w:tblGrid>
            <w:tr w:rsidR="00E74AB0" w:rsidRPr="006A71D1" w14:paraId="518C6EF9" w14:textId="77777777" w:rsidTr="00376C8E">
              <w:trPr>
                <w:tblCellSpacing w:w="15" w:type="dxa"/>
              </w:trPr>
              <w:tc>
                <w:tcPr>
                  <w:tcW w:w="0" w:type="auto"/>
                  <w:vAlign w:val="center"/>
                  <w:hideMark/>
                </w:tcPr>
                <w:p w14:paraId="2DDFA901"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786355FD"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Discussion</w:t>
                  </w:r>
                  <w:proofErr w:type="spellEnd"/>
                  <w:r w:rsidRPr="006A71D1">
                    <w:rPr>
                      <w:color w:val="000000" w:themeColor="text1"/>
                      <w:sz w:val="16"/>
                      <w:szCs w:val="16"/>
                    </w:rPr>
                    <w:t xml:space="preserve"> of </w:t>
                  </w:r>
                  <w:proofErr w:type="spellStart"/>
                  <w:r w:rsidRPr="006A71D1">
                    <w:rPr>
                      <w:color w:val="000000" w:themeColor="text1"/>
                      <w:sz w:val="16"/>
                      <w:szCs w:val="16"/>
                    </w:rPr>
                    <w:t>key</w:t>
                  </w:r>
                  <w:proofErr w:type="spellEnd"/>
                  <w:r w:rsidRPr="006A71D1">
                    <w:rPr>
                      <w:color w:val="000000" w:themeColor="text1"/>
                      <w:sz w:val="16"/>
                      <w:szCs w:val="16"/>
                    </w:rPr>
                    <w:t xml:space="preserve"> </w:t>
                  </w:r>
                  <w:proofErr w:type="spellStart"/>
                  <w:r w:rsidRPr="006A71D1">
                    <w:rPr>
                      <w:color w:val="000000" w:themeColor="text1"/>
                      <w:sz w:val="16"/>
                      <w:szCs w:val="16"/>
                    </w:rPr>
                    <w:t>results</w:t>
                  </w:r>
                  <w:proofErr w:type="spellEnd"/>
                </w:p>
              </w:tc>
              <w:tc>
                <w:tcPr>
                  <w:tcW w:w="0" w:type="auto"/>
                  <w:vAlign w:val="center"/>
                  <w:hideMark/>
                </w:tcPr>
                <w:p w14:paraId="15E6C7D2"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138A1C54" w14:textId="77777777" w:rsidR="00E74AB0" w:rsidRPr="006A71D1" w:rsidRDefault="00E74AB0" w:rsidP="00376C8E">
            <w:pPr>
              <w:spacing w:line="360" w:lineRule="auto"/>
              <w:jc w:val="both"/>
              <w:rPr>
                <w:color w:val="000000" w:themeColor="text1"/>
                <w:sz w:val="16"/>
                <w:szCs w:val="16"/>
              </w:rPr>
            </w:pPr>
          </w:p>
        </w:tc>
        <w:tc>
          <w:tcPr>
            <w:tcW w:w="0" w:type="auto"/>
          </w:tcPr>
          <w:p w14:paraId="346D7C2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40185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0F2A25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74AAA3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66FD15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ABE277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BFD7AB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659A0F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77FE49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07140A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3CB4C8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43671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9D63F5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B4799C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4E27C1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FBE9B3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E55CDF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CCC85E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D38E53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20652573" w14:textId="77777777" w:rsidTr="00376C8E">
        <w:trPr>
          <w:trHeight w:val="272"/>
        </w:trPr>
        <w:tc>
          <w:tcPr>
            <w:tcW w:w="0" w:type="auto"/>
          </w:tcPr>
          <w:p w14:paraId="0AD2314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19</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105"/>
              <w:gridCol w:w="700"/>
            </w:tblGrid>
            <w:tr w:rsidR="00E74AB0" w:rsidRPr="006A71D1" w14:paraId="7933AE1A" w14:textId="77777777" w:rsidTr="00376C8E">
              <w:trPr>
                <w:tblCellSpacing w:w="15" w:type="dxa"/>
              </w:trPr>
              <w:tc>
                <w:tcPr>
                  <w:tcW w:w="0" w:type="auto"/>
                  <w:vAlign w:val="center"/>
                  <w:hideMark/>
                </w:tcPr>
                <w:p w14:paraId="3CB83F97"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036C4772"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Study</w:t>
                  </w:r>
                  <w:proofErr w:type="spellEnd"/>
                  <w:r w:rsidRPr="006A71D1">
                    <w:rPr>
                      <w:color w:val="000000" w:themeColor="text1"/>
                      <w:sz w:val="16"/>
                      <w:szCs w:val="16"/>
                    </w:rPr>
                    <w:t xml:space="preserve"> </w:t>
                  </w:r>
                  <w:proofErr w:type="spellStart"/>
                  <w:r w:rsidRPr="006A71D1">
                    <w:rPr>
                      <w:color w:val="000000" w:themeColor="text1"/>
                      <w:sz w:val="16"/>
                      <w:szCs w:val="16"/>
                    </w:rPr>
                    <w:t>limitations</w:t>
                  </w:r>
                  <w:proofErr w:type="spellEnd"/>
                  <w:r w:rsidRPr="006A71D1">
                    <w:rPr>
                      <w:color w:val="000000" w:themeColor="text1"/>
                      <w:sz w:val="16"/>
                      <w:szCs w:val="16"/>
                    </w:rPr>
                    <w:t xml:space="preserve"> </w:t>
                  </w:r>
                </w:p>
              </w:tc>
              <w:tc>
                <w:tcPr>
                  <w:tcW w:w="655" w:type="dxa"/>
                  <w:vAlign w:val="center"/>
                  <w:hideMark/>
                </w:tcPr>
                <w:p w14:paraId="6BFD8DBE"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4EAB13DB" w14:textId="77777777" w:rsidR="00E74AB0" w:rsidRPr="006A71D1" w:rsidRDefault="00E74AB0" w:rsidP="00376C8E">
            <w:pPr>
              <w:spacing w:line="360" w:lineRule="auto"/>
              <w:jc w:val="both"/>
              <w:rPr>
                <w:color w:val="000000" w:themeColor="text1"/>
                <w:sz w:val="16"/>
                <w:szCs w:val="16"/>
              </w:rPr>
            </w:pPr>
          </w:p>
        </w:tc>
        <w:tc>
          <w:tcPr>
            <w:tcW w:w="0" w:type="auto"/>
          </w:tcPr>
          <w:p w14:paraId="14258E8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7FD8AB7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6364AA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BDA7D1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7FEFEA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C7C383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4847C6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9A4612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622F7BF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2B497E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534C14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3E78F6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574DDF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F75645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5973C3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5EED9C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26B86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37C6DE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90284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r>
      <w:tr w:rsidR="00E74AB0" w:rsidRPr="006A71D1" w14:paraId="310C9906" w14:textId="77777777" w:rsidTr="00376C8E">
        <w:trPr>
          <w:trHeight w:val="272"/>
        </w:trPr>
        <w:tc>
          <w:tcPr>
            <w:tcW w:w="0" w:type="auto"/>
          </w:tcPr>
          <w:p w14:paraId="635A6C7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20</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496"/>
              <w:gridCol w:w="81"/>
            </w:tblGrid>
            <w:tr w:rsidR="00E74AB0" w:rsidRPr="006A71D1" w14:paraId="12E02BEA" w14:textId="77777777" w:rsidTr="00376C8E">
              <w:trPr>
                <w:tblCellSpacing w:w="15" w:type="dxa"/>
              </w:trPr>
              <w:tc>
                <w:tcPr>
                  <w:tcW w:w="0" w:type="auto"/>
                  <w:vAlign w:val="center"/>
                  <w:hideMark/>
                </w:tcPr>
                <w:p w14:paraId="1EFFFA35"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5D2E8916"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Interpretation</w:t>
                  </w:r>
                  <w:proofErr w:type="spellEnd"/>
                  <w:r w:rsidRPr="006A71D1">
                    <w:rPr>
                      <w:color w:val="000000" w:themeColor="text1"/>
                      <w:sz w:val="16"/>
                      <w:szCs w:val="16"/>
                    </w:rPr>
                    <w:t xml:space="preserve"> </w:t>
                  </w:r>
                  <w:proofErr w:type="spellStart"/>
                  <w:r w:rsidRPr="006A71D1">
                    <w:rPr>
                      <w:color w:val="000000" w:themeColor="text1"/>
                      <w:sz w:val="16"/>
                      <w:szCs w:val="16"/>
                    </w:rPr>
                    <w:t>justified</w:t>
                  </w:r>
                  <w:proofErr w:type="spellEnd"/>
                </w:p>
              </w:tc>
              <w:tc>
                <w:tcPr>
                  <w:tcW w:w="0" w:type="auto"/>
                  <w:vAlign w:val="center"/>
                  <w:hideMark/>
                </w:tcPr>
                <w:p w14:paraId="5D4DF5EB"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3D0166EE" w14:textId="77777777" w:rsidR="00E74AB0" w:rsidRPr="006A71D1" w:rsidRDefault="00E74AB0" w:rsidP="00376C8E">
            <w:pPr>
              <w:spacing w:line="360" w:lineRule="auto"/>
              <w:jc w:val="both"/>
              <w:rPr>
                <w:color w:val="000000" w:themeColor="text1"/>
                <w:sz w:val="16"/>
                <w:szCs w:val="16"/>
              </w:rPr>
            </w:pPr>
          </w:p>
        </w:tc>
        <w:tc>
          <w:tcPr>
            <w:tcW w:w="0" w:type="auto"/>
          </w:tcPr>
          <w:p w14:paraId="79D697C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8893C3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3D7766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BE6FDC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A28E6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23D56B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635644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954ECE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A11567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62E4F4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9A3ED9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0DDDC4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A5821F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21D392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626A7B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3FE19A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62B48F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59B7DD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937142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2F67AB7F" w14:textId="77777777" w:rsidTr="00376C8E">
        <w:trPr>
          <w:trHeight w:val="272"/>
        </w:trPr>
        <w:tc>
          <w:tcPr>
            <w:tcW w:w="0" w:type="auto"/>
          </w:tcPr>
          <w:p w14:paraId="4B573CE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21</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724"/>
              <w:gridCol w:w="81"/>
            </w:tblGrid>
            <w:tr w:rsidR="00E74AB0" w:rsidRPr="006A71D1" w14:paraId="0AA9B5D6" w14:textId="77777777" w:rsidTr="00376C8E">
              <w:trPr>
                <w:tblCellSpacing w:w="15" w:type="dxa"/>
              </w:trPr>
              <w:tc>
                <w:tcPr>
                  <w:tcW w:w="0" w:type="auto"/>
                  <w:vAlign w:val="center"/>
                  <w:hideMark/>
                </w:tcPr>
                <w:p w14:paraId="6CC7DC21"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4A54CE01" w14:textId="77777777" w:rsidR="00E74AB0" w:rsidRPr="006A71D1" w:rsidRDefault="00E74AB0" w:rsidP="00F20444">
                  <w:pPr>
                    <w:framePr w:hSpace="141" w:wrap="around" w:vAnchor="page" w:hAnchor="margin" w:y="1551"/>
                    <w:spacing w:line="360" w:lineRule="auto"/>
                    <w:jc w:val="both"/>
                    <w:rPr>
                      <w:color w:val="000000" w:themeColor="text1"/>
                      <w:sz w:val="16"/>
                      <w:szCs w:val="16"/>
                      <w:lang w:val="en-US"/>
                    </w:rPr>
                  </w:pPr>
                  <w:r w:rsidRPr="006A71D1">
                    <w:rPr>
                      <w:color w:val="000000" w:themeColor="text1"/>
                      <w:sz w:val="16"/>
                      <w:szCs w:val="16"/>
                      <w:lang w:val="en-US"/>
                    </w:rPr>
                    <w:t xml:space="preserve">Funding sources and roles </w:t>
                  </w:r>
                </w:p>
              </w:tc>
              <w:tc>
                <w:tcPr>
                  <w:tcW w:w="0" w:type="auto"/>
                  <w:vAlign w:val="center"/>
                  <w:hideMark/>
                </w:tcPr>
                <w:p w14:paraId="326FEB7C"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2BB198A7" w14:textId="77777777" w:rsidR="00E74AB0" w:rsidRPr="006A71D1" w:rsidRDefault="00E74AB0" w:rsidP="00376C8E">
            <w:pPr>
              <w:spacing w:line="360" w:lineRule="auto"/>
              <w:jc w:val="both"/>
              <w:rPr>
                <w:color w:val="000000" w:themeColor="text1"/>
                <w:sz w:val="16"/>
                <w:szCs w:val="16"/>
              </w:rPr>
            </w:pPr>
          </w:p>
        </w:tc>
        <w:tc>
          <w:tcPr>
            <w:tcW w:w="0" w:type="auto"/>
          </w:tcPr>
          <w:p w14:paraId="573A043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7C007F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CFDAC9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AD25F3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39AA1D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E3F49B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CFBA31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CAC3FE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71C9B0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F74E73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2D5EF6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44D5F5D"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375047A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DDAB05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9AB89B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4CF0D57"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63FB6F8"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55B2562"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4B5D98C"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24EDBBB2" w14:textId="77777777" w:rsidTr="00376C8E">
        <w:trPr>
          <w:trHeight w:val="272"/>
        </w:trPr>
        <w:tc>
          <w:tcPr>
            <w:tcW w:w="0" w:type="auto"/>
          </w:tcPr>
          <w:p w14:paraId="372B069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22</w:t>
            </w:r>
          </w:p>
        </w:tc>
        <w:tc>
          <w:tcPr>
            <w:tcW w:w="0" w:type="auto"/>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060"/>
              <w:gridCol w:w="81"/>
            </w:tblGrid>
            <w:tr w:rsidR="00E74AB0" w:rsidRPr="006A71D1" w14:paraId="7533C979" w14:textId="77777777" w:rsidTr="00376C8E">
              <w:trPr>
                <w:tblCellSpacing w:w="15" w:type="dxa"/>
              </w:trPr>
              <w:tc>
                <w:tcPr>
                  <w:tcW w:w="0" w:type="auto"/>
                  <w:vAlign w:val="center"/>
                  <w:hideMark/>
                </w:tcPr>
                <w:p w14:paraId="08A8DECC"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c>
                <w:tcPr>
                  <w:tcW w:w="0" w:type="auto"/>
                  <w:vAlign w:val="center"/>
                  <w:hideMark/>
                </w:tcPr>
                <w:p w14:paraId="5177E8F6"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roofErr w:type="spellStart"/>
                  <w:r w:rsidRPr="006A71D1">
                    <w:rPr>
                      <w:color w:val="000000" w:themeColor="text1"/>
                      <w:sz w:val="16"/>
                      <w:szCs w:val="16"/>
                    </w:rPr>
                    <w:t>Ethics</w:t>
                  </w:r>
                  <w:proofErr w:type="spellEnd"/>
                  <w:r w:rsidRPr="006A71D1">
                    <w:rPr>
                      <w:color w:val="000000" w:themeColor="text1"/>
                      <w:sz w:val="16"/>
                      <w:szCs w:val="16"/>
                    </w:rPr>
                    <w:t xml:space="preserve"> </w:t>
                  </w:r>
                  <w:proofErr w:type="spellStart"/>
                  <w:r w:rsidRPr="006A71D1">
                    <w:rPr>
                      <w:color w:val="000000" w:themeColor="text1"/>
                      <w:sz w:val="16"/>
                      <w:szCs w:val="16"/>
                    </w:rPr>
                    <w:t>approval</w:t>
                  </w:r>
                  <w:proofErr w:type="spellEnd"/>
                  <w:r w:rsidRPr="006A71D1">
                    <w:rPr>
                      <w:color w:val="000000" w:themeColor="text1"/>
                      <w:sz w:val="16"/>
                      <w:szCs w:val="16"/>
                    </w:rPr>
                    <w:t xml:space="preserve"> </w:t>
                  </w:r>
                </w:p>
              </w:tc>
              <w:tc>
                <w:tcPr>
                  <w:tcW w:w="0" w:type="auto"/>
                  <w:vAlign w:val="center"/>
                  <w:hideMark/>
                </w:tcPr>
                <w:p w14:paraId="00310FB2" w14:textId="77777777" w:rsidR="00E74AB0" w:rsidRPr="006A71D1" w:rsidRDefault="00E74AB0" w:rsidP="00F20444">
                  <w:pPr>
                    <w:framePr w:hSpace="141" w:wrap="around" w:vAnchor="page" w:hAnchor="margin" w:y="1551"/>
                    <w:spacing w:line="360" w:lineRule="auto"/>
                    <w:jc w:val="both"/>
                    <w:rPr>
                      <w:color w:val="000000" w:themeColor="text1"/>
                      <w:sz w:val="16"/>
                      <w:szCs w:val="16"/>
                    </w:rPr>
                  </w:pPr>
                </w:p>
              </w:tc>
            </w:tr>
          </w:tbl>
          <w:p w14:paraId="5EC50E6F" w14:textId="77777777" w:rsidR="00E74AB0" w:rsidRPr="006A71D1" w:rsidRDefault="00E74AB0" w:rsidP="00376C8E">
            <w:pPr>
              <w:spacing w:line="360" w:lineRule="auto"/>
              <w:jc w:val="both"/>
              <w:rPr>
                <w:color w:val="000000" w:themeColor="text1"/>
                <w:sz w:val="16"/>
                <w:szCs w:val="16"/>
              </w:rPr>
            </w:pPr>
          </w:p>
        </w:tc>
        <w:tc>
          <w:tcPr>
            <w:tcW w:w="0" w:type="auto"/>
          </w:tcPr>
          <w:p w14:paraId="48C79AB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C86D830"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C20796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4DD9D8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4F1710E"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0D8AE93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521FFF5"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4652216"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0</w:t>
            </w:r>
          </w:p>
        </w:tc>
        <w:tc>
          <w:tcPr>
            <w:tcW w:w="0" w:type="auto"/>
          </w:tcPr>
          <w:p w14:paraId="56D975CA"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F88B16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A09BEC3"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2E827AB"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F46830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7F1D1D9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1B064FA1"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5C29987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42CC2524"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2CB9AA39"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c>
          <w:tcPr>
            <w:tcW w:w="0" w:type="auto"/>
          </w:tcPr>
          <w:p w14:paraId="69C425DF" w14:textId="77777777" w:rsidR="00E74AB0" w:rsidRPr="006A71D1" w:rsidRDefault="00E74AB0" w:rsidP="00376C8E">
            <w:pPr>
              <w:spacing w:line="360" w:lineRule="auto"/>
              <w:jc w:val="both"/>
              <w:rPr>
                <w:color w:val="000000" w:themeColor="text1"/>
                <w:sz w:val="16"/>
                <w:szCs w:val="16"/>
              </w:rPr>
            </w:pPr>
            <w:r w:rsidRPr="006A71D1">
              <w:rPr>
                <w:color w:val="000000" w:themeColor="text1"/>
                <w:sz w:val="16"/>
                <w:szCs w:val="16"/>
              </w:rPr>
              <w:t>1</w:t>
            </w:r>
          </w:p>
        </w:tc>
      </w:tr>
      <w:tr w:rsidR="00E74AB0" w:rsidRPr="006A71D1" w14:paraId="16B2F15F" w14:textId="77777777" w:rsidTr="00376C8E">
        <w:trPr>
          <w:trHeight w:val="272"/>
        </w:trPr>
        <w:tc>
          <w:tcPr>
            <w:tcW w:w="0" w:type="auto"/>
          </w:tcPr>
          <w:p w14:paraId="4F4673C7" w14:textId="77777777" w:rsidR="00E74AB0" w:rsidRPr="006A71D1" w:rsidRDefault="00E74AB0" w:rsidP="00376C8E">
            <w:pPr>
              <w:spacing w:line="360" w:lineRule="auto"/>
              <w:jc w:val="both"/>
              <w:rPr>
                <w:b/>
                <w:bCs/>
                <w:color w:val="000000" w:themeColor="text1"/>
                <w:sz w:val="16"/>
                <w:szCs w:val="16"/>
              </w:rPr>
            </w:pPr>
          </w:p>
        </w:tc>
        <w:tc>
          <w:tcPr>
            <w:tcW w:w="0" w:type="auto"/>
          </w:tcPr>
          <w:p w14:paraId="5CD48A82"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Total</w:t>
            </w:r>
          </w:p>
        </w:tc>
        <w:tc>
          <w:tcPr>
            <w:tcW w:w="0" w:type="auto"/>
          </w:tcPr>
          <w:p w14:paraId="60D288AC"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14</w:t>
            </w:r>
          </w:p>
        </w:tc>
        <w:tc>
          <w:tcPr>
            <w:tcW w:w="0" w:type="auto"/>
          </w:tcPr>
          <w:p w14:paraId="07D21A76"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19</w:t>
            </w:r>
          </w:p>
        </w:tc>
        <w:tc>
          <w:tcPr>
            <w:tcW w:w="0" w:type="auto"/>
          </w:tcPr>
          <w:p w14:paraId="224DCA88"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20</w:t>
            </w:r>
          </w:p>
        </w:tc>
        <w:tc>
          <w:tcPr>
            <w:tcW w:w="0" w:type="auto"/>
          </w:tcPr>
          <w:p w14:paraId="1D5F7696"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11</w:t>
            </w:r>
          </w:p>
        </w:tc>
        <w:tc>
          <w:tcPr>
            <w:tcW w:w="0" w:type="auto"/>
          </w:tcPr>
          <w:p w14:paraId="72550E4A"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441216C2"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19</w:t>
            </w:r>
          </w:p>
        </w:tc>
        <w:tc>
          <w:tcPr>
            <w:tcW w:w="0" w:type="auto"/>
          </w:tcPr>
          <w:p w14:paraId="04FFDD48"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66D8CD99"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13</w:t>
            </w:r>
          </w:p>
        </w:tc>
        <w:tc>
          <w:tcPr>
            <w:tcW w:w="0" w:type="auto"/>
          </w:tcPr>
          <w:p w14:paraId="26545A7F"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0D2093E7"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35D6CF9F"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19</w:t>
            </w:r>
          </w:p>
        </w:tc>
        <w:tc>
          <w:tcPr>
            <w:tcW w:w="0" w:type="auto"/>
          </w:tcPr>
          <w:p w14:paraId="0CE7E447"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20</w:t>
            </w:r>
          </w:p>
        </w:tc>
        <w:tc>
          <w:tcPr>
            <w:tcW w:w="0" w:type="auto"/>
          </w:tcPr>
          <w:p w14:paraId="372D1F48"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17</w:t>
            </w:r>
          </w:p>
        </w:tc>
        <w:tc>
          <w:tcPr>
            <w:tcW w:w="0" w:type="auto"/>
          </w:tcPr>
          <w:p w14:paraId="5915DC6E"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20</w:t>
            </w:r>
          </w:p>
        </w:tc>
        <w:tc>
          <w:tcPr>
            <w:tcW w:w="0" w:type="auto"/>
          </w:tcPr>
          <w:p w14:paraId="36B6488B"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0A09DB82"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3736C9FE"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4BEFDEDA"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21</w:t>
            </w:r>
          </w:p>
        </w:tc>
        <w:tc>
          <w:tcPr>
            <w:tcW w:w="0" w:type="auto"/>
          </w:tcPr>
          <w:p w14:paraId="4C453945" w14:textId="77777777" w:rsidR="00E74AB0" w:rsidRPr="006A71D1" w:rsidRDefault="00E74AB0" w:rsidP="00376C8E">
            <w:pPr>
              <w:spacing w:line="360" w:lineRule="auto"/>
              <w:jc w:val="both"/>
              <w:rPr>
                <w:b/>
                <w:bCs/>
                <w:color w:val="000000" w:themeColor="text1"/>
                <w:sz w:val="16"/>
                <w:szCs w:val="16"/>
              </w:rPr>
            </w:pPr>
            <w:r w:rsidRPr="006A71D1">
              <w:rPr>
                <w:b/>
                <w:bCs/>
                <w:color w:val="000000" w:themeColor="text1"/>
                <w:sz w:val="16"/>
                <w:szCs w:val="16"/>
              </w:rPr>
              <w:t>17</w:t>
            </w:r>
          </w:p>
        </w:tc>
      </w:tr>
    </w:tbl>
    <w:p w14:paraId="69E2932A" w14:textId="77777777" w:rsidR="00E74AB0" w:rsidRDefault="00E74AB0" w:rsidP="00E74AB0">
      <w:pPr>
        <w:spacing w:line="360" w:lineRule="auto"/>
        <w:jc w:val="both"/>
        <w:rPr>
          <w:color w:val="000000" w:themeColor="text1"/>
          <w:lang w:val="en-US"/>
        </w:rPr>
      </w:pPr>
    </w:p>
    <w:p w14:paraId="65337A3D" w14:textId="77777777" w:rsidR="00E74AB0" w:rsidRDefault="00E74AB0">
      <w:pPr>
        <w:rPr>
          <w:b/>
          <w:bCs/>
          <w:color w:val="000000" w:themeColor="text1"/>
          <w:sz w:val="20"/>
          <w:szCs w:val="20"/>
          <w:lang w:val="en-US"/>
        </w:rPr>
      </w:pPr>
      <w:r>
        <w:rPr>
          <w:b/>
          <w:bCs/>
          <w:color w:val="000000" w:themeColor="text1"/>
          <w:sz w:val="20"/>
          <w:szCs w:val="20"/>
          <w:lang w:val="en-US"/>
        </w:rPr>
        <w:br w:type="page"/>
      </w:r>
    </w:p>
    <w:p w14:paraId="116A1694" w14:textId="798B57A2" w:rsidR="00CA4985" w:rsidRPr="000E23C2" w:rsidRDefault="00CA41B7" w:rsidP="000E23C2">
      <w:pPr>
        <w:spacing w:line="360" w:lineRule="auto"/>
        <w:jc w:val="both"/>
        <w:rPr>
          <w:color w:val="000000" w:themeColor="text1"/>
          <w:sz w:val="20"/>
          <w:szCs w:val="20"/>
          <w:lang w:val="en-US"/>
        </w:rPr>
      </w:pPr>
      <w:r w:rsidRPr="00DE1C3A">
        <w:rPr>
          <w:b/>
          <w:bCs/>
          <w:color w:val="000000" w:themeColor="text1"/>
          <w:sz w:val="20"/>
          <w:szCs w:val="20"/>
          <w:lang w:val="en-US"/>
        </w:rPr>
        <w:lastRenderedPageBreak/>
        <w:t>Supplementary Table S</w:t>
      </w:r>
      <w:r w:rsidR="00922A5F">
        <w:rPr>
          <w:b/>
          <w:bCs/>
          <w:color w:val="000000" w:themeColor="text1"/>
          <w:sz w:val="20"/>
          <w:szCs w:val="20"/>
          <w:lang w:val="en-US"/>
        </w:rPr>
        <w:t>4</w:t>
      </w:r>
      <w:r w:rsidR="00091267" w:rsidRPr="00DE1C3A">
        <w:rPr>
          <w:color w:val="000000" w:themeColor="text1"/>
          <w:sz w:val="20"/>
          <w:szCs w:val="20"/>
          <w:lang w:val="en-US"/>
        </w:rPr>
        <w:t>.</w:t>
      </w:r>
      <w:r w:rsidRPr="00DE1C3A">
        <w:rPr>
          <w:color w:val="000000" w:themeColor="text1"/>
          <w:sz w:val="20"/>
          <w:szCs w:val="20"/>
          <w:lang w:val="en-US"/>
        </w:rPr>
        <w:t xml:space="preserve"> </w:t>
      </w:r>
      <w:r w:rsidR="003A1747">
        <w:rPr>
          <w:color w:val="000000" w:themeColor="text1"/>
          <w:sz w:val="20"/>
          <w:szCs w:val="20"/>
          <w:lang w:val="en-US"/>
        </w:rPr>
        <w:t xml:space="preserve">Characteristics and </w:t>
      </w:r>
      <w:r w:rsidR="00D27B51">
        <w:rPr>
          <w:color w:val="000000" w:themeColor="text1"/>
          <w:sz w:val="20"/>
          <w:szCs w:val="20"/>
          <w:lang w:val="en-US"/>
        </w:rPr>
        <w:t xml:space="preserve">main </w:t>
      </w:r>
      <w:r w:rsidR="003A1747">
        <w:rPr>
          <w:color w:val="000000" w:themeColor="text1"/>
          <w:sz w:val="20"/>
          <w:szCs w:val="20"/>
          <w:lang w:val="en-US"/>
        </w:rPr>
        <w:t>findings of s</w:t>
      </w:r>
      <w:r w:rsidR="00335996" w:rsidRPr="00DE1C3A">
        <w:rPr>
          <w:color w:val="000000" w:themeColor="text1"/>
          <w:sz w:val="20"/>
          <w:szCs w:val="20"/>
          <w:lang w:val="en-US"/>
        </w:rPr>
        <w:t xml:space="preserve">tudies </w:t>
      </w:r>
      <w:r w:rsidRPr="00DE1C3A">
        <w:rPr>
          <w:color w:val="000000" w:themeColor="text1"/>
          <w:sz w:val="20"/>
          <w:szCs w:val="20"/>
          <w:lang w:val="en-US"/>
        </w:rPr>
        <w:t xml:space="preserve">included in </w:t>
      </w:r>
      <w:r w:rsidR="00335996" w:rsidRPr="00DE1C3A">
        <w:rPr>
          <w:color w:val="000000" w:themeColor="text1"/>
          <w:sz w:val="20"/>
          <w:szCs w:val="20"/>
          <w:lang w:val="en-US"/>
        </w:rPr>
        <w:t xml:space="preserve">the </w:t>
      </w:r>
      <w:r w:rsidRPr="00DE1C3A">
        <w:rPr>
          <w:color w:val="000000" w:themeColor="text1"/>
          <w:sz w:val="20"/>
          <w:szCs w:val="20"/>
          <w:lang w:val="en-US"/>
        </w:rPr>
        <w:t xml:space="preserve">analysis </w:t>
      </w:r>
      <w:r w:rsidR="00CA4985">
        <w:rPr>
          <w:color w:val="000000" w:themeColor="text1"/>
          <w:sz w:val="20"/>
          <w:szCs w:val="20"/>
          <w:lang w:val="en-US"/>
        </w:rPr>
        <w:t xml:space="preserve">of the </w:t>
      </w:r>
      <w:r w:rsidR="00335996" w:rsidRPr="00DE1C3A">
        <w:rPr>
          <w:color w:val="000000" w:themeColor="text1"/>
          <w:sz w:val="20"/>
          <w:szCs w:val="20"/>
          <w:lang w:val="en-US"/>
        </w:rPr>
        <w:t xml:space="preserve">impact of fluoroquinolone prophylaxis on the </w:t>
      </w:r>
      <w:r w:rsidR="002D31D5">
        <w:rPr>
          <w:color w:val="000000" w:themeColor="text1"/>
          <w:sz w:val="20"/>
          <w:szCs w:val="20"/>
          <w:lang w:val="en-US"/>
        </w:rPr>
        <w:t xml:space="preserve">occurrence of </w:t>
      </w:r>
      <w:r w:rsidR="00335996" w:rsidRPr="00DE1C3A">
        <w:rPr>
          <w:color w:val="000000" w:themeColor="text1"/>
          <w:sz w:val="20"/>
          <w:szCs w:val="20"/>
          <w:lang w:val="en-US"/>
        </w:rPr>
        <w:t>bloodstream infections</w:t>
      </w:r>
      <w:r w:rsidR="002D31D5">
        <w:rPr>
          <w:color w:val="000000" w:themeColor="text1"/>
          <w:sz w:val="20"/>
          <w:szCs w:val="20"/>
          <w:lang w:val="en-US"/>
        </w:rPr>
        <w:t xml:space="preserve"> (BSI), Gram-negative BSI and resistant BSI.</w:t>
      </w:r>
    </w:p>
    <w:tbl>
      <w:tblPr>
        <w:tblStyle w:val="Grigliatabella"/>
        <w:tblW w:w="0" w:type="auto"/>
        <w:tblLook w:val="04A0" w:firstRow="1" w:lastRow="0" w:firstColumn="1" w:lastColumn="0" w:noHBand="0" w:noVBand="1"/>
      </w:tblPr>
      <w:tblGrid>
        <w:gridCol w:w="1318"/>
        <w:gridCol w:w="1772"/>
        <w:gridCol w:w="1319"/>
        <w:gridCol w:w="1542"/>
        <w:gridCol w:w="1230"/>
        <w:gridCol w:w="945"/>
        <w:gridCol w:w="1496"/>
      </w:tblGrid>
      <w:tr w:rsidR="009066CC" w:rsidRPr="00F20444" w14:paraId="030377A0" w14:textId="64C41CCD" w:rsidTr="000E23C2">
        <w:trPr>
          <w:trHeight w:val="578"/>
        </w:trPr>
        <w:tc>
          <w:tcPr>
            <w:tcW w:w="0" w:type="auto"/>
            <w:vAlign w:val="center"/>
          </w:tcPr>
          <w:p w14:paraId="41F6FECA" w14:textId="097185EB" w:rsidR="009066CC" w:rsidRPr="00DB2F73" w:rsidRDefault="009066CC" w:rsidP="00AB0CDA">
            <w:pPr>
              <w:jc w:val="center"/>
              <w:rPr>
                <w:b/>
                <w:bCs/>
                <w:color w:val="000000" w:themeColor="text1"/>
                <w:sz w:val="16"/>
                <w:szCs w:val="16"/>
                <w:lang w:val="en-US"/>
              </w:rPr>
            </w:pPr>
            <w:r w:rsidRPr="00DB2F73">
              <w:rPr>
                <w:b/>
                <w:bCs/>
                <w:color w:val="000000" w:themeColor="text1"/>
                <w:sz w:val="16"/>
                <w:szCs w:val="16"/>
                <w:lang w:val="en-US"/>
              </w:rPr>
              <w:t>First author</w:t>
            </w:r>
            <w:r w:rsidR="007C5F11">
              <w:rPr>
                <w:b/>
                <w:bCs/>
                <w:color w:val="000000" w:themeColor="text1"/>
                <w:sz w:val="16"/>
                <w:szCs w:val="16"/>
                <w:lang w:val="en-US"/>
              </w:rPr>
              <w:t>, Year</w:t>
            </w:r>
          </w:p>
        </w:tc>
        <w:tc>
          <w:tcPr>
            <w:tcW w:w="0" w:type="auto"/>
            <w:vAlign w:val="center"/>
          </w:tcPr>
          <w:p w14:paraId="65E7B8B5" w14:textId="69E5A1AA" w:rsidR="009066CC" w:rsidRPr="00DB2F73" w:rsidRDefault="009066CC" w:rsidP="00AB0CDA">
            <w:pPr>
              <w:jc w:val="center"/>
              <w:rPr>
                <w:b/>
                <w:bCs/>
                <w:color w:val="000000" w:themeColor="text1"/>
                <w:sz w:val="16"/>
                <w:szCs w:val="16"/>
                <w:lang w:val="en-US"/>
              </w:rPr>
            </w:pPr>
            <w:r w:rsidRPr="00DB2F73">
              <w:rPr>
                <w:b/>
                <w:bCs/>
                <w:color w:val="000000" w:themeColor="text1"/>
                <w:sz w:val="16"/>
                <w:szCs w:val="16"/>
                <w:lang w:val="en-US"/>
              </w:rPr>
              <w:t>Design, Country</w:t>
            </w:r>
          </w:p>
        </w:tc>
        <w:tc>
          <w:tcPr>
            <w:tcW w:w="0" w:type="auto"/>
            <w:vAlign w:val="center"/>
          </w:tcPr>
          <w:p w14:paraId="462FBCD6" w14:textId="4E9BD655" w:rsidR="009066CC" w:rsidRPr="00DB2F73" w:rsidRDefault="009066CC" w:rsidP="00AB0CDA">
            <w:pPr>
              <w:jc w:val="center"/>
              <w:rPr>
                <w:b/>
                <w:bCs/>
                <w:color w:val="000000" w:themeColor="text1"/>
                <w:sz w:val="16"/>
                <w:szCs w:val="16"/>
                <w:lang w:val="en-US"/>
              </w:rPr>
            </w:pPr>
            <w:r>
              <w:rPr>
                <w:b/>
                <w:bCs/>
                <w:color w:val="000000" w:themeColor="text1"/>
                <w:sz w:val="16"/>
                <w:szCs w:val="16"/>
                <w:lang w:val="en-US"/>
              </w:rPr>
              <w:t>Patients population (number of patients)</w:t>
            </w:r>
          </w:p>
        </w:tc>
        <w:tc>
          <w:tcPr>
            <w:tcW w:w="0" w:type="auto"/>
            <w:vAlign w:val="center"/>
          </w:tcPr>
          <w:p w14:paraId="306C4991" w14:textId="387CB04D" w:rsidR="009066CC" w:rsidRPr="00DB2F73" w:rsidRDefault="009066CC" w:rsidP="00AB0CDA">
            <w:pPr>
              <w:jc w:val="center"/>
              <w:rPr>
                <w:b/>
                <w:bCs/>
                <w:color w:val="000000" w:themeColor="text1"/>
                <w:sz w:val="16"/>
                <w:szCs w:val="16"/>
                <w:lang w:val="en-US"/>
              </w:rPr>
            </w:pPr>
            <w:r>
              <w:rPr>
                <w:b/>
                <w:bCs/>
                <w:color w:val="000000" w:themeColor="text1"/>
                <w:sz w:val="16"/>
                <w:szCs w:val="16"/>
                <w:lang w:val="en-US"/>
              </w:rPr>
              <w:t>Type of prophylaxis (number of patients in prophylaxis)</w:t>
            </w:r>
          </w:p>
        </w:tc>
        <w:tc>
          <w:tcPr>
            <w:tcW w:w="0" w:type="auto"/>
            <w:gridSpan w:val="3"/>
            <w:vAlign w:val="center"/>
          </w:tcPr>
          <w:p w14:paraId="07EC2018" w14:textId="29F4879B" w:rsidR="009066CC" w:rsidRPr="00DB2F73" w:rsidRDefault="009066CC">
            <w:pPr>
              <w:jc w:val="center"/>
              <w:rPr>
                <w:b/>
                <w:bCs/>
                <w:color w:val="000000" w:themeColor="text1"/>
                <w:sz w:val="16"/>
                <w:szCs w:val="16"/>
                <w:lang w:val="en-US"/>
              </w:rPr>
            </w:pPr>
            <w:r>
              <w:rPr>
                <w:b/>
                <w:bCs/>
                <w:color w:val="000000" w:themeColor="text1"/>
                <w:sz w:val="16"/>
                <w:szCs w:val="16"/>
                <w:lang w:val="en-US"/>
              </w:rPr>
              <w:t xml:space="preserve">Impact of the prophylaxis on: </w:t>
            </w:r>
          </w:p>
          <w:p w14:paraId="482A273A" w14:textId="5E1925D8" w:rsidR="009066CC" w:rsidRPr="00DB2F73" w:rsidRDefault="009066CC">
            <w:pPr>
              <w:jc w:val="center"/>
              <w:rPr>
                <w:b/>
                <w:bCs/>
                <w:color w:val="000000" w:themeColor="text1"/>
                <w:sz w:val="16"/>
                <w:szCs w:val="16"/>
                <w:lang w:val="en-US"/>
              </w:rPr>
            </w:pPr>
          </w:p>
          <w:p w14:paraId="5291C6ED" w14:textId="5D0F28DD" w:rsidR="009066CC" w:rsidRPr="00DB2F73" w:rsidRDefault="009066CC" w:rsidP="00AB0CDA">
            <w:pPr>
              <w:jc w:val="center"/>
              <w:rPr>
                <w:b/>
                <w:bCs/>
                <w:color w:val="000000" w:themeColor="text1"/>
                <w:sz w:val="16"/>
                <w:szCs w:val="16"/>
                <w:lang w:val="en-US"/>
              </w:rPr>
            </w:pPr>
          </w:p>
        </w:tc>
      </w:tr>
      <w:tr w:rsidR="009066CC" w:rsidRPr="00376C8E" w14:paraId="1B2C96F1" w14:textId="77777777" w:rsidTr="000E23C2">
        <w:trPr>
          <w:trHeight w:val="578"/>
        </w:trPr>
        <w:tc>
          <w:tcPr>
            <w:tcW w:w="0" w:type="auto"/>
            <w:vAlign w:val="center"/>
          </w:tcPr>
          <w:p w14:paraId="1481A55A" w14:textId="4D7C5747" w:rsidR="009066CC" w:rsidRPr="004D40DF" w:rsidRDefault="009066CC" w:rsidP="00376C8E">
            <w:pPr>
              <w:jc w:val="center"/>
              <w:rPr>
                <w:sz w:val="16"/>
                <w:szCs w:val="16"/>
                <w:lang w:val="en-US"/>
              </w:rPr>
            </w:pPr>
            <w:r w:rsidRPr="005D5CC6">
              <w:rPr>
                <w:sz w:val="16"/>
                <w:szCs w:val="16"/>
                <w:lang w:val="en-US"/>
              </w:rPr>
              <w:t xml:space="preserve">Egan </w:t>
            </w:r>
            <w:r>
              <w:rPr>
                <w:sz w:val="16"/>
                <w:szCs w:val="16"/>
                <w:lang w:val="en-US"/>
              </w:rPr>
              <w:t>2019</w:t>
            </w:r>
            <w:r>
              <w:rPr>
                <w:sz w:val="16"/>
                <w:szCs w:val="16"/>
                <w:lang w:val="en-US"/>
              </w:rPr>
              <w:fldChar w:fldCharType="begin" w:fldLock="1"/>
            </w:r>
            <w:r>
              <w:rPr>
                <w:sz w:val="16"/>
                <w:szCs w:val="16"/>
                <w:lang w:val="en-US"/>
              </w:rPr>
              <w:instrText>ADDIN CSL_CITATION {"citationItems":[{"id":"ITEM-1","itemData":{"DOI":"10.1002/cam4.2395","ISSN":"2045-7634","PMID":"31274245","abstract":"PURPOSE To determine the efficacy and safety of different prophylactic systemic antibiotics in adult and pediatric patients receiving chemotherapy or undergoing hematopoietic stem cell transplantation (HSCT). METHODS We conducted a systematic review and performed searches of Ovid MEDLINE, MEDLINE in-process and Embase; and Cochrane Central Register of Controlled Trials. Studies were included if patients had cancer or were HSCT recipients with anticipated neutropenia, and the intervention was systemic antibacterial prophylaxis. Strategies synthesized included fluoroquinolone vs no antibiotic/nonabsorbable antibiotic; fluoroquinolone vs trimethoprim-sulfamethoxazole; trimethoprim-sulfamethoxazole vs no antibiotic; and cephalosporin vs. no antibiotic. Fluoroquinolone vs cephalosporin and levofloxacin vs ciprofloxacin were compared by network meta-analysis. Primary outcome was bacteremia. RESULTS Of 20 984 citations screened, 113 studies comparing prophylactic antibiotic to control were included. The following were effective in reducing bacteremia: fluoroquinolone vs no antibiotic/nonabsorbable antibiotic (risk ratio (RR) 0.56, 95% confidence interval (CI) 0.41-0.76), trimethoprim-sulfamethoxazole vs no antibiotic (RR 0.59, 95% CI 0.41-0.85) and cephalosporin vs no antibiotic (RR 0.30, 95% CI 0.16-0.58). Fluoroquinolone was not significantly associated with increased Clostridium difficile infection (RR 0.62, 95% CI 0.31-1.24) or invasive fungal disease (RR 1.28, 95% CI 0.79-2.08) but did increase resistance to fluoroquinolone among bacteremia isolates (RR 3.35, 95% CI 1.12 to 10.03). Heterogeneity in fluoroquinolone effect on bacteremia was not explained by evaluated study, population, or methodological factors. Network meta-analysis revealed no direct comparisons for pre-specified analyses; superior regimens were not identified. CONCLUSIONS Fluoroquinolone, trimethoprim-sulfamethoxazole, and cephalosporin prophylaxis reduced bacteremia. A clinical practice guideline to facilitate prophylactic antibiotic decision-making is required.","author":[{"dropping-particle":"","family":"Egan","given":"Grace","non-dropping-particle":"","parse-names":false,"suffix":""},{"dropping-particle":"","family":"Robinson","given":"Paula D.","non-dropping-particle":"","parse-names":false,"suffix":""},{"dropping-particle":"","family":"Martinez","given":"Juan P D","non-dropping-particle":"","parse-names":false,"suffix":""},{"dropping-particle":"","family":"Alexander","given":"Sarah","non-dropping-particle":"","parse-names":false,"suffix":""},{"dropping-particle":"","family":"Ammann","given":"Roland A.","non-dropping-particle":"","parse-names":false,"suffix":""},{"dropping-particle":"","family":"Dupuis","given":"L. Lee","non-dropping-particle":"","parse-names":false,"suffix":""},{"dropping-particle":"","family":"Fisher","given":"Brian T.","non-dropping-particle":"","parse-names":false,"suffix":""},{"dropping-particle":"","family":"Lehrnbecher","given":"Thomas","non-dropping-particle":"","parse-names":false,"suffix":""},{"dropping-particle":"","family":"Phillips","given":"Bob","non-dropping-particle":"","parse-names":false,"suffix":""},{"dropping-particle":"","family":"Cabral","given":"Sandra","non-dropping-particle":"","parse-names":false,"suffix":""},{"dropping-particle":"","family":"Tomlinson","given":"George","non-dropping-particle":"","parse-names":false,"suffix":""},{"dropping-particle":"","family":"Sung","given":"Lillian","non-dropping-particle":"","parse-names":false,"suffix":""}],"container-title":"Cancer medicine","id":"ITEM-1","issue":"10","issued":{"date-parts":[["2019","8"]]},"page":"4536-4546","title":"Efficacy of antibiotic prophylaxis in patients with cancer and hematopoietic stem cell transplantation recipients: A systematic review of randomized trials.","type":"article-journal","volume":"8"},"uris":["http://www.mendeley.com/documents/?uuid=d3b35ba1-6a04-4499-ada9-dd353dd45ca1"]}],"mendeley":{"formattedCitation":"&lt;sup&gt;3&lt;/sup&gt;","plainTextFormattedCitation":"3","previouslyFormattedCitation":"&lt;sup&gt;3&lt;/sup&gt;"},"properties":{"noteIndex":0},"schema":"https://github.com/citation-style-language/schema/raw/master/csl-citation.json"}</w:instrText>
            </w:r>
            <w:r>
              <w:rPr>
                <w:sz w:val="16"/>
                <w:szCs w:val="16"/>
                <w:lang w:val="en-US"/>
              </w:rPr>
              <w:fldChar w:fldCharType="separate"/>
            </w:r>
            <w:r w:rsidRPr="00E9068B">
              <w:rPr>
                <w:noProof/>
                <w:sz w:val="16"/>
                <w:szCs w:val="16"/>
                <w:vertAlign w:val="superscript"/>
                <w:lang w:val="en-US"/>
              </w:rPr>
              <w:t>3</w:t>
            </w:r>
            <w:r>
              <w:rPr>
                <w:sz w:val="16"/>
                <w:szCs w:val="16"/>
                <w:lang w:val="en-US"/>
              </w:rPr>
              <w:fldChar w:fldCharType="end"/>
            </w:r>
          </w:p>
        </w:tc>
        <w:tc>
          <w:tcPr>
            <w:tcW w:w="0" w:type="auto"/>
            <w:vAlign w:val="center"/>
          </w:tcPr>
          <w:p w14:paraId="420A89E4" w14:textId="08145A8E" w:rsidR="009066CC" w:rsidRPr="00490DD4" w:rsidRDefault="009066CC" w:rsidP="00376C8E">
            <w:pPr>
              <w:jc w:val="center"/>
              <w:rPr>
                <w:sz w:val="16"/>
                <w:szCs w:val="16"/>
              </w:rPr>
            </w:pPr>
            <w:proofErr w:type="spellStart"/>
            <w:r>
              <w:rPr>
                <w:color w:val="000000" w:themeColor="text1"/>
                <w:sz w:val="16"/>
                <w:szCs w:val="16"/>
                <w:lang w:val="en-US"/>
              </w:rPr>
              <w:t>Metaanalysis</w:t>
            </w:r>
            <w:proofErr w:type="spellEnd"/>
            <w:r>
              <w:rPr>
                <w:color w:val="000000" w:themeColor="text1"/>
                <w:sz w:val="16"/>
                <w:szCs w:val="16"/>
                <w:lang w:val="en-US"/>
              </w:rPr>
              <w:t xml:space="preserve"> (up to 2018)</w:t>
            </w:r>
          </w:p>
        </w:tc>
        <w:tc>
          <w:tcPr>
            <w:tcW w:w="0" w:type="auto"/>
            <w:vAlign w:val="center"/>
          </w:tcPr>
          <w:p w14:paraId="2958BD28" w14:textId="43FE59A8" w:rsidR="009066CC" w:rsidRDefault="009066CC" w:rsidP="00376C8E">
            <w:pPr>
              <w:jc w:val="center"/>
              <w:rPr>
                <w:color w:val="000000" w:themeColor="text1"/>
                <w:sz w:val="16"/>
                <w:szCs w:val="16"/>
                <w:lang w:val="en-US"/>
              </w:rPr>
            </w:pPr>
            <w:r>
              <w:rPr>
                <w:color w:val="000000" w:themeColor="text1"/>
                <w:sz w:val="16"/>
                <w:szCs w:val="16"/>
                <w:lang w:val="en-US"/>
              </w:rPr>
              <w:t xml:space="preserve">HM, </w:t>
            </w:r>
            <w:r w:rsidR="005B5C5E">
              <w:rPr>
                <w:color w:val="000000" w:themeColor="text1"/>
                <w:sz w:val="16"/>
                <w:szCs w:val="16"/>
                <w:lang w:val="en-US"/>
              </w:rPr>
              <w:t>HCT</w:t>
            </w:r>
            <w:r>
              <w:rPr>
                <w:color w:val="000000" w:themeColor="text1"/>
                <w:sz w:val="16"/>
                <w:szCs w:val="16"/>
                <w:lang w:val="en-US"/>
              </w:rPr>
              <w:t xml:space="preserve"> [adult]</w:t>
            </w:r>
          </w:p>
        </w:tc>
        <w:tc>
          <w:tcPr>
            <w:tcW w:w="0" w:type="auto"/>
            <w:vAlign w:val="center"/>
          </w:tcPr>
          <w:p w14:paraId="4C5D6C64" w14:textId="046CA3A1" w:rsidR="009066CC" w:rsidRDefault="009066CC" w:rsidP="00376C8E">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37140F65" w14:textId="56CE069E"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179F7215" w14:textId="38E0BEE7"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5AE841AE" w14:textId="21088627" w:rsidR="009066CC" w:rsidRDefault="009066CC" w:rsidP="00376C8E">
            <w:pPr>
              <w:jc w:val="center"/>
              <w:rPr>
                <w:color w:val="000000" w:themeColor="text1"/>
                <w:sz w:val="16"/>
                <w:szCs w:val="16"/>
                <w:lang w:val="en-US"/>
              </w:rPr>
            </w:pPr>
            <w:r>
              <w:rPr>
                <w:color w:val="000000" w:themeColor="text1"/>
                <w:sz w:val="16"/>
                <w:szCs w:val="16"/>
                <w:lang w:val="en-US"/>
              </w:rPr>
              <w:t>Increased (FQ-R BSI)</w:t>
            </w:r>
          </w:p>
        </w:tc>
      </w:tr>
      <w:tr w:rsidR="009066CC" w:rsidRPr="00F20444" w14:paraId="6604ECA0" w14:textId="77777777" w:rsidTr="000E23C2">
        <w:trPr>
          <w:trHeight w:val="578"/>
        </w:trPr>
        <w:tc>
          <w:tcPr>
            <w:tcW w:w="0" w:type="auto"/>
            <w:vAlign w:val="center"/>
          </w:tcPr>
          <w:p w14:paraId="74C8A509" w14:textId="00FB8DD2" w:rsidR="009066CC" w:rsidRPr="004D40DF" w:rsidRDefault="009066CC" w:rsidP="00376C8E">
            <w:pPr>
              <w:jc w:val="center"/>
              <w:rPr>
                <w:sz w:val="16"/>
                <w:szCs w:val="16"/>
                <w:lang w:val="en-US"/>
              </w:rPr>
            </w:pPr>
            <w:r w:rsidRPr="005D5CC6">
              <w:rPr>
                <w:sz w:val="16"/>
                <w:szCs w:val="16"/>
                <w:lang w:val="en-US"/>
              </w:rPr>
              <w:t xml:space="preserve">Kimura </w:t>
            </w:r>
            <w:r>
              <w:rPr>
                <w:sz w:val="16"/>
                <w:szCs w:val="16"/>
                <w:lang w:val="en-US"/>
              </w:rPr>
              <w:t>2014</w:t>
            </w:r>
            <w:r>
              <w:rPr>
                <w:sz w:val="16"/>
                <w:szCs w:val="16"/>
                <w:lang w:val="en-US"/>
              </w:rPr>
              <w:fldChar w:fldCharType="begin" w:fldLock="1"/>
            </w:r>
            <w:r>
              <w:rPr>
                <w:sz w:val="16"/>
                <w:szCs w:val="16"/>
                <w:lang w:val="en-US"/>
              </w:rPr>
              <w:instrText>ADDIN CSL_CITATION {"citationItems":[{"id":"ITEM-1","itemData":{"DOI":"10.1016/j.jinf.2014.02.013","ISSN":"1532-2742 (Electronic)","PMID":"24583063","abstract":"OBJECTIVES: We performed a meta-analysis to evaluate the impact of systemic  antibiotic prophylaxis in hematopoietic stem cell transplantation (HSCT) recipients. METHODS: We collected reports from PubMed, the Cochrane Library, EMBASE, CINAHL, and Web of Science, along with references cited therein. We included prospective, randomized studies on systemic antibiotic prophylaxis in HSCT recipients. RESULTS: Seventeen trials with 1453 autologous and allogeneic HSCT recipients were included. Systemic antibiotic prophylaxis was compared with placebo or no prophylaxis in 10 trials and with non-absorbable antibiotics in two trials. Systemic antibiotics other than fluoroquinolones were evaluated in five of these 12 trials. Four trials evaluated the effect of the addition of antibiotics for gram-positive bacteria to fluoroquinolones. One trial compared two different systemic antibiotic regimens: fluoroquinolones versus trimethoprim-sulfamethoxazole. As a result, systemic antibiotic prophylaxis reduced the incidence of febrile episodes (OR 0.16; 95%CI 0.09-0.30), clinically or microbiologically documented infection (OR 0.38; 95%CI 0.22-0.63) and bacteremia (OR 0.31; 95%CI 0.16-0.59) without significantly affecting all-cause mortality or infection-related mortality. CONCLUSIONS: Systemic antibiotic prophylaxis successfully reduced the incidence of infection. However, there was no significant impact on mortality. The clinical benefits of prophylaxis with fluoroquinolones were inconclusive because of the small number of clinical trials evaluated.","author":[{"dropping-particle":"","family":"Kimura","given":"Shun-ichi","non-dropping-particle":"","parse-names":false,"suffix":""},{"dropping-particle":"","family":"Akahoshi","given":"Yu","non-dropping-particle":"","parse-names":false,"suffix":""},{"dropping-particle":"","family":"Nakano","given":"Hirofumi","non-dropping-particle":"","parse-names":false,"suffix":""},{"dropping-particle":"","family":"Ugai","given":"Tomotaka","non-dropping-particle":"","parse-names":false,"suffix":""},{"dropping-particle":"","family":"Wada","given":"Hidenori","non-dropping-particle":"","parse-names":false,"suffix":""},{"dropping-particle":"","family":"Yamasaki","given":"Ryoko","non-dropping-particle":"","parse-names":false,"suffix":""},{"dropping-particle":"","family":"Ishihara","given":"Yuko","non-dropping-particle":"","parse-names":false,"suffix":""},{"dropping-particle":"","family":"Kawamura","given":"Koji","non-dropping-particle":"","parse-names":false,"suffix":""},{"dropping-particle":"","family":"Sakamoto","given":"Kana","non-dropping-particle":"","parse-names":false,"suffix":""},{"dropping-particle":"","family":"Ashizawa","given":"Masahiro","non-dropping-particle":"","parse-names":false,"suffix":""},{"dropping-particle":"","family":"Sato","given":"Miki","non-dropping-particle":"","parse-names":false,"suffix":""},{"dropping-particle":"","family":"Terasako-Saito","given":"Kiriko","non-dropping-particle":"","parse-names":false,"suffix":""},{"dropping-particle":"","family":"Nakasone","given":"Hideki","non-dropping-particle":"","parse-names":false,"suffix":""},{"dropping-particle":"","family":"Kikuchi","given":"Misato","non-dropping-particle":"","parse-names":false,"suffix":""},{"dropping-particle":"","family":"Yamazaki","given":"Rie","non-dropping-particle":"","parse-names":false,"suffix":""},{"dropping-particle":"","family":"Kako","given":"Shinichi","non-dropping-particle":"","parse-names":false,"suffix":""},{"dropping-particle":"","family":"Kanda","given":"Junya","non-dropping-particle":"","parse-names":false,"suffix":""},{"dropping-particle":"","family":"Tanihara","given":"Aki","non-dropping-particle":"","parse-names":false,"suffix":""},{"dropping-particle":"","family":"Nishida","given":"Junji","non-dropping-particle":"","parse-names":false,"suffix":""},{"dropping-particle":"","family":"Kanda","given":"Yoshinobu","non-dropping-particle":"","parse-names":false,"suffix":""}],"container-title":"The Journal of infection","id":"ITEM-1","issue":"1","issued":{"date-parts":[["2014","7"]]},"language":"eng","page":"13-25","publisher-place":"England","title":"Antibiotic prophylaxis in hematopoietic stem cell transplantation. A  meta-analysis of randomized controlled trials.","type":"article-journal","volume":"69"},"uris":["http://www.mendeley.com/documents/?uuid=48ad1711-8e12-44ae-8c0a-0504c3f58ae9"]}],"mendeley":{"formattedCitation":"&lt;sup&gt;4&lt;/sup&gt;","plainTextFormattedCitation":"4","previouslyFormattedCitation":"&lt;sup&gt;4&lt;/sup&gt;"},"properties":{"noteIndex":0},"schema":"https://github.com/citation-style-language/schema/raw/master/csl-citation.json"}</w:instrText>
            </w:r>
            <w:r>
              <w:rPr>
                <w:sz w:val="16"/>
                <w:szCs w:val="16"/>
                <w:lang w:val="en-US"/>
              </w:rPr>
              <w:fldChar w:fldCharType="separate"/>
            </w:r>
            <w:r w:rsidRPr="00E9068B">
              <w:rPr>
                <w:noProof/>
                <w:sz w:val="16"/>
                <w:szCs w:val="16"/>
                <w:vertAlign w:val="superscript"/>
                <w:lang w:val="en-US"/>
              </w:rPr>
              <w:t>4</w:t>
            </w:r>
            <w:r>
              <w:rPr>
                <w:sz w:val="16"/>
                <w:szCs w:val="16"/>
                <w:lang w:val="en-US"/>
              </w:rPr>
              <w:fldChar w:fldCharType="end"/>
            </w:r>
          </w:p>
        </w:tc>
        <w:tc>
          <w:tcPr>
            <w:tcW w:w="0" w:type="auto"/>
            <w:vAlign w:val="center"/>
          </w:tcPr>
          <w:p w14:paraId="7C567330" w14:textId="4BF7EB8E" w:rsidR="009066CC" w:rsidRPr="00E9068B" w:rsidRDefault="009066CC" w:rsidP="00376C8E">
            <w:pPr>
              <w:jc w:val="center"/>
              <w:rPr>
                <w:sz w:val="16"/>
                <w:szCs w:val="16"/>
                <w:lang w:val="en-US"/>
              </w:rPr>
            </w:pPr>
            <w:proofErr w:type="spellStart"/>
            <w:r>
              <w:rPr>
                <w:color w:val="000000" w:themeColor="text1"/>
                <w:sz w:val="16"/>
                <w:szCs w:val="16"/>
                <w:lang w:val="en-US"/>
              </w:rPr>
              <w:t>Metaanalysis</w:t>
            </w:r>
            <w:proofErr w:type="spellEnd"/>
            <w:r>
              <w:rPr>
                <w:color w:val="000000" w:themeColor="text1"/>
                <w:sz w:val="16"/>
                <w:szCs w:val="16"/>
                <w:lang w:val="en-US"/>
              </w:rPr>
              <w:t>; (up to 2013)</w:t>
            </w:r>
          </w:p>
        </w:tc>
        <w:tc>
          <w:tcPr>
            <w:tcW w:w="0" w:type="auto"/>
            <w:vAlign w:val="center"/>
          </w:tcPr>
          <w:p w14:paraId="1B8DEBAE" w14:textId="2B518DF5" w:rsidR="009066CC" w:rsidRDefault="005B5C5E" w:rsidP="00376C8E">
            <w:pPr>
              <w:jc w:val="center"/>
              <w:rPr>
                <w:color w:val="000000" w:themeColor="text1"/>
                <w:sz w:val="16"/>
                <w:szCs w:val="16"/>
                <w:lang w:val="en-US"/>
              </w:rPr>
            </w:pPr>
            <w:r>
              <w:rPr>
                <w:color w:val="000000" w:themeColor="text1"/>
                <w:sz w:val="16"/>
                <w:szCs w:val="16"/>
                <w:lang w:val="en-US"/>
              </w:rPr>
              <w:t>HCT</w:t>
            </w:r>
            <w:r w:rsidR="009066CC" w:rsidRPr="00E9068B">
              <w:rPr>
                <w:color w:val="000000" w:themeColor="text1"/>
                <w:sz w:val="16"/>
                <w:szCs w:val="16"/>
                <w:lang w:val="en-US"/>
              </w:rPr>
              <w:t xml:space="preserve"> </w:t>
            </w:r>
            <w:r w:rsidR="009066CC">
              <w:rPr>
                <w:color w:val="000000" w:themeColor="text1"/>
                <w:sz w:val="16"/>
                <w:szCs w:val="16"/>
                <w:lang w:val="en-US"/>
              </w:rPr>
              <w:t>[adult]</w:t>
            </w:r>
          </w:p>
        </w:tc>
        <w:tc>
          <w:tcPr>
            <w:tcW w:w="0" w:type="auto"/>
            <w:vAlign w:val="center"/>
          </w:tcPr>
          <w:p w14:paraId="2E9733C6" w14:textId="0A75C870" w:rsidR="009066CC" w:rsidRDefault="009066CC" w:rsidP="00376C8E">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79AA0A4B" w14:textId="63972270"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0B59D782" w14:textId="38111F68"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10AD5E3C" w14:textId="03EEAC8E"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F20444" w14:paraId="59171CE4" w14:textId="77777777" w:rsidTr="000E23C2">
        <w:trPr>
          <w:trHeight w:val="578"/>
        </w:trPr>
        <w:tc>
          <w:tcPr>
            <w:tcW w:w="0" w:type="auto"/>
            <w:vAlign w:val="center"/>
          </w:tcPr>
          <w:p w14:paraId="5B3361AA" w14:textId="1AE93DFB" w:rsidR="009066CC" w:rsidRPr="005D5CC6" w:rsidRDefault="009066CC" w:rsidP="00376C8E">
            <w:pPr>
              <w:jc w:val="center"/>
              <w:rPr>
                <w:sz w:val="16"/>
                <w:szCs w:val="16"/>
                <w:lang w:val="en-US"/>
              </w:rPr>
            </w:pPr>
            <w:proofErr w:type="spellStart"/>
            <w:r w:rsidRPr="00E9068B">
              <w:rPr>
                <w:sz w:val="16"/>
                <w:szCs w:val="16"/>
                <w:lang w:val="en-US"/>
              </w:rPr>
              <w:t>Leardini</w:t>
            </w:r>
            <w:proofErr w:type="spellEnd"/>
            <w:r w:rsidRPr="00E9068B">
              <w:rPr>
                <w:sz w:val="16"/>
                <w:szCs w:val="16"/>
                <w:lang w:val="en-US"/>
              </w:rPr>
              <w:t xml:space="preserve"> </w:t>
            </w:r>
            <w:r>
              <w:rPr>
                <w:sz w:val="16"/>
                <w:szCs w:val="16"/>
                <w:lang w:val="en-US"/>
              </w:rPr>
              <w:t>2022</w:t>
            </w:r>
            <w:r>
              <w:rPr>
                <w:sz w:val="16"/>
                <w:szCs w:val="16"/>
                <w:lang w:val="en-US"/>
              </w:rPr>
              <w:fldChar w:fldCharType="begin" w:fldLock="1"/>
            </w:r>
            <w:r>
              <w:rPr>
                <w:sz w:val="16"/>
                <w:szCs w:val="16"/>
                <w:lang w:val="en-US"/>
              </w:rPr>
              <w:instrText>ADDIN CSL_CITATION {"citationItems":[{"id":"ITEM-1","itemData":{"DOI":"10.1093/ofid/ofac594","ISSN":"2328-8957","PMID":"36504701","abstract":"The effectiveness of quinolone prophylaxis in high-risk hematological pediatric patients is controversial. A systematic review was performed according to Preferred Reporting Items for Systematic Reviews and Meta-Analyses guidelines, including studies that involved children and young adults undergoing chemotherapy for acute leukemia or hematopoietic stem cell transplantation (HSCT) who received quinolone prophylaxis compared with no prophylaxis. A meta-analysis was performed on bloodstream infections and neutropenic fever. Data regarding the impact of prophylaxis on overall survival, antibiotic exposure, antibiotic-related adverse effects, antibiotic resistance, Clostridium difficile infections, fungal infections, length of hospitalization, and costs were reviewed in the descriptive analysis. Sixteen studies were included in the qualitative analysis, and 10 of them met the criteria for quantitative analysis. Quinolone prophylaxis was effective in reducing the rate of bloodstream infections and neutropenic fever in pediatric acute leukemia compared with no prophylaxis, but it had no significant effect in HSCT recipients. Prophylaxis was associated with a higher rate of bacterial resistance to fluoroquinolones and higher antibiotic exposure.","author":[{"dropping-particle":"","family":"Leardini","given":"Davide","non-dropping-particle":"","parse-names":false,"suffix":""},{"dropping-particle":"","family":"Muratore","given":"Edoardo","non-dropping-particle":"","parse-names":false,"suffix":""},{"dropping-particle":"","family":"Abram","given":"Nicoletta","non-dropping-particle":"","parse-names":false,"suffix":""},{"dropping-particle":"","family":"Baccelli","given":"Francesco","non-dropping-particle":"","parse-names":false,"suffix":""},{"dropping-particle":"","family":"Belotti","given":"Tamara","non-dropping-particle":"","parse-names":false,"suffix":""},{"dropping-particle":"","family":"Prete","given":"Arcangelo","non-dropping-particle":"","parse-names":false,"suffix":""},{"dropping-particle":"","family":"Gori","given":"Davide","non-dropping-particle":"","parse-names":false,"suffix":""},{"dropping-particle":"","family":"Masetti","given":"Riccardo","non-dropping-particle":"","parse-names":false,"suffix":""}],"container-title":"Open forum infectious diseases","id":"ITEM-1","issue":"12","issued":{"date-parts":[["2022","12"]]},"page":"ofac594","publisher":"Oxford University Press","title":"Effectiveness of Quinolone Prophylaxis in Pediatric Acute Leukemia and Hematopoietic Stem Cell Transplantation: A Systematic Review and Meta-analysis.","type":"article-journal","volume":"9"},"uris":["http://www.mendeley.com/documents/?uuid=e85a0c22-2bf5-4aad-9c85-6a094757f279"]}],"mendeley":{"formattedCitation":"&lt;sup&gt;5&lt;/sup&gt;","plainTextFormattedCitation":"5","previouslyFormattedCitation":"&lt;sup&gt;5&lt;/sup&gt;"},"properties":{"noteIndex":0},"schema":"https://github.com/citation-style-language/schema/raw/master/csl-citation.json"}</w:instrText>
            </w:r>
            <w:r>
              <w:rPr>
                <w:sz w:val="16"/>
                <w:szCs w:val="16"/>
                <w:lang w:val="en-US"/>
              </w:rPr>
              <w:fldChar w:fldCharType="separate"/>
            </w:r>
            <w:r w:rsidRPr="00E9068B">
              <w:rPr>
                <w:noProof/>
                <w:sz w:val="16"/>
                <w:szCs w:val="16"/>
                <w:vertAlign w:val="superscript"/>
                <w:lang w:val="en-US"/>
              </w:rPr>
              <w:t>5</w:t>
            </w:r>
            <w:r>
              <w:rPr>
                <w:sz w:val="16"/>
                <w:szCs w:val="16"/>
                <w:lang w:val="en-US"/>
              </w:rPr>
              <w:fldChar w:fldCharType="end"/>
            </w:r>
          </w:p>
        </w:tc>
        <w:tc>
          <w:tcPr>
            <w:tcW w:w="0" w:type="auto"/>
            <w:vAlign w:val="center"/>
          </w:tcPr>
          <w:p w14:paraId="1549E1BC" w14:textId="65E8762D" w:rsidR="009066CC" w:rsidRDefault="009066CC" w:rsidP="00376C8E">
            <w:pPr>
              <w:jc w:val="center"/>
              <w:rPr>
                <w:color w:val="000000" w:themeColor="text1"/>
                <w:sz w:val="16"/>
                <w:szCs w:val="16"/>
                <w:lang w:val="en-US"/>
              </w:rPr>
            </w:pPr>
            <w:r>
              <w:rPr>
                <w:color w:val="000000" w:themeColor="text1"/>
                <w:sz w:val="16"/>
                <w:szCs w:val="16"/>
                <w:lang w:val="en-US"/>
              </w:rPr>
              <w:t>Meta-analysis (up to 2022)</w:t>
            </w:r>
          </w:p>
        </w:tc>
        <w:tc>
          <w:tcPr>
            <w:tcW w:w="0" w:type="auto"/>
            <w:vAlign w:val="center"/>
          </w:tcPr>
          <w:p w14:paraId="4E65A384" w14:textId="3F8D3939" w:rsidR="009066CC" w:rsidRPr="00E9068B" w:rsidRDefault="009066CC" w:rsidP="00376C8E">
            <w:pPr>
              <w:jc w:val="center"/>
              <w:rPr>
                <w:color w:val="000000" w:themeColor="text1"/>
                <w:sz w:val="16"/>
                <w:szCs w:val="16"/>
                <w:lang w:val="en-US"/>
              </w:rPr>
            </w:pPr>
            <w:r>
              <w:rPr>
                <w:color w:val="000000" w:themeColor="text1"/>
                <w:sz w:val="16"/>
                <w:szCs w:val="16"/>
                <w:lang w:val="en-US"/>
              </w:rPr>
              <w:t xml:space="preserve">HM, </w:t>
            </w:r>
            <w:r w:rsidR="005B5C5E">
              <w:rPr>
                <w:color w:val="000000" w:themeColor="text1"/>
                <w:sz w:val="16"/>
                <w:szCs w:val="16"/>
                <w:lang w:val="en-US"/>
              </w:rPr>
              <w:t>HCT</w:t>
            </w:r>
            <w:r>
              <w:rPr>
                <w:color w:val="000000" w:themeColor="text1"/>
                <w:sz w:val="16"/>
                <w:szCs w:val="16"/>
                <w:lang w:val="en-US"/>
              </w:rPr>
              <w:t xml:space="preserve"> [pediatric]</w:t>
            </w:r>
          </w:p>
        </w:tc>
        <w:tc>
          <w:tcPr>
            <w:tcW w:w="0" w:type="auto"/>
            <w:vAlign w:val="center"/>
          </w:tcPr>
          <w:p w14:paraId="2C3EDDF7" w14:textId="0B27AA47" w:rsidR="009066CC" w:rsidRDefault="009066CC" w:rsidP="00376C8E">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02D60C80" w14:textId="4E7C641E" w:rsidR="009066CC" w:rsidRDefault="009066CC" w:rsidP="00376C8E">
            <w:pPr>
              <w:jc w:val="center"/>
              <w:rPr>
                <w:color w:val="000000" w:themeColor="text1"/>
                <w:sz w:val="16"/>
                <w:szCs w:val="16"/>
                <w:lang w:val="en-US"/>
              </w:rPr>
            </w:pPr>
            <w:r>
              <w:rPr>
                <w:color w:val="000000" w:themeColor="text1"/>
                <w:sz w:val="16"/>
                <w:szCs w:val="16"/>
                <w:lang w:val="en-US"/>
              </w:rPr>
              <w:t xml:space="preserve">Decreased (in AL; no difference in </w:t>
            </w:r>
            <w:r w:rsidR="005B5C5E">
              <w:rPr>
                <w:color w:val="000000" w:themeColor="text1"/>
                <w:sz w:val="16"/>
                <w:szCs w:val="16"/>
                <w:lang w:val="en-US"/>
              </w:rPr>
              <w:t>HCT</w:t>
            </w:r>
            <w:r>
              <w:rPr>
                <w:color w:val="000000" w:themeColor="text1"/>
                <w:sz w:val="16"/>
                <w:szCs w:val="16"/>
                <w:lang w:val="en-US"/>
              </w:rPr>
              <w:t>)</w:t>
            </w:r>
          </w:p>
        </w:tc>
        <w:tc>
          <w:tcPr>
            <w:tcW w:w="0" w:type="auto"/>
            <w:vAlign w:val="center"/>
          </w:tcPr>
          <w:p w14:paraId="68AA2DB7" w14:textId="4CABE083"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63A8AD8E" w14:textId="78D0D056"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376C8E" w14:paraId="10086C21" w14:textId="77777777" w:rsidTr="000E23C2">
        <w:trPr>
          <w:trHeight w:val="578"/>
        </w:trPr>
        <w:tc>
          <w:tcPr>
            <w:tcW w:w="0" w:type="auto"/>
            <w:vAlign w:val="center"/>
          </w:tcPr>
          <w:p w14:paraId="7BD59FE0" w14:textId="680ECD5C" w:rsidR="009066CC" w:rsidRPr="004D40DF" w:rsidRDefault="009066CC" w:rsidP="00376C8E">
            <w:pPr>
              <w:jc w:val="center"/>
              <w:rPr>
                <w:sz w:val="16"/>
                <w:szCs w:val="16"/>
                <w:lang w:val="en-US"/>
              </w:rPr>
            </w:pPr>
            <w:proofErr w:type="spellStart"/>
            <w:r w:rsidRPr="00E9068B">
              <w:rPr>
                <w:sz w:val="16"/>
                <w:szCs w:val="16"/>
                <w:lang w:val="en-US"/>
              </w:rPr>
              <w:t>Mikulska</w:t>
            </w:r>
            <w:proofErr w:type="spellEnd"/>
            <w:r>
              <w:rPr>
                <w:sz w:val="16"/>
                <w:szCs w:val="16"/>
                <w:lang w:val="en-US"/>
              </w:rPr>
              <w:t xml:space="preserve"> 2018</w:t>
            </w:r>
            <w:r>
              <w:rPr>
                <w:sz w:val="16"/>
                <w:szCs w:val="16"/>
                <w:lang w:val="en-US"/>
              </w:rPr>
              <w:fldChar w:fldCharType="begin" w:fldLock="1"/>
            </w:r>
            <w:r>
              <w:rPr>
                <w:sz w:val="16"/>
                <w:szCs w:val="16"/>
                <w:lang w:val="en-US"/>
              </w:rPr>
              <w:instrText>ADDIN CSL_CITATION {"citationItems":[{"id":"ITEM-1","itemData":{"DOI":"10.1016/j.jinf.2017.10.009","ISSN":"01634453","PMID":"29079323","abstract":"OBJECTIVES Fluoroquinolone (FQ) prophylaxis was recommended in 2005 by European Conference on Infections in Leukemia (ECIL) for patients with prolonged neutropenia. In consideration of a worldwide increase in antibiotic resistance, the issue of FQ prophylaxis during neutropenia was re-evaluated. METHODS Literature review of randomised controlled trials (RCT) and observational studies published in years 2006-2014 was performed. Their results were analysed in meta-analysis. Meta-regression model was applied to evaluate whether the rates of FQ resistance in community and hospital settings influenced the efficacy of FQ prophylaxis. The impact of FQ prophylaxis on colonisation and infection with resistant bacteria was reviewed. RESULTS Two RCTs and 12 observational studies were identified. FQ prophylaxis did not have effect on mortality (pooled OR 1.01, 95%CI 0.73-1.41), but was associated with lower rate of bloodstream infections (BSI) (pooled OR 0.57, 95%CI 0.43-0.74) and episodes of fever during neutropenia (pooled OR 0.32, 95%CI 0.20-0.50). No effect of the background rate of FQ resistance on the efficacy of FQ prophylaxis was observed. In few studies, FQ prophylaxis resulted in an increased colonisation or infection with FQ- or multi-drug resistant strains. CONCLUSIONS The possible benefits of FQ prophylaxis on BSI rate, but not on overall mortality, should be weighed against its impact in terms of toxicity and changes in local ecology in single centres.","author":[{"dropping-particle":"","family":"Mikulska","given":"Malgorzata","non-dropping-particle":"","parse-names":false,"suffix":""},{"dropping-particle":"","family":"Averbuch","given":"Diana","non-dropping-particle":"","parse-names":false,"suffix":""},{"dropping-particle":"","family":"Tissot","given":"Frederic","non-dropping-particle":"","parse-names":false,"suffix":""},{"dropping-particle":"","family":"Cordonnier","given":"Catherine","non-dropping-particle":"","parse-names":false,"suffix":""},{"dropping-particle":"","family":"Akova","given":"Murat","non-dropping-particle":"","parse-names":false,"suffix":""},{"dropping-particle":"","family":"Calandra","given":"Thierry","non-dropping-particle":"","parse-names":false,"suffix":""},{"dropping-particle":"","family":"Ceppi","given":"Marcello","non-dropping-particle":"","parse-names":false,"suffix":""},{"dropping-particle":"","family":"Bruzzi","given":"Paolo","non-dropping-particle":"","parse-names":false,"suffix":""},{"dropping-particle":"","family":"Viscoli","given":"Claudio","non-dropping-particle":"","parse-names":false,"suffix":""},{"dropping-particle":"","family":"Akova","given":"Murat","non-dropping-particle":"","parse-names":false,"suffix":""},{"dropping-particle":"","family":"Aljurf","given":"Mahmoud","non-dropping-particle":"","parse-names":false,"suffix":""},{"dropping-particle":"","family":"Averbuch","given":"Dina","non-dropping-particle":"","parse-names":false,"suffix":""},{"dropping-particle":"","family":"Barnes","given":"Rosemary","non-dropping-particle":"","parse-names":false,"suffix":""},{"dropping-particle":"","family":"Blennow","given":"Ola","non-dropping-particle":"","parse-names":false,"suffix":""},{"dropping-particle":"","family":"Bochud","given":"Pierre-Yves","non-dropping-particle":"","parse-names":false,"suffix":""},{"dropping-particle":"","family":"Bouza","given":"Emilio","non-dropping-particle":"","parse-names":false,"suffix":""},{"dropping-particle":"","family":"Bretagne","given":"Stephane","non-dropping-particle":"","parse-names":false,"suffix":""},{"dropping-particle":"","family":"Brüggemann","given":"Roger","non-dropping-particle":"","parse-names":false,"suffix":""},{"dropping-particle":"","family":"Calandra","given":"Thierry","non-dropping-particle":"","parse-names":false,"suffix":""},{"dropping-particle":"","family":"Carratala","given":"Jordi","non-dropping-particle":"","parse-names":false,"suffix":""},{"dropping-particle":"","family":"Cesaro","given":"Simone","non-dropping-particle":"","parse-names":false,"suffix":""},{"dropping-particle":"","family":"Cordonnier","given":"Catherine","non-dropping-particle":"","parse-names":false,"suffix":""},{"dropping-particle":"","family":"Cornely","given":"Oliver","non-dropping-particle":"","parse-names":false,"suffix":""},{"dropping-particle":"","family":"Dalianis","given":"Tina","non-dropping-particle":"","parse-names":false,"suffix":""},{"dropping-particle":"","family":"La Camara","given":"Rafael","non-dropping-particle":"De","parse-names":false,"suffix":""},{"dropping-particle":"","family":"Donnelly","given":"Peter","non-dropping-particle":"","parse-names":false,"suffix":""},{"dropping-particle":"","family":"Drgona","given":"Lubos","non-dropping-particle":"","parse-names":false,"suffix":""},{"dropping-particle":"","family":"Duarte","given":"Rafael","non-dropping-particle":"","parse-names":false,"suffix":""},{"dropping-particle":"","family":"Einsele","given":"Hermann","non-dropping-particle":"","parse-names":false,"suffix":""},{"dropping-particle":"","family":"Engelhard","given":"Dan","non-dropping-particle":"","parse-names":false,"suffix":""},{"dropping-particle":"","family":"Fox","given":"Christopher","non-dropping-particle":"","parse-names":false,"suffix":""},{"dropping-particle":"","family":"Girmenia","given":"Corrado","non-dropping-particle":"","parse-names":false,"suffix":""},{"dropping-particle":"","family":"Groll","given":"Andreas","non-dropping-particle":"","parse-names":false,"suffix":""},{"dropping-particle":"","family":"Heldal","given":"Dag","non-dropping-particle":"","parse-names":false,"suffix":""},{"dropping-particle":"","family":"Larsen","given":"Jannick Helweg","non-dropping-particle":"","parse-names":false,"suffix":""},{"dropping-particle":"","family":"Herbrecht","given":"Raoul","non-dropping-particle":"","parse-names":false,"suffix":""},{"dropping-particle":"","family":"Hirsch","given":"Hans","non-dropping-particle":"","parse-names":false,"suffix":""},{"dropping-particle":"","family":"Johnson","given":"Elisabeth","non-dropping-particle":"","parse-names":false,"suffix":""},{"dropping-particle":"","family":"Klyasova","given":"Galina","non-dropping-particle":"","parse-names":false,"suffix":""},{"dropping-particle":"","family":"Koskuenvo","given":"Minna","non-dropping-particle":"","parse-names":false,"suffix":""},{"dropping-particle":"","family":"Lagrou","given":"Katrien","non-dropping-particle":"","parse-names":false,"suffix":""},{"dropping-particle":"","family":"Lewis","given":"Russel E.","non-dropping-particle":"","parse-names":false,"suffix":""},{"dropping-particle":"","family":"Ljungman","given":"Per","non-dropping-particle":"","parse-names":false,"suffix":""},{"dropping-particle":"","family":"Maertens","given":"Johan","non-dropping-particle":"","parse-names":false,"suffix":""},{"dropping-particle":"","family":"Maschmeyer","given":"Georg","non-dropping-particle":"","parse-names":false,"suffix":""},{"dropping-particle":"","family":"Mikulska","given":"Malgorzata","non-dropping-particle":"","parse-names":false,"suffix":""},{"dropping-particle":"","family":"Nucci","given":"Marcio","non-dropping-particle":"","parse-names":false,"suffix":""},{"dropping-particle":"","family":"Padoin","given":"Christophe","non-dropping-particle":"","parse-names":false,"suffix":""},{"dropping-particle":"","family":"Pagano","given":"Livio","non-dropping-particle":"","parse-names":false,"suffix":""},{"dropping-particle":"","family":"Pagliuca","given":"Antonio","non-dropping-particle":"","parse-names":false,"suffix":""},{"dropping-particle":"","family":"Racil","given":"Zdenek","non-dropping-particle":"","parse-names":false,"suffix":""},{"dropping-particle":"","family":"Ribaud","given":"Patricia","non-dropping-particle":"","parse-names":false,"suffix":""},{"dropping-particle":"","family":"Rinaldo","given":"Christine","non-dropping-particle":"","parse-names":false,"suffix":""},{"dropping-particle":"","family":"Puechal","given":"Valérie Rizzi","non-dropping-particle":"","parse-names":false,"suffix":""},{"dropping-particle":"","family":"Roilides","given":"Emmanuel","non-dropping-particle":"","parse-names":false,"suffix":""},{"dropping-particle":"","family":"Robin","given":"Christine","non-dropping-particle":"","parse-names":false,"suffix":""},{"dropping-particle":"","family":"Rovira","given":"Montserrat","non-dropping-particle":"","parse-names":false,"suffix":""},{"dropping-particle":"","family":"Rupp","given":"Markus","non-dropping-particle":"","parse-names":false,"suffix":""},{"dropping-particle":"","family":"Sanchez","given":"Sonia","non-dropping-particle":"","parse-names":false,"suffix":""},{"dropping-particle":"","family":"Schellongowski","given":"Peter","non-dropping-particle":"","parse-names":false,"suffix":""},{"dropping-particle":"","family":"Sedlacek","given":"Peter","non-dropping-particle":"","parse-names":false,"suffix":""},{"dropping-particle":"","family":"Sinko","given":"Janos","non-dropping-particle":"","parse-names":false,"suffix":""},{"dropping-particle":"","family":"Slavin","given":"Monica","non-dropping-particle":"","parse-names":false,"suffix":""},{"dropping-particle":"","family":"Ferreira","given":"Isabella Sousa","non-dropping-particle":"","parse-names":false,"suffix":""},{"dropping-particle":"","family":"Styczynski","given":"Jan","non-dropping-particle":"","parse-names":false,"suffix":""},{"dropping-particle":"","family":"Tissot","given":"Frederic","non-dropping-particle":"","parse-names":false,"suffix":""},{"dropping-particle":"","family":"Viscoli","given":"Claudio","non-dropping-particle":"","parse-names":false,"suffix":""},{"dropping-particle":"","family":"Ward","given":"Katherine","non-dropping-particle":"","parse-names":false,"suffix":""},{"dropping-particle":"","family":"Witschi","given":"Anne-Therese","non-dropping-particle":"","parse-names":false,"suffix":""}],"container-title":"Journal of Infection","id":"ITEM-1","issue":"1","issued":{"date-parts":[["2018","1"]]},"page":"20-37","title":"Fluoroquinolone prophylaxis in haematological cancer patients with neutropenia: ECIL critical appraisal of previous guidelines","type":"article-journal","volume":"76"},"uris":["http://www.mendeley.com/documents/?uuid=e6353839-e8e2-4c36-ba33-88136ca77596"]}],"mendeley":{"formattedCitation":"&lt;sup&gt;6&lt;/sup&gt;","plainTextFormattedCitation":"6","previouslyFormattedCitation":"&lt;sup&gt;6&lt;/sup&gt;"},"properties":{"noteIndex":0},"schema":"https://github.com/citation-style-language/schema/raw/master/csl-citation.json"}</w:instrText>
            </w:r>
            <w:r>
              <w:rPr>
                <w:sz w:val="16"/>
                <w:szCs w:val="16"/>
                <w:lang w:val="en-US"/>
              </w:rPr>
              <w:fldChar w:fldCharType="separate"/>
            </w:r>
            <w:r w:rsidRPr="00E9068B">
              <w:rPr>
                <w:noProof/>
                <w:sz w:val="16"/>
                <w:szCs w:val="16"/>
                <w:vertAlign w:val="superscript"/>
                <w:lang w:val="en-US"/>
              </w:rPr>
              <w:t>6</w:t>
            </w:r>
            <w:r>
              <w:rPr>
                <w:sz w:val="16"/>
                <w:szCs w:val="16"/>
                <w:lang w:val="en-US"/>
              </w:rPr>
              <w:fldChar w:fldCharType="end"/>
            </w:r>
          </w:p>
        </w:tc>
        <w:tc>
          <w:tcPr>
            <w:tcW w:w="0" w:type="auto"/>
            <w:vAlign w:val="center"/>
          </w:tcPr>
          <w:p w14:paraId="74661DE4" w14:textId="7C3A68A1" w:rsidR="009066CC" w:rsidRPr="00E9068B" w:rsidRDefault="009066CC" w:rsidP="00376C8E">
            <w:pPr>
              <w:jc w:val="center"/>
              <w:rPr>
                <w:sz w:val="16"/>
                <w:szCs w:val="16"/>
                <w:lang w:val="en-US"/>
              </w:rPr>
            </w:pPr>
            <w:proofErr w:type="spellStart"/>
            <w:r>
              <w:rPr>
                <w:color w:val="000000" w:themeColor="text1"/>
                <w:sz w:val="16"/>
                <w:szCs w:val="16"/>
                <w:lang w:val="en-US"/>
              </w:rPr>
              <w:t>Metaanalysis</w:t>
            </w:r>
            <w:proofErr w:type="spellEnd"/>
            <w:r>
              <w:rPr>
                <w:color w:val="000000" w:themeColor="text1"/>
                <w:sz w:val="16"/>
                <w:szCs w:val="16"/>
                <w:lang w:val="en-US"/>
              </w:rPr>
              <w:t xml:space="preserve"> (2006-2014)</w:t>
            </w:r>
          </w:p>
        </w:tc>
        <w:tc>
          <w:tcPr>
            <w:tcW w:w="0" w:type="auto"/>
            <w:vAlign w:val="center"/>
          </w:tcPr>
          <w:p w14:paraId="0C95B741" w14:textId="15CDD748" w:rsidR="009066CC" w:rsidRDefault="009066CC" w:rsidP="00376C8E">
            <w:pPr>
              <w:jc w:val="center"/>
              <w:rPr>
                <w:color w:val="000000" w:themeColor="text1"/>
                <w:sz w:val="16"/>
                <w:szCs w:val="16"/>
                <w:lang w:val="en-US"/>
              </w:rPr>
            </w:pPr>
            <w:r w:rsidRPr="00E9068B">
              <w:rPr>
                <w:color w:val="000000" w:themeColor="text1"/>
                <w:sz w:val="16"/>
                <w:szCs w:val="16"/>
                <w:lang w:val="en-US"/>
              </w:rPr>
              <w:t xml:space="preserve">HM, </w:t>
            </w:r>
            <w:r w:rsidR="005B5C5E">
              <w:rPr>
                <w:color w:val="000000" w:themeColor="text1"/>
                <w:sz w:val="16"/>
                <w:szCs w:val="16"/>
                <w:lang w:val="en-US"/>
              </w:rPr>
              <w:t>HCT</w:t>
            </w:r>
            <w:r w:rsidRPr="00E9068B">
              <w:rPr>
                <w:color w:val="000000" w:themeColor="text1"/>
                <w:sz w:val="16"/>
                <w:szCs w:val="16"/>
                <w:lang w:val="en-US"/>
              </w:rPr>
              <w:t xml:space="preserve"> </w:t>
            </w:r>
            <w:r>
              <w:rPr>
                <w:color w:val="000000" w:themeColor="text1"/>
                <w:sz w:val="16"/>
                <w:szCs w:val="16"/>
                <w:lang w:val="en-US"/>
              </w:rPr>
              <w:t>[adult]</w:t>
            </w:r>
          </w:p>
        </w:tc>
        <w:tc>
          <w:tcPr>
            <w:tcW w:w="0" w:type="auto"/>
            <w:vAlign w:val="center"/>
          </w:tcPr>
          <w:p w14:paraId="66A4032A" w14:textId="37A0B2B3" w:rsidR="009066CC" w:rsidRDefault="009066CC" w:rsidP="00376C8E">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3D1A5832" w14:textId="2AF44410"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36B64C42" w14:textId="77E3D4C7"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0A984E81" w14:textId="7A66D49E"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376C8E" w14:paraId="34C7D6E4" w14:textId="77777777" w:rsidTr="000E23C2">
        <w:trPr>
          <w:trHeight w:val="578"/>
        </w:trPr>
        <w:tc>
          <w:tcPr>
            <w:tcW w:w="0" w:type="auto"/>
            <w:vAlign w:val="center"/>
          </w:tcPr>
          <w:p w14:paraId="76E900B5" w14:textId="5191F91E" w:rsidR="009066CC" w:rsidRPr="004D40DF" w:rsidRDefault="009066CC" w:rsidP="00376C8E">
            <w:pPr>
              <w:jc w:val="center"/>
              <w:rPr>
                <w:sz w:val="16"/>
                <w:szCs w:val="16"/>
                <w:lang w:val="en-US"/>
              </w:rPr>
            </w:pPr>
            <w:proofErr w:type="spellStart"/>
            <w:r w:rsidRPr="00E9068B">
              <w:rPr>
                <w:sz w:val="16"/>
                <w:szCs w:val="16"/>
                <w:lang w:val="en-US"/>
              </w:rPr>
              <w:t>Owattanapanich</w:t>
            </w:r>
            <w:proofErr w:type="spellEnd"/>
            <w:r w:rsidRPr="00E9068B">
              <w:rPr>
                <w:sz w:val="16"/>
                <w:szCs w:val="16"/>
                <w:lang w:val="en-US"/>
              </w:rPr>
              <w:t xml:space="preserve"> </w:t>
            </w:r>
            <w:r>
              <w:rPr>
                <w:sz w:val="16"/>
                <w:szCs w:val="16"/>
                <w:lang w:val="en-US"/>
              </w:rPr>
              <w:t>2019</w:t>
            </w:r>
            <w:r>
              <w:rPr>
                <w:sz w:val="16"/>
                <w:szCs w:val="16"/>
                <w:lang w:val="en-US"/>
              </w:rPr>
              <w:fldChar w:fldCharType="begin" w:fldLock="1"/>
            </w:r>
            <w:r>
              <w:rPr>
                <w:sz w:val="16"/>
                <w:szCs w:val="16"/>
                <w:lang w:val="en-US"/>
              </w:rPr>
              <w:instrText>ADDIN CSL_CITATION {"citationItems":[{"id":"ITEM-1","itemData":{"DOI":"10.1080/16078454.2019.1589706","ISSN":"1607-8454","PMID":"30880638","abstract":"OBJECTIVES The incidence of febrile neutropenia (FN) in acute leukemia patients following induction or consolidation chemotherapy is high. Several clinical practice guidelines recommend the use of a fluoroquinolone prophylaxis to prevent bacterial infection in patients being prone to prolonged profound neutropenia. METHODS This systematic review and meta-analysis aimed to investigate the efficacy and complications of levofloxacin as a prophylaxis for FN patients following chemotherapy for acute leukemia. Two databases from MEDLINE and EMBASE were searched for published studies indexed before 10 July 2018. RESULTS A total of 862 acute leukemia patients were included, with 356 in the levofloxacin prophylaxis arm and 506 in the no-prophylaxis arm. Patients receiving levofloxacin had a significantly lower FN rate than patients who did not receive the antibiotic prophylaxis (odds ratio [OR]: 0.43, 95% confidence interval [CI]: 0.32-0.58, p &lt; .00001, I2 = 0%). The rate of microbiologically documented infection in the no-prophylaxis group was higher than that for the levofloxacin prophylaxis group (OR: 0.45, 95% CI: 0.34-0.60, p &lt; .00001, I2 = 0%). The bacteremia rate in the levofloxacin prophylaxis group was significantly lower than that for the no-prophylaxis group (OR: 0.45, 95% CI: 0.31-0.66, p &lt; .00001, I2 = 0%). However, the mortality rates of the two groups were quite similar between the two groups (OR: 0.67, 95% CI: 0.34-1.33, p = .26, I2 = 0%). CONCLUSIONS Although the levofloxacin prophylaxis for the acute leukemia patients receiving intensive chemotherapy showed advantages for infectious complications, it did not affect mortality.","author":[{"dropping-particle":"","family":"Owattanapanich","given":"Weerapat","non-dropping-particle":"","parse-names":false,"suffix":""},{"dropping-particle":"","family":"Chayakulkeeree","given":"Methee","non-dropping-particle":"","parse-names":false,"suffix":""}],"container-title":"Hematology (Amsterdam, Netherlands)","id":"ITEM-1","issue":"1","issued":{"date-parts":[["2019","12"]]},"page":"362-368","title":"Efficacy of levofloxacin as an antibacterial prophylaxis for acute leukemia patients receiving intensive chemotherapy: a systematic review and meta-analysis.","type":"article-journal","volume":"24"},"uris":["http://www.mendeley.com/documents/?uuid=f385ad0f-2086-40d5-a467-a219e0b1fd46"]}],"mendeley":{"formattedCitation":"&lt;sup&gt;7&lt;/sup&gt;","plainTextFormattedCitation":"7","previouslyFormattedCitation":"&lt;sup&gt;7&lt;/sup&gt;"},"properties":{"noteIndex":0},"schema":"https://github.com/citation-style-language/schema/raw/master/csl-citation.json"}</w:instrText>
            </w:r>
            <w:r>
              <w:rPr>
                <w:sz w:val="16"/>
                <w:szCs w:val="16"/>
                <w:lang w:val="en-US"/>
              </w:rPr>
              <w:fldChar w:fldCharType="separate"/>
            </w:r>
            <w:r w:rsidRPr="00E9068B">
              <w:rPr>
                <w:noProof/>
                <w:sz w:val="16"/>
                <w:szCs w:val="16"/>
                <w:vertAlign w:val="superscript"/>
                <w:lang w:val="en-US"/>
              </w:rPr>
              <w:t>7</w:t>
            </w:r>
            <w:r>
              <w:rPr>
                <w:sz w:val="16"/>
                <w:szCs w:val="16"/>
                <w:lang w:val="en-US"/>
              </w:rPr>
              <w:fldChar w:fldCharType="end"/>
            </w:r>
          </w:p>
        </w:tc>
        <w:tc>
          <w:tcPr>
            <w:tcW w:w="0" w:type="auto"/>
            <w:vAlign w:val="center"/>
          </w:tcPr>
          <w:p w14:paraId="50B71B82" w14:textId="4AF6B766" w:rsidR="009066CC" w:rsidRPr="00E9068B" w:rsidRDefault="009066CC" w:rsidP="00376C8E">
            <w:pPr>
              <w:jc w:val="center"/>
              <w:rPr>
                <w:sz w:val="16"/>
                <w:szCs w:val="16"/>
                <w:lang w:val="en-US"/>
              </w:rPr>
            </w:pPr>
            <w:proofErr w:type="spellStart"/>
            <w:r>
              <w:rPr>
                <w:color w:val="000000" w:themeColor="text1"/>
                <w:sz w:val="16"/>
                <w:szCs w:val="16"/>
                <w:lang w:val="en-US"/>
              </w:rPr>
              <w:t>Metaanalysis</w:t>
            </w:r>
            <w:proofErr w:type="spellEnd"/>
            <w:r>
              <w:rPr>
                <w:color w:val="000000" w:themeColor="text1"/>
                <w:sz w:val="16"/>
                <w:szCs w:val="16"/>
                <w:lang w:val="en-US"/>
              </w:rPr>
              <w:t xml:space="preserve"> (up to 2018)</w:t>
            </w:r>
          </w:p>
        </w:tc>
        <w:tc>
          <w:tcPr>
            <w:tcW w:w="0" w:type="auto"/>
            <w:vAlign w:val="center"/>
          </w:tcPr>
          <w:p w14:paraId="1BA73993" w14:textId="75E6A396" w:rsidR="009066CC" w:rsidRDefault="009066CC" w:rsidP="00376C8E">
            <w:pPr>
              <w:jc w:val="center"/>
              <w:rPr>
                <w:color w:val="000000" w:themeColor="text1"/>
                <w:sz w:val="16"/>
                <w:szCs w:val="16"/>
                <w:lang w:val="en-US"/>
              </w:rPr>
            </w:pPr>
            <w:r>
              <w:rPr>
                <w:color w:val="000000" w:themeColor="text1"/>
                <w:sz w:val="16"/>
                <w:szCs w:val="16"/>
                <w:lang w:val="en-US"/>
              </w:rPr>
              <w:t>HM [adult]</w:t>
            </w:r>
          </w:p>
        </w:tc>
        <w:tc>
          <w:tcPr>
            <w:tcW w:w="0" w:type="auto"/>
            <w:vAlign w:val="center"/>
          </w:tcPr>
          <w:p w14:paraId="79586CBA" w14:textId="2C1EA209" w:rsidR="009066CC" w:rsidRDefault="009066CC" w:rsidP="00376C8E">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505021D7" w14:textId="2E3B0684"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2D2F2221" w14:textId="2975C83A"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043D0A7C" w14:textId="268F1D7B"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F20444" w14:paraId="1D8CEAA2" w14:textId="77777777" w:rsidTr="000E23C2">
        <w:trPr>
          <w:trHeight w:val="578"/>
        </w:trPr>
        <w:tc>
          <w:tcPr>
            <w:tcW w:w="0" w:type="auto"/>
            <w:vAlign w:val="center"/>
          </w:tcPr>
          <w:p w14:paraId="3F2A731C" w14:textId="503755F5" w:rsidR="009066CC" w:rsidRPr="004D40DF" w:rsidRDefault="009066CC" w:rsidP="00376C8E">
            <w:pPr>
              <w:jc w:val="center"/>
              <w:rPr>
                <w:sz w:val="16"/>
                <w:szCs w:val="16"/>
                <w:lang w:val="en-US"/>
              </w:rPr>
            </w:pPr>
            <w:r w:rsidRPr="00E9068B">
              <w:rPr>
                <w:sz w:val="16"/>
                <w:szCs w:val="16"/>
                <w:lang w:val="en-US"/>
              </w:rPr>
              <w:t>Alexander</w:t>
            </w:r>
            <w:r>
              <w:rPr>
                <w:sz w:val="16"/>
                <w:szCs w:val="16"/>
                <w:lang w:val="en-US"/>
              </w:rPr>
              <w:t xml:space="preserve"> 2018</w:t>
            </w:r>
            <w:r>
              <w:rPr>
                <w:sz w:val="16"/>
                <w:szCs w:val="16"/>
                <w:lang w:val="en-US"/>
              </w:rPr>
              <w:fldChar w:fldCharType="begin" w:fldLock="1"/>
            </w:r>
            <w:r>
              <w:rPr>
                <w:sz w:val="16"/>
                <w:szCs w:val="16"/>
                <w:lang w:val="en-US"/>
              </w:rPr>
              <w:instrText>ADDIN CSL_CITATION {"citationItems":[{"id":"ITEM-1","itemData":{"DOI":"10.1001/jama.2018.12512","ISSN":"15383598","PMID":"30208456","abstract":"IMPORTANCE Bacteremia causes considerable morbidity among children with acute leukemia and those undergoing hematopoietic stem cell transplantation (HSCT). There are limited data on the effect of antibiotic prophylaxis in children. OBJECTIVE To determine the efficacy and risks of levofloxacin prophylaxis in children receiving intensive chemotherapy for acute leukemia or undergoing HSCT. DESIGN, SETTING, AND PARTICIPANTS In this multicenter, open-label, randomized trial, patients (6 months-21 years) receiving intensive chemotherapy were enrolled (September 2011-April 2016) in 2 separate groups-acute leukemia, consisting of acute myeloid leukemia or relapsed acute lymphoblastic leukemia, and HSCT recipients-at 76 centers in the United States and Canada, with follow-up completed September 2017. INTERVENTIONS Patients with acute leukemia were randomized to receive levofloxacin prophylaxis for 2 consecutive cycles of chemotherapy (n = 100) or no prophylaxis (n = 100). Those undergoing HSCT were randomized to receive levofloxacin prophylaxis during 1 HSCT procedure (n = 210) or no prophylaxis (n = 214). MAIN OUTCOMES AND MEASURES The primary outcome was the occurrence of bacteremia during 2 chemotherapy cycles (acute leukemia) or 1 transplant procedure (HSCT). Secondary outcomes included fever and neutropenia, severe infection, invasive fungal disease, Clostridium difficile-associated diarrhea, and musculoskeletal toxic effects. RESULTS A total of 624 patients, 200 with acute leukemia (median [interquartile range (IQR)] age, 11 years [6-15 years]; 46% female) and 424 undergoing HSCT (median [IQR] age, 7 years [3-14]; 38% female), were enrolled. Among 195 patients with acute leukemia, the likelihood of bacteremia was significantly lower in the levofloxacin prophylaxis group than in the control group (21.9% vs 43.4%; risk difference, 21.6%; 95% CI, 8.8%-34.4%, P = .001), whereas among 418 patients undergoing HSCT, the risk of bacteremia was not significantly lower in the levofloxacin prophylaxis group (11.0% vs 17.3%; risk difference, 6.3%; 95% CI, 0.3%-13.0%; P = .06). Fever and neutropenia were less common in the levofloxacin group (71.2% vs 82.1%; risk difference, 10.8%; 95% CI, 4.2%-17.5%; P = .002). There were no significant differences in severe infection (3.6% vs 5.9%; risk difference, 2.3%; 95% CI, −1.1% to 5.6%; P = .20), invasive fungal disease (2.9% vs 2.0%; risk difference, −1.0%; 95% CI, −3.4% to 1.5%, P = .41), C difficile-associated diarrhea (2.3…","author":[{"dropping-particle":"","family":"Alexander","given":"Sarah","non-dropping-particle":"","parse-names":false,"suffix":""},{"dropping-particle":"","family":"Fisher","given":"Brian T.","non-dropping-particle":"","parse-names":false,"suffix":""},{"dropping-particle":"","family":"Gaur","given":"Aditya H.","non-dropping-particle":"","parse-names":false,"suffix":""},{"dropping-particle":"","family":"Dvorak","given":"Christopher C.","non-dropping-particle":"","parse-names":false,"suffix":""},{"dropping-particle":"","family":"Luna","given":"Doojduen Villa","non-dropping-particle":"","parse-names":false,"suffix":""},{"dropping-particle":"","family":"Dang","given":"Ha","non-dropping-particle":"","parse-names":false,"suffix":""},{"dropping-particle":"","family":"Chen","given":"Lu","non-dropping-particle":"","parse-names":false,"suffix":""},{"dropping-particle":"","family":"Green","given":"Michael","non-dropping-particle":"","parse-names":false,"suffix":""},{"dropping-particle":"","family":"Nieder","given":"Michael L.","non-dropping-particle":"","parse-names":false,"suffix":""},{"dropping-particle":"","family":"Fisher","given":"Beth","non-dropping-particle":"","parse-names":false,"suffix":""},{"dropping-particle":"","family":"Bailey","given":"L. Charles","non-dropping-particle":"","parse-names":false,"suffix":""},{"dropping-particle":"","family":"Wiernikowski","given":"John","non-dropping-particle":"","parse-names":false,"suffix":""},{"dropping-particle":"","family":"Sung","given":"Lillian","non-dropping-particle":"","parse-names":false,"suffix":""}],"container-title":"JAMA - Journal of the American Medical Association","id":"ITEM-1","issue":"10","issued":{"date-parts":[["2018"]]},"page":"995-1004","title":"Effect of levofloxacin prophylaxis on Bacteremia in children with acute Leukemia or undergoing hematopoietic stem cell transplantation a randomized clinical trial","type":"article-journal","volume":"320"},"uris":["http://www.mendeley.com/documents/?uuid=3dbc0b80-aa0e-4dbb-a97b-2c75b2b90169"]}],"mendeley":{"formattedCitation":"&lt;sup&gt;8&lt;/sup&gt;","plainTextFormattedCitation":"8","previouslyFormattedCitation":"&lt;sup&gt;8&lt;/sup&gt;"},"properties":{"noteIndex":0},"schema":"https://github.com/citation-style-language/schema/raw/master/csl-citation.json"}</w:instrText>
            </w:r>
            <w:r>
              <w:rPr>
                <w:sz w:val="16"/>
                <w:szCs w:val="16"/>
                <w:lang w:val="en-US"/>
              </w:rPr>
              <w:fldChar w:fldCharType="separate"/>
            </w:r>
            <w:r w:rsidRPr="00BE3F87">
              <w:rPr>
                <w:noProof/>
                <w:sz w:val="16"/>
                <w:szCs w:val="16"/>
                <w:vertAlign w:val="superscript"/>
                <w:lang w:val="en-US"/>
              </w:rPr>
              <w:t>8</w:t>
            </w:r>
            <w:r>
              <w:rPr>
                <w:sz w:val="16"/>
                <w:szCs w:val="16"/>
                <w:lang w:val="en-US"/>
              </w:rPr>
              <w:fldChar w:fldCharType="end"/>
            </w:r>
          </w:p>
        </w:tc>
        <w:tc>
          <w:tcPr>
            <w:tcW w:w="0" w:type="auto"/>
            <w:vAlign w:val="center"/>
          </w:tcPr>
          <w:p w14:paraId="35B1DB35" w14:textId="7A57E224" w:rsidR="009066CC" w:rsidRPr="00E9068B" w:rsidRDefault="009066CC" w:rsidP="00376C8E">
            <w:pPr>
              <w:jc w:val="center"/>
              <w:rPr>
                <w:sz w:val="16"/>
                <w:szCs w:val="16"/>
                <w:lang w:val="en-US"/>
              </w:rPr>
            </w:pPr>
            <w:r>
              <w:rPr>
                <w:color w:val="000000" w:themeColor="text1"/>
                <w:sz w:val="16"/>
                <w:szCs w:val="16"/>
                <w:lang w:val="en-US"/>
              </w:rPr>
              <w:t>RCT, multicenter, USA</w:t>
            </w:r>
          </w:p>
        </w:tc>
        <w:tc>
          <w:tcPr>
            <w:tcW w:w="0" w:type="auto"/>
            <w:vAlign w:val="center"/>
          </w:tcPr>
          <w:p w14:paraId="0333633D" w14:textId="7146317C" w:rsidR="009066CC" w:rsidRDefault="009066CC" w:rsidP="00376C8E">
            <w:pPr>
              <w:jc w:val="center"/>
              <w:rPr>
                <w:color w:val="000000" w:themeColor="text1"/>
                <w:sz w:val="16"/>
                <w:szCs w:val="16"/>
                <w:lang w:val="en-US"/>
              </w:rPr>
            </w:pPr>
            <w:r>
              <w:rPr>
                <w:color w:val="000000" w:themeColor="text1"/>
                <w:sz w:val="16"/>
                <w:szCs w:val="16"/>
                <w:lang w:val="en-US"/>
              </w:rPr>
              <w:t xml:space="preserve">HM, AL, </w:t>
            </w:r>
            <w:r w:rsidR="005B5C5E">
              <w:rPr>
                <w:color w:val="000000" w:themeColor="text1"/>
                <w:sz w:val="16"/>
                <w:szCs w:val="16"/>
                <w:lang w:val="en-US"/>
              </w:rPr>
              <w:t>HCT</w:t>
            </w:r>
            <w:r>
              <w:rPr>
                <w:color w:val="000000" w:themeColor="text1"/>
                <w:sz w:val="16"/>
                <w:szCs w:val="16"/>
                <w:lang w:val="en-US"/>
              </w:rPr>
              <w:t xml:space="preserve"> (n = 624) [pediatric]</w:t>
            </w:r>
          </w:p>
        </w:tc>
        <w:tc>
          <w:tcPr>
            <w:tcW w:w="0" w:type="auto"/>
            <w:vAlign w:val="center"/>
          </w:tcPr>
          <w:p w14:paraId="6572CC9C" w14:textId="3920702E" w:rsidR="009066CC" w:rsidRDefault="009066CC" w:rsidP="00376C8E">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00207863" w14:textId="7267F780" w:rsidR="009066CC" w:rsidRDefault="009066CC" w:rsidP="00376C8E">
            <w:pPr>
              <w:jc w:val="center"/>
              <w:rPr>
                <w:color w:val="000000" w:themeColor="text1"/>
                <w:sz w:val="16"/>
                <w:szCs w:val="16"/>
                <w:lang w:val="en-US"/>
              </w:rPr>
            </w:pPr>
            <w:r>
              <w:rPr>
                <w:color w:val="000000" w:themeColor="text1"/>
                <w:sz w:val="16"/>
                <w:szCs w:val="16"/>
                <w:lang w:val="en-US"/>
              </w:rPr>
              <w:t xml:space="preserve">Decreased (in AL; unchanged in </w:t>
            </w:r>
            <w:r w:rsidR="005B5C5E">
              <w:rPr>
                <w:color w:val="000000" w:themeColor="text1"/>
                <w:sz w:val="16"/>
                <w:szCs w:val="16"/>
                <w:lang w:val="en-US"/>
              </w:rPr>
              <w:t>HCT</w:t>
            </w:r>
            <w:r>
              <w:rPr>
                <w:color w:val="000000" w:themeColor="text1"/>
                <w:sz w:val="16"/>
                <w:szCs w:val="16"/>
                <w:lang w:val="en-US"/>
              </w:rPr>
              <w:t>)</w:t>
            </w:r>
          </w:p>
        </w:tc>
        <w:tc>
          <w:tcPr>
            <w:tcW w:w="0" w:type="auto"/>
            <w:vAlign w:val="center"/>
          </w:tcPr>
          <w:p w14:paraId="78B70DCE" w14:textId="3A9620D2"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21999F9C" w14:textId="2C75ECCF" w:rsidR="009066CC" w:rsidRDefault="009066CC" w:rsidP="00376C8E">
            <w:pPr>
              <w:jc w:val="center"/>
              <w:rPr>
                <w:color w:val="000000" w:themeColor="text1"/>
                <w:sz w:val="16"/>
                <w:szCs w:val="16"/>
                <w:lang w:val="en-US"/>
              </w:rPr>
            </w:pPr>
            <w:r>
              <w:rPr>
                <w:color w:val="000000" w:themeColor="text1"/>
                <w:sz w:val="16"/>
                <w:szCs w:val="16"/>
                <w:lang w:val="en-US"/>
              </w:rPr>
              <w:t>Unchanged</w:t>
            </w:r>
            <w:r w:rsidRPr="00E9068B" w:rsidDel="00F6654F">
              <w:rPr>
                <w:color w:val="000000" w:themeColor="text1"/>
                <w:sz w:val="16"/>
                <w:szCs w:val="16"/>
                <w:lang w:val="en-US"/>
              </w:rPr>
              <w:t xml:space="preserve"> </w:t>
            </w:r>
            <w:r w:rsidRPr="00E9068B">
              <w:rPr>
                <w:color w:val="000000" w:themeColor="text1"/>
                <w:sz w:val="16"/>
                <w:szCs w:val="16"/>
                <w:lang w:val="en-US"/>
              </w:rPr>
              <w:t>(resistance acquisition)</w:t>
            </w:r>
          </w:p>
        </w:tc>
      </w:tr>
      <w:tr w:rsidR="009066CC" w:rsidRPr="00F20444" w14:paraId="458A20AB" w14:textId="77777777" w:rsidTr="000E23C2">
        <w:trPr>
          <w:trHeight w:val="578"/>
        </w:trPr>
        <w:tc>
          <w:tcPr>
            <w:tcW w:w="0" w:type="auto"/>
            <w:vAlign w:val="center"/>
          </w:tcPr>
          <w:p w14:paraId="2955A27F" w14:textId="3907382E" w:rsidR="009066CC" w:rsidRPr="00DB2F73" w:rsidRDefault="009066CC" w:rsidP="00376C8E">
            <w:pPr>
              <w:jc w:val="center"/>
              <w:rPr>
                <w:b/>
                <w:bCs/>
                <w:color w:val="000000" w:themeColor="text1"/>
                <w:sz w:val="16"/>
                <w:szCs w:val="16"/>
                <w:lang w:val="en-US"/>
              </w:rPr>
            </w:pPr>
            <w:proofErr w:type="spellStart"/>
            <w:r w:rsidRPr="004D40DF">
              <w:rPr>
                <w:sz w:val="16"/>
                <w:szCs w:val="16"/>
                <w:lang w:val="en-US"/>
              </w:rPr>
              <w:t>Drayson</w:t>
            </w:r>
            <w:proofErr w:type="spellEnd"/>
            <w:r w:rsidRPr="004D40DF">
              <w:rPr>
                <w:sz w:val="16"/>
                <w:szCs w:val="16"/>
                <w:lang w:val="en-US"/>
              </w:rPr>
              <w:t xml:space="preserve"> </w:t>
            </w:r>
            <w:r>
              <w:rPr>
                <w:sz w:val="16"/>
                <w:szCs w:val="16"/>
                <w:lang w:val="en-US"/>
              </w:rPr>
              <w:t>2019</w:t>
            </w:r>
            <w:r>
              <w:rPr>
                <w:sz w:val="16"/>
                <w:szCs w:val="16"/>
                <w:lang w:val="en-US"/>
              </w:rPr>
              <w:fldChar w:fldCharType="begin" w:fldLock="1"/>
            </w:r>
            <w:r>
              <w:rPr>
                <w:sz w:val="16"/>
                <w:szCs w:val="16"/>
                <w:lang w:val="en-US"/>
              </w:rPr>
              <w:instrText>ADDIN CSL_CITATION {"citationItems":[{"id":"ITEM-1","itemData":{"DOI":"10.1016/S1470-2045(19)30506-6","ISSN":"14745488","PMID":"31668592","abstract":"Background: Myeloma causes profound immunodeficiency and recurrent, serious infections. Around 5500 new cases of myeloma are diagnosed per year in the UK, and a quarter of patients will have a serious infection within 3 months of diagnosis. We aimed to assess whether patients newly diagnosed with myeloma benefit from antibiotic prophylaxis to prevent infection, and to investigate the effect on antibiotic-resistant organism carriage and health care-associated infections in patients with newly diagnosed myeloma. Methods: TEAMM was a prospective, multicentre, double-blind, placebo-controlled randomised trial in patients aged 21 years and older with newly diagnosed myeloma in 93 UK hospitals. All enrolled patients were within 14 days of starting active myeloma treatment. We randomly assigned patients (1:1) to levofloxacin or placebo with a computerised minimisation algorithm. Allocation was stratified by centre, estimated glomerular filtration rate, and intention to proceed to high-dose chemotherapy with autologous stem cell transplantation. All investigators, patients, laboratory, and trial co-ordination staff were masked to the treatment allocation. Patients were given 500 mg of levofloxacin (two 250 mg tablets), orally once daily for 12 weeks, or placebo tablets (two tablets, orally once daily for 12 weeks), with dose reduction according to estimated glomerular filtration rate every 4 weeks. Follow-up visits occurred every 4 weeks up to week 16, and at 1 year. The primary outcome was time to first febrile episode or death from all causes within the first 12 weeks of trial treatment. All randomised patients were included in an intention-to-treat analysis of the primary endpoint. This study is registered with the ISRCTN registry, number ISRCTN51731976, and the EU Clinical Trials Register, number 2011-000366-35. Findings: Between Aug 15, 2012, and April 29, 2016, we enrolled and randomly assigned 977 patients to receive levofloxacin prophylaxis (489 patients) or placebo (488 patients). Median follow-up was 12 months (IQR 8–13). 95 (19%) first febrile episodes or deaths occurred in 489 patients in the levofloxacin group versus 134 (27%) in 488 patients in the placebo group (hazard ratio 0·66, 95% CI 0·51–0·86; p=0·0018. 597 serious adverse events were reported up to 16 weeks from the start of trial treatment (308 [52%] of which were in the levofloxacin group and 289 [48%] of which were in the placebo group). Serious adverse events were similar between the tw…","author":[{"dropping-particle":"","family":"Drayson","given":"Mark T.","non-dropping-particle":"","parse-names":false,"suffix":""},{"dropping-particle":"","family":"Bowcock","given":"Stella","non-dropping-particle":"","parse-names":false,"suffix":""},{"dropping-particle":"","family":"Planche","given":"Tim","non-dropping-particle":"","parse-names":false,"suffix":""},{"dropping-particle":"","family":"Iqbal","given":"Gulnaz","non-dropping-particle":"","parse-names":false,"suffix":""},{"dropping-particle":"","family":"Pratt","given":"Guy","non-dropping-particle":"","parse-names":false,"suffix":""},{"dropping-particle":"","family":"Yong","given":"Kwee","non-dropping-particle":"","parse-names":false,"suffix":""},{"dropping-particle":"","family":"Wood","given":"Jill","non-dropping-particle":"","parse-names":false,"suffix":""},{"dropping-particle":"","family":"Raynes","given":"Kerry","non-dropping-particle":"","parse-names":false,"suffix":""},{"dropping-particle":"","family":"Higgins","given":"Helen","non-dropping-particle":"","parse-names":false,"suffix":""},{"dropping-particle":"","family":"Dawkins","given":"Bryony","non-dropping-particle":"","parse-names":false,"suffix":""},{"dropping-particle":"","family":"Meads","given":"David","non-dropping-particle":"","parse-names":false,"suffix":""},{"dropping-particle":"","family":"Hulme","given":"Claire T.","non-dropping-particle":"","parse-names":false,"suffix":""},{"dropping-particle":"","family":"Monahan","given":"Irene","non-dropping-particle":"","parse-names":false,"suffix":""},{"dropping-particle":"","family":"Karunanithi","given":"Kamaraj","non-dropping-particle":"","parse-names":false,"suffix":""},{"dropping-particle":"","family":"Dignum","given":"Helen","non-dropping-particle":"","parse-names":false,"suffix":""},{"dropping-particle":"","family":"Belsham","given":"Edward","non-dropping-particle":"","parse-names":false,"suffix":""},{"dropping-particle":"","family":"Neilson","given":"Jeff","non-dropping-particle":"","parse-names":false,"suffix":""},{"dropping-particle":"","family":"Harrison","given":"Beth","non-dropping-particle":"","parse-names":false,"suffix":""},{"dropping-particle":"","family":"Lokare","given":"Anand","non-dropping-particle":"","parse-names":false,"suffix":""},{"dropping-particle":"","family":"Campbell","given":"Gavin","non-dropping-particle":"","parse-names":false,"suffix":""},{"dropping-particle":"","family":"Hamblin","given":"Michael","non-dropping-particle":"","parse-names":false,"suffix":""},{"dropping-particle":"","family":"Hawkey","given":"Peter","non-dropping-particle":"","parse-names":false,"suffix":""},{"dropping-particle":"","family":"Whittaker","given":"Anna C.","non-dropping-particle":"","parse-names":false,"suffix":""},{"dropping-particle":"","family":"Low","given":"Eric","non-dropping-particle":"","parse-names":false,"suffix":""},{"dropping-particle":"","family":"Dunn","given":"Janet A.","non-dropping-particle":"","parse-names":false,"suffix":""}],"container-title":"The Lancet Oncology","id":"ITEM-1","issue":"12","issued":{"date-parts":[["2019"]]},"page":"1760-1772","publisher":"The Author(s). Published by Elsevier Ltd. This is an Open Access article under the CC BY 4.0 license","title":"Levofloxacin prophylaxis in patients with newly diagnosed myeloma (TEAMM): a multicentre, double-blind, placebo-controlled, randomised, phase 3 trial","type":"article-journal","volume":"20"},"uris":["http://www.mendeley.com/documents/?uuid=f0592c5c-a4a7-40c5-9837-7232dcc2e918"]}],"mendeley":{"formattedCitation":"&lt;sup&gt;9&lt;/sup&gt;","plainTextFormattedCitation":"9","previouslyFormattedCitation":"&lt;sup&gt;9&lt;/sup&gt;"},"properties":{"noteIndex":0},"schema":"https://github.com/citation-style-language/schema/raw/master/csl-citation.json"}</w:instrText>
            </w:r>
            <w:r>
              <w:rPr>
                <w:sz w:val="16"/>
                <w:szCs w:val="16"/>
                <w:lang w:val="en-US"/>
              </w:rPr>
              <w:fldChar w:fldCharType="separate"/>
            </w:r>
            <w:r w:rsidRPr="00BE3F87">
              <w:rPr>
                <w:noProof/>
                <w:sz w:val="16"/>
                <w:szCs w:val="16"/>
                <w:vertAlign w:val="superscript"/>
                <w:lang w:val="en-US"/>
              </w:rPr>
              <w:t>9</w:t>
            </w:r>
            <w:r>
              <w:rPr>
                <w:sz w:val="16"/>
                <w:szCs w:val="16"/>
                <w:lang w:val="en-US"/>
              </w:rPr>
              <w:fldChar w:fldCharType="end"/>
            </w:r>
          </w:p>
        </w:tc>
        <w:tc>
          <w:tcPr>
            <w:tcW w:w="0" w:type="auto"/>
            <w:vAlign w:val="center"/>
          </w:tcPr>
          <w:p w14:paraId="39FF3EB5" w14:textId="6EEA4CB2" w:rsidR="009066CC" w:rsidRPr="00DB2F73" w:rsidRDefault="009066CC" w:rsidP="00376C8E">
            <w:pPr>
              <w:jc w:val="center"/>
              <w:rPr>
                <w:b/>
                <w:bCs/>
                <w:color w:val="000000" w:themeColor="text1"/>
                <w:sz w:val="16"/>
                <w:szCs w:val="16"/>
                <w:lang w:val="en-US"/>
              </w:rPr>
            </w:pPr>
            <w:r w:rsidRPr="00E9068B">
              <w:rPr>
                <w:sz w:val="16"/>
                <w:szCs w:val="16"/>
                <w:lang w:val="en-US"/>
              </w:rPr>
              <w:t>RCT; multicenter; UK</w:t>
            </w:r>
          </w:p>
        </w:tc>
        <w:tc>
          <w:tcPr>
            <w:tcW w:w="0" w:type="auto"/>
            <w:vAlign w:val="center"/>
          </w:tcPr>
          <w:p w14:paraId="101576D4" w14:textId="2D8D2E58" w:rsidR="009066CC" w:rsidRPr="00DB2F73" w:rsidRDefault="009066CC" w:rsidP="00376C8E">
            <w:pPr>
              <w:jc w:val="center"/>
              <w:rPr>
                <w:b/>
                <w:bCs/>
                <w:color w:val="000000" w:themeColor="text1"/>
                <w:sz w:val="16"/>
                <w:szCs w:val="16"/>
                <w:lang w:val="en-US"/>
              </w:rPr>
            </w:pPr>
            <w:r>
              <w:rPr>
                <w:color w:val="000000" w:themeColor="text1"/>
                <w:sz w:val="16"/>
                <w:szCs w:val="16"/>
                <w:lang w:val="en-US"/>
              </w:rPr>
              <w:t>HM, MM (n = 977) [adult]</w:t>
            </w:r>
          </w:p>
        </w:tc>
        <w:tc>
          <w:tcPr>
            <w:tcW w:w="0" w:type="auto"/>
            <w:vAlign w:val="center"/>
          </w:tcPr>
          <w:p w14:paraId="227C6B06" w14:textId="5BE8A81F" w:rsidR="009066CC" w:rsidRPr="00DB2F73" w:rsidRDefault="009066CC" w:rsidP="009066CC">
            <w:pPr>
              <w:jc w:val="center"/>
              <w:rPr>
                <w:b/>
                <w:bCs/>
                <w:color w:val="000000" w:themeColor="text1"/>
                <w:sz w:val="16"/>
                <w:szCs w:val="16"/>
                <w:lang w:val="en-US"/>
              </w:rPr>
            </w:pPr>
            <w:r>
              <w:rPr>
                <w:color w:val="000000" w:themeColor="text1"/>
                <w:sz w:val="16"/>
                <w:szCs w:val="16"/>
                <w:lang w:val="en-US"/>
              </w:rPr>
              <w:t>Levofloxacin</w:t>
            </w:r>
            <w:r w:rsidRPr="00313A98">
              <w:rPr>
                <w:color w:val="000000" w:themeColor="text1"/>
                <w:sz w:val="16"/>
                <w:szCs w:val="16"/>
                <w:lang w:val="en-US"/>
              </w:rPr>
              <w:t xml:space="preserve"> </w:t>
            </w:r>
          </w:p>
        </w:tc>
        <w:tc>
          <w:tcPr>
            <w:tcW w:w="0" w:type="auto"/>
            <w:vAlign w:val="center"/>
          </w:tcPr>
          <w:p w14:paraId="1A228E03" w14:textId="70969A0B" w:rsidR="009066CC" w:rsidRPr="00DB2F73" w:rsidRDefault="009066CC" w:rsidP="00376C8E">
            <w:pPr>
              <w:jc w:val="center"/>
              <w:rPr>
                <w:b/>
                <w:bCs/>
                <w:color w:val="000000" w:themeColor="text1"/>
                <w:sz w:val="16"/>
                <w:szCs w:val="16"/>
                <w:lang w:val="en-US"/>
              </w:rPr>
            </w:pPr>
            <w:r>
              <w:rPr>
                <w:color w:val="000000" w:themeColor="text1"/>
                <w:sz w:val="16"/>
                <w:szCs w:val="16"/>
                <w:lang w:val="en-US"/>
              </w:rPr>
              <w:t>NA</w:t>
            </w:r>
          </w:p>
        </w:tc>
        <w:tc>
          <w:tcPr>
            <w:tcW w:w="0" w:type="auto"/>
            <w:vAlign w:val="center"/>
          </w:tcPr>
          <w:p w14:paraId="3AAED1D9" w14:textId="18C7C52B" w:rsidR="009066CC" w:rsidRPr="00DB2F73" w:rsidRDefault="009066CC" w:rsidP="00376C8E">
            <w:pPr>
              <w:jc w:val="center"/>
              <w:rPr>
                <w:b/>
                <w:bCs/>
                <w:color w:val="000000" w:themeColor="text1"/>
                <w:sz w:val="16"/>
                <w:szCs w:val="16"/>
                <w:lang w:val="en-US"/>
              </w:rPr>
            </w:pPr>
            <w:r>
              <w:rPr>
                <w:color w:val="000000" w:themeColor="text1"/>
                <w:sz w:val="16"/>
                <w:szCs w:val="16"/>
                <w:lang w:val="en-US"/>
              </w:rPr>
              <w:t>NA</w:t>
            </w:r>
          </w:p>
        </w:tc>
        <w:tc>
          <w:tcPr>
            <w:tcW w:w="0" w:type="auto"/>
            <w:vAlign w:val="center"/>
          </w:tcPr>
          <w:p w14:paraId="5FB5339E" w14:textId="38F81EC6" w:rsidR="009066CC" w:rsidRPr="00DB2F73" w:rsidRDefault="009066CC" w:rsidP="00376C8E">
            <w:pPr>
              <w:jc w:val="center"/>
              <w:rPr>
                <w:b/>
                <w:bCs/>
                <w:color w:val="000000" w:themeColor="text1"/>
                <w:sz w:val="16"/>
                <w:szCs w:val="16"/>
                <w:lang w:val="en-US"/>
              </w:rPr>
            </w:pPr>
            <w:r>
              <w:rPr>
                <w:color w:val="000000" w:themeColor="text1"/>
                <w:sz w:val="16"/>
                <w:szCs w:val="16"/>
                <w:lang w:val="en-US"/>
              </w:rPr>
              <w:t>Unchanged</w:t>
            </w:r>
            <w:r w:rsidDel="00F6654F">
              <w:rPr>
                <w:color w:val="000000" w:themeColor="text1"/>
                <w:sz w:val="16"/>
                <w:szCs w:val="16"/>
                <w:lang w:val="en-US"/>
              </w:rPr>
              <w:t xml:space="preserve"> </w:t>
            </w:r>
            <w:r>
              <w:rPr>
                <w:color w:val="000000" w:themeColor="text1"/>
                <w:sz w:val="16"/>
                <w:szCs w:val="16"/>
                <w:lang w:val="en-US"/>
              </w:rPr>
              <w:t>(ESBL and MRSA BSI)</w:t>
            </w:r>
          </w:p>
        </w:tc>
      </w:tr>
      <w:tr w:rsidR="009066CC" w:rsidRPr="00F20444" w14:paraId="6D08531E" w14:textId="3D8965DD" w:rsidTr="000E23C2">
        <w:trPr>
          <w:trHeight w:val="578"/>
        </w:trPr>
        <w:tc>
          <w:tcPr>
            <w:tcW w:w="0" w:type="auto"/>
            <w:vAlign w:val="center"/>
          </w:tcPr>
          <w:p w14:paraId="4D871A3B" w14:textId="2583ED40" w:rsidR="009066CC" w:rsidRDefault="009066CC" w:rsidP="00376C8E">
            <w:pPr>
              <w:jc w:val="center"/>
              <w:rPr>
                <w:color w:val="000000" w:themeColor="text1"/>
                <w:sz w:val="16"/>
                <w:szCs w:val="16"/>
                <w:lang w:val="en-US"/>
              </w:rPr>
            </w:pPr>
            <w:proofErr w:type="spellStart"/>
            <w:r w:rsidRPr="004D40DF">
              <w:rPr>
                <w:color w:val="000000" w:themeColor="text1"/>
                <w:sz w:val="16"/>
                <w:szCs w:val="16"/>
                <w:lang w:val="en-US"/>
              </w:rPr>
              <w:t>Vehreschild</w:t>
            </w:r>
            <w:proofErr w:type="spellEnd"/>
            <w:r w:rsidRPr="004D40DF">
              <w:rPr>
                <w:color w:val="000000" w:themeColor="text1"/>
                <w:sz w:val="16"/>
                <w:szCs w:val="16"/>
                <w:lang w:val="en-US"/>
              </w:rPr>
              <w:t xml:space="preserve"> </w:t>
            </w:r>
            <w:r>
              <w:rPr>
                <w:color w:val="000000" w:themeColor="text1"/>
                <w:sz w:val="16"/>
                <w:szCs w:val="16"/>
                <w:lang w:val="en-US"/>
              </w:rPr>
              <w:t>2012</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{"citationItems":[{"id":"ITEM-1","itemData":{"DOI":"10.1016/j.ijantimicag.2011.10.009","ISBN":"2005003271","ISSN":"09248579","PMID":"22169408","abstract":"Patients receiving high-dose chemotherapy with autologous peripheral blood stem cell transplantation (PBSCT) are at high risk of infections, especially bacteraemia. A prospective, double-blind, randomised, placebo-controlled, single-centre, pilot study was performed on oral moxifloxacin 400 mg versus placebo for preventing bacteraemia in PBSCT recipients. Patients received moxifloxacin or placebo for the duration of neutropenia or until emergence of fever or other infections necessitating intravenous antibiotic treatment. Of 68 patients included in the trial, 2 were excluded from the trial before taking their first dose. The remaining 66 patients were eligible for evaluation in the intention-to-treat analysis set. Neutropenia with an absolute neutrophil count of &lt;500 cells/μL developed in 30 moxifloxacin-treated patients (88.2%) and 21 patients in the placebo group (65.6%) (P &lt; 0.03). Nine patients (26.5%) and eight patients (25.0%), respectively, were prematurely discontinued from study treatment. Breakthrough bacteraemia occurred in 3 moxifloxacin-treated patients (8.8%) and 9 patients in the placebo group (28.1%) (P = 0.042). The time period until fever was 9.5 days [95% confidence interval (CI) 8.06-10.94 days) and 7.69 days (95% CI 6.51-8.85 days), respectively (P = 0.0499). There was no difference in adverse events or toxicities between the groups. Moxifloxacin prevented bacteraemia and shortened febrile episodes in patients receiving autologous PBSCT. No significant increase of adverse events in the moxifloxacin arm was observed, possibly due to the rather small sample size. © 2011 Elsevier B.V. and the International Society of Chemotherapy. All rights reserved.","author":[{"dropping-particle":"","family":"Vehreschild","given":"J. Janne","non-dropping-particle":"","parse-names":false,"suffix":""},{"dropping-particle":"","family":"Moritz","given":"Gregor","non-dropping-particle":"","parse-names":false,"suffix":""},{"dropping-particle":"","family":"Vehreschild","given":"Maria J.G.T.","non-dropping-particle":"","parse-names":false,"suffix":""},{"dropping-particle":"","family":"Arenz","given":"Dorothee","non-dropping-particle":"","parse-names":false,"suffix":""},{"dropping-particle":"","family":"Mahne","given":"Martina","non-dropping-particle":"","parse-names":false,"suffix":""},{"dropping-particle":"","family":"Bredenfeld","given":"Henning","non-dropping-particle":"","parse-names":false,"suffix":""},{"dropping-particle":"","family":"Chemnitz","given":"Jens","non-dropping-particle":"","parse-names":false,"suffix":""},{"dropping-particle":"","family":"Klein","given":"Florian","non-dropping-particle":"","parse-names":false,"suffix":""},{"dropping-particle":"","family":"Cremer","given":"Birgit","non-dropping-particle":"","parse-names":false,"suffix":""},{"dropping-particle":"","family":"Böll","given":"Boris","non-dropping-particle":"","parse-names":false,"suffix":""},{"dropping-particle":"","family":"Kaul","given":"Ingrid","non-dropping-particle":"","parse-names":false,"suffix":""},{"dropping-particle":"","family":"Wassmer","given":"Gernot","non-dropping-particle":"","parse-names":false,"suffix":""},{"dropping-particle":"","family":"Hallek","given":"Michael","non-dropping-particle":"","parse-names":false,"suffix":""},{"dropping-particle":"","family":"Scheid","given":"Christof","non-dropping-particle":"","parse-names":false,"suffix":""},{"dropping-particle":"","family":"Cornely","given":"Oliver A.","non-dropping-particle":"","parse-names":false,"suffix":""}],"container-title":"International Journal of Antimicrobial Agents","id":"ITEM-1","issue":"2","issued":{"date-parts":[["2012"]]},"page":"130-134","title":"Efficacy and safety of moxifloxacin as antibacterial prophylaxis for patients receiving autologous haematopoietic stem cell transplantation: A randomised trial","type":"article-journal","volume":"39"},"uris":["http://www.mendeley.com/documents/?uuid=f835aef6-ecb3-4fc6-9047-61d9699826ca"]}],"mendeley":{"formattedCitation":"&lt;sup&gt;10&lt;/sup&gt;","plainTextFormattedCitation":"10","previouslyFormattedCitation":"&lt;sup&gt;10&lt;/sup&gt;"},"properties":{"noteIndex":0},"schema":"https://github.com/citation-style-language/schema/raw/master/csl-citation.json"}</w:instrText>
            </w:r>
            <w:r>
              <w:rPr>
                <w:color w:val="000000" w:themeColor="text1"/>
                <w:sz w:val="16"/>
                <w:szCs w:val="16"/>
                <w:lang w:val="en-US"/>
              </w:rPr>
              <w:fldChar w:fldCharType="separate"/>
            </w:r>
            <w:r w:rsidRPr="00BE3F87">
              <w:rPr>
                <w:noProof/>
                <w:color w:val="000000" w:themeColor="text1"/>
                <w:sz w:val="16"/>
                <w:szCs w:val="16"/>
                <w:vertAlign w:val="superscript"/>
                <w:lang w:val="en-US"/>
              </w:rPr>
              <w:t>10</w:t>
            </w:r>
            <w:r>
              <w:rPr>
                <w:color w:val="000000" w:themeColor="text1"/>
                <w:sz w:val="16"/>
                <w:szCs w:val="16"/>
                <w:lang w:val="en-US"/>
              </w:rPr>
              <w:fldChar w:fldCharType="end"/>
            </w:r>
          </w:p>
        </w:tc>
        <w:tc>
          <w:tcPr>
            <w:tcW w:w="0" w:type="auto"/>
            <w:vAlign w:val="center"/>
          </w:tcPr>
          <w:p w14:paraId="6E49E708" w14:textId="56837FED" w:rsidR="009066CC" w:rsidRPr="00490DD4" w:rsidRDefault="009066CC" w:rsidP="00376C8E">
            <w:pPr>
              <w:jc w:val="center"/>
              <w:rPr>
                <w:color w:val="000000" w:themeColor="text1"/>
                <w:sz w:val="16"/>
                <w:szCs w:val="16"/>
                <w:lang w:val="en-US"/>
              </w:rPr>
            </w:pPr>
            <w:r w:rsidRPr="00BE3F87">
              <w:rPr>
                <w:sz w:val="16"/>
                <w:szCs w:val="16"/>
                <w:lang w:val="en-US"/>
              </w:rPr>
              <w:t>RCT; single center; Germany</w:t>
            </w:r>
          </w:p>
        </w:tc>
        <w:tc>
          <w:tcPr>
            <w:tcW w:w="0" w:type="auto"/>
            <w:vAlign w:val="center"/>
          </w:tcPr>
          <w:p w14:paraId="0B292C40" w14:textId="19695E6C" w:rsidR="009066CC" w:rsidRPr="00490DD4" w:rsidRDefault="009066CC" w:rsidP="00376C8E">
            <w:pPr>
              <w:jc w:val="center"/>
              <w:rPr>
                <w:color w:val="000000" w:themeColor="text1"/>
                <w:sz w:val="16"/>
                <w:szCs w:val="16"/>
                <w:lang w:val="en-US"/>
              </w:rPr>
            </w:pPr>
            <w:r>
              <w:rPr>
                <w:color w:val="000000" w:themeColor="text1"/>
                <w:sz w:val="16"/>
                <w:szCs w:val="16"/>
                <w:lang w:val="en-US"/>
              </w:rPr>
              <w:t xml:space="preserve">Auto </w:t>
            </w:r>
            <w:r w:rsidR="005B5C5E">
              <w:rPr>
                <w:color w:val="000000" w:themeColor="text1"/>
                <w:sz w:val="16"/>
                <w:szCs w:val="16"/>
                <w:lang w:val="en-US"/>
              </w:rPr>
              <w:t>HCT</w:t>
            </w:r>
            <w:r>
              <w:rPr>
                <w:color w:val="000000" w:themeColor="text1"/>
                <w:sz w:val="16"/>
                <w:szCs w:val="16"/>
                <w:lang w:val="en-US"/>
              </w:rPr>
              <w:t xml:space="preserve"> (n = 68) [adult]</w:t>
            </w:r>
          </w:p>
        </w:tc>
        <w:tc>
          <w:tcPr>
            <w:tcW w:w="0" w:type="auto"/>
            <w:vAlign w:val="center"/>
          </w:tcPr>
          <w:p w14:paraId="45934AB2" w14:textId="0CD7F866" w:rsidR="009066CC" w:rsidRDefault="009066CC" w:rsidP="00376C8E">
            <w:pPr>
              <w:jc w:val="center"/>
              <w:rPr>
                <w:color w:val="000000" w:themeColor="text1"/>
                <w:sz w:val="16"/>
                <w:szCs w:val="16"/>
                <w:lang w:val="en-US"/>
              </w:rPr>
            </w:pPr>
            <w:r>
              <w:rPr>
                <w:color w:val="000000" w:themeColor="text1"/>
                <w:sz w:val="16"/>
                <w:szCs w:val="16"/>
                <w:lang w:val="en-US"/>
              </w:rPr>
              <w:t>Moxifloxacin</w:t>
            </w:r>
          </w:p>
        </w:tc>
        <w:tc>
          <w:tcPr>
            <w:tcW w:w="0" w:type="auto"/>
            <w:vAlign w:val="center"/>
          </w:tcPr>
          <w:p w14:paraId="3EA57863" w14:textId="3FDF936A"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7E331AD5" w14:textId="647C3045"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5B159B1C" w14:textId="49968B7A"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F20444" w14:paraId="04DE2AE8" w14:textId="77777777" w:rsidTr="000E23C2">
        <w:trPr>
          <w:trHeight w:val="578"/>
        </w:trPr>
        <w:tc>
          <w:tcPr>
            <w:tcW w:w="0" w:type="auto"/>
            <w:vAlign w:val="center"/>
          </w:tcPr>
          <w:p w14:paraId="51DECEE4" w14:textId="58C4E64E" w:rsidR="009066CC" w:rsidRPr="004D40DF" w:rsidRDefault="009066CC" w:rsidP="00376C8E">
            <w:pPr>
              <w:jc w:val="center"/>
              <w:rPr>
                <w:color w:val="000000" w:themeColor="text1"/>
                <w:sz w:val="16"/>
                <w:szCs w:val="16"/>
                <w:lang w:val="en-US"/>
              </w:rPr>
            </w:pPr>
            <w:proofErr w:type="spellStart"/>
            <w:r w:rsidRPr="004D40DF">
              <w:rPr>
                <w:color w:val="000000" w:themeColor="text1"/>
                <w:sz w:val="16"/>
                <w:szCs w:val="16"/>
                <w:lang w:val="en-US"/>
              </w:rPr>
              <w:t>Vesole</w:t>
            </w:r>
            <w:proofErr w:type="spellEnd"/>
            <w:r w:rsidRPr="004D40DF">
              <w:rPr>
                <w:color w:val="000000" w:themeColor="text1"/>
                <w:sz w:val="16"/>
                <w:szCs w:val="16"/>
                <w:lang w:val="en-US"/>
              </w:rPr>
              <w:t xml:space="preserve"> </w:t>
            </w:r>
            <w:r>
              <w:rPr>
                <w:color w:val="000000" w:themeColor="text1"/>
                <w:sz w:val="16"/>
                <w:szCs w:val="16"/>
                <w:lang w:val="en-US"/>
              </w:rPr>
              <w:t>2012</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{"citationItems":[{"id":"ITEM-1","itemData":{"DOI":"10.1038/leu.2012.124","ISSN":"08876924","PMID":"22678167","abstract":"Multiple myeloma (MM) is a malignancy of clonal plasma cells, resulting in an increased production of ineffective immunoglobulins with suppression of non-involved immunoglobulins. Patients with MM are at increased risk of infectious complications, particularly streptococcal and staphylococcal infections. This study evaluated the impact of prophylactic antibiotics on the incidence of serious bacterial infections (SBIs) during the first 2 months of treatment in patients with newly diagnosed MM. Patients with MM receiving initial chemotherapy were randomized on a 1:1:1 basis to daily ciprofloxacin (C; 500mg twice daily), trimethoprim-sulfamethoxazole (T; DS twice daily) or observation (O) and evaluated for SBI (Eastern Cooperative Oncology Group ≥grade 3) for the first 2 months of treatment. From July 1998 to January 2008, 212 MM patients were randomized to C (n=69), T (n=76) or O (n=67). The incidence of SBI was comparable among groups: C=12.5%, T=6.8% and O=15.9%; P=0.218. Further, any infection during the first 2 months was also comparable (20% vs 23% vs 22%, respectively, P=0.954). We demonstrate that prophylactic antibiotics did not decrease the incidence of SBI (≥grade 3) within the first 2 months of treatment. We conclude that routine use of prophylactic antibiotics should not be mandated for patients receiving induction chemotherapy. © 2012 Macmillan Publishers Limited. All rights reserved.","author":[{"dropping-particle":"","family":"Vesole","given":"D. H.","non-dropping-particle":"","parse-names":false,"suffix":""},{"dropping-particle":"","family":"Oken","given":"M. M.","non-dropping-particle":"","parse-names":false,"suffix":""},{"dropping-particle":"","family":"Heckler","given":"C.","non-dropping-particle":"","parse-names":false,"suffix":""},{"dropping-particle":"","family":"Greipp","given":"P. R.","non-dropping-particle":"","parse-names":false,"suffix":""},{"dropping-particle":"","family":"Katz","given":"M. S.","non-dropping-particle":"","parse-names":false,"suffix":""},{"dropping-particle":"","family":"Jacobus","given":"S.","non-dropping-particle":"","parse-names":false,"suffix":""},{"dropping-particle":"","family":"Morrow","given":"G. R.","non-dropping-particle":"","parse-names":false,"suffix":""}],"container-title":"Leukemia","id":"ITEM-1","issue":"12","issued":{"date-parts":[["2012"]]},"page":"2517-2520","title":"Oral antibiotic prophylaxis of early infection in multiple myeloma: A URCC/ECOG randomized phase III study","type":"article-journal","volume":"26"},"uris":["http://www.mendeley.com/documents/?uuid=f91bf87b-9bc5-4fd8-8dd4-9117dd8ab56e"]}],"mendeley":{"formattedCitation":"&lt;sup&gt;11&lt;/sup&gt;","plainTextFormattedCitation":"11","previouslyFormattedCitation":"&lt;sup&gt;11&lt;/sup&gt;"},"properties":{"noteIndex":0},"schema":"https://github.com/citation-style-language/schema/raw/master/csl-citation.json"}</w:instrText>
            </w:r>
            <w:r>
              <w:rPr>
                <w:color w:val="000000" w:themeColor="text1"/>
                <w:sz w:val="16"/>
                <w:szCs w:val="16"/>
                <w:lang w:val="en-US"/>
              </w:rPr>
              <w:fldChar w:fldCharType="separate"/>
            </w:r>
            <w:r w:rsidRPr="00540E80">
              <w:rPr>
                <w:noProof/>
                <w:color w:val="000000" w:themeColor="text1"/>
                <w:sz w:val="16"/>
                <w:szCs w:val="16"/>
                <w:vertAlign w:val="superscript"/>
                <w:lang w:val="en-US"/>
              </w:rPr>
              <w:t>11</w:t>
            </w:r>
            <w:r>
              <w:rPr>
                <w:color w:val="000000" w:themeColor="text1"/>
                <w:sz w:val="16"/>
                <w:szCs w:val="16"/>
                <w:lang w:val="en-US"/>
              </w:rPr>
              <w:fldChar w:fldCharType="end"/>
            </w:r>
          </w:p>
        </w:tc>
        <w:tc>
          <w:tcPr>
            <w:tcW w:w="0" w:type="auto"/>
            <w:vAlign w:val="center"/>
          </w:tcPr>
          <w:p w14:paraId="70510757" w14:textId="4C05DA9E" w:rsidR="009066CC" w:rsidRPr="00BE3F87" w:rsidRDefault="009066CC" w:rsidP="00376C8E">
            <w:pPr>
              <w:jc w:val="center"/>
              <w:rPr>
                <w:sz w:val="16"/>
                <w:szCs w:val="16"/>
                <w:lang w:val="en-US"/>
              </w:rPr>
            </w:pPr>
            <w:r w:rsidRPr="00BE3F87">
              <w:rPr>
                <w:sz w:val="16"/>
                <w:szCs w:val="16"/>
                <w:lang w:val="en-US"/>
              </w:rPr>
              <w:t>RCT; multicenter; USA</w:t>
            </w:r>
          </w:p>
        </w:tc>
        <w:tc>
          <w:tcPr>
            <w:tcW w:w="0" w:type="auto"/>
            <w:vAlign w:val="center"/>
          </w:tcPr>
          <w:p w14:paraId="6F937C3B" w14:textId="17A0C7C7" w:rsidR="009066CC" w:rsidRDefault="009066CC" w:rsidP="00376C8E">
            <w:pPr>
              <w:jc w:val="center"/>
              <w:rPr>
                <w:color w:val="000000" w:themeColor="text1"/>
                <w:sz w:val="16"/>
                <w:szCs w:val="16"/>
                <w:lang w:val="en-US"/>
              </w:rPr>
            </w:pPr>
            <w:r>
              <w:rPr>
                <w:color w:val="000000" w:themeColor="text1"/>
                <w:sz w:val="16"/>
                <w:szCs w:val="16"/>
                <w:lang w:val="en-US"/>
              </w:rPr>
              <w:t>HM, MM (n = 212) [adult]</w:t>
            </w:r>
          </w:p>
        </w:tc>
        <w:tc>
          <w:tcPr>
            <w:tcW w:w="0" w:type="auto"/>
            <w:vAlign w:val="center"/>
          </w:tcPr>
          <w:p w14:paraId="0811C55E" w14:textId="7F25A301" w:rsidR="009066CC" w:rsidRDefault="009066CC" w:rsidP="00376C8E">
            <w:pPr>
              <w:jc w:val="center"/>
              <w:rPr>
                <w:color w:val="000000" w:themeColor="text1"/>
                <w:sz w:val="16"/>
                <w:szCs w:val="16"/>
                <w:lang w:val="en-US"/>
              </w:rPr>
            </w:pPr>
            <w:r w:rsidRPr="00641CBA">
              <w:rPr>
                <w:color w:val="000000" w:themeColor="text1"/>
                <w:sz w:val="16"/>
                <w:szCs w:val="16"/>
                <w:lang w:val="en-US"/>
              </w:rPr>
              <w:t>Ciprofloxacin</w:t>
            </w:r>
          </w:p>
        </w:tc>
        <w:tc>
          <w:tcPr>
            <w:tcW w:w="0" w:type="auto"/>
            <w:vAlign w:val="center"/>
          </w:tcPr>
          <w:p w14:paraId="2CCD6A36" w14:textId="02A74590"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5F7062E5" w14:textId="66244920"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758EDDC1" w14:textId="19164A17"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F20444" w14:paraId="39E7AA2C" w14:textId="77777777" w:rsidTr="000E23C2">
        <w:trPr>
          <w:trHeight w:val="578"/>
        </w:trPr>
        <w:tc>
          <w:tcPr>
            <w:tcW w:w="0" w:type="auto"/>
            <w:vAlign w:val="center"/>
          </w:tcPr>
          <w:p w14:paraId="56296F25" w14:textId="0DD67441" w:rsidR="009066CC" w:rsidRPr="004D40DF" w:rsidRDefault="009066CC" w:rsidP="00376C8E">
            <w:pPr>
              <w:jc w:val="center"/>
              <w:rPr>
                <w:color w:val="000000" w:themeColor="text1"/>
                <w:sz w:val="16"/>
                <w:szCs w:val="16"/>
                <w:lang w:val="en-US"/>
              </w:rPr>
            </w:pPr>
            <w:r w:rsidRPr="004D40DF">
              <w:rPr>
                <w:color w:val="000000" w:themeColor="text1"/>
                <w:sz w:val="16"/>
                <w:szCs w:val="16"/>
                <w:lang w:val="en-US"/>
              </w:rPr>
              <w:t xml:space="preserve">Kern </w:t>
            </w:r>
            <w:r>
              <w:rPr>
                <w:color w:val="000000" w:themeColor="text1"/>
                <w:sz w:val="16"/>
                <w:szCs w:val="16"/>
                <w:lang w:val="en-US"/>
              </w:rPr>
              <w:t>2018</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{"citationItems":[{"id":"ITEM-1","itemData":{"DOI":"10.1016/j.jinf.2018.05.004","ISSN":"15322742","PMID":"29883599","abstract":"Objectives: Antibacterial chemoprophylaxis with fluoroquinolones (FQPx) has been commonly used in cancer patients with neutropenia, but its efficacy has been challenged by the emergence of fluoroquinolone resistance. Methods: The impact of FQPx on bloodstream infections (BSI) during neutropenia after high-dose chemotherapy for haematologic malignancies was evaluated through a multicenter hospital infection surveillance system for the period 2009–2014. Results: Among 8755 patients (4223 allogeneic [allo-] HSCT, 3602 autologous [auto-] HSCT, 930 high-dose chemotherapy for acute leukemia [HDC]), 5302 (61%) had received FQPx. Administration of FQPx was associated with fewer Gram-negative BSI in the overall study cohort patients (4.6% vs. 7.7%, adjusted subdistribution hazard ratio [aSHR] 0.59, 95%CI 0.50–0.70), in patients with HDC (3.7% vs. 9.2%, adjusted subdistribution hazard ratio [aSHR] 0.40, 95%CI 0.22–0.70) and auto-HSCT patients (4% vs. 9%, aSHR 0.43, 95%CI 0.33–0.56). In HDC patients, FQPx was associated with a marked reduction in all-cause mortality during neutropenia (2.3% vs. 7.8%, aSHR 0.30, 95%CI 0.15–0.58). Patients receiving FQPx had significantly more BSIs due to ESBL-positive Enterobacteriacea (0.8 vs. 0.3%, RR 2.2, 95%CI 1.17–4.26). BSIs by MRSA (n = 5) and VRE (n = 11) were rare in our cohort. Conclusions: As used in the participating centers, FQPx was associated with reduced Gram-negative BSI and improved survival among HDC patients. Among HSCT patients, the benefits were less clear. If adapted to local resistance patterns and patient characteristics, FQPx still may be useful in the management of patients with haematologic malignancies.","author":[{"dropping-particle":"V.","family":"Kern","given":"Winfried","non-dropping-particle":"","parse-names":false,"suffix":""},{"dropping-particle":"","family":"Weber","given":"Susanne","non-dropping-particle":"","parse-names":false,"suffix":""},{"dropping-particle":"","family":"Dettenkofer","given":"Markus","non-dropping-particle":"","parse-names":false,"suffix":""},{"dropping-particle":"","family":"Kaier","given":"Klaus","non-dropping-particle":"","parse-names":false,"suffix":""},{"dropping-particle":"","family":"Bertz","given":"Hartmut","non-dropping-particle":"","parse-names":false,"suffix":""},{"dropping-particle":"","family":"Behnke","given":"Michael","non-dropping-particle":"","parse-names":false,"suffix":""},{"dropping-particle":"","family":"Weisser","given":"Maja","non-dropping-particle":"","parse-names":false,"suffix":""},{"dropping-particle":"","family":"Götting","given":"Tim","non-dropping-particle":"","parse-names":false,"suffix":""},{"dropping-particle":"","family":"Widmer","given":"Andreas F.","non-dropping-particle":"","parse-names":false,"suffix":""},{"dropping-particle":"","family":"Theilacker","given":"Christian","non-dropping-particle":"","parse-names":false,"suffix":""}],"container-title":"Journal of Infection","id":"ITEM-1","issue":"1","issued":{"date-parts":[["2018"]]},"page":"68-74","publisher":"Elsevier Ltd","title":"Impact of fluoroquinolone prophylaxis during neutropenia on bloodstream infection: Data from a surveillance program in 8755 patients receiving high-dose chemotherapy for haematologic malignancies between 2009 and 2014","type":"article-journal","volume":"77"},"uris":["http://www.mendeley.com/documents/?uuid=0eef7e26-e295-4898-a516-a76a5dcf8fb6"]}],"mendeley":{"formattedCitation":"&lt;sup&gt;12&lt;/sup&gt;","plainTextFormattedCitation":"12","previouslyFormattedCitation":"&lt;sup&gt;12&lt;/sup&gt;"},"properties":{"noteIndex":0},"schema":"https://github.com/citation-style-language/schema/raw/master/csl-citation.json"}</w:instrText>
            </w:r>
            <w:r>
              <w:rPr>
                <w:color w:val="000000" w:themeColor="text1"/>
                <w:sz w:val="16"/>
                <w:szCs w:val="16"/>
                <w:lang w:val="en-US"/>
              </w:rPr>
              <w:fldChar w:fldCharType="separate"/>
            </w:r>
            <w:r w:rsidRPr="00540E80">
              <w:rPr>
                <w:noProof/>
                <w:color w:val="000000" w:themeColor="text1"/>
                <w:sz w:val="16"/>
                <w:szCs w:val="16"/>
                <w:vertAlign w:val="superscript"/>
                <w:lang w:val="en-US"/>
              </w:rPr>
              <w:t>12</w:t>
            </w:r>
            <w:r>
              <w:rPr>
                <w:color w:val="000000" w:themeColor="text1"/>
                <w:sz w:val="16"/>
                <w:szCs w:val="16"/>
                <w:lang w:val="en-US"/>
              </w:rPr>
              <w:fldChar w:fldCharType="end"/>
            </w:r>
          </w:p>
        </w:tc>
        <w:tc>
          <w:tcPr>
            <w:tcW w:w="0" w:type="auto"/>
            <w:vAlign w:val="center"/>
          </w:tcPr>
          <w:p w14:paraId="3A3C93F5" w14:textId="5E726FE4" w:rsidR="009066CC" w:rsidRPr="00BE3F87" w:rsidRDefault="009066CC" w:rsidP="00376C8E">
            <w:pPr>
              <w:jc w:val="center"/>
              <w:rPr>
                <w:sz w:val="16"/>
                <w:szCs w:val="16"/>
                <w:lang w:val="en-US"/>
              </w:rPr>
            </w:pPr>
            <w:r w:rsidRPr="00BE3F87">
              <w:rPr>
                <w:sz w:val="16"/>
                <w:szCs w:val="16"/>
                <w:lang w:val="en-US"/>
              </w:rPr>
              <w:t>Prospective; multicenter; international</w:t>
            </w:r>
          </w:p>
        </w:tc>
        <w:tc>
          <w:tcPr>
            <w:tcW w:w="0" w:type="auto"/>
            <w:vAlign w:val="center"/>
          </w:tcPr>
          <w:p w14:paraId="4104FB84" w14:textId="224E5DE7" w:rsidR="009066CC" w:rsidRDefault="009066CC" w:rsidP="00376C8E">
            <w:pPr>
              <w:jc w:val="center"/>
              <w:rPr>
                <w:color w:val="000000" w:themeColor="text1"/>
                <w:sz w:val="16"/>
                <w:szCs w:val="16"/>
                <w:lang w:val="en-US"/>
              </w:rPr>
            </w:pPr>
            <w:r w:rsidRPr="00BE3F87">
              <w:rPr>
                <w:color w:val="000000" w:themeColor="text1"/>
                <w:sz w:val="16"/>
                <w:szCs w:val="16"/>
                <w:lang w:val="en-US"/>
              </w:rPr>
              <w:t xml:space="preserve">HM, AL, auto </w:t>
            </w:r>
            <w:r w:rsidR="005B5C5E">
              <w:rPr>
                <w:color w:val="000000" w:themeColor="text1"/>
                <w:sz w:val="16"/>
                <w:szCs w:val="16"/>
                <w:lang w:val="en-US"/>
              </w:rPr>
              <w:t>HCT</w:t>
            </w:r>
            <w:r w:rsidRPr="00BE3F87">
              <w:rPr>
                <w:color w:val="000000" w:themeColor="text1"/>
                <w:sz w:val="16"/>
                <w:szCs w:val="16"/>
                <w:lang w:val="en-US"/>
              </w:rPr>
              <w:t xml:space="preserve">, </w:t>
            </w:r>
            <w:proofErr w:type="spellStart"/>
            <w:r w:rsidRPr="00BE3F87">
              <w:rPr>
                <w:color w:val="000000" w:themeColor="text1"/>
                <w:sz w:val="16"/>
                <w:szCs w:val="16"/>
                <w:lang w:val="en-US"/>
              </w:rPr>
              <w:t>allo</w:t>
            </w:r>
            <w:proofErr w:type="spellEnd"/>
            <w:r w:rsidRPr="00BE3F87">
              <w:rPr>
                <w:color w:val="000000" w:themeColor="text1"/>
                <w:sz w:val="16"/>
                <w:szCs w:val="16"/>
                <w:lang w:val="en-US"/>
              </w:rPr>
              <w:t xml:space="preserve"> </w:t>
            </w:r>
            <w:r w:rsidR="005B5C5E">
              <w:rPr>
                <w:color w:val="000000" w:themeColor="text1"/>
                <w:sz w:val="16"/>
                <w:szCs w:val="16"/>
                <w:lang w:val="en-US"/>
              </w:rPr>
              <w:t>HCT</w:t>
            </w:r>
            <w:r w:rsidRPr="00BE3F87">
              <w:rPr>
                <w:color w:val="000000" w:themeColor="text1"/>
                <w:sz w:val="16"/>
                <w:szCs w:val="16"/>
                <w:lang w:val="en-US"/>
              </w:rPr>
              <w:t xml:space="preserve"> (n = 8755) </w:t>
            </w:r>
            <w:r>
              <w:rPr>
                <w:color w:val="000000" w:themeColor="text1"/>
                <w:sz w:val="16"/>
                <w:szCs w:val="16"/>
                <w:lang w:val="en-US"/>
              </w:rPr>
              <w:t>[adult]</w:t>
            </w:r>
          </w:p>
        </w:tc>
        <w:tc>
          <w:tcPr>
            <w:tcW w:w="0" w:type="auto"/>
            <w:vAlign w:val="center"/>
          </w:tcPr>
          <w:p w14:paraId="7731C4CD" w14:textId="6CE0D2CC" w:rsidR="009066CC" w:rsidRDefault="009066CC" w:rsidP="00376C8E">
            <w:pPr>
              <w:jc w:val="center"/>
              <w:rPr>
                <w:color w:val="000000" w:themeColor="text1"/>
                <w:sz w:val="16"/>
                <w:szCs w:val="16"/>
                <w:lang w:val="en-US"/>
              </w:rPr>
            </w:pPr>
            <w:r w:rsidRPr="00BE3F87">
              <w:rPr>
                <w:color w:val="000000" w:themeColor="text1"/>
                <w:sz w:val="16"/>
                <w:szCs w:val="16"/>
                <w:lang w:val="en-US"/>
              </w:rPr>
              <w:t>FQ</w:t>
            </w:r>
          </w:p>
        </w:tc>
        <w:tc>
          <w:tcPr>
            <w:tcW w:w="0" w:type="auto"/>
            <w:vAlign w:val="center"/>
          </w:tcPr>
          <w:p w14:paraId="4B57E21C" w14:textId="0803C52A" w:rsidR="009066CC" w:rsidRDefault="009066CC" w:rsidP="00376C8E">
            <w:pPr>
              <w:jc w:val="center"/>
              <w:rPr>
                <w:color w:val="000000" w:themeColor="text1"/>
                <w:sz w:val="16"/>
                <w:szCs w:val="16"/>
                <w:lang w:val="en-US"/>
              </w:rPr>
            </w:pPr>
            <w:r w:rsidRPr="00BE3F87">
              <w:rPr>
                <w:color w:val="000000" w:themeColor="text1"/>
                <w:sz w:val="16"/>
                <w:szCs w:val="16"/>
                <w:lang w:val="en-US"/>
              </w:rPr>
              <w:t>Decreased</w:t>
            </w:r>
          </w:p>
        </w:tc>
        <w:tc>
          <w:tcPr>
            <w:tcW w:w="0" w:type="auto"/>
            <w:vAlign w:val="center"/>
          </w:tcPr>
          <w:p w14:paraId="058A2CE8" w14:textId="13AF82D9" w:rsidR="009066CC" w:rsidRDefault="009066CC" w:rsidP="00376C8E">
            <w:pPr>
              <w:jc w:val="center"/>
              <w:rPr>
                <w:color w:val="000000" w:themeColor="text1"/>
                <w:sz w:val="16"/>
                <w:szCs w:val="16"/>
                <w:lang w:val="en-US"/>
              </w:rPr>
            </w:pPr>
            <w:r w:rsidRPr="00BE3F87">
              <w:rPr>
                <w:color w:val="000000" w:themeColor="text1"/>
                <w:sz w:val="16"/>
                <w:szCs w:val="16"/>
                <w:lang w:val="en-US"/>
              </w:rPr>
              <w:t>NA</w:t>
            </w:r>
          </w:p>
        </w:tc>
        <w:tc>
          <w:tcPr>
            <w:tcW w:w="0" w:type="auto"/>
            <w:vAlign w:val="center"/>
          </w:tcPr>
          <w:p w14:paraId="20E986DE" w14:textId="4F3B8736" w:rsidR="009066CC" w:rsidRDefault="009066CC" w:rsidP="00376C8E">
            <w:pPr>
              <w:jc w:val="center"/>
              <w:rPr>
                <w:color w:val="000000" w:themeColor="text1"/>
                <w:sz w:val="16"/>
                <w:szCs w:val="16"/>
                <w:lang w:val="en-US"/>
              </w:rPr>
            </w:pPr>
            <w:r w:rsidRPr="00BE3F87">
              <w:rPr>
                <w:color w:val="000000" w:themeColor="text1"/>
                <w:sz w:val="16"/>
                <w:szCs w:val="16"/>
                <w:lang w:val="en-US"/>
              </w:rPr>
              <w:t>Increased (ESBL-BSI)</w:t>
            </w:r>
          </w:p>
        </w:tc>
      </w:tr>
      <w:tr w:rsidR="009066CC" w:rsidRPr="00F20444" w14:paraId="2F2B49D4" w14:textId="77777777" w:rsidTr="000E23C2">
        <w:trPr>
          <w:trHeight w:val="578"/>
        </w:trPr>
        <w:tc>
          <w:tcPr>
            <w:tcW w:w="0" w:type="auto"/>
            <w:vAlign w:val="center"/>
          </w:tcPr>
          <w:p w14:paraId="6A9A93F8" w14:textId="783DC42A" w:rsidR="009066CC" w:rsidRPr="004D40DF" w:rsidRDefault="009066CC" w:rsidP="00376C8E">
            <w:pPr>
              <w:jc w:val="center"/>
              <w:rPr>
                <w:color w:val="000000" w:themeColor="text1"/>
                <w:sz w:val="16"/>
                <w:szCs w:val="16"/>
                <w:lang w:val="en-US"/>
              </w:rPr>
            </w:pPr>
            <w:proofErr w:type="spellStart"/>
            <w:r w:rsidRPr="004D40DF">
              <w:rPr>
                <w:color w:val="000000" w:themeColor="text1"/>
                <w:sz w:val="16"/>
                <w:szCs w:val="16"/>
                <w:lang w:val="en-US"/>
              </w:rPr>
              <w:t>Piñana</w:t>
            </w:r>
            <w:proofErr w:type="spellEnd"/>
            <w:r w:rsidRPr="004D40DF">
              <w:rPr>
                <w:color w:val="000000" w:themeColor="text1"/>
                <w:sz w:val="16"/>
                <w:szCs w:val="16"/>
                <w:lang w:val="en-US"/>
              </w:rPr>
              <w:t xml:space="preserve"> </w:t>
            </w:r>
            <w:r>
              <w:rPr>
                <w:color w:val="000000" w:themeColor="text1"/>
                <w:sz w:val="16"/>
                <w:szCs w:val="16"/>
                <w:lang w:val="en-US"/>
              </w:rPr>
              <w:t>2014</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{"citationItems":[{"id":"ITEM-1","itemData":{"DOI":"10.1007/s00277-013-1872-4","ISSN":"09395555","PMID":"23995612","abstract":"Bacteremia is the most frequent infectious complication during neutropenia in patients receiving autologous hematopoietic stem cell transplantation (ASCT). The objective of this study was to analyze the incidence, characteristics, risk factors, and outcome of bacteremia during the early period after ASCT. A total of 720 patients undergoing ASCT in two observational prospective consecutive multicenter studies of the Programa Español para el Tratamiento de las Hemopatías group were analyzed. Bacteremia occurred in 20 % of patients. Coagulase-negative Staphylococcus was the most frequent (66 %) among the gram-positive agents and Escherichia coli (49 %) among the gram-negative agents. Multivariate analysis showed that the length of neutropenia &lt;1 × 109/L (more than 9 days) [relative risk (RR) of 2.6, p &lt; 0.001] was the sole risk factor for overall bacteremia. We identified the length of neutropenia &lt;1 × 109/L (more than 9 days) (RR 4.98, p &lt; 0.001) and the use of prophylactic fluoroquinolones (RR 0.46, p &lt; 0.01) as specific risk factors for gram-negative bacteremia. Risk factors for gram-positive bacteremia were the use of total parenteral nutrition (RR 1.92, p &lt; 0.01) and deep neutropenia (&lt;0.1 × 109/L), with duration over 5 days (RR 1.67, p &lt; 0.027). Bacteremia showed an increased morbidity with no impact on neither overall nor infectious related mortality. The identification of such risk factors may be helpful to implement prophylactic and therapeutic risk-adapted strategies to reduce the incidence of bacteremia in ASCT. © 2013 Springer-Verlag Berlin Heidelberg.","author":[{"dropping-particle":"","family":"Piñana","given":"José Luis","non-dropping-particle":"","parse-names":false,"suffix":""},{"dropping-particle":"","family":"Montesinos","given":"Pau","non-dropping-particle":"","parse-names":false,"suffix":""},{"dropping-particle":"","family":"Martino","given":"Rodrigo","non-dropping-particle":"","parse-names":false,"suffix":""},{"dropping-particle":"","family":"Vazquez","given":"Lourdes","non-dropping-particle":"","parse-names":false,"suffix":""},{"dropping-particle":"","family":"Rovira","given":"Montserrat","non-dropping-particle":"","parse-names":false,"suffix":""},{"dropping-particle":"","family":"López","given":"Javier","non-dropping-particle":"","parse-names":false,"suffix":""},{"dropping-particle":"","family":"Batlle","given":"Montserrat","non-dropping-particle":"","parse-names":false,"suffix":""},{"dropping-particle":"","family":"Figuera","given":"Ángela","non-dropping-particle":"","parse-names":false,"suffix":""},{"dropping-particle":"","family":"Barba","given":"Pere","non-dropping-particle":"","parse-names":false,"suffix":""},{"dropping-particle":"","family":"Lahuerta","given":"Juan José","non-dropping-particle":"","parse-names":false,"suffix":""},{"dropping-particle":"","family":"Debén","given":"Guillermo","non-dropping-particle":"","parse-names":false,"suffix":""},{"dropping-particle":"","family":"Perez-Lopez","given":"Cristina","non-dropping-particle":"","parse-names":false,"suffix":""},{"dropping-particle":"","family":"García","given":"Raimundo","non-dropping-particle":"","parse-names":false,"suffix":""},{"dropping-particle":"","family":"Rosique","given":"Pedro","non-dropping-particle":"","parse-names":false,"suffix":""},{"dropping-particle":"","family":"Lavilla","given":"Esperanza","non-dropping-particle":"","parse-names":false,"suffix":""},{"dropping-particle":"","family":"Gascón","given":"Adriana","non-dropping-particle":"","parse-names":false,"suffix":""},{"dropping-particle":"","family":"Martínez-Cuadrón","given":"David","non-dropping-particle":"","parse-names":false,"suffix":""},{"dropping-particle":"","family":"Sanz","given":"Miguel Ángel","non-dropping-particle":"","parse-names":false,"suffix":""}],"container-title":"Annals of Hematology","id":"ITEM-1","issue":"2","issued":{"date-parts":[["2014"]]},"page":"299-307","title":"Incidence, risk factors, and outcome of bacteremia following autologous hematopoietic stem cell transplantation in 720 adult patients","type":"article-journal","volume":"93"},"uris":["http://www.mendeley.com/documents/?uuid=9deae755-b9aa-45e8-96be-bdcbe54b759e"]}],"mendeley":{"formattedCitation":"&lt;sup&gt;13&lt;/sup&gt;","plainTextFormattedCitation":"13","previouslyFormattedCitation":"&lt;sup&gt;13&lt;/sup&gt;"},"properties":{"noteIndex":0},"schema":"https://github.com/citation-style-language/schema/raw/master/csl-citation.json"}</w:instrText>
            </w:r>
            <w:r>
              <w:rPr>
                <w:color w:val="000000" w:themeColor="text1"/>
                <w:sz w:val="16"/>
                <w:szCs w:val="16"/>
                <w:lang w:val="en-US"/>
              </w:rPr>
              <w:fldChar w:fldCharType="separate"/>
            </w:r>
            <w:r w:rsidRPr="00540E80">
              <w:rPr>
                <w:noProof/>
                <w:color w:val="000000" w:themeColor="text1"/>
                <w:sz w:val="16"/>
                <w:szCs w:val="16"/>
                <w:vertAlign w:val="superscript"/>
                <w:lang w:val="en-US"/>
              </w:rPr>
              <w:t>13</w:t>
            </w:r>
            <w:r>
              <w:rPr>
                <w:color w:val="000000" w:themeColor="text1"/>
                <w:sz w:val="16"/>
                <w:szCs w:val="16"/>
                <w:lang w:val="en-US"/>
              </w:rPr>
              <w:fldChar w:fldCharType="end"/>
            </w:r>
          </w:p>
        </w:tc>
        <w:tc>
          <w:tcPr>
            <w:tcW w:w="0" w:type="auto"/>
            <w:vAlign w:val="center"/>
          </w:tcPr>
          <w:p w14:paraId="6DE4DD1B" w14:textId="5D5823B8" w:rsidR="009066CC" w:rsidRPr="00540E80" w:rsidRDefault="009066CC" w:rsidP="00376C8E">
            <w:pPr>
              <w:jc w:val="center"/>
              <w:rPr>
                <w:sz w:val="16"/>
                <w:szCs w:val="16"/>
                <w:lang w:val="en-US"/>
              </w:rPr>
            </w:pPr>
            <w:r w:rsidRPr="00540E80">
              <w:rPr>
                <w:sz w:val="16"/>
                <w:szCs w:val="16"/>
                <w:lang w:val="en-US"/>
              </w:rPr>
              <w:t>Prospective; multicenter; Spain</w:t>
            </w:r>
          </w:p>
        </w:tc>
        <w:tc>
          <w:tcPr>
            <w:tcW w:w="0" w:type="auto"/>
            <w:vAlign w:val="center"/>
          </w:tcPr>
          <w:p w14:paraId="0003492D" w14:textId="32483AE9" w:rsidR="009066CC" w:rsidRDefault="009066CC" w:rsidP="00376C8E">
            <w:pPr>
              <w:jc w:val="center"/>
              <w:rPr>
                <w:color w:val="000000" w:themeColor="text1"/>
                <w:sz w:val="16"/>
                <w:szCs w:val="16"/>
                <w:lang w:val="en-US"/>
              </w:rPr>
            </w:pPr>
            <w:r>
              <w:rPr>
                <w:color w:val="000000" w:themeColor="text1"/>
                <w:sz w:val="16"/>
                <w:szCs w:val="16"/>
                <w:lang w:val="en-US"/>
              </w:rPr>
              <w:t xml:space="preserve">Auto </w:t>
            </w:r>
            <w:r w:rsidR="005B5C5E">
              <w:rPr>
                <w:color w:val="000000" w:themeColor="text1"/>
                <w:sz w:val="16"/>
                <w:szCs w:val="16"/>
                <w:lang w:val="en-US"/>
              </w:rPr>
              <w:t>HCT</w:t>
            </w:r>
            <w:r>
              <w:rPr>
                <w:color w:val="000000" w:themeColor="text1"/>
                <w:sz w:val="16"/>
                <w:szCs w:val="16"/>
                <w:lang w:val="en-US"/>
              </w:rPr>
              <w:t xml:space="preserve"> (n = 720) [adult]</w:t>
            </w:r>
          </w:p>
        </w:tc>
        <w:tc>
          <w:tcPr>
            <w:tcW w:w="0" w:type="auto"/>
            <w:vAlign w:val="center"/>
          </w:tcPr>
          <w:p w14:paraId="765B0F08" w14:textId="5B439DD3" w:rsidR="009066CC" w:rsidRPr="00540E80" w:rsidRDefault="009066CC" w:rsidP="00376C8E">
            <w:pPr>
              <w:jc w:val="center"/>
              <w:rPr>
                <w:color w:val="000000" w:themeColor="text1"/>
                <w:sz w:val="16"/>
                <w:szCs w:val="16"/>
                <w:lang w:val="en-US"/>
              </w:rPr>
            </w:pPr>
            <w:r w:rsidRPr="00540E80">
              <w:rPr>
                <w:color w:val="000000" w:themeColor="text1"/>
                <w:sz w:val="16"/>
                <w:szCs w:val="16"/>
                <w:lang w:val="en-US"/>
              </w:rPr>
              <w:t>FQ</w:t>
            </w:r>
          </w:p>
          <w:p w14:paraId="191AFA46" w14:textId="77777777" w:rsidR="009066CC" w:rsidRDefault="009066CC" w:rsidP="00376C8E">
            <w:pPr>
              <w:jc w:val="center"/>
              <w:rPr>
                <w:color w:val="000000" w:themeColor="text1"/>
                <w:sz w:val="16"/>
                <w:szCs w:val="16"/>
                <w:lang w:val="en-US"/>
              </w:rPr>
            </w:pPr>
          </w:p>
        </w:tc>
        <w:tc>
          <w:tcPr>
            <w:tcW w:w="0" w:type="auto"/>
            <w:vAlign w:val="center"/>
          </w:tcPr>
          <w:p w14:paraId="3B000861" w14:textId="1E5C90FB"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0B4E3457" w14:textId="6032B663"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523AA726" w14:textId="148BDF91"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540E80" w14:paraId="5DA93EC4" w14:textId="77777777" w:rsidTr="000E23C2">
        <w:trPr>
          <w:trHeight w:val="578"/>
        </w:trPr>
        <w:tc>
          <w:tcPr>
            <w:tcW w:w="0" w:type="auto"/>
            <w:vAlign w:val="center"/>
          </w:tcPr>
          <w:p w14:paraId="4C4D74F2" w14:textId="45E1BC54" w:rsidR="009066CC" w:rsidRPr="004D40DF" w:rsidRDefault="009066CC" w:rsidP="00376C8E">
            <w:pPr>
              <w:jc w:val="center"/>
              <w:rPr>
                <w:color w:val="000000" w:themeColor="text1"/>
                <w:sz w:val="16"/>
                <w:szCs w:val="16"/>
                <w:lang w:val="en-US"/>
              </w:rPr>
            </w:pPr>
            <w:proofErr w:type="spellStart"/>
            <w:r w:rsidRPr="005D5CC6">
              <w:rPr>
                <w:sz w:val="16"/>
                <w:szCs w:val="16"/>
                <w:lang w:val="en-US"/>
              </w:rPr>
              <w:t>Trecarichi</w:t>
            </w:r>
            <w:proofErr w:type="spellEnd"/>
            <w:r w:rsidRPr="005D5CC6">
              <w:rPr>
                <w:sz w:val="16"/>
                <w:szCs w:val="16"/>
                <w:lang w:val="en-US"/>
              </w:rPr>
              <w:t xml:space="preserve"> </w:t>
            </w:r>
            <w:r>
              <w:rPr>
                <w:sz w:val="16"/>
                <w:szCs w:val="16"/>
                <w:lang w:val="en-US"/>
              </w:rPr>
              <w:t>2019</w:t>
            </w:r>
            <w:r>
              <w:rPr>
                <w:sz w:val="16"/>
                <w:szCs w:val="16"/>
                <w:lang w:val="en-US"/>
              </w:rPr>
              <w:fldChar w:fldCharType="begin" w:fldLock="1"/>
            </w:r>
            <w:r>
              <w:rPr>
                <w:sz w:val="16"/>
                <w:szCs w:val="16"/>
                <w:lang w:val="en-US"/>
              </w:rPr>
              <w:instrText>ADDIN CSL_CITATION {"citationItems":[{"id":"ITEM-1","itemData":{"DOI":"10.1371/journal.pone.0224465","ISBN":"1111111111","ISSN":"19326203","PMID":"31661507","abstract":"Bloodstream infections (BSIs) remain life-threatening complications in the clinical course of patients with haematological malignancies (HM) and Escherichia coli represent one of the most frequent cause of such infections. In this study, we aimed to describe risk factors for resistance to third generation cephalosporins and prognostic factors, including the impact of third generation cephalosporins resistance, in patients with HM and BSIs caused by E. coli. Three hundred forty-two cases of E. coli BSIs were collected during the study period (from January 2016 to December 2017). The percentage of resistance to third generation cephalosporins was 25.7%. In multivariate analysis, the variables recent endoscopic procedures, culture-positive surveillance rectal swabs for multidrug-resistant bacteria, antibiotic prophylaxis with fluoroquinolones, and prolonged neutropenia were independently associated with bloodstream infections caused by a third generation cephalosporins resistant E. coli. The overall 30-day mortality rate was 7.1%. Cox regression revealed that significant predictors of mortality were acute hepatic failure, septic shock, male sex, refractory/relapsed HM, and third generation cephalosporins resistance by E. coli isolate. In conclusion, resistance to third generation cephalosporins adversely affected the outcomes of bloodstream infections caused by E. coli in our cohort of HM patients. We also found a significant correlation between prophylaxis with fluoroquinolones and resistance to third generation cephalosporins by E. coli isolates.","author":[{"dropping-particle":"","family":"Trecarichi","given":"Enrico Maria","non-dropping-particle":"","parse-names":false,"suffix":""},{"dropping-particle":"","family":"Giuliano","given":"Gabriele","non-dropping-particle":"","parse-names":false,"suffix":""},{"dropping-particle":"","family":"Cattaneo","given":"Chiara","non-dropping-particle":"","parse-names":false,"suffix":""},{"dropping-particle":"","family":"Ballanti","given":"Stelvio","non-dropping-particle":"","parse-names":false,"suffix":""},{"dropping-particle":"","family":"Criscuolo","given":"Marianna","non-dropping-particle":"","parse-names":false,"suffix":""},{"dropping-particle":"","family":"Candoni","given":"Anna","non-dropping-particle":"","parse-names":false,"suffix":""},{"dropping-particle":"","family":"Marchesi","given":"Francesco","non-dropping-particle":"","parse-names":false,"suffix":""},{"dropping-particle":"","family":"Laurino","given":"Marica","non-dropping-particle":"","parse-names":false,"suffix":""},{"dropping-particle":"","family":"Dargenio","given":"Michelina","non-dropping-particle":"","parse-names":false,"suffix":""},{"dropping-particle":"","family":"Fanci","given":"Rosa","non-dropping-particle":"","parse-names":false,"suffix":""},{"dropping-particle":"","family":"Cefalo","given":"Mariagiovanna","non-dropping-particle":"","parse-names":false,"suffix":""},{"dropping-particle":"","family":"Delia","given":"Mario","non-dropping-particle":"","parse-names":false,"suffix":""},{"dropping-particle":"","family":"Spolzino","given":"Angelica","non-dropping-particle":"","parse-names":false,"suffix":""},{"dropping-particle":"","family":"Maracci","given":"Laura","non-dropping-particle":"","parse-names":false,"suffix":""},{"dropping-particle":"","family":"Nadali","given":"Gianpaolo","non-dropping-particle":"","parse-names":false,"suffix":""},{"dropping-particle":"","family":"Busca","given":"Alessandro","non-dropping-particle":"","parse-names":false,"suffix":""},{"dropping-particle":"","family":"Principe","given":"Maria Ilaria","non-dropping-particle":"Del","parse-names":false,"suffix":""},{"dropping-particle":"","family":"Daffini","given":"Rosa","non-dropping-particle":"","parse-names":false,"suffix":""},{"dropping-particle":"","family":"Simonetti","given":"Edoardo","non-dropping-particle":"","parse-names":false,"suffix":""},{"dropping-particle":"","family":"Dragonetti","given":"Giulia","non-dropping-particle":"","parse-names":false,"suffix":""},{"dropping-particle":"","family":"Zannier","given":"Maria Elena","non-dropping-particle":"","parse-names":false,"suffix":""},{"dropping-particle":"","family":"Pagano","given":"Livio","non-dropping-particle":"","parse-names":false,"suffix":""},{"dropping-particle":"","family":"Tumbarello","given":"Mario","non-dropping-particle":"","parse-names":false,"suffix":""}],"container-title":"PLoS ONE","id":"ITEM-1","issue":"10","issued":{"date-parts":[["2019"]]},"page":"1-12","title":"Bloodstream infections caused by Escherichia coli in onco-haematological patients: Risk factors and mortality in an Italian prospective survey","type":"article-journal","volume":"14"},"uris":["http://www.mendeley.com/documents/?uuid=adbae636-14e8-4ea0-924c-998120605a9c"]}],"mendeley":{"formattedCitation":"&lt;sup&gt;14&lt;/sup&gt;","plainTextFormattedCitation":"14","previouslyFormattedCitation":"&lt;sup&gt;14&lt;/sup&gt;"},"properties":{"noteIndex":0},"schema":"https://github.com/citation-style-language/schema/raw/master/csl-citation.json"}</w:instrText>
            </w:r>
            <w:r>
              <w:rPr>
                <w:sz w:val="16"/>
                <w:szCs w:val="16"/>
                <w:lang w:val="en-US"/>
              </w:rPr>
              <w:fldChar w:fldCharType="separate"/>
            </w:r>
            <w:r w:rsidRPr="00540E80">
              <w:rPr>
                <w:noProof/>
                <w:sz w:val="16"/>
                <w:szCs w:val="16"/>
                <w:vertAlign w:val="superscript"/>
                <w:lang w:val="en-US"/>
              </w:rPr>
              <w:t>14</w:t>
            </w:r>
            <w:r>
              <w:rPr>
                <w:sz w:val="16"/>
                <w:szCs w:val="16"/>
                <w:lang w:val="en-US"/>
              </w:rPr>
              <w:fldChar w:fldCharType="end"/>
            </w:r>
          </w:p>
        </w:tc>
        <w:tc>
          <w:tcPr>
            <w:tcW w:w="0" w:type="auto"/>
            <w:vAlign w:val="center"/>
          </w:tcPr>
          <w:p w14:paraId="6CA8F96B" w14:textId="1F054017" w:rsidR="009066CC" w:rsidRPr="00540E80" w:rsidRDefault="009066CC" w:rsidP="00376C8E">
            <w:pPr>
              <w:jc w:val="center"/>
              <w:rPr>
                <w:sz w:val="16"/>
                <w:szCs w:val="16"/>
                <w:lang w:val="en-US"/>
              </w:rPr>
            </w:pPr>
            <w:r w:rsidRPr="00540E80">
              <w:rPr>
                <w:sz w:val="16"/>
                <w:szCs w:val="16"/>
                <w:lang w:val="en-US"/>
              </w:rPr>
              <w:t>Prospective; multicenter; Italy</w:t>
            </w:r>
          </w:p>
        </w:tc>
        <w:tc>
          <w:tcPr>
            <w:tcW w:w="0" w:type="auto"/>
            <w:vAlign w:val="center"/>
          </w:tcPr>
          <w:p w14:paraId="29756234" w14:textId="1C056113" w:rsidR="009066CC" w:rsidRDefault="009066CC" w:rsidP="00376C8E">
            <w:pPr>
              <w:jc w:val="center"/>
              <w:rPr>
                <w:color w:val="000000" w:themeColor="text1"/>
                <w:sz w:val="16"/>
                <w:szCs w:val="16"/>
                <w:lang w:val="en-US"/>
              </w:rPr>
            </w:pPr>
            <w:r w:rsidRPr="00540E80">
              <w:rPr>
                <w:color w:val="000000" w:themeColor="text1"/>
                <w:sz w:val="16"/>
                <w:szCs w:val="16"/>
                <w:lang w:val="en-US"/>
              </w:rPr>
              <w:t xml:space="preserve">Auto </w:t>
            </w:r>
            <w:r w:rsidR="005B5C5E">
              <w:rPr>
                <w:color w:val="000000" w:themeColor="text1"/>
                <w:sz w:val="16"/>
                <w:szCs w:val="16"/>
                <w:lang w:val="en-US"/>
              </w:rPr>
              <w:t>HCT</w:t>
            </w:r>
            <w:r w:rsidRPr="00540E80">
              <w:rPr>
                <w:color w:val="000000" w:themeColor="text1"/>
                <w:sz w:val="16"/>
                <w:szCs w:val="16"/>
                <w:lang w:val="en-US"/>
              </w:rPr>
              <w:t xml:space="preserve">, </w:t>
            </w:r>
            <w:proofErr w:type="spellStart"/>
            <w:r w:rsidRPr="00540E80">
              <w:rPr>
                <w:color w:val="000000" w:themeColor="text1"/>
                <w:sz w:val="16"/>
                <w:szCs w:val="16"/>
                <w:lang w:val="en-US"/>
              </w:rPr>
              <w:t>allo</w:t>
            </w:r>
            <w:proofErr w:type="spellEnd"/>
            <w:r w:rsidRPr="00540E80">
              <w:rPr>
                <w:color w:val="000000" w:themeColor="text1"/>
                <w:sz w:val="16"/>
                <w:szCs w:val="16"/>
                <w:lang w:val="en-US"/>
              </w:rPr>
              <w:t xml:space="preserve"> </w:t>
            </w:r>
            <w:r w:rsidR="005B5C5E">
              <w:rPr>
                <w:color w:val="000000" w:themeColor="text1"/>
                <w:sz w:val="16"/>
                <w:szCs w:val="16"/>
                <w:lang w:val="en-US"/>
              </w:rPr>
              <w:t>HCT</w:t>
            </w:r>
            <w:r w:rsidRPr="00540E80">
              <w:rPr>
                <w:color w:val="000000" w:themeColor="text1"/>
                <w:sz w:val="16"/>
                <w:szCs w:val="16"/>
                <w:lang w:val="en-US"/>
              </w:rPr>
              <w:t xml:space="preserve"> (n = 342) </w:t>
            </w:r>
            <w:r>
              <w:rPr>
                <w:color w:val="000000" w:themeColor="text1"/>
                <w:sz w:val="16"/>
                <w:szCs w:val="16"/>
                <w:lang w:val="en-US"/>
              </w:rPr>
              <w:t>[adult]</w:t>
            </w:r>
          </w:p>
        </w:tc>
        <w:tc>
          <w:tcPr>
            <w:tcW w:w="0" w:type="auto"/>
            <w:vAlign w:val="center"/>
          </w:tcPr>
          <w:p w14:paraId="174520C3" w14:textId="52855B6D" w:rsidR="009066CC" w:rsidRDefault="009066CC" w:rsidP="00376C8E">
            <w:pPr>
              <w:jc w:val="center"/>
              <w:rPr>
                <w:color w:val="000000" w:themeColor="text1"/>
                <w:sz w:val="16"/>
                <w:szCs w:val="16"/>
                <w:lang w:val="en-US"/>
              </w:rPr>
            </w:pPr>
            <w:r w:rsidRPr="00540E80">
              <w:rPr>
                <w:color w:val="000000" w:themeColor="text1"/>
                <w:sz w:val="16"/>
                <w:szCs w:val="16"/>
                <w:lang w:val="en-US"/>
              </w:rPr>
              <w:t>FQ</w:t>
            </w:r>
          </w:p>
        </w:tc>
        <w:tc>
          <w:tcPr>
            <w:tcW w:w="0" w:type="auto"/>
            <w:vAlign w:val="center"/>
          </w:tcPr>
          <w:p w14:paraId="52069156" w14:textId="6111525E" w:rsidR="009066CC" w:rsidRDefault="009066CC" w:rsidP="00376C8E">
            <w:pPr>
              <w:jc w:val="center"/>
              <w:rPr>
                <w:color w:val="000000" w:themeColor="text1"/>
                <w:sz w:val="16"/>
                <w:szCs w:val="16"/>
                <w:lang w:val="en-US"/>
              </w:rPr>
            </w:pPr>
            <w:r w:rsidRPr="00540E80">
              <w:rPr>
                <w:color w:val="000000" w:themeColor="text1"/>
                <w:sz w:val="16"/>
                <w:szCs w:val="16"/>
                <w:lang w:val="en-US"/>
              </w:rPr>
              <w:t>NA</w:t>
            </w:r>
          </w:p>
        </w:tc>
        <w:tc>
          <w:tcPr>
            <w:tcW w:w="0" w:type="auto"/>
            <w:vAlign w:val="center"/>
          </w:tcPr>
          <w:p w14:paraId="6102686E" w14:textId="7091BDF5" w:rsidR="009066CC" w:rsidRDefault="009066CC" w:rsidP="00376C8E">
            <w:pPr>
              <w:jc w:val="center"/>
              <w:rPr>
                <w:color w:val="000000" w:themeColor="text1"/>
                <w:sz w:val="16"/>
                <w:szCs w:val="16"/>
                <w:lang w:val="en-US"/>
              </w:rPr>
            </w:pPr>
            <w:r w:rsidRPr="00540E80">
              <w:rPr>
                <w:color w:val="000000" w:themeColor="text1"/>
                <w:sz w:val="16"/>
                <w:szCs w:val="16"/>
                <w:lang w:val="en-US"/>
              </w:rPr>
              <w:t>NA</w:t>
            </w:r>
          </w:p>
        </w:tc>
        <w:tc>
          <w:tcPr>
            <w:tcW w:w="0" w:type="auto"/>
            <w:vAlign w:val="center"/>
          </w:tcPr>
          <w:p w14:paraId="346D3C26" w14:textId="223149BB" w:rsidR="009066CC" w:rsidRDefault="009066CC" w:rsidP="00376C8E">
            <w:pPr>
              <w:jc w:val="center"/>
              <w:rPr>
                <w:color w:val="000000" w:themeColor="text1"/>
                <w:sz w:val="16"/>
                <w:szCs w:val="16"/>
                <w:lang w:val="en-US"/>
              </w:rPr>
            </w:pPr>
            <w:r w:rsidRPr="00540E80">
              <w:rPr>
                <w:color w:val="000000" w:themeColor="text1"/>
                <w:sz w:val="16"/>
                <w:szCs w:val="16"/>
                <w:lang w:val="en-US"/>
              </w:rPr>
              <w:t>Increased (3GCR BSI)</w:t>
            </w:r>
          </w:p>
        </w:tc>
      </w:tr>
      <w:tr w:rsidR="009066CC" w:rsidRPr="00F20444" w14:paraId="7E7F67A0" w14:textId="77777777" w:rsidTr="000E23C2">
        <w:trPr>
          <w:trHeight w:val="578"/>
        </w:trPr>
        <w:tc>
          <w:tcPr>
            <w:tcW w:w="0" w:type="auto"/>
            <w:vAlign w:val="center"/>
          </w:tcPr>
          <w:p w14:paraId="351462B4" w14:textId="0D896766" w:rsidR="009066CC" w:rsidRPr="004D40DF" w:rsidRDefault="009066CC" w:rsidP="00376C8E">
            <w:pPr>
              <w:jc w:val="center"/>
              <w:rPr>
                <w:color w:val="000000" w:themeColor="text1"/>
                <w:sz w:val="16"/>
                <w:szCs w:val="16"/>
                <w:lang w:val="en-US"/>
              </w:rPr>
            </w:pPr>
            <w:proofErr w:type="spellStart"/>
            <w:r w:rsidRPr="00540E80">
              <w:rPr>
                <w:sz w:val="16"/>
                <w:szCs w:val="16"/>
                <w:lang w:val="en-US"/>
              </w:rPr>
              <w:t>Trecarichi</w:t>
            </w:r>
            <w:proofErr w:type="spellEnd"/>
            <w:r w:rsidRPr="00540E80">
              <w:rPr>
                <w:sz w:val="16"/>
                <w:szCs w:val="16"/>
                <w:lang w:val="en-US"/>
              </w:rPr>
              <w:t xml:space="preserve"> </w:t>
            </w:r>
            <w:r>
              <w:rPr>
                <w:sz w:val="16"/>
                <w:szCs w:val="16"/>
                <w:lang w:val="en-US"/>
              </w:rPr>
              <w:t>2023</w:t>
            </w:r>
            <w:r>
              <w:rPr>
                <w:sz w:val="16"/>
                <w:szCs w:val="16"/>
                <w:lang w:val="en-US"/>
              </w:rPr>
              <w:fldChar w:fldCharType="begin" w:fldLock="1"/>
            </w:r>
            <w:r>
              <w:rPr>
                <w:sz w:val="16"/>
                <w:szCs w:val="16"/>
                <w:lang w:val="en-US"/>
              </w:rPr>
              <w:instrText>ADDIN CSL_CITATION {"citationItems":[{"id":"ITEM-1","itemData":{"DOI":"10.1016/j.ijantimicag.2023.106806","ISSN":"18727913","PMID":"37030470","abstract":"Bloodstream infections (BSI) caused by Gram-negative bacteria (GNB) in patients with hematological malignancies (HM) have been associated with high mortality rates, particularly with infections caused by antibiotic-resistant strains. A multicenter cohort study including all consecutive episodes of GNB BSI in HM patients was conducted to update the epidemiology and antibiotic resistance patterns (compared to our previous survey conducted between 2009 and 2012) and investigate risk factors for GNB BSI due to multidrug-resistant (MDR) isolates. A total of 834 GNB were recovered in 811 BSI episodes from January 2016 to December 2018. Compared to the previous survey, there was a significant reduction in use of fluoroquinolone prophylaxis and a significant recovery in susceptibility rates to ciprofloxacin among Pseudomonas aeruginosa, Escherichia coli and Enterobacter cloacae isolates. In addition, there was a shift to a significantly increased susceptibility of P. aeruginosa isolates to ceftazidime, meropenem, and gentamicin. A total of 256/834 (30.7%) isolates were MDR. In multivariable analysis, MDR bacteria culture-positive surveillance rectal swabs, previous therapy with aminoglycosides and carbapenems, fluoroquinolone prophylaxis, and time at risk were independently associated with MDR GNB BSI. In conclusion, despite the persistence of a high prevalence of MDR GNB, there was a shift to a reduced use of fluoroquinolone prophylaxis and increased rates of susceptibility to fluoroquinolones in almost all isolates and to almost all antibiotics tested among P. aeruginosa isolates, compared to our previous survey. Fluoroquinolone prophylaxis and previous rectal colonization by MDR bacteria were independent risk factors for MDR GNB BSI in the present study.","author":[{"dropping-particle":"","family":"Trecarichi","given":"Enrico Maria","non-dropping-particle":"","parse-names":false,"suffix":""},{"dropping-particle":"","family":"Giuliano","given":"Gabriele","non-dropping-particle":"","parse-names":false,"suffix":""},{"dropping-particle":"","family":"Cattaneo","given":"Chiara","non-dropping-particle":"","parse-names":false,"suffix":""},{"dropping-particle":"","family":"Ballanti","given":"Stelvio","non-dropping-particle":"","parse-names":false,"suffix":""},{"dropping-particle":"","family":"Criscuolo","given":"Marianna","non-dropping-particle":"","parse-names":false,"suffix":""},{"dropping-particle":"","family":"Candoni","given":"Anna","non-dropping-particle":"","parse-names":false,"suffix":""},{"dropping-particle":"","family":"Marchesi","given":"Francesco","non-dropping-particle":"","parse-names":false,"suffix":""},{"dropping-particle":"","family":"Laurino","given":"Marica","non-dropping-particle":"","parse-names":false,"suffix":""},{"dropping-particle":"","family":"Dargenio","given":"Michelina","non-dropping-particle":"","parse-names":false,"suffix":""},{"dropping-particle":"","family":"Fanci","given":"Rosa","non-dropping-particle":"","parse-names":false,"suffix":""},{"dropping-particle":"","family":"Cefalo","given":"Mariagiovanna","non-dropping-particle":"","parse-names":false,"suffix":""},{"dropping-particle":"","family":"Delia","given":"Mario","non-dropping-particle":"","parse-names":false,"suffix":""},{"dropping-particle":"","family":"Spolzino","given":"Angelica","non-dropping-particle":"","parse-names":false,"suffix":""},{"dropping-particle":"","family":"Maracci","given":"Laura","non-dropping-particle":"","parse-names":false,"suffix":""},{"dropping-particle":"","family":"Bonuomo","given":"Valentina","non-dropping-particle":"","parse-names":false,"suffix":""},{"dropping-particle":"","family":"Busca","given":"Alessandro","non-dropping-particle":"","parse-names":false,"suffix":""},{"dropping-particle":"Del","family":"Principe","given":"Maria Ilaria","non-dropping-particle":"","parse-names":false,"suffix":""},{"dropping-particle":"","family":"Daffini","given":"Rosa","non-dropping-particle":"","parse-names":false,"suffix":""},{"dropping-particle":"","family":"Simonetti","given":"Edoardo","non-dropping-particle":"","parse-names":false,"suffix":""},{"dropping-particle":"","family":"Dragonetti","given":"Giulia","non-dropping-particle":"","parse-names":false,"suffix":""},{"dropping-particle":"","family":"Zannier","given":"Maria Elena","non-dropping-particle":"","parse-names":false,"suffix":""},{"dropping-particle":"","family":"Pagano","given":"Livio","non-dropping-particle":"","parse-names":false,"suffix":""},{"dropping-particle":"","family":"Tumbarello","given":"Mario","non-dropping-particle":"","parse-names":false,"suffix":""}],"container-title":"International Journal of Antimicrobial Agents","id":"ITEM-1","issue":"6","issued":{"date-parts":[["2023"]]},"page":"106806","publisher":"Elsevier Ltd","title":"Bloodstream infections due to Gram-negative bacteria in patients with hematologic malignancies: updated epidemiology and risk factors for multidrug-resistant strains in an Italian perspective survey","type":"article-journal","volume":"61"},"uris":["http://www.mendeley.com/documents/?uuid=2f1b9b60-d915-41a8-b0db-44d80988face"]}],"mendeley":{"formattedCitation":"&lt;sup&gt;15&lt;/sup&gt;","plainTextFormattedCitation":"15","previouslyFormattedCitation":"&lt;sup&gt;15&lt;/sup&gt;"},"properties":{"noteIndex":0},"schema":"https://github.com/citation-style-language/schema/raw/master/csl-citation.json"}</w:instrText>
            </w:r>
            <w:r>
              <w:rPr>
                <w:sz w:val="16"/>
                <w:szCs w:val="16"/>
                <w:lang w:val="en-US"/>
              </w:rPr>
              <w:fldChar w:fldCharType="separate"/>
            </w:r>
            <w:r w:rsidRPr="00540E80">
              <w:rPr>
                <w:noProof/>
                <w:sz w:val="16"/>
                <w:szCs w:val="16"/>
                <w:vertAlign w:val="superscript"/>
                <w:lang w:val="en-US"/>
              </w:rPr>
              <w:t>15</w:t>
            </w:r>
            <w:r>
              <w:rPr>
                <w:sz w:val="16"/>
                <w:szCs w:val="16"/>
                <w:lang w:val="en-US"/>
              </w:rPr>
              <w:fldChar w:fldCharType="end"/>
            </w:r>
          </w:p>
        </w:tc>
        <w:tc>
          <w:tcPr>
            <w:tcW w:w="0" w:type="auto"/>
            <w:vAlign w:val="center"/>
          </w:tcPr>
          <w:p w14:paraId="38E1261E" w14:textId="6CD4F1B2" w:rsidR="009066CC" w:rsidRPr="00540E80" w:rsidRDefault="009066CC" w:rsidP="00376C8E">
            <w:pPr>
              <w:jc w:val="center"/>
              <w:rPr>
                <w:sz w:val="16"/>
                <w:szCs w:val="16"/>
                <w:lang w:val="en-US"/>
              </w:rPr>
            </w:pPr>
            <w:r w:rsidRPr="00540E80">
              <w:rPr>
                <w:sz w:val="16"/>
                <w:szCs w:val="16"/>
                <w:lang w:val="en-US"/>
              </w:rPr>
              <w:t>Prospective; multicenter; Italy</w:t>
            </w:r>
          </w:p>
        </w:tc>
        <w:tc>
          <w:tcPr>
            <w:tcW w:w="0" w:type="auto"/>
            <w:vAlign w:val="center"/>
          </w:tcPr>
          <w:p w14:paraId="30800C97" w14:textId="58243022" w:rsidR="009066CC" w:rsidRDefault="009066CC" w:rsidP="00376C8E">
            <w:pPr>
              <w:jc w:val="center"/>
              <w:rPr>
                <w:color w:val="000000" w:themeColor="text1"/>
                <w:sz w:val="16"/>
                <w:szCs w:val="16"/>
                <w:lang w:val="en-US"/>
              </w:rPr>
            </w:pPr>
            <w:r w:rsidRPr="00540E80">
              <w:rPr>
                <w:color w:val="000000" w:themeColor="text1"/>
                <w:sz w:val="16"/>
                <w:szCs w:val="16"/>
                <w:lang w:val="en-US"/>
              </w:rPr>
              <w:t xml:space="preserve">Auto </w:t>
            </w:r>
            <w:r w:rsidR="005B5C5E">
              <w:rPr>
                <w:color w:val="000000" w:themeColor="text1"/>
                <w:sz w:val="16"/>
                <w:szCs w:val="16"/>
                <w:lang w:val="en-US"/>
              </w:rPr>
              <w:t>HCT</w:t>
            </w:r>
            <w:r w:rsidRPr="00540E80">
              <w:rPr>
                <w:color w:val="000000" w:themeColor="text1"/>
                <w:sz w:val="16"/>
                <w:szCs w:val="16"/>
                <w:lang w:val="en-US"/>
              </w:rPr>
              <w:t xml:space="preserve">, </w:t>
            </w:r>
            <w:proofErr w:type="spellStart"/>
            <w:r w:rsidRPr="00540E80">
              <w:rPr>
                <w:color w:val="000000" w:themeColor="text1"/>
                <w:sz w:val="16"/>
                <w:szCs w:val="16"/>
                <w:lang w:val="en-US"/>
              </w:rPr>
              <w:t>allo</w:t>
            </w:r>
            <w:proofErr w:type="spellEnd"/>
            <w:r w:rsidRPr="00540E80">
              <w:rPr>
                <w:color w:val="000000" w:themeColor="text1"/>
                <w:sz w:val="16"/>
                <w:szCs w:val="16"/>
                <w:lang w:val="en-US"/>
              </w:rPr>
              <w:t xml:space="preserve"> </w:t>
            </w:r>
            <w:r w:rsidR="005B5C5E">
              <w:rPr>
                <w:color w:val="000000" w:themeColor="text1"/>
                <w:sz w:val="16"/>
                <w:szCs w:val="16"/>
                <w:lang w:val="en-US"/>
              </w:rPr>
              <w:t>HCT</w:t>
            </w:r>
            <w:r w:rsidRPr="00540E80">
              <w:rPr>
                <w:color w:val="000000" w:themeColor="text1"/>
                <w:sz w:val="16"/>
                <w:szCs w:val="16"/>
                <w:lang w:val="en-US"/>
              </w:rPr>
              <w:t xml:space="preserve"> (n = 811) </w:t>
            </w:r>
            <w:r>
              <w:rPr>
                <w:color w:val="000000" w:themeColor="text1"/>
                <w:sz w:val="16"/>
                <w:szCs w:val="16"/>
                <w:lang w:val="en-US"/>
              </w:rPr>
              <w:t>[adult]</w:t>
            </w:r>
          </w:p>
        </w:tc>
        <w:tc>
          <w:tcPr>
            <w:tcW w:w="0" w:type="auto"/>
            <w:vAlign w:val="center"/>
          </w:tcPr>
          <w:p w14:paraId="3B6FBF78" w14:textId="4F896182" w:rsidR="009066CC" w:rsidRDefault="009066CC" w:rsidP="00376C8E">
            <w:pPr>
              <w:jc w:val="center"/>
              <w:rPr>
                <w:color w:val="000000" w:themeColor="text1"/>
                <w:sz w:val="16"/>
                <w:szCs w:val="16"/>
                <w:lang w:val="en-US"/>
              </w:rPr>
            </w:pPr>
            <w:r w:rsidRPr="00540E80">
              <w:rPr>
                <w:color w:val="000000" w:themeColor="text1"/>
                <w:sz w:val="16"/>
                <w:szCs w:val="16"/>
                <w:lang w:val="en-US"/>
              </w:rPr>
              <w:t>FQ</w:t>
            </w:r>
          </w:p>
        </w:tc>
        <w:tc>
          <w:tcPr>
            <w:tcW w:w="0" w:type="auto"/>
            <w:vAlign w:val="center"/>
          </w:tcPr>
          <w:p w14:paraId="4911246D" w14:textId="646E91FD" w:rsidR="009066CC" w:rsidRDefault="009066CC" w:rsidP="00376C8E">
            <w:pPr>
              <w:jc w:val="center"/>
              <w:rPr>
                <w:color w:val="000000" w:themeColor="text1"/>
                <w:sz w:val="16"/>
                <w:szCs w:val="16"/>
                <w:lang w:val="en-US"/>
              </w:rPr>
            </w:pPr>
            <w:r w:rsidRPr="00540E80">
              <w:rPr>
                <w:color w:val="000000" w:themeColor="text1"/>
                <w:sz w:val="16"/>
                <w:szCs w:val="16"/>
                <w:lang w:val="en-US"/>
              </w:rPr>
              <w:t>NA</w:t>
            </w:r>
          </w:p>
        </w:tc>
        <w:tc>
          <w:tcPr>
            <w:tcW w:w="0" w:type="auto"/>
            <w:vAlign w:val="center"/>
          </w:tcPr>
          <w:p w14:paraId="31AF4E87" w14:textId="00E387FB" w:rsidR="009066CC" w:rsidRDefault="009066CC" w:rsidP="00376C8E">
            <w:pPr>
              <w:jc w:val="center"/>
              <w:rPr>
                <w:color w:val="000000" w:themeColor="text1"/>
                <w:sz w:val="16"/>
                <w:szCs w:val="16"/>
                <w:lang w:val="en-US"/>
              </w:rPr>
            </w:pPr>
            <w:r w:rsidRPr="00540E80">
              <w:rPr>
                <w:color w:val="000000" w:themeColor="text1"/>
                <w:sz w:val="16"/>
                <w:szCs w:val="16"/>
                <w:lang w:val="en-US"/>
              </w:rPr>
              <w:t>NA</w:t>
            </w:r>
          </w:p>
        </w:tc>
        <w:tc>
          <w:tcPr>
            <w:tcW w:w="0" w:type="auto"/>
            <w:vAlign w:val="center"/>
          </w:tcPr>
          <w:p w14:paraId="2D645E38" w14:textId="33E45F55" w:rsidR="009066CC" w:rsidRDefault="009066CC" w:rsidP="00376C8E">
            <w:pPr>
              <w:jc w:val="center"/>
              <w:rPr>
                <w:color w:val="000000" w:themeColor="text1"/>
                <w:sz w:val="16"/>
                <w:szCs w:val="16"/>
                <w:lang w:val="en-US"/>
              </w:rPr>
            </w:pPr>
            <w:r w:rsidRPr="00540E80">
              <w:rPr>
                <w:color w:val="000000" w:themeColor="text1"/>
                <w:sz w:val="16"/>
                <w:szCs w:val="16"/>
                <w:lang w:val="en-US"/>
              </w:rPr>
              <w:t>Increased (MDR BSI)</w:t>
            </w:r>
          </w:p>
        </w:tc>
      </w:tr>
      <w:tr w:rsidR="009066CC" w:rsidRPr="00540E80" w14:paraId="73EE9335" w14:textId="77777777" w:rsidTr="000E23C2">
        <w:trPr>
          <w:trHeight w:val="578"/>
        </w:trPr>
        <w:tc>
          <w:tcPr>
            <w:tcW w:w="0" w:type="auto"/>
            <w:vAlign w:val="center"/>
          </w:tcPr>
          <w:p w14:paraId="63EFA6A1" w14:textId="3013BA40" w:rsidR="009066CC" w:rsidRPr="004D40DF" w:rsidRDefault="009066CC" w:rsidP="00376C8E">
            <w:pPr>
              <w:jc w:val="center"/>
              <w:rPr>
                <w:color w:val="000000" w:themeColor="text1"/>
                <w:sz w:val="16"/>
                <w:szCs w:val="16"/>
                <w:lang w:val="en-US"/>
              </w:rPr>
            </w:pPr>
            <w:proofErr w:type="spellStart"/>
            <w:r w:rsidRPr="00540E80">
              <w:rPr>
                <w:sz w:val="16"/>
                <w:szCs w:val="16"/>
                <w:lang w:val="en-US"/>
              </w:rPr>
              <w:t>Akhmedov</w:t>
            </w:r>
            <w:proofErr w:type="spellEnd"/>
            <w:r w:rsidRPr="00540E80">
              <w:rPr>
                <w:sz w:val="16"/>
                <w:szCs w:val="16"/>
                <w:lang w:val="en-US"/>
              </w:rPr>
              <w:t xml:space="preserve"> </w:t>
            </w:r>
            <w:r>
              <w:rPr>
                <w:sz w:val="16"/>
                <w:szCs w:val="16"/>
                <w:lang w:val="en-US"/>
              </w:rPr>
              <w:t>2023</w:t>
            </w:r>
            <w:r>
              <w:rPr>
                <w:sz w:val="16"/>
                <w:szCs w:val="16"/>
                <w:lang w:val="en-US"/>
              </w:rPr>
              <w:fldChar w:fldCharType="begin" w:fldLock="1"/>
            </w:r>
            <w:r>
              <w:rPr>
                <w:sz w:val="16"/>
                <w:szCs w:val="16"/>
                <w:lang w:val="en-US"/>
              </w:rPr>
              <w:instrText>ADDIN CSL_CITATION {"citationItems":[{"id":"ITEM-1","itemData":{"DOI":"10.1080/10428194.2023.2197532","ISSN":"1029-2403 (Electronic)","PMID":"37086466","abstract":"Fluoroquinolones (FQ) has been used after allogeneic hematopoietic stem cell  transplantation (allo-HCT) for decades. This study on 284 allo-HCT recipients aimed to analyze the impact of FQ on pre-engraftment BSI. A total of 154 patients were colonized with resistant gram-negative bacteria, and 130 patients were not. Colonized patients did not receive FQ (n = 147) except 7 who received FQ as sequential therapy; 98 non-colonized patients received FQ, whereas 32 did not. Gram-negative (p &lt; 0.0001), and ESBL-E BSI (p &lt; 0.0001) were higher in colonized patients receiving FQ. No difference was found in gram-positive BSI (p = 0.452). In multivariate analysis colonized patients with (p &lt; 0.0001) or without FQ (p = 0.007), omission of FQ in non-colonized patients (p = 0.038), and active disease (p = 0.042) were associated with gram-negative BSI, whereas mismatched unrelated donor transplantations - with gram-positive BSI (p = 0.009). Colonized patients with FQ have a higher risk of gram-negative BSI. In non-colonized patients, FQ prophylaxis is effective approach significantly reducing gram-negative BSI risk.","author":[{"dropping-particle":"","family":"Akhmedov","given":"Mobil","non-dropping-particle":"","parse-names":false,"suffix":""},{"dropping-particle":"","family":"Klyasova","given":"Galina","non-dropping-particle":"","parse-names":false,"suffix":""},{"dropping-particle":"","family":"Kuzmina","given":"Larisa","non-dropping-particle":"","parse-names":false,"suffix":""},{"dropping-particle":"","family":"Fedorova","given":"Anastasia","non-dropping-particle":"","parse-names":false,"suffix":""},{"dropping-particle":"","family":"Drokov","given":"Mikhail","non-dropping-particle":"","parse-names":false,"suffix":""},{"dropping-particle":"","family":"Parovichnikova","given":"Elena","non-dropping-particle":"","parse-names":false,"suffix":""}],"container-title":"Leukemia &amp; lymphoma","id":"ITEM-1","issue":"6","issued":{"date-parts":[["2023","6"]]},"language":"eng","page":"1102-1111","publisher-place":"United States","title":"Impact of fluoroquinolone administration and gut mucosal colonization on the risk  of pre-engraftment bloodstream infections after allogeneic hematopoietic cell transplantation.","type":"article-journal","volume":"64"},"uris":["http://www.mendeley.com/documents/?uuid=0b78f442-f7cc-4017-9f77-b0c349f1aa72"]}],"mendeley":{"formattedCitation":"&lt;sup&gt;16&lt;/sup&gt;","plainTextFormattedCitation":"16","previouslyFormattedCitation":"&lt;sup&gt;16&lt;/sup&gt;"},"properties":{"noteIndex":0},"schema":"https://github.com/citation-style-language/schema/raw/master/csl-citation.json"}</w:instrText>
            </w:r>
            <w:r>
              <w:rPr>
                <w:sz w:val="16"/>
                <w:szCs w:val="16"/>
                <w:lang w:val="en-US"/>
              </w:rPr>
              <w:fldChar w:fldCharType="separate"/>
            </w:r>
            <w:r w:rsidRPr="00B140EA">
              <w:rPr>
                <w:noProof/>
                <w:sz w:val="16"/>
                <w:szCs w:val="16"/>
                <w:vertAlign w:val="superscript"/>
                <w:lang w:val="en-US"/>
              </w:rPr>
              <w:t>16</w:t>
            </w:r>
            <w:r>
              <w:rPr>
                <w:sz w:val="16"/>
                <w:szCs w:val="16"/>
                <w:lang w:val="en-US"/>
              </w:rPr>
              <w:fldChar w:fldCharType="end"/>
            </w:r>
          </w:p>
        </w:tc>
        <w:tc>
          <w:tcPr>
            <w:tcW w:w="0" w:type="auto"/>
            <w:vAlign w:val="center"/>
          </w:tcPr>
          <w:p w14:paraId="35D6D39B" w14:textId="42DA5B65" w:rsidR="009066CC" w:rsidRPr="00540E80" w:rsidRDefault="009066CC" w:rsidP="00376C8E">
            <w:pPr>
              <w:jc w:val="center"/>
              <w:rPr>
                <w:sz w:val="16"/>
                <w:szCs w:val="16"/>
                <w:lang w:val="en-US"/>
              </w:rPr>
            </w:pPr>
            <w:r w:rsidRPr="00540E80">
              <w:rPr>
                <w:sz w:val="16"/>
                <w:szCs w:val="16"/>
                <w:lang w:val="en-US"/>
              </w:rPr>
              <w:t>Retrospective; single center; Russia</w:t>
            </w:r>
          </w:p>
        </w:tc>
        <w:tc>
          <w:tcPr>
            <w:tcW w:w="0" w:type="auto"/>
            <w:vAlign w:val="center"/>
          </w:tcPr>
          <w:p w14:paraId="0D80C4BE" w14:textId="5A8C135D" w:rsidR="009066CC" w:rsidRDefault="009066CC" w:rsidP="00376C8E">
            <w:pPr>
              <w:jc w:val="center"/>
              <w:rPr>
                <w:color w:val="000000" w:themeColor="text1"/>
                <w:sz w:val="16"/>
                <w:szCs w:val="16"/>
                <w:lang w:val="en-US"/>
              </w:rPr>
            </w:pPr>
            <w:proofErr w:type="spellStart"/>
            <w:r>
              <w:rPr>
                <w:color w:val="000000" w:themeColor="text1"/>
                <w:sz w:val="16"/>
                <w:szCs w:val="16"/>
                <w:lang w:val="en-US"/>
              </w:rPr>
              <w:t>Allo</w:t>
            </w:r>
            <w:proofErr w:type="spellEnd"/>
            <w:r>
              <w:rPr>
                <w:color w:val="000000" w:themeColor="text1"/>
                <w:sz w:val="16"/>
                <w:szCs w:val="16"/>
                <w:lang w:val="en-US"/>
              </w:rPr>
              <w:t xml:space="preserve"> </w:t>
            </w:r>
            <w:r w:rsidR="005B5C5E">
              <w:rPr>
                <w:color w:val="000000" w:themeColor="text1"/>
                <w:sz w:val="16"/>
                <w:szCs w:val="16"/>
                <w:lang w:val="en-US"/>
              </w:rPr>
              <w:t>HCT</w:t>
            </w:r>
            <w:r>
              <w:rPr>
                <w:color w:val="000000" w:themeColor="text1"/>
                <w:sz w:val="16"/>
                <w:szCs w:val="16"/>
                <w:lang w:val="en-US"/>
              </w:rPr>
              <w:t xml:space="preserve"> (n = 284) [adult]</w:t>
            </w:r>
          </w:p>
        </w:tc>
        <w:tc>
          <w:tcPr>
            <w:tcW w:w="0" w:type="auto"/>
            <w:vAlign w:val="center"/>
          </w:tcPr>
          <w:p w14:paraId="200861ED" w14:textId="32B05973" w:rsidR="009066CC" w:rsidRDefault="009066CC" w:rsidP="00376C8E">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7CA17DB6" w14:textId="32646EE3"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5A60AD4C" w14:textId="51FED9B3"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49E511F4" w14:textId="38F27CB2"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540E80" w14:paraId="5C79B7A4" w14:textId="77777777" w:rsidTr="000E23C2">
        <w:trPr>
          <w:trHeight w:val="578"/>
        </w:trPr>
        <w:tc>
          <w:tcPr>
            <w:tcW w:w="0" w:type="auto"/>
            <w:vAlign w:val="center"/>
          </w:tcPr>
          <w:p w14:paraId="6EA2C182" w14:textId="083A53E1" w:rsidR="009066CC" w:rsidRPr="00540E80" w:rsidRDefault="009066CC" w:rsidP="00BF5947">
            <w:pPr>
              <w:jc w:val="center"/>
              <w:rPr>
                <w:sz w:val="16"/>
                <w:szCs w:val="16"/>
                <w:lang w:val="en-US"/>
              </w:rPr>
            </w:pPr>
            <w:r w:rsidRPr="005D5CC6">
              <w:rPr>
                <w:sz w:val="16"/>
                <w:szCs w:val="16"/>
                <w:lang w:val="en-US"/>
              </w:rPr>
              <w:t xml:space="preserve">Averbuch </w:t>
            </w:r>
            <w:r>
              <w:rPr>
                <w:sz w:val="16"/>
                <w:szCs w:val="16"/>
                <w:lang w:val="en-US"/>
              </w:rPr>
              <w:t>2017</w:t>
            </w:r>
            <w:r>
              <w:rPr>
                <w:sz w:val="16"/>
                <w:szCs w:val="16"/>
                <w:lang w:val="en-US"/>
              </w:rPr>
              <w:fldChar w:fldCharType="begin" w:fldLock="1"/>
            </w:r>
            <w:r>
              <w:rPr>
                <w:sz w:val="16"/>
                <w:szCs w:val="16"/>
                <w:lang w:val="en-US"/>
              </w:rPr>
              <w:instrText>ADDIN CSL_CITATION {"citationItems":[{"id":"ITEM-1","itemData":{"DOI":"10.1093/cid/cix646","ISSN":"15376591","PMID":"29020364","abstract":"Background This intercontinental study aimed to study gram-negative rod (GNR) resistance in hematopoietic stem cell transplantation (HSCT). Methods GNR bacteremias occurring during 6 months post-HSCT (February 2014-May 2015) were prospectively collected, and analyzed for rates and risk factors for resistance to fluoroquinolones, noncarbapenem anti-Pseudomonas β-lactams (noncarbapenems), carbapenems, and multidrug resistance. Results Sixty-five HSCT centers from 25 countries in Europe, Australia, and Asia reported data on 655 GNR episodes and 704 pathogens in 591 patients (Enterobacteriaceae, 73%; nonfermentative rods, 24%; and 3% others). Half of GNRs were fluoroquinolone and noncarbapenem resistant; 18.5% carbapenem resistant; 35.2% multidrug resistant. The total resistance rates were higher in allogeneic HSCT (allo-HSCT) vs autologous HSCT (auto-HSCT) patients (P &lt;.001) but similar in community-acquired infections. Noncarbapenem resistance and multidrug resistance were higher in auto-HSCT patients in centers providing vs not providing fluoroquinolone prophylaxis (P &lt;.01). Resistance rates were higher in southeast vs northwest Europe and similar in children and adults, excluding higher fluoroquinolone- and β-lactam/β-lactamase inhibitor resistance rates in allo-HSCT adults. Non-Klebsiella Enterobacteriaceae were rarely carbapenem resistant. Multivariable analysis revealed resistance risk factors in allo-HSCT patients: fluoroquinolone resistance: adult, prolonged neutropenia, breakthrough on fluoroquinolones; noncarbapenem resistance: hospital-acquired infection, breakthrough on noncarbapenems or other antibiotics (excluding fluoroquinolones, noncarbapenems, carbapenems), donor type; carbapenem resistance: breakthrough on carbapenem, longer hospitalization, intensive care unit, previous other antibiotic therapy; multidrug resistance: longer hospitalization, breakthrough on β-lactam/β-lactamase inhibitors, and carbapenems. Inappropriate empiric therapy and mortality were significantly more common in infections caused by resistant bacteria. Conclusions Our data question the recommendation for fluoroquinolone prophylaxis and call for reassessment of local empiric antibiotic protocols. Knowledge of pathogen-specific resistance enables early appropriate empiric therapy. Monitoring of resistance is crucial.","author":[{"dropping-particle":"","family":"Averbuch","given":"Diana","non-dropping-particle":"","parse-names":false,"suffix":""},{"dropping-particle":"","family":"Tridello","given":"Gloria","non-dropping-particle":"","parse-names":false,"suffix":""},{"dropping-particle":"","family":"Hoek","given":"Jennifer","non-dropping-particle":"","parse-names":false,"suffix":""},{"dropping-particle":"","family":"Mikulska","given":"Malgorzata","non-dropping-particle":"","parse-names":false,"suffix":""},{"dropping-particle":"","family":"Akan","given":"Hamdi","non-dropping-particle":"","parse-names":false,"suffix":""},{"dropping-particle":"","family":"Yaňez San Segundo","given":"Lucrecia","non-dropping-particle":"","parse-names":false,"suffix":""},{"dropping-particle":"","family":"Pabst","given":"Thomas","non-dropping-particle":"","parse-names":false,"suffix":""},{"dropping-particle":"","family":"Özçelik","given":"Tülay","non-dropping-particle":"","parse-names":false,"suffix":""},{"dropping-particle":"","family":"Klyasova","given":"Galina","non-dropping-particle":"","parse-names":false,"suffix":""},{"dropping-particle":"","family":"Donnini","given":"Irene","non-dropping-particle":"","parse-names":false,"suffix":""},{"dropping-particle":"","family":"Wu","given":"Depei","non-dropping-particle":"","parse-names":false,"suffix":""},{"dropping-particle":"","family":"Gülbas","given":"Zafer","non-dropping-particle":"","parse-names":false,"suffix":""},{"dropping-particle":"","family":"Zuckerman","given":"Tsila","non-dropping-particle":"","parse-names":false,"suffix":""},{"dropping-particle":"","family":"Botelho De Sousa","given":"Aida","non-dropping-particle":"","parse-names":false,"suffix":""},{"dropping-particle":"","family":"Beguin","given":"Yves","non-dropping-particle":"","parse-names":false,"suffix":""},{"dropping-particle":"","family":"Xhaard","given":"Aliénor","non-dropping-particle":"","parse-names":false,"suffix":""},{"dropping-particle":"","family":"Bachy","given":"Emmanuel","non-dropping-particle":"","parse-names":false,"suffix":""},{"dropping-particle":"","family":"Ljungman","given":"Per","non-dropping-particle":"","parse-names":false,"suffix":""},{"dropping-particle":"","family":"La Camara","given":"Rafael","non-dropping-particle":"De","parse-names":false,"suffix":""},{"dropping-particle":"","family":"Rascon","given":"Jelena","non-dropping-particle":"","parse-names":false,"suffix":""},{"dropping-particle":"","family":"Ruiz Camps","given":"Isabel","non-dropping-particle":"","parse-names":false,"suffix":""},{"dropping-particle":"","family":"Vitek","given":"Antonin","non-dropping-particle":"","parse-names":false,"suffix":""},{"dropping-particle":"","family":"Patriarca","given":"Francesca","non-dropping-particle":"","parse-names":false,"suffix":""},{"dropping-particle":"","family":"Cudillo","given":"Laura","non-dropping-particle":"","parse-names":false,"suffix":""},{"dropping-particle":"","family":"Vrhovac","given":"Radovan","non-dropping-particle":"","parse-names":false,"suffix":""},{"dropping-particle":"","family":"Shaw","given":"Peter J.","non-dropping-particle":"","parse-names":false,"suffix":""},{"dropping-particle":"","family":"Wolfs","given":"Tom","non-dropping-particle":"","parse-names":false,"suffix":""},{"dropping-particle":"","family":"O'Brien","given":"Tracey","non-dropping-particle":"","parse-names":false,"suffix":""},{"dropping-particle":"","family":"Avni","given":"Batia","non-dropping-particle":"","parse-names":false,"suffix":""},{"dropping-particle":"","family":"Silling","given":"Gerda","non-dropping-particle":"","parse-names":false,"suffix":""},{"dropping-particle":"","family":"Sabty","given":"Firas","non-dropping-particle":"Al","parse-names":false,"suffix":""},{"dropping-particle":"","family":"Graphakos","given":"Stelios","non-dropping-particle":"","parse-names":false,"suffix":""},{"dropping-particle":"","family":"Sankelo","given":"Marja","non-dropping-particle":"","parse-names":false,"suffix":""},{"dropping-particle":"","family":"Sengeloev","given":"Henrik","non-dropping-particle":"","parse-names":false,"suffix":""},{"dropping-particle":"","family":"Pillai","given":"Srinivas","non-dropping-particle":"","parse-names":false,"suffix":""},{"dropping-particle":"","family":"Matthes","given":"Susanne","non-dropping-particle":"","parse-names":false,"suffix":""},{"dropping-particle":"","family":"Melanthiou","given":"Frederiki","non-dropping-particle":"","parse-names":false,"suffix":""},{"dropping-particle":"","family":"Iacobelli","given":"Simona","non-dropping-particle":"","parse-names":false,"suffix":""},{"dropping-particle":"","family":"Styczynski","given":"Jan","non-dropping-particle":"","parse-names":false,"suffix":""},{"dropping-particle":"","family":"Engelhard","given":"Dan","non-dropping-particle":"","parse-names":false,"suffix":""},{"dropping-particle":"","family":"Cesaro","given":"Simone","non-dropping-particle":"","parse-names":false,"suffix":""}],"container-title":"Clinical Infectious Diseases","id":"ITEM-1","issue":"11","issued":{"date-parts":[["2017"]]},"page":"1819-1828","title":"Antimicrobial Resistance in Gram-Negative Rods Causing Bacteremia in Hematopoietic Stem Cell Transplant Recipients: Intercontinental Prospective Study of the Infectious Diseases Working Party of the European Bone Marrow Transplantation Group","type":"article-journal","volume":"65"},"uris":["http://www.mendeley.com/documents/?uuid=c61320e2-569c-47b0-af3c-53fd515a4238"]}],"mendeley":{"formattedCitation":"&lt;sup&gt;17&lt;/sup&gt;","plainTextFormattedCitation":"17","previouslyFormattedCitation":"&lt;sup&gt;17&lt;/sup&gt;"},"properties":{"noteIndex":0},"schema":"https://github.com/citation-style-language/schema/raw/master/csl-citation.json"}</w:instrText>
            </w:r>
            <w:r>
              <w:rPr>
                <w:sz w:val="16"/>
                <w:szCs w:val="16"/>
                <w:lang w:val="en-US"/>
              </w:rPr>
              <w:fldChar w:fldCharType="separate"/>
            </w:r>
            <w:r w:rsidRPr="00B140EA">
              <w:rPr>
                <w:noProof/>
                <w:sz w:val="16"/>
                <w:szCs w:val="16"/>
                <w:vertAlign w:val="superscript"/>
                <w:lang w:val="en-US"/>
              </w:rPr>
              <w:t>17</w:t>
            </w:r>
            <w:r>
              <w:rPr>
                <w:sz w:val="16"/>
                <w:szCs w:val="16"/>
                <w:lang w:val="en-US"/>
              </w:rPr>
              <w:fldChar w:fldCharType="end"/>
            </w:r>
          </w:p>
        </w:tc>
        <w:tc>
          <w:tcPr>
            <w:tcW w:w="0" w:type="auto"/>
            <w:vAlign w:val="center"/>
          </w:tcPr>
          <w:p w14:paraId="4C6171EB" w14:textId="562F2FF2" w:rsidR="009066CC" w:rsidRPr="00540E80" w:rsidRDefault="009066CC" w:rsidP="00BF5947">
            <w:pPr>
              <w:jc w:val="center"/>
              <w:rPr>
                <w:sz w:val="16"/>
                <w:szCs w:val="16"/>
                <w:lang w:val="en-US"/>
              </w:rPr>
            </w:pPr>
            <w:r w:rsidRPr="00540E80">
              <w:rPr>
                <w:sz w:val="16"/>
                <w:szCs w:val="16"/>
                <w:lang w:val="en-US"/>
              </w:rPr>
              <w:t>Retrospective; multicenter; international</w:t>
            </w:r>
          </w:p>
        </w:tc>
        <w:tc>
          <w:tcPr>
            <w:tcW w:w="0" w:type="auto"/>
            <w:vAlign w:val="center"/>
          </w:tcPr>
          <w:p w14:paraId="515C25B4" w14:textId="56DDB1F8" w:rsidR="009066CC" w:rsidRPr="008901EF" w:rsidRDefault="009066CC" w:rsidP="00BF5947">
            <w:pPr>
              <w:jc w:val="center"/>
              <w:rPr>
                <w:color w:val="000000" w:themeColor="text1"/>
                <w:sz w:val="16"/>
                <w:szCs w:val="16"/>
              </w:rPr>
            </w:pPr>
            <w:r w:rsidRPr="008901EF">
              <w:rPr>
                <w:color w:val="000000" w:themeColor="text1"/>
                <w:sz w:val="16"/>
                <w:szCs w:val="16"/>
              </w:rPr>
              <w:t xml:space="preserve">Auto </w:t>
            </w:r>
            <w:r w:rsidR="005B5C5E" w:rsidRPr="008901EF">
              <w:rPr>
                <w:color w:val="000000" w:themeColor="text1"/>
                <w:sz w:val="16"/>
                <w:szCs w:val="16"/>
              </w:rPr>
              <w:t>HCT</w:t>
            </w:r>
            <w:r w:rsidRPr="008901EF">
              <w:rPr>
                <w:color w:val="000000" w:themeColor="text1"/>
                <w:sz w:val="16"/>
                <w:szCs w:val="16"/>
              </w:rPr>
              <w:t xml:space="preserve">, allo </w:t>
            </w:r>
            <w:r w:rsidR="005B5C5E" w:rsidRPr="008901EF">
              <w:rPr>
                <w:color w:val="000000" w:themeColor="text1"/>
                <w:sz w:val="16"/>
                <w:szCs w:val="16"/>
              </w:rPr>
              <w:t>HCT</w:t>
            </w:r>
            <w:r w:rsidRPr="008901EF">
              <w:rPr>
                <w:color w:val="000000" w:themeColor="text1"/>
                <w:sz w:val="16"/>
                <w:szCs w:val="16"/>
              </w:rPr>
              <w:t xml:space="preserve"> (n = 591) [</w:t>
            </w:r>
            <w:proofErr w:type="spellStart"/>
            <w:r w:rsidRPr="008901EF">
              <w:rPr>
                <w:color w:val="000000" w:themeColor="text1"/>
                <w:sz w:val="16"/>
                <w:szCs w:val="16"/>
              </w:rPr>
              <w:t>adult</w:t>
            </w:r>
            <w:proofErr w:type="spellEnd"/>
            <w:r w:rsidRPr="008901EF">
              <w:rPr>
                <w:color w:val="000000" w:themeColor="text1"/>
                <w:sz w:val="16"/>
                <w:szCs w:val="16"/>
              </w:rPr>
              <w:t>]</w:t>
            </w:r>
          </w:p>
        </w:tc>
        <w:tc>
          <w:tcPr>
            <w:tcW w:w="0" w:type="auto"/>
            <w:vAlign w:val="center"/>
          </w:tcPr>
          <w:p w14:paraId="571F425B" w14:textId="5986BCD8" w:rsidR="009066CC" w:rsidRDefault="009066CC" w:rsidP="00BF5947">
            <w:pPr>
              <w:jc w:val="center"/>
              <w:rPr>
                <w:color w:val="000000" w:themeColor="text1"/>
                <w:sz w:val="16"/>
                <w:szCs w:val="16"/>
                <w:lang w:val="en-US"/>
              </w:rPr>
            </w:pPr>
            <w:r w:rsidRPr="00540E80">
              <w:rPr>
                <w:color w:val="000000" w:themeColor="text1"/>
                <w:sz w:val="16"/>
                <w:szCs w:val="16"/>
                <w:lang w:val="en-US"/>
              </w:rPr>
              <w:t>FQ</w:t>
            </w:r>
          </w:p>
        </w:tc>
        <w:tc>
          <w:tcPr>
            <w:tcW w:w="0" w:type="auto"/>
            <w:vAlign w:val="center"/>
          </w:tcPr>
          <w:p w14:paraId="65418056" w14:textId="2107812A" w:rsidR="009066CC" w:rsidRDefault="009066CC" w:rsidP="00BF5947">
            <w:pPr>
              <w:jc w:val="center"/>
              <w:rPr>
                <w:color w:val="000000" w:themeColor="text1"/>
                <w:sz w:val="16"/>
                <w:szCs w:val="16"/>
                <w:lang w:val="en-US"/>
              </w:rPr>
            </w:pPr>
            <w:r w:rsidRPr="00540E80">
              <w:rPr>
                <w:color w:val="000000" w:themeColor="text1"/>
                <w:sz w:val="16"/>
                <w:szCs w:val="16"/>
                <w:lang w:val="en-US"/>
              </w:rPr>
              <w:t>NA</w:t>
            </w:r>
          </w:p>
        </w:tc>
        <w:tc>
          <w:tcPr>
            <w:tcW w:w="0" w:type="auto"/>
            <w:vAlign w:val="center"/>
          </w:tcPr>
          <w:p w14:paraId="1CE556EF" w14:textId="37F2E1CE" w:rsidR="009066CC" w:rsidRDefault="009066CC" w:rsidP="00BF5947">
            <w:pPr>
              <w:jc w:val="center"/>
              <w:rPr>
                <w:color w:val="000000" w:themeColor="text1"/>
                <w:sz w:val="16"/>
                <w:szCs w:val="16"/>
                <w:lang w:val="en-US"/>
              </w:rPr>
            </w:pPr>
            <w:r w:rsidRPr="00540E80">
              <w:rPr>
                <w:color w:val="000000" w:themeColor="text1"/>
                <w:sz w:val="16"/>
                <w:szCs w:val="16"/>
                <w:lang w:val="en-US"/>
              </w:rPr>
              <w:t>NA</w:t>
            </w:r>
          </w:p>
        </w:tc>
        <w:tc>
          <w:tcPr>
            <w:tcW w:w="0" w:type="auto"/>
            <w:vAlign w:val="center"/>
          </w:tcPr>
          <w:p w14:paraId="2544D3AF" w14:textId="7BCD627D" w:rsidR="009066CC" w:rsidRDefault="009066CC" w:rsidP="00BF5947">
            <w:pPr>
              <w:jc w:val="center"/>
              <w:rPr>
                <w:color w:val="000000" w:themeColor="text1"/>
                <w:sz w:val="16"/>
                <w:szCs w:val="16"/>
                <w:lang w:val="en-US"/>
              </w:rPr>
            </w:pPr>
            <w:r w:rsidRPr="00540E80">
              <w:rPr>
                <w:color w:val="000000" w:themeColor="text1"/>
                <w:sz w:val="16"/>
                <w:szCs w:val="16"/>
                <w:lang w:val="en-US"/>
              </w:rPr>
              <w:t>Increased (FQ-R BSI)</w:t>
            </w:r>
          </w:p>
        </w:tc>
      </w:tr>
      <w:tr w:rsidR="009066CC" w:rsidRPr="00F20444" w14:paraId="18955C24" w14:textId="77777777" w:rsidTr="000E23C2">
        <w:trPr>
          <w:trHeight w:val="578"/>
        </w:trPr>
        <w:tc>
          <w:tcPr>
            <w:tcW w:w="0" w:type="auto"/>
            <w:vAlign w:val="center"/>
          </w:tcPr>
          <w:p w14:paraId="39168402" w14:textId="6BE19B7A" w:rsidR="009066CC" w:rsidRPr="004D40DF" w:rsidRDefault="009066CC" w:rsidP="00376C8E">
            <w:pPr>
              <w:jc w:val="center"/>
              <w:rPr>
                <w:color w:val="000000" w:themeColor="text1"/>
                <w:sz w:val="16"/>
                <w:szCs w:val="16"/>
                <w:lang w:val="en-US"/>
              </w:rPr>
            </w:pPr>
            <w:proofErr w:type="spellStart"/>
            <w:r w:rsidRPr="004D40DF">
              <w:rPr>
                <w:color w:val="000000" w:themeColor="text1"/>
                <w:sz w:val="16"/>
                <w:szCs w:val="16"/>
                <w:lang w:val="en-US"/>
              </w:rPr>
              <w:t>Cattaneo</w:t>
            </w:r>
            <w:proofErr w:type="spellEnd"/>
            <w:r w:rsidRPr="004D40DF">
              <w:rPr>
                <w:color w:val="000000" w:themeColor="text1"/>
                <w:sz w:val="16"/>
                <w:szCs w:val="16"/>
                <w:lang w:val="en-US"/>
              </w:rPr>
              <w:t xml:space="preserve"> </w:t>
            </w:r>
            <w:r>
              <w:rPr>
                <w:color w:val="000000" w:themeColor="text1"/>
                <w:sz w:val="16"/>
                <w:szCs w:val="16"/>
                <w:lang w:val="en-US"/>
              </w:rPr>
              <w:t>2016</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{"citationItems":[{"id":"ITEM-1","itemData":{"DOI":"10.1007/s00277-016-2815-7","ISSN":"14320584","PMID":"27650830","abstract":"Multiresistant bacterial infections are a potentially life-threatening condition in acute leukaemia (AL) patients. We aimed to better define the very recent epidemiology and outcome of bloodstream infections (BSIs) in a real-life setting. We prospectively collected all consecutive febrile/infectious episodes occurring in AL patients admitted to 9 haematology units. In 293 AL patients, 433 BSIs were diagnosed. Gram-positive (GP) bacteria were isolated in 44.8 % BSI and Gram-negative (GN) in 38.3 %, while polymicrobial aetiology- or fungi-related events were identified in 15.7 and 1.1 % of the cases, respectively. GP was observed more frequently in patients not in complete remission (p = 0.04), while GN during consolidation cycles (p = 0.003). Extended spectrum β-lactamase-producing strains accounted for 23.2 % of enterobacteria. They were associated with previous antibiotic exposure, including fluoroquinolones prophylaxis (p = 0.01). Carbapenem-resistant (CR) strains occurred in 9 % of enterobacteria. Among Pseudomonas aeruginosa strains, 21.6 % were multiresistant. Overall 30-day mortality was 8.5 %. CR GN and multiresistant P. aeruginosa BSIs were independent predictors of death (p = 0.002), as well as relapsed/resistant AL (18.3 %; p = 0.0002) and the presence of pulmonary infiltrates (26.6 %; p &lt; 0.001). Although GP still predominate over GN BSI, the percentage of antibiotic resistant GN strains is considerable in AL patients and it is associated with poor prognosis.","author":[{"dropping-particle":"","family":"Cattaneo","given":"Chiara","non-dropping-particle":"","parse-names":false,"suffix":""},{"dropping-particle":"","family":"Zappasodi","given":"P.","non-dropping-particle":"","parse-names":false,"suffix":""},{"dropping-particle":"","family":"Mancini","given":"V.","non-dropping-particle":"","parse-names":false,"suffix":""},{"dropping-particle":"","family":"Annaloro","given":"C.","non-dropping-particle":"","parse-names":false,"suffix":""},{"dropping-particle":"","family":"Pavesi","given":"F.","non-dropping-particle":"","parse-names":false,"suffix":""},{"dropping-particle":"","family":"Skert","given":"C.","non-dropping-particle":"","parse-names":false,"suffix":""},{"dropping-particle":"","family":"Ferrario","given":"A.","non-dropping-particle":"","parse-names":false,"suffix":""},{"dropping-particle":"","family":"Todisco","given":"E.","non-dropping-particle":"","parse-names":false,"suffix":""},{"dropping-particle":"","family":"Saccà","given":"V.","non-dropping-particle":"","parse-names":false,"suffix":""},{"dropping-particle":"","family":"Verga","given":"L.","non-dropping-particle":"","parse-names":false,"suffix":""},{"dropping-particle":"","family":"Passi","given":"A.","non-dropping-particle":"","parse-names":false,"suffix":""},{"dropping-particle":"","family":"Vià","given":"M.","non-dropping-particle":"Da","parse-names":false,"suffix":""},{"dropping-particle":"","family":"Ferrari","given":"S.","non-dropping-particle":"","parse-names":false,"suffix":""},{"dropping-particle":"","family":"Mometto","given":"G.","non-dropping-particle":"","parse-names":false,"suffix":""},{"dropping-particle":"","family":"Petullà","given":"M.","non-dropping-particle":"","parse-names":false,"suffix":""},{"dropping-particle":"","family":"Nosari","given":"A.","non-dropping-particle":"","parse-names":false,"suffix":""},{"dropping-particle":"","family":"Rossi","given":"G.","non-dropping-particle":"","parse-names":false,"suffix":""}],"container-title":"Annals of Hematology","id":"ITEM-1","issue":"12","issued":{"date-parts":[["2016"]]},"page":"1955-1963","publisher":"Annals of Hematology","title":"Emerging resistant bacteria strains in bloodstream infections of acute leukaemia patients: results of a prospective study by the Rete Ematologica Lombarda (Rel)","type":"article-journal","volume":"95"},"uris":["http://www.mendeley.com/documents/?uuid=7a2ffd7e-fdc7-44ee-8102-05ab133833cd"]}],"mendeley":{"formattedCitation":"&lt;sup&gt;18&lt;/sup&gt;","plainTextFormattedCitation":"18","previouslyFormattedCitation":"&lt;sup&gt;18&lt;/sup&gt;"},"properties":{"noteIndex":0},"schema":"https://github.com/citation-style-language/schema/raw/master/csl-citation.json"}</w:instrText>
            </w:r>
            <w:r>
              <w:rPr>
                <w:color w:val="000000" w:themeColor="text1"/>
                <w:sz w:val="16"/>
                <w:szCs w:val="16"/>
                <w:lang w:val="en-US"/>
              </w:rPr>
              <w:fldChar w:fldCharType="separate"/>
            </w:r>
            <w:r w:rsidRPr="00B140EA">
              <w:rPr>
                <w:noProof/>
                <w:color w:val="000000" w:themeColor="text1"/>
                <w:sz w:val="16"/>
                <w:szCs w:val="16"/>
                <w:vertAlign w:val="superscript"/>
                <w:lang w:val="en-US"/>
              </w:rPr>
              <w:t>18</w:t>
            </w:r>
            <w:r>
              <w:rPr>
                <w:color w:val="000000" w:themeColor="text1"/>
                <w:sz w:val="16"/>
                <w:szCs w:val="16"/>
                <w:lang w:val="en-US"/>
              </w:rPr>
              <w:fldChar w:fldCharType="end"/>
            </w:r>
          </w:p>
        </w:tc>
        <w:tc>
          <w:tcPr>
            <w:tcW w:w="0" w:type="auto"/>
            <w:vAlign w:val="center"/>
          </w:tcPr>
          <w:p w14:paraId="4CC3CB7B" w14:textId="6755A236" w:rsidR="009066CC" w:rsidRPr="00540E80" w:rsidRDefault="009066CC" w:rsidP="00376C8E">
            <w:pPr>
              <w:jc w:val="center"/>
              <w:rPr>
                <w:sz w:val="16"/>
                <w:szCs w:val="16"/>
                <w:lang w:val="en-US"/>
              </w:rPr>
            </w:pPr>
            <w:r w:rsidRPr="00540E80">
              <w:rPr>
                <w:sz w:val="16"/>
                <w:szCs w:val="16"/>
                <w:lang w:val="en-US"/>
              </w:rPr>
              <w:t>Retrospective; multicenter; Italy</w:t>
            </w:r>
          </w:p>
        </w:tc>
        <w:tc>
          <w:tcPr>
            <w:tcW w:w="0" w:type="auto"/>
            <w:vAlign w:val="center"/>
          </w:tcPr>
          <w:p w14:paraId="0E6219E2" w14:textId="5B3CEDEC" w:rsidR="009066CC" w:rsidRDefault="009066CC" w:rsidP="00376C8E">
            <w:pPr>
              <w:jc w:val="center"/>
              <w:rPr>
                <w:color w:val="000000" w:themeColor="text1"/>
                <w:sz w:val="16"/>
                <w:szCs w:val="16"/>
                <w:lang w:val="en-US"/>
              </w:rPr>
            </w:pPr>
            <w:r>
              <w:rPr>
                <w:color w:val="000000" w:themeColor="text1"/>
                <w:sz w:val="16"/>
                <w:szCs w:val="16"/>
                <w:lang w:val="en-US"/>
              </w:rPr>
              <w:t>HM, AL (n = 275) [adult]</w:t>
            </w:r>
          </w:p>
        </w:tc>
        <w:tc>
          <w:tcPr>
            <w:tcW w:w="0" w:type="auto"/>
            <w:vAlign w:val="center"/>
          </w:tcPr>
          <w:p w14:paraId="6487B1AA" w14:textId="055C674D" w:rsidR="009066CC" w:rsidRDefault="009066CC" w:rsidP="00376C8E">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44B7BA4C" w14:textId="1696F272"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5772D2E5" w14:textId="37DFBA29"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6B117A7F" w14:textId="1CF579F5" w:rsidR="009066CC" w:rsidRDefault="009066CC" w:rsidP="00376C8E">
            <w:pPr>
              <w:jc w:val="center"/>
              <w:rPr>
                <w:color w:val="000000" w:themeColor="text1"/>
                <w:sz w:val="16"/>
                <w:szCs w:val="16"/>
                <w:lang w:val="en-US"/>
              </w:rPr>
            </w:pPr>
            <w:r>
              <w:rPr>
                <w:color w:val="000000" w:themeColor="text1"/>
                <w:sz w:val="16"/>
                <w:szCs w:val="16"/>
                <w:lang w:val="en-US"/>
              </w:rPr>
              <w:t>Increased (ESBL BSI)</w:t>
            </w:r>
          </w:p>
        </w:tc>
      </w:tr>
      <w:tr w:rsidR="009066CC" w:rsidRPr="00F20444" w14:paraId="08B9DF46" w14:textId="77777777" w:rsidTr="000E23C2">
        <w:trPr>
          <w:trHeight w:val="578"/>
        </w:trPr>
        <w:tc>
          <w:tcPr>
            <w:tcW w:w="0" w:type="auto"/>
            <w:vAlign w:val="center"/>
          </w:tcPr>
          <w:p w14:paraId="14E885CD" w14:textId="1DC96128" w:rsidR="009066CC" w:rsidRPr="004D40DF" w:rsidRDefault="009066CC" w:rsidP="00376C8E">
            <w:pPr>
              <w:jc w:val="center"/>
              <w:rPr>
                <w:color w:val="000000" w:themeColor="text1"/>
                <w:sz w:val="16"/>
                <w:szCs w:val="16"/>
                <w:lang w:val="en-US"/>
              </w:rPr>
            </w:pPr>
            <w:r w:rsidRPr="00540E80">
              <w:rPr>
                <w:sz w:val="16"/>
                <w:szCs w:val="16"/>
                <w:lang w:val="en-US"/>
              </w:rPr>
              <w:t xml:space="preserve">Caro </w:t>
            </w:r>
            <w:r>
              <w:rPr>
                <w:sz w:val="16"/>
                <w:szCs w:val="16"/>
                <w:lang w:val="en-US"/>
              </w:rPr>
              <w:t>2022</w:t>
            </w:r>
            <w:r>
              <w:rPr>
                <w:sz w:val="16"/>
                <w:szCs w:val="16"/>
                <w:lang w:val="en-US"/>
              </w:rPr>
              <w:fldChar w:fldCharType="begin" w:fldLock="1"/>
            </w:r>
            <w:r>
              <w:rPr>
                <w:sz w:val="16"/>
                <w:szCs w:val="16"/>
                <w:lang w:val="en-US"/>
              </w:rPr>
              <w:instrText>ADDIN CSL_CITATION {"citationItems":[{"id":"ITEM-1","itemData":{"DOI":"10.1016/j.clml.2022.08.001","ISBN":"5167348900","ISSN":"21522669","PMID":"36109322","abstract":"Introduction: Fluoroquinolone prophylaxis is recommended during induction chemotherapy for patients with acute myeloid leukemia (AML) to reduce risk of neutropenic fever and systemic bacterial infections. We evaluated the effectiveness of primary fluoroquinolone prophylaxis in an area with high fluoroquinolone resistance. Materials and Methods: We performed a retrospective chart review of newly diagnosed adult AML patients who received frontline therapy at Mount Sinai Hospital in New York, NY, between 2012 and 2019. Primary outcome was development of neutropenic fever. Secondary outcomes were development of systemic bacterial infections and infections with multidrug-resistant organisms and Clostridioides difficile. Infectious outcomes were collected through 6 months after therapy initiation. We estimated the effect of fluoroquinolone prophylaxis with a time-dependent Cox proportional hazards model. Results: Of 121 included patients, 87 received antibiotic prophylaxis and 34 did not. There was no difference in baseline characteristics, although the prophylaxis group had longer neutropenia duration (median 30 vs. 23 days, P = .013). The prophylaxis group had a reduced risk of neutropenic fever (hazard ratio 0.59, P = .039). The prophylaxis group had fewer gram-positive (P = .043) and gram-negative (P = .049) bloodstream infections and fewer clinically documented infections during frontline therapy (P = .005) and follow-up (P = .026). There was no difference in incidence of C. difficile or infection with fluoroquinolone-resistant or multidrug-resistant organisms. There was no mortality difference between groups. Conclusion: In an area with high fluoroquinolone resistance, primary fluoroquinolone prophylaxis in newly diagnosed AML patients reduced the risk of neutropenic fever and systemic bacterial infections without increased antimicrobial resistance. Prospective, randomized studies are needed to confirm these observations.","author":[{"dropping-particle":"","family":"Caro","given":"Jessica","non-dropping-particle":"","parse-names":false,"suffix":""},{"dropping-particle":"","family":"Madero-Marroquin","given":"Rafael","non-dropping-particle":"","parse-names":false,"suffix":""},{"dropping-particle":"","family":"Zubizarreta","given":"Nicole","non-dropping-particle":"","parse-names":false,"suffix":""},{"dropping-particle":"","family":"Moshier","given":"Erin","non-dropping-particle":"","parse-names":false,"suffix":""},{"dropping-particle":"","family":"Tremblay","given":"Douglas","non-dropping-particle":"","parse-names":false,"suffix":""},{"dropping-particle":"","family":"Coltoff","given":"Alex","non-dropping-particle":"","parse-names":false,"suffix":""},{"dropping-particle":"","family":"Lancman","given":"Guido","non-dropping-particle":"","parse-names":false,"suffix":""},{"dropping-particle":"","family":"Fuller","given":"Risa","non-dropping-particle":"","parse-names":false,"suffix":""},{"dropping-particle":"","family":"Rana","given":"Meenakshi","non-dropping-particle":"","parse-names":false,"suffix":""},{"dropping-particle":"","family":"Mascarenhas","given":"John","non-dropping-particle":"","parse-names":false,"suffix":""},{"dropping-particle":"","family":"Jacobs","given":"Samantha E.","non-dropping-particle":"","parse-names":false,"suffix":""}],"container-title":"Clinical Lymphoma, Myeloma and Leukemia","id":"ITEM-1","issue":"12","issued":{"date-parts":[["2022"]]},"page":"903-911","publisher":"Elsevier Inc.","title":"Impact of Fluoroquinolone Prophylaxis on Neutropenic Fever, Infections, and Antimicrobial Resistance in Newly Diagnosed AML Patients","type":"article-journal","volume":"22"},"uris":["http://www.mendeley.com/documents/?uuid=f7ad9289-6d92-46a1-af35-781956aa5b23"]}],"mendeley":{"formattedCitation":"&lt;sup&gt;19&lt;/sup&gt;","plainTextFormattedCitation":"19","previouslyFormattedCitation":"&lt;sup&gt;19&lt;/sup&gt;"},"properties":{"noteIndex":0},"schema":"https://github.com/citation-style-language/schema/raw/master/csl-citation.json"}</w:instrText>
            </w:r>
            <w:r>
              <w:rPr>
                <w:sz w:val="16"/>
                <w:szCs w:val="16"/>
                <w:lang w:val="en-US"/>
              </w:rPr>
              <w:fldChar w:fldCharType="separate"/>
            </w:r>
            <w:r w:rsidRPr="00B140EA">
              <w:rPr>
                <w:noProof/>
                <w:sz w:val="16"/>
                <w:szCs w:val="16"/>
                <w:vertAlign w:val="superscript"/>
                <w:lang w:val="en-US"/>
              </w:rPr>
              <w:t>19</w:t>
            </w:r>
            <w:r>
              <w:rPr>
                <w:sz w:val="16"/>
                <w:szCs w:val="16"/>
                <w:lang w:val="en-US"/>
              </w:rPr>
              <w:fldChar w:fldCharType="end"/>
            </w:r>
          </w:p>
        </w:tc>
        <w:tc>
          <w:tcPr>
            <w:tcW w:w="0" w:type="auto"/>
            <w:vAlign w:val="center"/>
          </w:tcPr>
          <w:p w14:paraId="3F439DCA" w14:textId="40ACEE10" w:rsidR="009066CC" w:rsidRPr="009066CC" w:rsidRDefault="009066CC" w:rsidP="00376C8E">
            <w:pPr>
              <w:jc w:val="center"/>
              <w:rPr>
                <w:sz w:val="16"/>
                <w:szCs w:val="16"/>
                <w:lang w:val="en-US"/>
              </w:rPr>
            </w:pPr>
            <w:r w:rsidRPr="009066CC">
              <w:rPr>
                <w:sz w:val="16"/>
                <w:szCs w:val="16"/>
                <w:lang w:val="en-US"/>
              </w:rPr>
              <w:t>Retrospective; single center; USA</w:t>
            </w:r>
          </w:p>
        </w:tc>
        <w:tc>
          <w:tcPr>
            <w:tcW w:w="0" w:type="auto"/>
            <w:vAlign w:val="center"/>
          </w:tcPr>
          <w:p w14:paraId="20092706" w14:textId="4535C011" w:rsidR="009066CC" w:rsidRDefault="009066CC" w:rsidP="00376C8E">
            <w:pPr>
              <w:jc w:val="center"/>
              <w:rPr>
                <w:color w:val="000000" w:themeColor="text1"/>
                <w:sz w:val="16"/>
                <w:szCs w:val="16"/>
                <w:lang w:val="en-US"/>
              </w:rPr>
            </w:pPr>
            <w:r>
              <w:rPr>
                <w:color w:val="000000" w:themeColor="text1"/>
                <w:sz w:val="16"/>
                <w:szCs w:val="16"/>
                <w:lang w:val="en-US"/>
              </w:rPr>
              <w:t>HM, AML (n = 121) [adult]</w:t>
            </w:r>
          </w:p>
        </w:tc>
        <w:tc>
          <w:tcPr>
            <w:tcW w:w="0" w:type="auto"/>
            <w:vAlign w:val="center"/>
          </w:tcPr>
          <w:p w14:paraId="1A2AE673" w14:textId="78C380DA" w:rsidR="009066CC" w:rsidRDefault="009066CC" w:rsidP="00376C8E">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7AD79860" w14:textId="7EF0F6CB"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3BFD8978" w14:textId="7D38CC0B"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088F9E55" w14:textId="06F8BD68" w:rsidR="009066CC" w:rsidRDefault="009066CC" w:rsidP="00376C8E">
            <w:pPr>
              <w:jc w:val="center"/>
              <w:rPr>
                <w:color w:val="000000" w:themeColor="text1"/>
                <w:sz w:val="16"/>
                <w:szCs w:val="16"/>
                <w:lang w:val="en-US"/>
              </w:rPr>
            </w:pPr>
            <w:r>
              <w:rPr>
                <w:color w:val="000000" w:themeColor="text1"/>
                <w:sz w:val="16"/>
                <w:szCs w:val="16"/>
                <w:lang w:val="en-US"/>
              </w:rPr>
              <w:t>Unchanged</w:t>
            </w:r>
            <w:r w:rsidDel="00F6654F">
              <w:rPr>
                <w:color w:val="000000" w:themeColor="text1"/>
                <w:sz w:val="16"/>
                <w:szCs w:val="16"/>
                <w:lang w:val="en-US"/>
              </w:rPr>
              <w:t xml:space="preserve"> </w:t>
            </w:r>
            <w:r>
              <w:rPr>
                <w:color w:val="000000" w:themeColor="text1"/>
                <w:sz w:val="16"/>
                <w:szCs w:val="16"/>
                <w:lang w:val="en-US"/>
              </w:rPr>
              <w:t>(FQ-R and MDR BSI)</w:t>
            </w:r>
          </w:p>
        </w:tc>
      </w:tr>
      <w:tr w:rsidR="009066CC" w:rsidRPr="00F20444" w14:paraId="1B78FEEC" w14:textId="77777777" w:rsidTr="000E23C2">
        <w:trPr>
          <w:trHeight w:val="578"/>
        </w:trPr>
        <w:tc>
          <w:tcPr>
            <w:tcW w:w="0" w:type="auto"/>
            <w:vAlign w:val="center"/>
          </w:tcPr>
          <w:p w14:paraId="307713AF" w14:textId="74154DEA" w:rsidR="009066CC" w:rsidRPr="003F32CA" w:rsidRDefault="009066CC" w:rsidP="00376C8E">
            <w:pPr>
              <w:jc w:val="center"/>
              <w:rPr>
                <w:color w:val="000000" w:themeColor="text1"/>
                <w:sz w:val="16"/>
                <w:szCs w:val="16"/>
                <w:lang w:val="en-US"/>
              </w:rPr>
            </w:pPr>
            <w:proofErr w:type="spellStart"/>
            <w:r w:rsidRPr="009066CC">
              <w:rPr>
                <w:sz w:val="16"/>
                <w:szCs w:val="16"/>
                <w:lang w:val="en-US"/>
              </w:rPr>
              <w:t>Clerici</w:t>
            </w:r>
            <w:proofErr w:type="spellEnd"/>
            <w:r w:rsidRPr="009066CC">
              <w:rPr>
                <w:sz w:val="16"/>
                <w:szCs w:val="16"/>
                <w:lang w:val="en-US"/>
              </w:rPr>
              <w:t xml:space="preserve"> 2023</w:t>
            </w:r>
            <w:r>
              <w:rPr>
                <w:sz w:val="16"/>
                <w:szCs w:val="16"/>
              </w:rPr>
              <w:fldChar w:fldCharType="begin" w:fldLock="1"/>
            </w:r>
            <w:r w:rsidRPr="009066CC">
              <w:rPr>
                <w:sz w:val="16"/>
                <w:szCs w:val="16"/>
                <w:lang w:val="en-US"/>
              </w:rPr>
              <w:instrText>ADDIN CSL_CITATION {"citationItems":[{"id":"ITEM-1","itemData":{"DOI":"10.1182/bloodadvances.2022008226","ISSN":"24739537","PMID":"36409602","abstract":"Fluoroquinolone prophylaxis’s (FQ-P) usefulness in patients with neutropenia is controversial. In recent decades, Italian epidemiological data has shown worrisome rates of FQ resistance. A single-center cohort study on 136 autologous stem cell transplantations (ASCTs) and 223 allogeneic hematopoietic stem cell transplantations (allo-HSCTs) was performed from January 2018 to December 2020. Piperacillin/tazobactam was the first-line therapy for febrile neutropenia (FN). Since February 2019, FQ-P has been omitted. We evaluated the day +30 posttransplant cumulative incidence function (CIF) of gram-negative bacteria pre-engraftment bloodstream infections (PE-BSIs) and any changes in antimicrobial resistance, FN, and infection-related mortality (IRM). In ASCTs, ≥1 FN episode occurred in 74.3% of transplants, without differences among groups (P = .66). CIF of gram-negative bacteria PE-BSI was 10.1%, with a significant difference according to FQ-P (0% [LEVO-group] vs 14.1% [NO-LEVO-group], P = .016). CIF of IRM was 0% in both groups. In allo-HSCTs, ≥1 FN episode occurred in 96.4% of transplants, without differences among groups (P = .72). CIF of gram-negative bacteria PE-BSI was 28%, sig</w:instrText>
            </w:r>
            <w:r w:rsidRPr="000E23C2">
              <w:rPr>
                <w:sz w:val="16"/>
                <w:szCs w:val="16"/>
                <w:lang w:val="en-US"/>
              </w:rPr>
              <w:instrText>nificantl</w:instrText>
            </w:r>
            <w:r>
              <w:rPr>
                <w:sz w:val="16"/>
                <w:szCs w:val="16"/>
              </w:rPr>
              <w:instrText>y higher without FQ-P (14.7% [LEVO-group] vs 34.4% [NO-LEVO-group], P = .003). CIF of IRM was 5%, superimposable in both groups (P = .62). Comparing antimicrobial resistance among gram-negative bacteria of allo-HSCT setting, in the group without FQ-P, a significantly higher proportion of pathogens was susceptible to piperacillin/tazobactam (71% vs 30%, P = .026), FQ (49% vs 10%, P = .03), and carbapenems (95% vs 50%, P = .001). FQ-P discontinuation increased gram-negative bacteria PE-BSI but did not impact IRM, both in the ASCT and allo-HSCT settings; importantly, it concurred to significantly decrease antimicrobial resistance in gram-negative bacteria.","author":[{"dropping-particle":"","family":"Clerici","given":"Daniela","non-dropping-particle":"","parse-names":false,"suffix":""},{"dropping-particle":"","family":"Galli","given":"Laura","non-dropping-particle":"","parse-names":false,"suffix":""},{"dropping-particle":"","family":"Greco","given":"Raffaella","non-dropping-particle":"","parse-names":false,"suffix":""},{"dropping-particle":"","family":"Lugli","given":"Anna P.","non-dropping-particle":"","parse-names":false,"suffix":""},{"dropping-particle":"","family":"Erbella","given":"Federico","non-dropping-particle":"","parse-names":false,"suffix":""},{"dropping-particle":"","family":"Ripa","given":"Marco","non-dropping-particle":"","parse-names":false,"suffix":""},{"dropping-particle":"","family":"Din","given":"Chiara Tassan","non-dropping-particle":"","parse-names":false,"suffix":""},{"dropping-particle":"","family":"Nitti","given":"Rosamaria","non-dropping-particle":"","parse-names":false,"suffix":""},{"dropping-particle":"","family":"Giglio","given":"Fabio","non-dropping-particle":"","parse-names":false,"suffix":""},{"dropping-particle":"","family":"Mastaglio","given":"Sara","non-dropping-particle":"","parse-names":false,"suffix":""},{"dropping-particle":"","family":"Lorentino","given":"Francesca","non-dropping-particle":"","parse-names":false,"suffix":""},{"dropping-particle":"","family":"Xue","given":"Elisabetta","non-dropping-particle":"","parse-names":false,"suffix":""},{"dropping-particle":"","family":"Farina","given":"Francesca","non-dropping-particle":"","parse-names":false,"suffix":""},{"dropping-particle":"","family":"Liberatore","given":"Carmine","non-dropping-particle":"","parse-names":false,"suffix":""},{"dropping-particle":"","family":"Poli","given":"Andrea","non-dropping-particle":"","parse-names":false,"suffix":""},{"dropping-particle":"","family":"Carletti","given":"Silvia","non-dropping-particle":"","parse-names":false,"suffix":""},{"dropping-particle":"","family":"Lupo Stanghellini","given":"Maria T.","non-dropping-particle":"","parse-names":false,"suffix":""},{"dropping-particle":"","family":"Carrabba","given":"Matteo G.","non-dropping-particle":"","parse-names":false,"suffix":""},{"dropping-particle":"","family":"Assanelli","given":"Andrea A.","non-dropping-particle":"","parse-names":false,"suffix":""},{"dropping-particle":"","family":"Ruggeri","given":"Annalisa","non-dropping-particle":"","parse-names":false,"suffix":""},{"dropping-particle":"","family":"Bernardi","given":"Massimo","non-dropping-particle":"","parse-names":false,"suffix":""},{"dropping-particle":"","fami</w:instrText>
            </w:r>
            <w:r w:rsidRPr="003F32CA">
              <w:rPr>
                <w:sz w:val="16"/>
                <w:szCs w:val="16"/>
                <w:lang w:val="en-US"/>
              </w:rPr>
              <w:instrText>ly":"Corti","given":"Consuelo","non-dropping-particle":"","parse-names":false,"suffix":""},{"dropping-particle":"","family":"Peccatori","given":"Jacopo","non-dropping-particle":"","parse-names":false,"suffix":""},{"dropping-particle":"","family":"Mancini","given":"Nicasio","non-dropping-particle":"","parse-names":false,"suffix":""},{"dropping-particle":"","family":"Scarpellini","given":"Paolo","non-dropping-particle":"","parse-names":false,"suffix":""},{"dropping-particle":"","family":"Ciceri","given":"Fabio","non-dropping-particle":"","parse-names":false,"suffix":""},{"dropping-particle":"","family":"Castagna","given":"Antonella","non-dropping-particle":"","parse-names":false,"suffix":""},{"dropping-particle":"","family":"Oltolini","given":"Chiara","non-dropping-particle":"","parse-names":false,"suffix":""}],"container-title":"Blood Advances","id":"ITEM-1","issue":"9","issued":{"date-parts":[["2023"]]},"page":"1621-1634","publisher":"The American Society of Hematology","title":"Levofloxacin prophylaxis vs no prophylaxis in patients with neutropenia within an endemic country for carbapenem-resistant GNB","type":"article-journal","volume":"7"},"uris":["http://www.mendeley.com/documents/?uuid=5b17f481-d55f-4944-be7a-5fad4f747f3b"]}],"mendeley":{"formattedCitation":"&lt;sup&gt;20&lt;/sup&gt;","plainTextFormattedCitation":"20","previouslyFormattedCitation":"&lt;sup&gt;20&lt;/sup&gt;"},"properties":{"noteIndex":0},"schema":"https://github.com/citation-style-language/schema/raw/master/csl-citation.json"}</w:instrText>
            </w:r>
            <w:r>
              <w:rPr>
                <w:sz w:val="16"/>
                <w:szCs w:val="16"/>
              </w:rPr>
              <w:fldChar w:fldCharType="separate"/>
            </w:r>
            <w:r w:rsidRPr="003F32CA">
              <w:rPr>
                <w:noProof/>
                <w:sz w:val="16"/>
                <w:szCs w:val="16"/>
                <w:vertAlign w:val="superscript"/>
                <w:lang w:val="en-US"/>
              </w:rPr>
              <w:t>20</w:t>
            </w:r>
            <w:r>
              <w:rPr>
                <w:sz w:val="16"/>
                <w:szCs w:val="16"/>
              </w:rPr>
              <w:fldChar w:fldCharType="end"/>
            </w:r>
          </w:p>
        </w:tc>
        <w:tc>
          <w:tcPr>
            <w:tcW w:w="0" w:type="auto"/>
            <w:vAlign w:val="center"/>
          </w:tcPr>
          <w:p w14:paraId="681E6C41" w14:textId="5FFC3B82" w:rsidR="009066CC" w:rsidRPr="003F32CA" w:rsidRDefault="009066CC" w:rsidP="00376C8E">
            <w:pPr>
              <w:jc w:val="center"/>
              <w:rPr>
                <w:sz w:val="16"/>
                <w:szCs w:val="16"/>
                <w:lang w:val="en-US"/>
              </w:rPr>
            </w:pPr>
            <w:r w:rsidRPr="003F32CA">
              <w:rPr>
                <w:sz w:val="16"/>
                <w:szCs w:val="16"/>
                <w:lang w:val="en-US"/>
              </w:rPr>
              <w:t>Retrospective; single center; Italy</w:t>
            </w:r>
          </w:p>
        </w:tc>
        <w:tc>
          <w:tcPr>
            <w:tcW w:w="0" w:type="auto"/>
            <w:vAlign w:val="center"/>
          </w:tcPr>
          <w:p w14:paraId="722BFB3D" w14:textId="3575D94D" w:rsidR="009066CC" w:rsidRPr="008901EF" w:rsidRDefault="009066CC" w:rsidP="00376C8E">
            <w:pPr>
              <w:jc w:val="center"/>
              <w:rPr>
                <w:color w:val="000000" w:themeColor="text1"/>
                <w:sz w:val="16"/>
                <w:szCs w:val="16"/>
                <w:lang w:val="en-US"/>
              </w:rPr>
            </w:pPr>
            <w:r w:rsidRPr="008901EF">
              <w:rPr>
                <w:color w:val="000000" w:themeColor="text1"/>
                <w:sz w:val="16"/>
                <w:szCs w:val="16"/>
                <w:lang w:val="en-US"/>
              </w:rPr>
              <w:t xml:space="preserve">Auto </w:t>
            </w:r>
            <w:r w:rsidR="005B5C5E" w:rsidRPr="008901EF">
              <w:rPr>
                <w:color w:val="000000" w:themeColor="text1"/>
                <w:sz w:val="16"/>
                <w:szCs w:val="16"/>
                <w:lang w:val="en-US"/>
              </w:rPr>
              <w:t>HCT</w:t>
            </w:r>
            <w:r w:rsidRPr="008901EF">
              <w:rPr>
                <w:color w:val="000000" w:themeColor="text1"/>
                <w:sz w:val="16"/>
                <w:szCs w:val="16"/>
                <w:lang w:val="en-US"/>
              </w:rPr>
              <w:t xml:space="preserve">, </w:t>
            </w:r>
            <w:proofErr w:type="spellStart"/>
            <w:r w:rsidRPr="008901EF">
              <w:rPr>
                <w:color w:val="000000" w:themeColor="text1"/>
                <w:sz w:val="16"/>
                <w:szCs w:val="16"/>
                <w:lang w:val="en-US"/>
              </w:rPr>
              <w:t>allo</w:t>
            </w:r>
            <w:proofErr w:type="spellEnd"/>
            <w:r w:rsidRPr="008901EF">
              <w:rPr>
                <w:color w:val="000000" w:themeColor="text1"/>
                <w:sz w:val="16"/>
                <w:szCs w:val="16"/>
                <w:lang w:val="en-US"/>
              </w:rPr>
              <w:t xml:space="preserve"> </w:t>
            </w:r>
            <w:r w:rsidR="005B5C5E" w:rsidRPr="008901EF">
              <w:rPr>
                <w:color w:val="000000" w:themeColor="text1"/>
                <w:sz w:val="16"/>
                <w:szCs w:val="16"/>
                <w:lang w:val="en-US"/>
              </w:rPr>
              <w:t>HCT</w:t>
            </w:r>
            <w:r w:rsidRPr="008901EF">
              <w:rPr>
                <w:color w:val="000000" w:themeColor="text1"/>
                <w:sz w:val="16"/>
                <w:szCs w:val="16"/>
                <w:lang w:val="en-US"/>
              </w:rPr>
              <w:t xml:space="preserve"> (n = 233) [adult]</w:t>
            </w:r>
          </w:p>
        </w:tc>
        <w:tc>
          <w:tcPr>
            <w:tcW w:w="0" w:type="auto"/>
            <w:vAlign w:val="center"/>
          </w:tcPr>
          <w:p w14:paraId="1C523625" w14:textId="292916E1" w:rsidR="009066CC" w:rsidRPr="003F32CA" w:rsidRDefault="009066CC" w:rsidP="00376C8E">
            <w:pPr>
              <w:jc w:val="center"/>
              <w:rPr>
                <w:color w:val="000000" w:themeColor="text1"/>
                <w:sz w:val="16"/>
                <w:szCs w:val="16"/>
                <w:lang w:val="en-US"/>
              </w:rPr>
            </w:pPr>
            <w:r w:rsidRPr="003F32CA">
              <w:rPr>
                <w:color w:val="000000" w:themeColor="text1"/>
                <w:sz w:val="16"/>
                <w:szCs w:val="16"/>
                <w:lang w:val="en-US"/>
              </w:rPr>
              <w:t>Levofloxacin</w:t>
            </w:r>
          </w:p>
        </w:tc>
        <w:tc>
          <w:tcPr>
            <w:tcW w:w="0" w:type="auto"/>
            <w:vAlign w:val="center"/>
          </w:tcPr>
          <w:p w14:paraId="18F3DAF9" w14:textId="039CA840" w:rsidR="009066CC" w:rsidRPr="003F32CA" w:rsidRDefault="009066CC" w:rsidP="00376C8E">
            <w:pPr>
              <w:jc w:val="center"/>
              <w:rPr>
                <w:color w:val="000000" w:themeColor="text1"/>
                <w:sz w:val="16"/>
                <w:szCs w:val="16"/>
                <w:lang w:val="en-US"/>
              </w:rPr>
            </w:pPr>
            <w:r w:rsidRPr="003F32CA">
              <w:rPr>
                <w:color w:val="000000" w:themeColor="text1"/>
                <w:sz w:val="16"/>
                <w:szCs w:val="16"/>
                <w:lang w:val="en-US"/>
              </w:rPr>
              <w:t>NA</w:t>
            </w:r>
          </w:p>
        </w:tc>
        <w:tc>
          <w:tcPr>
            <w:tcW w:w="0" w:type="auto"/>
            <w:vAlign w:val="center"/>
          </w:tcPr>
          <w:p w14:paraId="5E243867" w14:textId="2BEF5DAB" w:rsidR="009066CC" w:rsidRPr="003F32CA" w:rsidRDefault="009066CC" w:rsidP="00376C8E">
            <w:pPr>
              <w:jc w:val="center"/>
              <w:rPr>
                <w:color w:val="000000" w:themeColor="text1"/>
                <w:sz w:val="16"/>
                <w:szCs w:val="16"/>
                <w:lang w:val="en-US"/>
              </w:rPr>
            </w:pPr>
            <w:r w:rsidRPr="003F32CA">
              <w:rPr>
                <w:color w:val="000000" w:themeColor="text1"/>
                <w:sz w:val="16"/>
                <w:szCs w:val="16"/>
                <w:lang w:val="en-US"/>
              </w:rPr>
              <w:t>Decrease</w:t>
            </w:r>
          </w:p>
        </w:tc>
        <w:tc>
          <w:tcPr>
            <w:tcW w:w="0" w:type="auto"/>
            <w:vAlign w:val="center"/>
          </w:tcPr>
          <w:p w14:paraId="2E94BF3B" w14:textId="18E9285D" w:rsidR="009066CC" w:rsidRPr="002978AE" w:rsidRDefault="009066CC" w:rsidP="00376C8E">
            <w:pPr>
              <w:jc w:val="center"/>
              <w:rPr>
                <w:color w:val="000000" w:themeColor="text1"/>
                <w:sz w:val="16"/>
                <w:szCs w:val="16"/>
                <w:lang w:val="en-US"/>
              </w:rPr>
            </w:pPr>
            <w:r w:rsidRPr="002978AE">
              <w:rPr>
                <w:color w:val="000000" w:themeColor="text1"/>
                <w:sz w:val="16"/>
                <w:szCs w:val="16"/>
                <w:lang w:val="en-US"/>
              </w:rPr>
              <w:t>Increased (FQ-R, pip/</w:t>
            </w:r>
            <w:proofErr w:type="spellStart"/>
            <w:r w:rsidRPr="002978AE">
              <w:rPr>
                <w:color w:val="000000" w:themeColor="text1"/>
                <w:sz w:val="16"/>
                <w:szCs w:val="16"/>
                <w:lang w:val="en-US"/>
              </w:rPr>
              <w:t>tazo</w:t>
            </w:r>
            <w:proofErr w:type="spellEnd"/>
            <w:r w:rsidRPr="002978AE">
              <w:rPr>
                <w:color w:val="000000" w:themeColor="text1"/>
                <w:sz w:val="16"/>
                <w:szCs w:val="16"/>
                <w:lang w:val="en-US"/>
              </w:rPr>
              <w:t>-R and CR BSI)</w:t>
            </w:r>
          </w:p>
        </w:tc>
      </w:tr>
      <w:tr w:rsidR="009066CC" w:rsidRPr="00F20444" w14:paraId="42182E87" w14:textId="77777777" w:rsidTr="000E23C2">
        <w:trPr>
          <w:trHeight w:val="578"/>
        </w:trPr>
        <w:tc>
          <w:tcPr>
            <w:tcW w:w="0" w:type="auto"/>
            <w:vAlign w:val="center"/>
          </w:tcPr>
          <w:p w14:paraId="08BEAE9C" w14:textId="4718BBB9" w:rsidR="009066CC" w:rsidRPr="004D40DF" w:rsidRDefault="009066CC" w:rsidP="00376C8E">
            <w:pPr>
              <w:jc w:val="center"/>
              <w:rPr>
                <w:color w:val="000000" w:themeColor="text1"/>
                <w:sz w:val="16"/>
                <w:szCs w:val="16"/>
                <w:lang w:val="en-US"/>
              </w:rPr>
            </w:pPr>
            <w:r w:rsidRPr="003F32CA">
              <w:rPr>
                <w:color w:val="000000" w:themeColor="text1"/>
                <w:sz w:val="16"/>
                <w:szCs w:val="16"/>
                <w:lang w:val="en-US"/>
              </w:rPr>
              <w:t>Chung 2019</w:t>
            </w:r>
            <w:r>
              <w:rPr>
                <w:color w:val="000000" w:themeColor="text1"/>
                <w:sz w:val="16"/>
                <w:szCs w:val="16"/>
                <w:lang w:val="en-US"/>
              </w:rPr>
              <w:fldChar w:fldCharType="begin" w:fldLock="1"/>
            </w:r>
            <w:r w:rsidRPr="003F32CA">
              <w:rPr>
                <w:color w:val="000000" w:themeColor="text1"/>
                <w:sz w:val="16"/>
                <w:szCs w:val="16"/>
                <w:lang w:val="en-US"/>
              </w:rPr>
              <w:instrText>ADDIN CSL_CITATION {"citationItems":[{"id":"ITEM-1","itemData":{"DOI":"10.1080/10428194.2018.1488252","ISSN":"1029-2403 (Electronic)","PMID":"30126315","author":[{"dropping-particle":"","family":"Chung","given":"Shimin Jasmine","non-dropping-particle":"","parse-names":false,"suffix":""},{"dropping-particle":"","family":"Miller","given":"Rachel Ann","non-dropping-particle":"","parse-names":false,"suffix":""},{"dropping-particle":"","family":"Permpalung","given":"Nitipong","non-dropping-particle":"","parse-names":false,"suffix":""},{"dropping-particle":"","family":"Baker","given":"Arthur Wakefield","non-dropping-particle":"","parse-names":false,"suffix":""},{"dropping-particle":"","family":"Diehl","given":"Louis Frederic","non-dropping-particle":"","parse-names":false,"suffix":""},{"dropping-particle":"","family":"Rizzieri","given":"David Alan","non-dropping-particle":"","parse-names":false,"suffix":""},{"dropping-particle":"","family":"Alexander","given":"Barbara Dudley","non-dropping-particle":"","parse-names":false,"suffix":""}],"container-title":"Leukemia &amp; lymphoma","id":"ITEM-1","issue":"2","issued":{"date-parts":[["2019","2"]]},"language":"eng","page":"488-492","publisher-place":"United States","title":"Fluoroquinolone prophylaxis reduces febrile neutropenia, bloodstream infections  from mucosal translo</w:instrText>
            </w:r>
            <w:r>
              <w:rPr>
                <w:color w:val="000000" w:themeColor="text1"/>
                <w:sz w:val="16"/>
                <w:szCs w:val="16"/>
                <w:lang w:val="en-US"/>
              </w:rPr>
              <w:instrText>cations, and intensive care admissions in high risk hematological patients, a single center experience.","type":"article","volume":"60"},"uris":["http://www.mendeley.com/documents/?uuid=df6fbd5a-5b7b-4f15-b80f-50af508020d8"]}],"mendeley":{"formattedCitation":"&lt;sup&gt;21&lt;/sup&gt;","plainTextFormattedCitation":"21","previouslyFormattedCitation":"&lt;sup&gt;21&lt;/sup&gt;"},"properties":{"noteIndex":0},"schema":"https://github.com/citation-style-language/schema/raw/master/csl-citation.json"}</w:instrText>
            </w:r>
            <w:r>
              <w:rPr>
                <w:color w:val="000000" w:themeColor="text1"/>
                <w:sz w:val="16"/>
                <w:szCs w:val="16"/>
                <w:lang w:val="en-US"/>
              </w:rPr>
              <w:fldChar w:fldCharType="separate"/>
            </w:r>
            <w:r w:rsidRPr="00B140EA">
              <w:rPr>
                <w:noProof/>
                <w:color w:val="000000" w:themeColor="text1"/>
                <w:sz w:val="16"/>
                <w:szCs w:val="16"/>
                <w:vertAlign w:val="superscript"/>
                <w:lang w:val="en-US"/>
              </w:rPr>
              <w:t>21</w:t>
            </w:r>
            <w:r>
              <w:rPr>
                <w:color w:val="000000" w:themeColor="text1"/>
                <w:sz w:val="16"/>
                <w:szCs w:val="16"/>
                <w:lang w:val="en-US"/>
              </w:rPr>
              <w:fldChar w:fldCharType="end"/>
            </w:r>
          </w:p>
        </w:tc>
        <w:tc>
          <w:tcPr>
            <w:tcW w:w="0" w:type="auto"/>
            <w:vAlign w:val="center"/>
          </w:tcPr>
          <w:p w14:paraId="4B1E2546" w14:textId="6EC6BA17" w:rsidR="009066CC" w:rsidRPr="00B140EA" w:rsidRDefault="009066CC" w:rsidP="00376C8E">
            <w:pPr>
              <w:jc w:val="center"/>
              <w:rPr>
                <w:sz w:val="16"/>
                <w:szCs w:val="16"/>
                <w:lang w:val="en-US"/>
              </w:rPr>
            </w:pPr>
            <w:r w:rsidRPr="00B140EA">
              <w:rPr>
                <w:sz w:val="16"/>
                <w:szCs w:val="16"/>
                <w:lang w:val="en-US"/>
              </w:rPr>
              <w:t>Retrospective (pre-post implementation); single center; USA</w:t>
            </w:r>
          </w:p>
        </w:tc>
        <w:tc>
          <w:tcPr>
            <w:tcW w:w="0" w:type="auto"/>
            <w:vAlign w:val="center"/>
          </w:tcPr>
          <w:p w14:paraId="5E88D17C" w14:textId="58DDE679" w:rsidR="009066CC" w:rsidRDefault="009066CC" w:rsidP="00376C8E">
            <w:pPr>
              <w:jc w:val="center"/>
              <w:rPr>
                <w:color w:val="000000" w:themeColor="text1"/>
                <w:sz w:val="16"/>
                <w:szCs w:val="16"/>
                <w:lang w:val="en-US"/>
              </w:rPr>
            </w:pPr>
            <w:r>
              <w:rPr>
                <w:color w:val="000000" w:themeColor="text1"/>
                <w:sz w:val="16"/>
                <w:szCs w:val="16"/>
                <w:lang w:val="en-US"/>
              </w:rPr>
              <w:t>HM (n = 111) [adult]</w:t>
            </w:r>
          </w:p>
        </w:tc>
        <w:tc>
          <w:tcPr>
            <w:tcW w:w="0" w:type="auto"/>
            <w:vAlign w:val="center"/>
          </w:tcPr>
          <w:p w14:paraId="41D960D5" w14:textId="5B9B0B0C" w:rsidR="009066CC" w:rsidRDefault="009066CC" w:rsidP="00376C8E">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4B649C9A" w14:textId="43C710FC"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6DD895E3" w14:textId="46E375ED"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28FB0C6B" w14:textId="1F2FF1E5" w:rsidR="009066CC" w:rsidRDefault="009066CC" w:rsidP="00376C8E">
            <w:pPr>
              <w:jc w:val="center"/>
              <w:rPr>
                <w:color w:val="000000" w:themeColor="text1"/>
                <w:sz w:val="16"/>
                <w:szCs w:val="16"/>
                <w:lang w:val="en-US"/>
              </w:rPr>
            </w:pPr>
            <w:r>
              <w:rPr>
                <w:color w:val="000000" w:themeColor="text1"/>
                <w:sz w:val="16"/>
                <w:szCs w:val="16"/>
                <w:lang w:val="en-US"/>
              </w:rPr>
              <w:t>Unchanged</w:t>
            </w:r>
            <w:r w:rsidDel="00F6654F">
              <w:rPr>
                <w:color w:val="000000" w:themeColor="text1"/>
                <w:sz w:val="16"/>
                <w:szCs w:val="16"/>
                <w:lang w:val="en-US"/>
              </w:rPr>
              <w:t xml:space="preserve"> </w:t>
            </w:r>
            <w:r>
              <w:rPr>
                <w:color w:val="000000" w:themeColor="text1"/>
                <w:sz w:val="16"/>
                <w:szCs w:val="16"/>
                <w:lang w:val="en-US"/>
              </w:rPr>
              <w:t>(FQ-R and ESBL BSI)</w:t>
            </w:r>
          </w:p>
        </w:tc>
      </w:tr>
      <w:tr w:rsidR="009066CC" w:rsidRPr="00B140EA" w14:paraId="6B8638C6" w14:textId="77777777" w:rsidTr="000E23C2">
        <w:trPr>
          <w:trHeight w:val="578"/>
        </w:trPr>
        <w:tc>
          <w:tcPr>
            <w:tcW w:w="0" w:type="auto"/>
            <w:vAlign w:val="center"/>
          </w:tcPr>
          <w:p w14:paraId="4AA96792" w14:textId="26699E40" w:rsidR="009066CC" w:rsidRPr="004D40DF" w:rsidRDefault="009066CC" w:rsidP="00376C8E">
            <w:pPr>
              <w:jc w:val="center"/>
              <w:rPr>
                <w:color w:val="000000" w:themeColor="text1"/>
                <w:sz w:val="16"/>
                <w:szCs w:val="16"/>
                <w:lang w:val="en-US"/>
              </w:rPr>
            </w:pPr>
            <w:r w:rsidRPr="004D40DF">
              <w:rPr>
                <w:color w:val="000000" w:themeColor="text1"/>
                <w:sz w:val="16"/>
                <w:szCs w:val="16"/>
                <w:lang w:val="en-US"/>
              </w:rPr>
              <w:t xml:space="preserve">Clemmons </w:t>
            </w:r>
            <w:r>
              <w:rPr>
                <w:color w:val="000000" w:themeColor="text1"/>
                <w:sz w:val="16"/>
                <w:szCs w:val="16"/>
                <w:lang w:val="en-US"/>
              </w:rPr>
              <w:t>2019</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{"citationItems":[{"id":"ITEM-1","itemData":{"DOI":"10.1177/1078155217735153","ISSN":"1477092X","PMID":"29059026","abstract":"Background: Patients immediately post-hematopoietic cell transplantation are at high risk for bacteremia. Judicious prophylactic antimicrobial utilization must balance anticipated benefits (reduction infections) versus risk (bacterial resistance, Clostridium difficile). Objective: To compare infectious outcomes (primary: incidence bacteremia; secondary: febrile neutropenia, C. difficile, susceptibility of bacteremia, time to discharge and 30-day mortality) between hematopoietic cell transplantation who received fluoroquinolone prophylaxis to those who did not. Methods: A local institutional review board-approved retrospective study was conducted on all hematopoietic cell transplantation patients (n = 171) comparing those who received fluoroquinolone prophylaxis (n = 105) to those who did not (n = 66). Data included infectious outcomes and mortality for the first 30 days post-hematopoietic cell transplantation. Chi-squared was performed for categorical variables (GraphPad Software Inc., 2015). Secondary analysis compared outcomes within autologous and allogeneic sub-groups. Results: Bacteremia was significantly lower for the overall cohort receiving fluoroquinolone (median duration eight days) versus those without fluoroquinolone (15.2% vs. 31.8%; P &lt; 0.01). No difference was seen in C. difficile infection (P = 0.81) or 30-day mortality (2.9% vs. 4.5%; P = 0.67). In the autologous sub-group (n = 115), bacteremia was significantly lower in the fluoroquinolone cohort (8.5% vs. 27.3%; P = 0.0069), while no differences were seen in C. difficile infection (P = 1) or 30-day mortality (P = 1). In the allogeneic sub-group (n = 56), there was no difference between those with and without fluoroquinolone in bacteremia (29.4% vs. 40.9%; P = 0.4) or C. difficile (P = 0.72); however, there was a trend toward improved 30-day mortality (2.9% vs. 9.1%; P = 0.55). Conclusions: Fluoroquinolone prophylaxis reduces incidence of bacteremia in autologous hematopoietic cell transplantation without increasing C. difficile after hematopoietic cell transplantation.","author":[{"dropping-particle":"","family":"Clemmons","given":"Amber B.","non-dropping-particle":"","parse-names":false,"suffix":""},{"dropping-particle":"","family":"Gandhi","given":"Arpita S.","non-dropping-particle":"","parse-names":false,"suffix":""},{"dropping-particle":"","family":"Albrecht","given":"Benjamin","non-dropping-particle":"","parse-names":false,"suffix":""},{"dropping-particle":"","family":"Jacobson","given":"Stephanie","non-dropping-particle":"","parse-names":false,"suffix":""},{"dropping-particle":"","family":"Pantin","given":"Jeremy","non-dropping-particle":"","parse-names":false,"suffix":""}],"container-title":"Journal of Oncology Pharmacy Practice","id":"ITEM-1","issue":"2","issued":{"date-parts":[["2019"]]},"page":"326-332","title":"Impact of fluoroquinolone prophylaxis on infectious-related outcomes after hematopoietic cell transplantation","type":"article-journal","volume":"25"},"uris":["http://www.mendeley.com/documents/?uuid=dd1a2fa7-837b-4784-b8ba-bc817124140b"]}],"mendeley":{"formattedCitation":"&lt;sup&gt;22&lt;/sup&gt;","plainTextFormattedCitation":"22","previouslyFormattedCitation":"&lt;sup&gt;22&lt;/sup&gt;"},"properties":{"noteIndex":0},"schema":"https://github.com/citation-style-language/schema/raw/master/csl-citation.json"}</w:instrText>
            </w:r>
            <w:r>
              <w:rPr>
                <w:color w:val="000000" w:themeColor="text1"/>
                <w:sz w:val="16"/>
                <w:szCs w:val="16"/>
                <w:lang w:val="en-US"/>
              </w:rPr>
              <w:fldChar w:fldCharType="separate"/>
            </w:r>
            <w:r w:rsidRPr="00B140EA">
              <w:rPr>
                <w:noProof/>
                <w:color w:val="000000" w:themeColor="text1"/>
                <w:sz w:val="16"/>
                <w:szCs w:val="16"/>
                <w:vertAlign w:val="superscript"/>
                <w:lang w:val="en-US"/>
              </w:rPr>
              <w:t>22</w:t>
            </w:r>
            <w:r>
              <w:rPr>
                <w:color w:val="000000" w:themeColor="text1"/>
                <w:sz w:val="16"/>
                <w:szCs w:val="16"/>
                <w:lang w:val="en-US"/>
              </w:rPr>
              <w:fldChar w:fldCharType="end"/>
            </w:r>
          </w:p>
        </w:tc>
        <w:tc>
          <w:tcPr>
            <w:tcW w:w="0" w:type="auto"/>
            <w:vAlign w:val="center"/>
          </w:tcPr>
          <w:p w14:paraId="280793D1" w14:textId="609BB8CD" w:rsidR="009066CC" w:rsidRPr="00B140EA" w:rsidRDefault="009066CC" w:rsidP="00376C8E">
            <w:pPr>
              <w:jc w:val="center"/>
              <w:rPr>
                <w:sz w:val="16"/>
                <w:szCs w:val="16"/>
                <w:lang w:val="en-US"/>
              </w:rPr>
            </w:pPr>
            <w:r w:rsidRPr="00B140EA">
              <w:rPr>
                <w:sz w:val="16"/>
                <w:szCs w:val="16"/>
                <w:lang w:val="en-US"/>
              </w:rPr>
              <w:t>Retrospective; single center; USA</w:t>
            </w:r>
          </w:p>
        </w:tc>
        <w:tc>
          <w:tcPr>
            <w:tcW w:w="0" w:type="auto"/>
            <w:vAlign w:val="center"/>
          </w:tcPr>
          <w:p w14:paraId="45BE7FF5" w14:textId="1BAA4FA1" w:rsidR="009066CC" w:rsidRPr="008901EF" w:rsidRDefault="009066CC" w:rsidP="00376C8E">
            <w:pPr>
              <w:jc w:val="center"/>
              <w:rPr>
                <w:color w:val="000000" w:themeColor="text1"/>
                <w:sz w:val="16"/>
                <w:szCs w:val="16"/>
              </w:rPr>
            </w:pPr>
            <w:r w:rsidRPr="008901EF">
              <w:rPr>
                <w:color w:val="000000" w:themeColor="text1"/>
                <w:sz w:val="16"/>
                <w:szCs w:val="16"/>
              </w:rPr>
              <w:t xml:space="preserve">Auto </w:t>
            </w:r>
            <w:r w:rsidR="005B5C5E" w:rsidRPr="008901EF">
              <w:rPr>
                <w:color w:val="000000" w:themeColor="text1"/>
                <w:sz w:val="16"/>
                <w:szCs w:val="16"/>
              </w:rPr>
              <w:t>HCT</w:t>
            </w:r>
            <w:r w:rsidRPr="008901EF">
              <w:rPr>
                <w:color w:val="000000" w:themeColor="text1"/>
                <w:sz w:val="16"/>
                <w:szCs w:val="16"/>
              </w:rPr>
              <w:t xml:space="preserve">, allo </w:t>
            </w:r>
            <w:r w:rsidR="005B5C5E" w:rsidRPr="008901EF">
              <w:rPr>
                <w:color w:val="000000" w:themeColor="text1"/>
                <w:sz w:val="16"/>
                <w:szCs w:val="16"/>
              </w:rPr>
              <w:t>HCT</w:t>
            </w:r>
            <w:r w:rsidRPr="008901EF">
              <w:rPr>
                <w:color w:val="000000" w:themeColor="text1"/>
                <w:sz w:val="16"/>
                <w:szCs w:val="16"/>
              </w:rPr>
              <w:t xml:space="preserve"> (n = 171) [</w:t>
            </w:r>
            <w:proofErr w:type="spellStart"/>
            <w:r w:rsidRPr="008901EF">
              <w:rPr>
                <w:color w:val="000000" w:themeColor="text1"/>
                <w:sz w:val="16"/>
                <w:szCs w:val="16"/>
              </w:rPr>
              <w:t>adult</w:t>
            </w:r>
            <w:proofErr w:type="spellEnd"/>
            <w:r w:rsidRPr="008901EF">
              <w:rPr>
                <w:color w:val="000000" w:themeColor="text1"/>
                <w:sz w:val="16"/>
                <w:szCs w:val="16"/>
              </w:rPr>
              <w:t>]</w:t>
            </w:r>
          </w:p>
        </w:tc>
        <w:tc>
          <w:tcPr>
            <w:tcW w:w="0" w:type="auto"/>
            <w:vAlign w:val="center"/>
          </w:tcPr>
          <w:p w14:paraId="383FBB56" w14:textId="52D1BF69" w:rsidR="009066CC" w:rsidRDefault="009066CC" w:rsidP="00376C8E">
            <w:pPr>
              <w:jc w:val="center"/>
              <w:rPr>
                <w:color w:val="000000" w:themeColor="text1"/>
                <w:sz w:val="16"/>
                <w:szCs w:val="16"/>
                <w:lang w:val="en-US"/>
              </w:rPr>
            </w:pPr>
            <w:r w:rsidRPr="00B140EA">
              <w:rPr>
                <w:color w:val="000000" w:themeColor="text1"/>
                <w:sz w:val="16"/>
                <w:szCs w:val="16"/>
                <w:lang w:val="en-US"/>
              </w:rPr>
              <w:t>Levofloxacin</w:t>
            </w:r>
          </w:p>
        </w:tc>
        <w:tc>
          <w:tcPr>
            <w:tcW w:w="0" w:type="auto"/>
            <w:vAlign w:val="center"/>
          </w:tcPr>
          <w:p w14:paraId="0002AA36" w14:textId="613690EC" w:rsidR="009066CC" w:rsidRDefault="009066CC" w:rsidP="00376C8E">
            <w:pPr>
              <w:jc w:val="center"/>
              <w:rPr>
                <w:color w:val="000000" w:themeColor="text1"/>
                <w:sz w:val="16"/>
                <w:szCs w:val="16"/>
                <w:lang w:val="en-US"/>
              </w:rPr>
            </w:pPr>
            <w:r w:rsidRPr="00B140EA">
              <w:rPr>
                <w:color w:val="000000" w:themeColor="text1"/>
                <w:sz w:val="16"/>
                <w:szCs w:val="16"/>
                <w:lang w:val="en-US"/>
              </w:rPr>
              <w:t>Decreased</w:t>
            </w:r>
          </w:p>
        </w:tc>
        <w:tc>
          <w:tcPr>
            <w:tcW w:w="0" w:type="auto"/>
            <w:vAlign w:val="center"/>
          </w:tcPr>
          <w:p w14:paraId="0148968A" w14:textId="0562899A" w:rsidR="009066CC" w:rsidRDefault="009066CC" w:rsidP="00376C8E">
            <w:pPr>
              <w:jc w:val="center"/>
              <w:rPr>
                <w:color w:val="000000" w:themeColor="text1"/>
                <w:sz w:val="16"/>
                <w:szCs w:val="16"/>
                <w:lang w:val="en-US"/>
              </w:rPr>
            </w:pPr>
            <w:r w:rsidRPr="00B140EA">
              <w:rPr>
                <w:color w:val="000000" w:themeColor="text1"/>
                <w:sz w:val="16"/>
                <w:szCs w:val="16"/>
                <w:lang w:val="en-US"/>
              </w:rPr>
              <w:t>NA</w:t>
            </w:r>
          </w:p>
        </w:tc>
        <w:tc>
          <w:tcPr>
            <w:tcW w:w="0" w:type="auto"/>
            <w:vAlign w:val="center"/>
          </w:tcPr>
          <w:p w14:paraId="58C3D319" w14:textId="30458095" w:rsidR="009066CC" w:rsidRDefault="009066CC" w:rsidP="00376C8E">
            <w:pPr>
              <w:jc w:val="center"/>
              <w:rPr>
                <w:color w:val="000000" w:themeColor="text1"/>
                <w:sz w:val="16"/>
                <w:szCs w:val="16"/>
                <w:lang w:val="en-US"/>
              </w:rPr>
            </w:pPr>
            <w:r w:rsidRPr="00B140EA">
              <w:rPr>
                <w:color w:val="000000" w:themeColor="text1"/>
                <w:sz w:val="16"/>
                <w:szCs w:val="16"/>
                <w:lang w:val="en-US"/>
              </w:rPr>
              <w:t>NA</w:t>
            </w:r>
          </w:p>
        </w:tc>
      </w:tr>
      <w:tr w:rsidR="009066CC" w:rsidRPr="00F20444" w14:paraId="6F46AF80" w14:textId="77777777" w:rsidTr="000E23C2">
        <w:trPr>
          <w:trHeight w:val="578"/>
        </w:trPr>
        <w:tc>
          <w:tcPr>
            <w:tcW w:w="0" w:type="auto"/>
            <w:vAlign w:val="center"/>
          </w:tcPr>
          <w:p w14:paraId="466A4B47" w14:textId="21C89612" w:rsidR="009066CC" w:rsidRPr="004D40DF" w:rsidRDefault="009066CC" w:rsidP="00BF5947">
            <w:pPr>
              <w:jc w:val="center"/>
              <w:rPr>
                <w:color w:val="000000" w:themeColor="text1"/>
                <w:sz w:val="16"/>
                <w:szCs w:val="16"/>
                <w:lang w:val="en-US"/>
              </w:rPr>
            </w:pPr>
            <w:r w:rsidRPr="00A075D5">
              <w:rPr>
                <w:sz w:val="16"/>
                <w:szCs w:val="16"/>
                <w:lang w:val="en-US"/>
              </w:rPr>
              <w:lastRenderedPageBreak/>
              <w:t xml:space="preserve">Davis </w:t>
            </w:r>
            <w:r>
              <w:rPr>
                <w:sz w:val="16"/>
                <w:szCs w:val="16"/>
                <w:lang w:val="en-US"/>
              </w:rPr>
              <w:t>2022</w:t>
            </w:r>
            <w:r>
              <w:rPr>
                <w:sz w:val="16"/>
                <w:szCs w:val="16"/>
                <w:lang w:val="en-US"/>
              </w:rPr>
              <w:fldChar w:fldCharType="begin" w:fldLock="1"/>
            </w:r>
            <w:r>
              <w:rPr>
                <w:sz w:val="16"/>
                <w:szCs w:val="16"/>
                <w:lang w:val="en-US"/>
              </w:rPr>
              <w:instrText>ADDIN CSL_CITATION {"citationItems":[{"id":"ITEM-1","itemData":{"DOI":"10.1002/pbc.29525","ISSN":"15455017","abstract":"Background: Bloodstream infections (BSIs) cause morbidity and mortality in pediatric patients with leukemia. Antibiotic prophylaxis during periods of chemotherapy-induced neutropenia may reduce the incidence of BSIs. Procedure: A levofloxacin prophylaxis guideline was implemented for pediatric patients with acute myeloid leukemia and relapsed acute lymphoblastic leukemia. We conducted a retrospective cohort study over 4 years (2 years pre and 2 years post implementation) of the practice guideline to assess the impact on central line-associated bloodstream infections (CLABSI) and BSI events. Secondary outcomes included incidence of Clostridioides difficile-associated diarrhea, bacteremia due to multidrug-resistant organisms (MDRO), and bacteremia due to levofloxacin nonsusceptible organisms. STATA was used for data analysis. Results: Sixty-three and 72 patients met inclusion criteria for the pre- and postimplementation cohorts, respectively. Demographics were similar between the groups. We observed 60 BSI events in the pre-group versus 49 events in the post-group (p =.1). Bacteremia due to Gram-negative rods (risk ratio [RR] 0.37 [0.21, 0.66], p &lt;.001) and National Healthcare Safety Network (NHSN) CLABSIs (RR 0.62 [0.44, 0.89], p =.01) were significantly reduced in the postimplementation group. The incidences of C. difficile-associated diarrhea and MDRO bacteremia were similar between groups. However, we observed an increase in the incidence of BSI due to Gram-negative rods that were nonsusceptible to levofloxacin (RR 3.38 [0.72, 6.65], p &lt;.001). Conclusion: Following implementation of a levofloxacin prophylaxis guideline, we observed a significant decrease in BSIs due to Gram-negative rods and NHSN CLABSIs. Vigilant monitoring of outcomes post guideline implementation is critical to track emergence of resistant organisms.","author":[{"dropping-particle":"","family":"Davis","given":"Andrea","non-dropping-particle":"","parse-names":false,"suffix":""},{"dropping-particle":"","family":"Stevens","given":"Alexandra M.","non-dropping-particle":"","parse-names":false,"suffix":""},{"dropping-particle":"","family":"Brackett","given":"Julienne","non-dropping-particle":"","parse-names":false,"suffix":""},{"dropping-particle":"","family":"Marquez","given":"Lucila","non-dropping-particle":"","parse-names":false,"suffix":""},{"dropping-particle":"","family":"Foster","given":"Catherine E.","non-dropping-particle":"","parse-names":false,"suffix":""},{"dropping-particle":"","family":"Sauer","given":"Hannah E.","non-dropping-particle":"","parse-names":false,"suffix":""},{"dropping-particle":"","family":"Campbell","given":"Judith R.","non-dropping-particle":"","parse-names":false,"suffix":""}],"container-title":"Pediatric Blood and Cancer","id":"ITEM-1","issue":"November 2021","issued":{"date-parts":[["2022","1"]]},"page":"1-7","title":"Levofloxacin prophylaxis for pediatric leukemia patients: Longitudinal follow-up for impact on health care-associated infections","type":"article-journal"},"uris":["http://www.mendeley.com/documents/?uuid=d9f00ad9-fda2-4be1-a878-9b504ba5a288"]}],"mendeley":{"formattedCitation":"&lt;sup&gt;23&lt;/sup&gt;","plainTextFormattedCitation":"23","previouslyFormattedCitation":"&lt;sup&gt;23&lt;/sup&gt;"},"properties":{"noteIndex":0},"schema":"https://github.com/citation-style-language/schema/raw/master/csl-citation.json"}</w:instrText>
            </w:r>
            <w:r>
              <w:rPr>
                <w:sz w:val="16"/>
                <w:szCs w:val="16"/>
                <w:lang w:val="en-US"/>
              </w:rPr>
              <w:fldChar w:fldCharType="separate"/>
            </w:r>
            <w:r w:rsidRPr="00B140EA">
              <w:rPr>
                <w:noProof/>
                <w:sz w:val="16"/>
                <w:szCs w:val="16"/>
                <w:vertAlign w:val="superscript"/>
                <w:lang w:val="en-US"/>
              </w:rPr>
              <w:t>23</w:t>
            </w:r>
            <w:r>
              <w:rPr>
                <w:sz w:val="16"/>
                <w:szCs w:val="16"/>
                <w:lang w:val="en-US"/>
              </w:rPr>
              <w:fldChar w:fldCharType="end"/>
            </w:r>
          </w:p>
        </w:tc>
        <w:tc>
          <w:tcPr>
            <w:tcW w:w="0" w:type="auto"/>
            <w:vAlign w:val="center"/>
          </w:tcPr>
          <w:p w14:paraId="252C7A41" w14:textId="26B6C4A9" w:rsidR="009066CC" w:rsidRPr="00BF5947" w:rsidRDefault="009066CC" w:rsidP="00BF5947">
            <w:pPr>
              <w:jc w:val="center"/>
              <w:rPr>
                <w:sz w:val="16"/>
                <w:szCs w:val="16"/>
                <w:lang w:val="en-US"/>
              </w:rPr>
            </w:pPr>
            <w:proofErr w:type="spellStart"/>
            <w:r w:rsidRPr="00AB0CDA">
              <w:rPr>
                <w:color w:val="000000" w:themeColor="text1"/>
                <w:sz w:val="16"/>
                <w:lang w:val="fr-CH"/>
              </w:rPr>
              <w:t>Retrospective</w:t>
            </w:r>
            <w:proofErr w:type="spellEnd"/>
            <w:r w:rsidRPr="00AB0CDA">
              <w:rPr>
                <w:color w:val="000000" w:themeColor="text1"/>
                <w:sz w:val="16"/>
                <w:lang w:val="fr-CH"/>
              </w:rPr>
              <w:t xml:space="preserve"> (</w:t>
            </w:r>
            <w:proofErr w:type="spellStart"/>
            <w:r w:rsidRPr="00AB0CDA">
              <w:rPr>
                <w:color w:val="000000" w:themeColor="text1"/>
                <w:sz w:val="16"/>
                <w:lang w:val="fr-CH"/>
              </w:rPr>
              <w:t>pre</w:t>
            </w:r>
            <w:proofErr w:type="spellEnd"/>
            <w:r w:rsidRPr="00AB0CDA">
              <w:rPr>
                <w:color w:val="000000" w:themeColor="text1"/>
                <w:sz w:val="16"/>
                <w:lang w:val="fr-CH"/>
              </w:rPr>
              <w:t xml:space="preserve">-post </w:t>
            </w:r>
            <w:proofErr w:type="spellStart"/>
            <w:r w:rsidRPr="00AB0CDA">
              <w:rPr>
                <w:color w:val="000000" w:themeColor="text1"/>
                <w:sz w:val="16"/>
                <w:lang w:val="fr-CH"/>
              </w:rPr>
              <w:t>implementation</w:t>
            </w:r>
            <w:proofErr w:type="spellEnd"/>
            <w:r w:rsidRPr="00AB0CDA">
              <w:rPr>
                <w:color w:val="000000" w:themeColor="text1"/>
                <w:sz w:val="16"/>
                <w:lang w:val="fr-CH"/>
              </w:rPr>
              <w:t xml:space="preserve">), </w:t>
            </w:r>
            <w:proofErr w:type="spellStart"/>
            <w:r w:rsidRPr="00AB0CDA">
              <w:rPr>
                <w:color w:val="000000" w:themeColor="text1"/>
                <w:sz w:val="16"/>
                <w:lang w:val="fr-CH"/>
              </w:rPr>
              <w:t>monocentric</w:t>
            </w:r>
            <w:proofErr w:type="spellEnd"/>
            <w:r w:rsidRPr="00AB0CDA">
              <w:rPr>
                <w:color w:val="000000" w:themeColor="text1"/>
                <w:sz w:val="16"/>
                <w:lang w:val="fr-CH"/>
              </w:rPr>
              <w:t>, USA</w:t>
            </w:r>
          </w:p>
        </w:tc>
        <w:tc>
          <w:tcPr>
            <w:tcW w:w="0" w:type="auto"/>
            <w:vAlign w:val="center"/>
          </w:tcPr>
          <w:p w14:paraId="365AC497" w14:textId="4CA35A44" w:rsidR="009066CC" w:rsidRPr="00B140EA" w:rsidRDefault="009066CC" w:rsidP="00BF5947">
            <w:pPr>
              <w:jc w:val="center"/>
              <w:rPr>
                <w:color w:val="000000" w:themeColor="text1"/>
                <w:sz w:val="16"/>
                <w:szCs w:val="16"/>
                <w:lang w:val="en-US"/>
              </w:rPr>
            </w:pPr>
            <w:r>
              <w:rPr>
                <w:color w:val="000000" w:themeColor="text1"/>
                <w:sz w:val="16"/>
                <w:szCs w:val="16"/>
                <w:lang w:val="en-US"/>
              </w:rPr>
              <w:t>HM, AL (n = 135) [pediatric]</w:t>
            </w:r>
          </w:p>
        </w:tc>
        <w:tc>
          <w:tcPr>
            <w:tcW w:w="0" w:type="auto"/>
            <w:vAlign w:val="center"/>
          </w:tcPr>
          <w:p w14:paraId="53349871" w14:textId="6359CF71" w:rsidR="009066CC" w:rsidRPr="00B140EA" w:rsidRDefault="009066CC" w:rsidP="00BF5947">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23C8FABF" w14:textId="4914B927" w:rsidR="009066CC" w:rsidRPr="00B140EA" w:rsidRDefault="009066CC" w:rsidP="00BF5947">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7048471A" w14:textId="3B0FDEEA" w:rsidR="009066CC" w:rsidRPr="00B140EA" w:rsidRDefault="009066CC" w:rsidP="00BF5947">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1FDCA8DB" w14:textId="6AE7975D" w:rsidR="009066CC" w:rsidRPr="00BF5947" w:rsidRDefault="009066CC" w:rsidP="00BF5947">
            <w:pPr>
              <w:jc w:val="center"/>
              <w:rPr>
                <w:color w:val="000000" w:themeColor="text1"/>
                <w:sz w:val="16"/>
                <w:szCs w:val="16"/>
                <w:lang w:val="en-US"/>
              </w:rPr>
            </w:pPr>
            <w:r>
              <w:rPr>
                <w:color w:val="000000" w:themeColor="text1"/>
                <w:sz w:val="16"/>
                <w:szCs w:val="16"/>
                <w:lang w:val="en-US"/>
              </w:rPr>
              <w:t>Increase (FQ-R BSI); Unchanged</w:t>
            </w:r>
            <w:r w:rsidDel="00F6654F">
              <w:rPr>
                <w:color w:val="000000" w:themeColor="text1"/>
                <w:sz w:val="16"/>
                <w:szCs w:val="16"/>
                <w:lang w:val="en-US"/>
              </w:rPr>
              <w:t xml:space="preserve"> </w:t>
            </w:r>
            <w:r>
              <w:rPr>
                <w:color w:val="000000" w:themeColor="text1"/>
                <w:sz w:val="16"/>
                <w:szCs w:val="16"/>
                <w:lang w:val="en-US"/>
              </w:rPr>
              <w:t>(MDR BSI)</w:t>
            </w:r>
          </w:p>
        </w:tc>
      </w:tr>
      <w:tr w:rsidR="009066CC" w:rsidRPr="00F20444" w14:paraId="6EE49E01" w14:textId="77777777" w:rsidTr="000E23C2">
        <w:trPr>
          <w:trHeight w:val="578"/>
        </w:trPr>
        <w:tc>
          <w:tcPr>
            <w:tcW w:w="0" w:type="auto"/>
            <w:vAlign w:val="center"/>
          </w:tcPr>
          <w:p w14:paraId="1FA46099" w14:textId="45C4CBFB" w:rsidR="009066CC" w:rsidRPr="004D40DF" w:rsidRDefault="009066CC" w:rsidP="00376C8E">
            <w:pPr>
              <w:jc w:val="center"/>
              <w:rPr>
                <w:color w:val="000000" w:themeColor="text1"/>
                <w:sz w:val="16"/>
                <w:szCs w:val="16"/>
                <w:lang w:val="en-US"/>
              </w:rPr>
            </w:pPr>
            <w:proofErr w:type="spellStart"/>
            <w:r w:rsidRPr="00A075D5">
              <w:rPr>
                <w:sz w:val="16"/>
                <w:szCs w:val="16"/>
                <w:lang w:val="en-US"/>
              </w:rPr>
              <w:t>Felsenstein</w:t>
            </w:r>
            <w:proofErr w:type="spellEnd"/>
            <w:r w:rsidRPr="00A075D5">
              <w:rPr>
                <w:sz w:val="16"/>
                <w:szCs w:val="16"/>
                <w:lang w:val="en-US"/>
              </w:rPr>
              <w:t xml:space="preserve"> </w:t>
            </w:r>
            <w:r>
              <w:rPr>
                <w:sz w:val="16"/>
                <w:szCs w:val="16"/>
                <w:lang w:val="en-US"/>
              </w:rPr>
              <w:t>2015</w:t>
            </w:r>
            <w:r>
              <w:rPr>
                <w:sz w:val="16"/>
                <w:szCs w:val="16"/>
                <w:lang w:val="en-US"/>
              </w:rPr>
              <w:fldChar w:fldCharType="begin" w:fldLock="1"/>
            </w:r>
            <w:r>
              <w:rPr>
                <w:sz w:val="16"/>
                <w:szCs w:val="16"/>
                <w:lang w:val="en-US"/>
              </w:rPr>
              <w:instrText>ADDIN CSL_CITATION {"citationItems":[{"id":"ITEM-1","itemData":{"DOI":"10.1097/INF.0000000000000591","ISBN":"0000000000000","ISSN":"15320987","PMID":"25764103","abstract":"Background: Intensifying treatment for pediatric acute myeloid leukemia (AML) has improved survival, with infections now being a leading cause of morbidity. Because quinolone prophylaxis is effective in adults with AML and in transplant populations, ciprofloxacin prophylaxis (CPx) was introduced as the standard for pediatric AML. We report here the impact of CPx in this population. Methods: Prevalence of fever and neutropenia, frequency and pathogen spectrum of infections, antibiotic use, supportive care and mortality before and after implementation of CPx were retrospectively compared in children with AML. Results: The cohort included 35 patients with de novo and 10 with relapsed AML, who together underwent 153 chemotherapy courses. Fever and neutropenia resulting in the use of empiric antibiotics occurred in 90% of chemotherapy courses (137/153); this was associated with proven bacteremia in 26%. The use of CPx did not change the incidence of febrile or infectious episodes, number of days of fever or antibiotic treatment or mortality. CPx was associated with a significant decrease in infections caused by Gram-negative rods (13.4% vs 4.7%) but a concomitant significant increase in bacteremia caused by viridans streptococci (12% vs 28%), resulting in no significant overall difference in the incidence of bacteremia between the 2 groups (35.9% vs 31.5%). Conclusions: CPx neither alter the incidence of overall bacteremia nor change the pattern of fever or use of supportive care. Our experience supports further investigation into the use of extended-spectrum quinolone prophylaxis during therapy for pediatric AML.","author":[{"dropping-particle":"","family":"Felsenstein","given":"Susanna","non-dropping-particle":"","parse-names":false,"suffix":""},{"dropping-particle":"","family":"Orgel","given":"Etan","non-dropping-particle":"","parse-names":false,"suffix":""},{"dropping-particle":"","family":"Rushing","given":"Teresa","non-dropping-particle":"","parse-names":false,"suffix":""},{"dropping-particle":"","family":"Fu","given":"Cecilia","non-dropping-particle":"","parse-names":false,"suffix":""},{"dropping-particle":"","family":"Hoffman","given":"Jill A.","non-dropping-particle":"","parse-names":false,"suffix":""}],"container-title":"Pediatric Infectious Disease Journal","id":"ITEM-1","issue":"4","issued":{"date-parts":[["2015"]]},"page":"e78-e84","title":"Clinical and microbiologic outcomes of quinolone prophylaxis in children with acute myeloid leukemia","type":"article-journal","volume":"34"},"uris":["http://www.mendeley.com/documents/?uuid=deb5fa7d-3ccf-4bd8-8819-256978288ff1"]}],"mendeley":{"formattedCitation":"&lt;sup&gt;24&lt;/sup&gt;","plainTextFormattedCitation":"24","previouslyFormattedCitation":"&lt;sup&gt;24&lt;/sup&gt;"},"properties":{"noteIndex":0},"schema":"https://github.com/citation-style-language/schema/raw/master/csl-citation.json"}</w:instrText>
            </w:r>
            <w:r>
              <w:rPr>
                <w:sz w:val="16"/>
                <w:szCs w:val="16"/>
                <w:lang w:val="en-US"/>
              </w:rPr>
              <w:fldChar w:fldCharType="separate"/>
            </w:r>
            <w:r w:rsidRPr="00B140EA">
              <w:rPr>
                <w:noProof/>
                <w:sz w:val="16"/>
                <w:szCs w:val="16"/>
                <w:vertAlign w:val="superscript"/>
                <w:lang w:val="en-US"/>
              </w:rPr>
              <w:t>24</w:t>
            </w:r>
            <w:r>
              <w:rPr>
                <w:sz w:val="16"/>
                <w:szCs w:val="16"/>
                <w:lang w:val="en-US"/>
              </w:rPr>
              <w:fldChar w:fldCharType="end"/>
            </w:r>
          </w:p>
        </w:tc>
        <w:tc>
          <w:tcPr>
            <w:tcW w:w="0" w:type="auto"/>
            <w:vAlign w:val="center"/>
          </w:tcPr>
          <w:p w14:paraId="1770A49C" w14:textId="68F59A27" w:rsidR="009066CC" w:rsidRPr="00B140EA" w:rsidRDefault="009066CC" w:rsidP="00376C8E">
            <w:pPr>
              <w:jc w:val="center"/>
              <w:rPr>
                <w:sz w:val="16"/>
                <w:szCs w:val="16"/>
                <w:lang w:val="en-US"/>
              </w:rPr>
            </w:pPr>
            <w:r>
              <w:rPr>
                <w:color w:val="000000" w:themeColor="text1"/>
                <w:sz w:val="16"/>
                <w:szCs w:val="16"/>
                <w:lang w:val="en-US"/>
              </w:rPr>
              <w:t>Retrospective, monocentric, USA</w:t>
            </w:r>
          </w:p>
        </w:tc>
        <w:tc>
          <w:tcPr>
            <w:tcW w:w="0" w:type="auto"/>
            <w:vAlign w:val="center"/>
          </w:tcPr>
          <w:p w14:paraId="5767BB8E" w14:textId="3127C3A1" w:rsidR="009066CC" w:rsidRPr="00B140EA" w:rsidRDefault="009066CC" w:rsidP="00376C8E">
            <w:pPr>
              <w:jc w:val="center"/>
              <w:rPr>
                <w:color w:val="000000" w:themeColor="text1"/>
                <w:sz w:val="16"/>
                <w:szCs w:val="16"/>
                <w:lang w:val="en-US"/>
              </w:rPr>
            </w:pPr>
            <w:r>
              <w:rPr>
                <w:color w:val="000000" w:themeColor="text1"/>
                <w:sz w:val="16"/>
                <w:szCs w:val="16"/>
                <w:lang w:val="en-US"/>
              </w:rPr>
              <w:t>HM, AML (n = 45) [pediatric]</w:t>
            </w:r>
          </w:p>
        </w:tc>
        <w:tc>
          <w:tcPr>
            <w:tcW w:w="0" w:type="auto"/>
            <w:vAlign w:val="center"/>
          </w:tcPr>
          <w:p w14:paraId="41931859" w14:textId="5D88BBD2" w:rsidR="009066CC" w:rsidRPr="00B140EA" w:rsidRDefault="009066CC" w:rsidP="00376C8E">
            <w:pPr>
              <w:jc w:val="center"/>
              <w:rPr>
                <w:color w:val="000000" w:themeColor="text1"/>
                <w:sz w:val="16"/>
                <w:szCs w:val="16"/>
                <w:lang w:val="en-US"/>
              </w:rPr>
            </w:pPr>
            <w:r>
              <w:rPr>
                <w:color w:val="000000" w:themeColor="text1"/>
                <w:sz w:val="16"/>
                <w:szCs w:val="16"/>
                <w:lang w:val="en-US"/>
              </w:rPr>
              <w:t>Ciprofloxacin</w:t>
            </w:r>
          </w:p>
        </w:tc>
        <w:tc>
          <w:tcPr>
            <w:tcW w:w="0" w:type="auto"/>
            <w:vAlign w:val="center"/>
          </w:tcPr>
          <w:p w14:paraId="4319F19D" w14:textId="619A5A4D" w:rsidR="009066CC" w:rsidRPr="00B140EA"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5556E15C" w14:textId="79873534" w:rsidR="009066CC" w:rsidRPr="00B140EA"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011071A6" w14:textId="5311080C" w:rsidR="009066CC" w:rsidRPr="00B140EA"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F20444" w14:paraId="3BEEFD3C" w14:textId="77777777" w:rsidTr="000E23C2">
        <w:trPr>
          <w:trHeight w:val="578"/>
        </w:trPr>
        <w:tc>
          <w:tcPr>
            <w:tcW w:w="0" w:type="auto"/>
            <w:vAlign w:val="center"/>
          </w:tcPr>
          <w:p w14:paraId="53A435DD" w14:textId="655D35BD" w:rsidR="009066CC" w:rsidRPr="004D40DF" w:rsidRDefault="009066CC" w:rsidP="00376C8E">
            <w:pPr>
              <w:jc w:val="center"/>
              <w:rPr>
                <w:color w:val="000000" w:themeColor="text1"/>
                <w:sz w:val="16"/>
                <w:szCs w:val="16"/>
                <w:lang w:val="en-US"/>
              </w:rPr>
            </w:pPr>
            <w:proofErr w:type="spellStart"/>
            <w:r w:rsidRPr="004D40DF">
              <w:rPr>
                <w:color w:val="000000" w:themeColor="text1"/>
                <w:sz w:val="16"/>
                <w:szCs w:val="16"/>
                <w:lang w:val="en-US"/>
              </w:rPr>
              <w:t>Ganti</w:t>
            </w:r>
            <w:proofErr w:type="spellEnd"/>
            <w:r w:rsidRPr="004D40DF">
              <w:rPr>
                <w:color w:val="000000" w:themeColor="text1"/>
                <w:sz w:val="16"/>
                <w:szCs w:val="16"/>
                <w:lang w:val="en-US"/>
              </w:rPr>
              <w:t xml:space="preserve"> </w:t>
            </w:r>
            <w:r>
              <w:rPr>
                <w:color w:val="000000" w:themeColor="text1"/>
                <w:sz w:val="16"/>
                <w:szCs w:val="16"/>
                <w:lang w:val="en-US"/>
              </w:rPr>
              <w:t>2017</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{"citationItems":[{"id":"ITEM-1","itemData":{"DOI":"10.1007/s00520-016-3436-3","ISSN":"14337339","PMID":"27738797","abstract":"Purpose: This study evaluated the impact of antibacterial prophylaxis with levofloxacin in relapsed/refractory acute myeloid leukemia (AML) patients. Methods: This was a retrospective, single-center, cohort study. Adult patients with relapsed/refractory AML admitted for reinduction chemotherapy between November 1, 2006 and June 15, 2015 were screened for inclusion. A protocol initiating levofloxacin prophylaxis was implemented on December 1, 2013. Patients receiving hypomethylating agents (decitabine/azacitidine) were not administered antibacterial prophylaxis and thus not included in this analysis. Patients receiving broad spectrum antibiotics on day 1 of reinduction chemotherapy or receiving another antibacterial agent for prophylaxis were also excluded. Ninety-seven patients were included in the control group (no prophylaxis), while 48 patients received levofloxacin prophylaxis. Patients in the prophylaxis group received levofloxacin 500 mg once daily on day 1 of chemotherapy and continued until neutrophil recovery (or hospital discharge or death). Results: There was a reduction in the rate of bacteremia in the prophylaxis group (37.5 %) compared to the control group (53.6 %, p = 0.0789), largely due to a reduction in gram-negative bacteremia (2.1 vs. 21.6 % respectively, p = 0.001). No difference was found between prophylaxis and the control groups in the incidence of neutropenic fever, incidence of multidrug resistance, length of hospital or ICU stay, or mortality. Conclusions: Levofloxacin prophylaxis reduced the rate of infections overall in adult patients with relapsed/refractory AML, without increasing rates of multidrug-resistant organisms.","author":[{"dropping-particle":"","family":"Ganti","given":"Beejal R.","non-dropping-particle":"","parse-names":false,"suffix":""},{"dropping-particle":"","family":"Marini","given":"Bernard L.","non-dropping-particle":"","parse-names":false,"suffix":""},{"dropping-particle":"","family":"Nagel","given":"Jerod","non-dropping-particle":"","parse-names":false,"suffix":""},{"dropping-particle":"","family":"Bixby","given":"Dale","non-dropping-particle":"","parse-names":false,"suffix":""},{"dropping-particle":"","family":"Perissinotti","given":"Anthony J.","non-dropping-particle":"","parse-names":false,"suffix":""}],"container-title":"Supportive Care in Cancer","id":"ITEM-1","issue":"2","issued":{"date-parts":[["2017"]]},"page":"541-547","publisher":"Supportive Care in Cancer","title":"Impact of antibacterial prophylaxis during reinduction chemotherapy for relapse/refractory acute myeloid leukemia","type":"article-journal","volume":"25"},"uris":["http://www.mendeley.com/documents/?uuid=23bcaaed-f6f2-434f-b1a4-e2b9c8eb99ae"]}],"mendeley":{"formattedCitation":"&lt;sup&gt;25&lt;/sup&gt;","plainTextFormattedCitation":"25","previouslyFormattedCitation":"&lt;sup&gt;25&lt;/sup&gt;"},"properties":{"noteIndex":0},"schema":"https://github.com/citation-style-language/schema/raw/master/csl-citation.json"}</w:instrText>
            </w:r>
            <w:r>
              <w:rPr>
                <w:color w:val="000000" w:themeColor="text1"/>
                <w:sz w:val="16"/>
                <w:szCs w:val="16"/>
                <w:lang w:val="en-US"/>
              </w:rPr>
              <w:fldChar w:fldCharType="separate"/>
            </w:r>
            <w:r w:rsidRPr="00B140EA">
              <w:rPr>
                <w:noProof/>
                <w:color w:val="000000" w:themeColor="text1"/>
                <w:sz w:val="16"/>
                <w:szCs w:val="16"/>
                <w:vertAlign w:val="superscript"/>
                <w:lang w:val="en-US"/>
              </w:rPr>
              <w:t>25</w:t>
            </w:r>
            <w:r>
              <w:rPr>
                <w:color w:val="000000" w:themeColor="text1"/>
                <w:sz w:val="16"/>
                <w:szCs w:val="16"/>
                <w:lang w:val="en-US"/>
              </w:rPr>
              <w:fldChar w:fldCharType="end"/>
            </w:r>
          </w:p>
        </w:tc>
        <w:tc>
          <w:tcPr>
            <w:tcW w:w="0" w:type="auto"/>
            <w:vAlign w:val="center"/>
          </w:tcPr>
          <w:p w14:paraId="42D3AD92" w14:textId="7060B1A1" w:rsidR="009066CC" w:rsidRPr="009066CC" w:rsidRDefault="009066CC" w:rsidP="00376C8E">
            <w:pPr>
              <w:jc w:val="center"/>
              <w:rPr>
                <w:sz w:val="16"/>
                <w:szCs w:val="16"/>
                <w:lang w:val="en-US"/>
              </w:rPr>
            </w:pPr>
            <w:r w:rsidRPr="009066CC">
              <w:rPr>
                <w:sz w:val="16"/>
                <w:szCs w:val="16"/>
                <w:lang w:val="en-US"/>
              </w:rPr>
              <w:t>Retrospective (pre-post implementation); single center; USA</w:t>
            </w:r>
          </w:p>
        </w:tc>
        <w:tc>
          <w:tcPr>
            <w:tcW w:w="0" w:type="auto"/>
            <w:vAlign w:val="center"/>
          </w:tcPr>
          <w:p w14:paraId="4DB67FF2" w14:textId="488B5C02" w:rsidR="009066CC" w:rsidRDefault="009066CC" w:rsidP="00376C8E">
            <w:pPr>
              <w:jc w:val="center"/>
              <w:rPr>
                <w:color w:val="000000" w:themeColor="text1"/>
                <w:sz w:val="16"/>
                <w:szCs w:val="16"/>
                <w:lang w:val="en-US"/>
              </w:rPr>
            </w:pPr>
            <w:r>
              <w:rPr>
                <w:color w:val="000000" w:themeColor="text1"/>
                <w:sz w:val="16"/>
                <w:szCs w:val="16"/>
                <w:lang w:val="en-US"/>
              </w:rPr>
              <w:t>HM, AML (n = 145) [adult]</w:t>
            </w:r>
          </w:p>
        </w:tc>
        <w:tc>
          <w:tcPr>
            <w:tcW w:w="0" w:type="auto"/>
            <w:vAlign w:val="center"/>
          </w:tcPr>
          <w:p w14:paraId="25558F92" w14:textId="66231B64" w:rsidR="009066CC" w:rsidRPr="009066CC" w:rsidRDefault="009066CC" w:rsidP="00376C8E">
            <w:pPr>
              <w:jc w:val="center"/>
              <w:rPr>
                <w:color w:val="000000" w:themeColor="text1"/>
                <w:sz w:val="16"/>
                <w:szCs w:val="16"/>
                <w:lang w:val="en-US"/>
              </w:rPr>
            </w:pPr>
            <w:r w:rsidRPr="009066CC">
              <w:rPr>
                <w:color w:val="000000" w:themeColor="text1"/>
                <w:sz w:val="16"/>
                <w:szCs w:val="16"/>
                <w:lang w:val="en-US"/>
              </w:rPr>
              <w:t>FQ</w:t>
            </w:r>
          </w:p>
          <w:p w14:paraId="6D5752CF" w14:textId="77777777" w:rsidR="009066CC" w:rsidRDefault="009066CC" w:rsidP="00376C8E">
            <w:pPr>
              <w:jc w:val="center"/>
              <w:rPr>
                <w:color w:val="000000" w:themeColor="text1"/>
                <w:sz w:val="16"/>
                <w:szCs w:val="16"/>
                <w:lang w:val="en-US"/>
              </w:rPr>
            </w:pPr>
          </w:p>
        </w:tc>
        <w:tc>
          <w:tcPr>
            <w:tcW w:w="0" w:type="auto"/>
            <w:vAlign w:val="center"/>
          </w:tcPr>
          <w:p w14:paraId="4A10BE9E" w14:textId="5E719B85"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7F6D9121" w14:textId="47682218"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2965A81C" w14:textId="00F0D853" w:rsidR="009066CC" w:rsidRDefault="009066CC" w:rsidP="00376C8E">
            <w:pPr>
              <w:jc w:val="center"/>
              <w:rPr>
                <w:color w:val="000000" w:themeColor="text1"/>
                <w:sz w:val="16"/>
                <w:szCs w:val="16"/>
                <w:lang w:val="en-US"/>
              </w:rPr>
            </w:pPr>
            <w:r>
              <w:rPr>
                <w:color w:val="000000" w:themeColor="text1"/>
                <w:sz w:val="16"/>
                <w:szCs w:val="16"/>
                <w:lang w:val="en-US"/>
              </w:rPr>
              <w:t>Unchanged</w:t>
            </w:r>
            <w:r w:rsidDel="00F6654F">
              <w:rPr>
                <w:color w:val="000000" w:themeColor="text1"/>
                <w:sz w:val="16"/>
                <w:szCs w:val="16"/>
                <w:lang w:val="en-US"/>
              </w:rPr>
              <w:t xml:space="preserve"> </w:t>
            </w:r>
            <w:r>
              <w:rPr>
                <w:color w:val="000000" w:themeColor="text1"/>
                <w:sz w:val="16"/>
                <w:szCs w:val="16"/>
                <w:lang w:val="en-US"/>
              </w:rPr>
              <w:t>(MDR BSI)</w:t>
            </w:r>
          </w:p>
        </w:tc>
      </w:tr>
      <w:tr w:rsidR="009066CC" w:rsidRPr="00F20444" w14:paraId="4599817F" w14:textId="77777777" w:rsidTr="000E23C2">
        <w:trPr>
          <w:trHeight w:val="578"/>
        </w:trPr>
        <w:tc>
          <w:tcPr>
            <w:tcW w:w="0" w:type="auto"/>
            <w:vAlign w:val="center"/>
          </w:tcPr>
          <w:p w14:paraId="7AD8693D" w14:textId="10ACFFCE" w:rsidR="009066CC" w:rsidRPr="004D40DF" w:rsidRDefault="009066CC" w:rsidP="00376C8E">
            <w:pPr>
              <w:jc w:val="center"/>
              <w:rPr>
                <w:color w:val="000000" w:themeColor="text1"/>
                <w:sz w:val="16"/>
                <w:szCs w:val="16"/>
                <w:lang w:val="en-US"/>
              </w:rPr>
            </w:pPr>
            <w:r w:rsidRPr="004D40DF">
              <w:rPr>
                <w:sz w:val="16"/>
                <w:szCs w:val="16"/>
                <w:lang w:val="en-US"/>
              </w:rPr>
              <w:t xml:space="preserve">Gardner </w:t>
            </w:r>
            <w:r>
              <w:rPr>
                <w:sz w:val="16"/>
                <w:szCs w:val="16"/>
                <w:lang w:val="en-US"/>
              </w:rPr>
              <w:t>2022</w:t>
            </w:r>
            <w:r>
              <w:rPr>
                <w:sz w:val="16"/>
                <w:szCs w:val="16"/>
                <w:lang w:val="en-US"/>
              </w:rPr>
              <w:fldChar w:fldCharType="begin" w:fldLock="1"/>
            </w:r>
            <w:r>
              <w:rPr>
                <w:sz w:val="16"/>
                <w:szCs w:val="16"/>
                <w:lang w:val="en-US"/>
              </w:rPr>
              <w:instrText>ADDIN CSL_CITATION {"citationItems":[{"id":"ITEM-1","itemData":{"DOI":"10.1016/j.jtct.2021.11.017","ISSN":"26666367","PMID":"34875405","abstract":"Levofloxacin has been widely used for bacteremia prophylaxis in the pre-engraftment setting for patients undergoing hematopoietic stem cell transplantation (HSCT), but data supporting this practice are inconsistent. In addition to concern for lack of benefit, there are also concerns that this practice could increase the rates of Clostridioides difficile (C diff) infections, the incidence of multidrug-resistant organisms (MDRO) or lead to increased incidence of acute graft-versus-host disease (aGVHD) by disrupting the gut microbiome. This study aimed to assess the safety and efficacy of levofloxacin as bacterial prophylaxis in pediatric and young adult patients undergoing allogeneic or autologous HSCT at a single pediatric center. We conducted a retrospective chart review evaluating patients age ≥6 months who underwent HSCT at our center between January 1, 2016, and July 31, 2020. Patients who underwent transplantation before March 2018 did not receive levofloxacin prophylaxis, whereas those who underwent transplantation after April 2018 did receive levofloxacin prophylaxis. Each transplantation was included as a separate episode if the patient underwent more than 1 transplantation during the inclusion time. The primary outcome of this study was the proportion of patients who experienced at least 1 bacterial bloodstream infection (BSI) in the first 100 days post-transplantation. Secondary outcomes included the number of non-levofloxacin antibiotic days post-transplantation, the incidence of aGVHD, the occurrence of C diff infections, and development of MDRO. A total of 370 HSCT recipients with a median age of 6.7 years (range, 0.5 to 39 years) were included in this study. Seventy-two patients had undergone more than 1 transplantation, and thus we had 443 transplantations to observe. Of these, 216 did not include levofloxacin prophylaxis and 227 included levofloxacin prophylaxis. There were no differences in baseline characteristics between the 2 groups except for age; patients in the non-levofloxacin prophylaxis group were younger (8.1 years vs 9.6 years; P = .05). There were no between-group differences in rates of death at 100 days, antibiotic use, fungal infections, or MDRO infections. Patients in the non-prophylaxis group developed more bacterial BSI in the first 100 days post-HSCT (27% versus 17%; P = .004) and more C diff infections (20% versus 9%; P = .003) than patients who received levofloxacin prophylaxis. In addition, more aGVHD was seen in th…","author":[{"dropping-particle":"","family":"Gardner","given":"Julia C.","non-dropping-particle":"","parse-names":false,"suffix":""},{"dropping-particle":"","family":"Courter","given":"Joshua D.","non-dropping-particle":"","parse-names":false,"suffix":""},{"dropping-particle":"","family":"Dandoy","given":"Christopher E.","non-dropping-particle":"","parse-names":false,"suffix":""},{"dropping-particle":"","family":"Davies","given":"Stella M.","non-dropping-particle":"","parse-names":false,"suffix":""},{"dropping-particle":"","family":"Teusink-Cross","given":"Ashley","non-dropping-particle":"","parse-names":false,"suffix":""}],"container-title":"Transplantation and Cellular Therapy","id":"ITEM-1","issue":"3","issued":{"date-parts":[["2022"]]},"page":"167.e1-167.e5","publisher":"Elsevier Inc.","title":"Safety and Efficacy of Prophylactic Levofloxacin in Pediatric and Adult Hematopoietic Stem Cell Transplantation Patients","type":"article-journal","volume":"28"},"uris":["http://www.mendeley.com/documents/?uuid=97268b6b-f204-414b-805e-79b6216d1973"]}],"mendeley":{"formattedCitation":"&lt;sup&gt;26&lt;/sup&gt;","plainTextFormattedCitation":"26","previouslyFormattedCitation":"&lt;sup&gt;26&lt;/sup&gt;"},"properties":{"noteIndex":0},"schema":"https://github.com/citation-style-language/schema/raw/master/csl-citation.json"}</w:instrText>
            </w:r>
            <w:r>
              <w:rPr>
                <w:sz w:val="16"/>
                <w:szCs w:val="16"/>
                <w:lang w:val="en-US"/>
              </w:rPr>
              <w:fldChar w:fldCharType="separate"/>
            </w:r>
            <w:r w:rsidRPr="00B140EA">
              <w:rPr>
                <w:noProof/>
                <w:sz w:val="16"/>
                <w:szCs w:val="16"/>
                <w:vertAlign w:val="superscript"/>
                <w:lang w:val="en-US"/>
              </w:rPr>
              <w:t>26</w:t>
            </w:r>
            <w:r>
              <w:rPr>
                <w:sz w:val="16"/>
                <w:szCs w:val="16"/>
                <w:lang w:val="en-US"/>
              </w:rPr>
              <w:fldChar w:fldCharType="end"/>
            </w:r>
          </w:p>
        </w:tc>
        <w:tc>
          <w:tcPr>
            <w:tcW w:w="0" w:type="auto"/>
            <w:vAlign w:val="center"/>
          </w:tcPr>
          <w:p w14:paraId="4C2C83B0" w14:textId="15AA1437" w:rsidR="009066CC" w:rsidRPr="009066CC" w:rsidRDefault="009066CC" w:rsidP="00376C8E">
            <w:pPr>
              <w:jc w:val="center"/>
              <w:rPr>
                <w:sz w:val="16"/>
                <w:szCs w:val="16"/>
                <w:lang w:val="en-US"/>
              </w:rPr>
            </w:pPr>
            <w:r w:rsidRPr="009066CC">
              <w:rPr>
                <w:sz w:val="16"/>
                <w:szCs w:val="16"/>
                <w:lang w:val="en-US"/>
              </w:rPr>
              <w:t xml:space="preserve">Retrospective </w:t>
            </w:r>
            <w:r w:rsidRPr="00FB10BD">
              <w:rPr>
                <w:color w:val="000000" w:themeColor="text1"/>
                <w:sz w:val="16"/>
                <w:lang w:val="fr-CH"/>
              </w:rPr>
              <w:t>(</w:t>
            </w:r>
            <w:proofErr w:type="spellStart"/>
            <w:r w:rsidRPr="00FB10BD">
              <w:rPr>
                <w:color w:val="000000" w:themeColor="text1"/>
                <w:sz w:val="16"/>
                <w:lang w:val="fr-CH"/>
              </w:rPr>
              <w:t>pre</w:t>
            </w:r>
            <w:proofErr w:type="spellEnd"/>
            <w:r w:rsidRPr="00FB10BD">
              <w:rPr>
                <w:color w:val="000000" w:themeColor="text1"/>
                <w:sz w:val="16"/>
                <w:lang w:val="fr-CH"/>
              </w:rPr>
              <w:t xml:space="preserve">-post </w:t>
            </w:r>
            <w:proofErr w:type="spellStart"/>
            <w:r w:rsidRPr="00FB10BD">
              <w:rPr>
                <w:color w:val="000000" w:themeColor="text1"/>
                <w:sz w:val="16"/>
                <w:lang w:val="fr-CH"/>
              </w:rPr>
              <w:t>implementation</w:t>
            </w:r>
            <w:proofErr w:type="spellEnd"/>
            <w:r w:rsidRPr="00FB10BD">
              <w:rPr>
                <w:color w:val="000000" w:themeColor="text1"/>
                <w:sz w:val="16"/>
                <w:lang w:val="fr-CH"/>
              </w:rPr>
              <w:t>)</w:t>
            </w:r>
            <w:r w:rsidRPr="009066CC">
              <w:rPr>
                <w:sz w:val="16"/>
                <w:szCs w:val="16"/>
                <w:lang w:val="en-US"/>
              </w:rPr>
              <w:t>; single center; USA</w:t>
            </w:r>
          </w:p>
        </w:tc>
        <w:tc>
          <w:tcPr>
            <w:tcW w:w="0" w:type="auto"/>
            <w:vAlign w:val="center"/>
          </w:tcPr>
          <w:p w14:paraId="62C4C95B" w14:textId="1D23B8C9" w:rsidR="009066CC" w:rsidRPr="00F20444" w:rsidRDefault="009066CC" w:rsidP="00376C8E">
            <w:pPr>
              <w:jc w:val="center"/>
              <w:rPr>
                <w:color w:val="000000" w:themeColor="text1"/>
                <w:sz w:val="16"/>
                <w:szCs w:val="16"/>
                <w:lang w:val="en-US"/>
              </w:rPr>
            </w:pPr>
            <w:r w:rsidRPr="00F20444">
              <w:rPr>
                <w:color w:val="000000" w:themeColor="text1"/>
                <w:sz w:val="16"/>
                <w:szCs w:val="16"/>
                <w:lang w:val="en-US"/>
              </w:rPr>
              <w:t xml:space="preserve">Auto </w:t>
            </w:r>
            <w:r w:rsidR="005B5C5E" w:rsidRPr="00F20444">
              <w:rPr>
                <w:color w:val="000000" w:themeColor="text1"/>
                <w:sz w:val="16"/>
                <w:szCs w:val="16"/>
                <w:lang w:val="en-US"/>
              </w:rPr>
              <w:t>HCT</w:t>
            </w:r>
            <w:r w:rsidRPr="00F20444">
              <w:rPr>
                <w:color w:val="000000" w:themeColor="text1"/>
                <w:sz w:val="16"/>
                <w:szCs w:val="16"/>
                <w:lang w:val="en-US"/>
              </w:rPr>
              <w:t xml:space="preserve">, allo </w:t>
            </w:r>
            <w:r w:rsidR="005B5C5E" w:rsidRPr="00F20444">
              <w:rPr>
                <w:color w:val="000000" w:themeColor="text1"/>
                <w:sz w:val="16"/>
                <w:szCs w:val="16"/>
                <w:lang w:val="en-US"/>
              </w:rPr>
              <w:t>HCT</w:t>
            </w:r>
            <w:r w:rsidRPr="00F20444">
              <w:rPr>
                <w:color w:val="000000" w:themeColor="text1"/>
                <w:sz w:val="16"/>
                <w:szCs w:val="16"/>
                <w:lang w:val="en-US"/>
              </w:rPr>
              <w:t xml:space="preserve"> (n = 443) [adult + pediatric]</w:t>
            </w:r>
          </w:p>
        </w:tc>
        <w:tc>
          <w:tcPr>
            <w:tcW w:w="0" w:type="auto"/>
            <w:vAlign w:val="center"/>
          </w:tcPr>
          <w:p w14:paraId="326DA0C5" w14:textId="28932F30" w:rsidR="009066CC" w:rsidRPr="009066CC" w:rsidRDefault="009066CC" w:rsidP="00376C8E">
            <w:pPr>
              <w:jc w:val="center"/>
              <w:rPr>
                <w:color w:val="000000" w:themeColor="text1"/>
                <w:sz w:val="16"/>
                <w:szCs w:val="16"/>
                <w:lang w:val="en-US"/>
              </w:rPr>
            </w:pPr>
            <w:r w:rsidRPr="009066CC">
              <w:rPr>
                <w:color w:val="000000" w:themeColor="text1"/>
                <w:sz w:val="16"/>
                <w:szCs w:val="16"/>
                <w:lang w:val="en-US"/>
              </w:rPr>
              <w:t>Levofloxacin</w:t>
            </w:r>
          </w:p>
        </w:tc>
        <w:tc>
          <w:tcPr>
            <w:tcW w:w="0" w:type="auto"/>
            <w:vAlign w:val="center"/>
          </w:tcPr>
          <w:p w14:paraId="32BD70F2" w14:textId="2235DDB8" w:rsidR="009066CC" w:rsidRDefault="009066CC" w:rsidP="00376C8E">
            <w:pPr>
              <w:jc w:val="center"/>
              <w:rPr>
                <w:color w:val="000000" w:themeColor="text1"/>
                <w:sz w:val="16"/>
                <w:szCs w:val="16"/>
                <w:lang w:val="en-US"/>
              </w:rPr>
            </w:pPr>
            <w:r w:rsidRPr="009066CC">
              <w:rPr>
                <w:color w:val="000000" w:themeColor="text1"/>
                <w:sz w:val="16"/>
                <w:szCs w:val="16"/>
                <w:lang w:val="en-US"/>
              </w:rPr>
              <w:t>Decreased</w:t>
            </w:r>
          </w:p>
        </w:tc>
        <w:tc>
          <w:tcPr>
            <w:tcW w:w="0" w:type="auto"/>
            <w:vAlign w:val="center"/>
          </w:tcPr>
          <w:p w14:paraId="28A2C36A" w14:textId="0787935F" w:rsidR="009066CC" w:rsidRDefault="009066CC" w:rsidP="00376C8E">
            <w:pPr>
              <w:jc w:val="center"/>
              <w:rPr>
                <w:color w:val="000000" w:themeColor="text1"/>
                <w:sz w:val="16"/>
                <w:szCs w:val="16"/>
                <w:lang w:val="en-US"/>
              </w:rPr>
            </w:pPr>
            <w:r w:rsidRPr="009066CC">
              <w:rPr>
                <w:color w:val="000000" w:themeColor="text1"/>
                <w:sz w:val="16"/>
                <w:szCs w:val="16"/>
                <w:lang w:val="en-US"/>
              </w:rPr>
              <w:t>NA</w:t>
            </w:r>
          </w:p>
        </w:tc>
        <w:tc>
          <w:tcPr>
            <w:tcW w:w="0" w:type="auto"/>
            <w:vAlign w:val="center"/>
          </w:tcPr>
          <w:p w14:paraId="072F88A3" w14:textId="772D4779" w:rsidR="009066CC" w:rsidRDefault="009066CC" w:rsidP="00376C8E">
            <w:pPr>
              <w:jc w:val="center"/>
              <w:rPr>
                <w:color w:val="000000" w:themeColor="text1"/>
                <w:sz w:val="16"/>
                <w:szCs w:val="16"/>
                <w:lang w:val="en-US"/>
              </w:rPr>
            </w:pPr>
            <w:r>
              <w:rPr>
                <w:color w:val="000000" w:themeColor="text1"/>
                <w:sz w:val="16"/>
                <w:szCs w:val="16"/>
                <w:lang w:val="en-US"/>
              </w:rPr>
              <w:t>Unchanged</w:t>
            </w:r>
            <w:r w:rsidRPr="009066CC" w:rsidDel="00F6654F">
              <w:rPr>
                <w:color w:val="000000" w:themeColor="text1"/>
                <w:sz w:val="16"/>
                <w:szCs w:val="16"/>
                <w:lang w:val="en-US"/>
              </w:rPr>
              <w:t xml:space="preserve"> </w:t>
            </w:r>
            <w:r w:rsidRPr="009066CC">
              <w:rPr>
                <w:color w:val="000000" w:themeColor="text1"/>
                <w:sz w:val="16"/>
                <w:szCs w:val="16"/>
                <w:lang w:val="en-US"/>
              </w:rPr>
              <w:t>(MDR BSI)</w:t>
            </w:r>
          </w:p>
        </w:tc>
      </w:tr>
      <w:tr w:rsidR="009066CC" w:rsidRPr="00F20444" w14:paraId="58CB0D8E" w14:textId="77777777" w:rsidTr="000E23C2">
        <w:trPr>
          <w:trHeight w:val="578"/>
        </w:trPr>
        <w:tc>
          <w:tcPr>
            <w:tcW w:w="0" w:type="auto"/>
            <w:vAlign w:val="center"/>
          </w:tcPr>
          <w:p w14:paraId="64D850C1" w14:textId="1DDEE218" w:rsidR="009066CC" w:rsidRPr="003F32CA" w:rsidRDefault="009066CC" w:rsidP="00376C8E">
            <w:pPr>
              <w:jc w:val="center"/>
              <w:rPr>
                <w:sz w:val="16"/>
                <w:szCs w:val="16"/>
                <w:lang w:val="en-US"/>
              </w:rPr>
            </w:pPr>
            <w:r w:rsidRPr="009066CC">
              <w:rPr>
                <w:sz w:val="16"/>
                <w:szCs w:val="16"/>
                <w:lang w:val="en-US"/>
              </w:rPr>
              <w:t>Gill 2023</w:t>
            </w:r>
            <w:r>
              <w:rPr>
                <w:sz w:val="16"/>
                <w:szCs w:val="16"/>
              </w:rPr>
              <w:fldChar w:fldCharType="begin" w:fldLock="1"/>
            </w:r>
            <w:r w:rsidRPr="009066CC">
              <w:rPr>
                <w:sz w:val="16"/>
                <w:szCs w:val="16"/>
                <w:lang w:val="en-US"/>
              </w:rPr>
              <w:instrText>ADDIN CSL_CITATION {"citationItems":[{"id":"ITEM-1","itemData":{"DOI":"10.3390/microorganisms11030742","ISSN":"20762607","abstract":"Background—Allogeneic hematopoietic stem cell transplant (allo-HSCT) recipients are subject to major risks for bacterial bloodstream infections (BSIs), including emergent multidrug-resistant (MDR) organisms, which still represent the main cause of morbidity and mortality in transplanted patients. Methods: We performed an observational, retrospective, single-center study on patients undergoing allo-HSCT between 2004 and 2020 at the Stem Cell Transplant Unit in Turin to assess the incidence, etiology, and outcomes of BSIs and to explore any risk factors for bacteriaemia. Results: We observed a total of 178 bacterial BSIs in our cohort of 563 patients, resulting in a cumulative incidence of 19.4%, 23.8%, and 28.7% at 30, 100, and 365 days, respectively. Among isolated bacteria, 50.6% were Gram positive (GPB), 41.6% were Gram negative (GNB), and 7.9% were polymicrobial infections. Moreover, BSI occurrence significantly influenced 1-year overall survival. High and very high Disease Risk Index (DRI), an haploidentical donor, and antibacterial prophylaxis were found as results as independent risk factors for bacterial BSI occurrence in multivariate analysis. Conclusions: In</w:instrText>
            </w:r>
            <w:r w:rsidRPr="003F32CA">
              <w:rPr>
                <w:sz w:val="16"/>
                <w:szCs w:val="16"/>
                <w:lang w:val="en-US"/>
              </w:rPr>
              <w:instrText xml:space="preserve"> our exper</w:instrText>
            </w:r>
            <w:r w:rsidRPr="00F20444">
              <w:rPr>
                <w:sz w:val="16"/>
                <w:szCs w:val="16"/>
                <w:lang w:val="en-US"/>
              </w:rPr>
              <w:instrText>ie</w:instrText>
            </w:r>
            <w:r>
              <w:rPr>
                <w:sz w:val="16"/>
                <w:szCs w:val="16"/>
              </w:rPr>
              <w:instrText>nce, GNB have overwhelmed GPB, and fluoroquinolone prophylaxis has contributed to the emergence of MDR pathogens. Local resistance patterns and patients’ characteristics should therefore be considered for better management of bacteremia in patients receiving an allogeneic HSCT.","author":[{"dropping-particle":"","family":"Gill","given":"Jessica","non-dropping-particle":"","parse-names":false,"suffix":""},{"dropping-particle":"","family":"Busca","given":"Alessandro","non-dropping-particle":"","parse-names":false,"suffix":""},{"dropping-particle":"","family":"Cinatti","given":"Natascia","non-dropping-particle":"","parse-names":false,"suffix":""},{"dropping-</w:instrText>
            </w:r>
            <w:r w:rsidRPr="003F32CA">
              <w:rPr>
                <w:sz w:val="16"/>
                <w:szCs w:val="16"/>
                <w:lang w:val="en-US"/>
              </w:rPr>
              <w:instrText>particle":"","family":"Passera","given":"Roberto","non-dropping-particle":"","parse-names":false,"suffix":""},{"dropping-particle":"","family":"Dellacasa","given":"Chiara Maria","non-dropping-particle":"","parse-names":false,"suffix":""},{"dropping-particle":"","family":"Giaccone","given":"Luisa","non-dropping-particle":"","parse-names":false,"suffix":""},{"dropping-particle":"","family":"Dogliotti","given":"Irene","non-dropping-particle":"","parse-names":false,"suffix":""},{"dropping-particle":"","family":"Manetta","given":"Sara","non-dropping-particle":"","parse-names":false,"suffix":""},{"dropping-particle":"","family":"Corcione","given":"Silvia","non-dropping-particle":"","parse-names":false,"suffix":""},{"dropping-particle":"","family":"Rosa","given":"Francesco Giuseppe","non-dropping-particle":"De","parse-names":false,"suffix":""}],"container-title":"Microorganisms","id":"ITEM-1","issue":"3","issued":{"date-parts":[["2023"]]},"page":"1-14","title":"Bacterial Bloodstream Infections after Allogeneic Hematopoietic Stem Cell Transplantation: Etiology, Risk Factors and Outcome in a Single-Center Study","type":"article-journal","volume":"11"},"uris":["http://www.mendeley.com/documents/?uuid=0fd99031-6b9c-479f-98f1-3ecbbe4d77ee"]}],"mendeley":{"formattedCitation":"&lt;sup&gt;27&lt;/sup&gt;","plainTextFormattedCitation":"27","previouslyFormattedCitation":"&lt;sup&gt;27&lt;/sup&gt;"},"properties":{"noteIndex":0},"schema":"https://github.com/citation-style-language/schema/raw/master/csl-citation.json"}</w:instrText>
            </w:r>
            <w:r>
              <w:rPr>
                <w:sz w:val="16"/>
                <w:szCs w:val="16"/>
              </w:rPr>
              <w:fldChar w:fldCharType="separate"/>
            </w:r>
            <w:r w:rsidRPr="003F32CA">
              <w:rPr>
                <w:noProof/>
                <w:sz w:val="16"/>
                <w:szCs w:val="16"/>
                <w:vertAlign w:val="superscript"/>
                <w:lang w:val="en-US"/>
              </w:rPr>
              <w:t>27</w:t>
            </w:r>
            <w:r>
              <w:rPr>
                <w:sz w:val="16"/>
                <w:szCs w:val="16"/>
              </w:rPr>
              <w:fldChar w:fldCharType="end"/>
            </w:r>
          </w:p>
        </w:tc>
        <w:tc>
          <w:tcPr>
            <w:tcW w:w="0" w:type="auto"/>
            <w:vAlign w:val="center"/>
          </w:tcPr>
          <w:p w14:paraId="41B01334" w14:textId="3C750FE3" w:rsidR="009066CC" w:rsidRPr="003F32CA" w:rsidRDefault="009066CC" w:rsidP="00376C8E">
            <w:pPr>
              <w:jc w:val="center"/>
              <w:rPr>
                <w:sz w:val="16"/>
                <w:szCs w:val="16"/>
                <w:lang w:val="en-US"/>
              </w:rPr>
            </w:pPr>
            <w:r w:rsidRPr="003F32CA">
              <w:rPr>
                <w:sz w:val="16"/>
                <w:szCs w:val="16"/>
                <w:lang w:val="en-US"/>
              </w:rPr>
              <w:t>Retrospective; single center; Italy</w:t>
            </w:r>
          </w:p>
        </w:tc>
        <w:tc>
          <w:tcPr>
            <w:tcW w:w="0" w:type="auto"/>
            <w:vAlign w:val="center"/>
          </w:tcPr>
          <w:p w14:paraId="1ADD8CC8" w14:textId="6094AF94" w:rsidR="009066CC" w:rsidRPr="003F32CA" w:rsidRDefault="009066CC" w:rsidP="00376C8E">
            <w:pPr>
              <w:jc w:val="center"/>
              <w:rPr>
                <w:color w:val="000000" w:themeColor="text1"/>
                <w:sz w:val="16"/>
                <w:szCs w:val="16"/>
                <w:lang w:val="en-US"/>
              </w:rPr>
            </w:pPr>
            <w:proofErr w:type="spellStart"/>
            <w:r w:rsidRPr="003F32CA">
              <w:rPr>
                <w:color w:val="000000" w:themeColor="text1"/>
                <w:sz w:val="16"/>
                <w:szCs w:val="16"/>
                <w:lang w:val="en-US"/>
              </w:rPr>
              <w:t>Allo</w:t>
            </w:r>
            <w:proofErr w:type="spellEnd"/>
            <w:r w:rsidRPr="003F32CA">
              <w:rPr>
                <w:color w:val="000000" w:themeColor="text1"/>
                <w:sz w:val="16"/>
                <w:szCs w:val="16"/>
                <w:lang w:val="en-US"/>
              </w:rPr>
              <w:t xml:space="preserve"> </w:t>
            </w:r>
            <w:r w:rsidR="005B5C5E">
              <w:rPr>
                <w:color w:val="000000" w:themeColor="text1"/>
                <w:sz w:val="16"/>
                <w:szCs w:val="16"/>
                <w:lang w:val="en-US"/>
              </w:rPr>
              <w:t>HCT</w:t>
            </w:r>
            <w:r w:rsidRPr="003F32CA">
              <w:rPr>
                <w:color w:val="000000" w:themeColor="text1"/>
                <w:sz w:val="16"/>
                <w:szCs w:val="16"/>
                <w:lang w:val="en-US"/>
              </w:rPr>
              <w:t xml:space="preserve"> (n = 563) [adult]</w:t>
            </w:r>
          </w:p>
        </w:tc>
        <w:tc>
          <w:tcPr>
            <w:tcW w:w="0" w:type="auto"/>
            <w:vAlign w:val="center"/>
          </w:tcPr>
          <w:p w14:paraId="406E94CC" w14:textId="1FD681EF" w:rsidR="009066CC" w:rsidRPr="003F32CA" w:rsidRDefault="009066CC" w:rsidP="00376C8E">
            <w:pPr>
              <w:jc w:val="center"/>
              <w:rPr>
                <w:color w:val="000000" w:themeColor="text1"/>
                <w:sz w:val="16"/>
                <w:szCs w:val="16"/>
                <w:lang w:val="en-US"/>
              </w:rPr>
            </w:pPr>
            <w:r w:rsidRPr="003F32CA">
              <w:rPr>
                <w:color w:val="000000" w:themeColor="text1"/>
                <w:sz w:val="16"/>
                <w:szCs w:val="16"/>
                <w:lang w:val="en-US"/>
              </w:rPr>
              <w:t>FQ</w:t>
            </w:r>
          </w:p>
        </w:tc>
        <w:tc>
          <w:tcPr>
            <w:tcW w:w="0" w:type="auto"/>
            <w:vAlign w:val="center"/>
          </w:tcPr>
          <w:p w14:paraId="6D4F1C2A" w14:textId="7BDF3B8B" w:rsidR="009066CC" w:rsidRPr="003F32CA" w:rsidRDefault="009066CC" w:rsidP="00376C8E">
            <w:pPr>
              <w:jc w:val="center"/>
              <w:rPr>
                <w:color w:val="000000" w:themeColor="text1"/>
                <w:sz w:val="16"/>
                <w:szCs w:val="16"/>
                <w:lang w:val="en-US"/>
              </w:rPr>
            </w:pPr>
            <w:r w:rsidRPr="003F32CA">
              <w:rPr>
                <w:color w:val="000000" w:themeColor="text1"/>
                <w:sz w:val="16"/>
                <w:szCs w:val="16"/>
                <w:lang w:val="en-US"/>
              </w:rPr>
              <w:t>Increased</w:t>
            </w:r>
          </w:p>
        </w:tc>
        <w:tc>
          <w:tcPr>
            <w:tcW w:w="0" w:type="auto"/>
            <w:vAlign w:val="center"/>
          </w:tcPr>
          <w:p w14:paraId="0EF87118" w14:textId="3DFC3B15" w:rsidR="009066CC" w:rsidRPr="003F32CA" w:rsidRDefault="009066CC" w:rsidP="00376C8E">
            <w:pPr>
              <w:jc w:val="center"/>
              <w:rPr>
                <w:color w:val="000000" w:themeColor="text1"/>
                <w:sz w:val="16"/>
                <w:szCs w:val="16"/>
                <w:lang w:val="en-US"/>
              </w:rPr>
            </w:pPr>
            <w:r w:rsidRPr="003F32CA">
              <w:rPr>
                <w:color w:val="000000" w:themeColor="text1"/>
                <w:sz w:val="16"/>
                <w:szCs w:val="16"/>
                <w:lang w:val="en-US"/>
              </w:rPr>
              <w:t>Increased</w:t>
            </w:r>
          </w:p>
        </w:tc>
        <w:tc>
          <w:tcPr>
            <w:tcW w:w="0" w:type="auto"/>
            <w:vAlign w:val="center"/>
          </w:tcPr>
          <w:p w14:paraId="6C1766AE" w14:textId="10736A93" w:rsidR="009066CC" w:rsidRPr="002978AE" w:rsidRDefault="009066CC" w:rsidP="00376C8E">
            <w:pPr>
              <w:jc w:val="center"/>
              <w:rPr>
                <w:color w:val="000000" w:themeColor="text1"/>
                <w:sz w:val="16"/>
                <w:szCs w:val="16"/>
                <w:lang w:val="en-US"/>
              </w:rPr>
            </w:pPr>
            <w:r w:rsidRPr="002978AE">
              <w:rPr>
                <w:color w:val="000000" w:themeColor="text1"/>
                <w:sz w:val="16"/>
                <w:szCs w:val="16"/>
                <w:lang w:val="en-US"/>
              </w:rPr>
              <w:t>Increased (ESBL BSI); no Unchanged (CR and MDR BSI)</w:t>
            </w:r>
          </w:p>
        </w:tc>
      </w:tr>
      <w:tr w:rsidR="009066CC" w:rsidRPr="009066CC" w14:paraId="0FCACF73" w14:textId="77777777" w:rsidTr="000E23C2">
        <w:trPr>
          <w:trHeight w:val="578"/>
        </w:trPr>
        <w:tc>
          <w:tcPr>
            <w:tcW w:w="0" w:type="auto"/>
            <w:vAlign w:val="center"/>
          </w:tcPr>
          <w:p w14:paraId="1F18EDE9" w14:textId="6A217530" w:rsidR="009066CC" w:rsidRPr="004D40DF" w:rsidRDefault="009066CC" w:rsidP="00376C8E">
            <w:pPr>
              <w:jc w:val="center"/>
              <w:rPr>
                <w:color w:val="000000" w:themeColor="text1"/>
                <w:sz w:val="16"/>
                <w:szCs w:val="16"/>
                <w:lang w:val="en-US"/>
              </w:rPr>
            </w:pPr>
            <w:proofErr w:type="spellStart"/>
            <w:r w:rsidRPr="003F32CA">
              <w:rPr>
                <w:sz w:val="16"/>
                <w:szCs w:val="16"/>
                <w:lang w:val="en-US"/>
              </w:rPr>
              <w:t>Hakki</w:t>
            </w:r>
            <w:proofErr w:type="spellEnd"/>
            <w:r w:rsidRPr="003F32CA">
              <w:rPr>
                <w:sz w:val="16"/>
                <w:szCs w:val="16"/>
                <w:lang w:val="en-US"/>
              </w:rPr>
              <w:t xml:space="preserve"> 2019</w:t>
            </w:r>
            <w:r>
              <w:rPr>
                <w:sz w:val="16"/>
                <w:szCs w:val="16"/>
                <w:lang w:val="en-US"/>
              </w:rPr>
              <w:fldChar w:fldCharType="begin" w:fldLock="1"/>
            </w:r>
            <w:r w:rsidRPr="003F32CA">
              <w:rPr>
                <w:sz w:val="16"/>
                <w:szCs w:val="16"/>
                <w:lang w:val="en-US"/>
              </w:rPr>
              <w:instrText xml:space="preserve">ADDIN CSL_CITATION {"citationItems":[{"id":"ITEM-1","itemData":{"DOI":"10.1093/cid/ciy825","ISSN":"15376591","PMID":"30256922","abstract":"Background: In Pseudomonas aeruginosa, fluoroquinolone exposure promotes resistance to carbapenems through upregulation of efflux pumps and transcriptional downregulation of the porin OprD. Evidence of this effect among hematologic malignancy (HM) patients or hematopoietic cell transplant (HCT) recipients receiving fluoroquinolone prophylaxis for neutropenia is lacking. Methods: We retrospectively evaluated episodes of P. aeruginosa bloodstream infections in HM patients or HCT recipients over a 7-year period at our institution. We determined the association of fluoroquinolone prophylaxis at the time of infection with meropenem susceptibility of P. aeruginosa breakthrough isolates and risk factors for meropenem nonsusceptibility. Whole-genome sequencing (WGS) and phenotypic assessments of meropenem efflux pump activity were performed on select isolates to determine the mechanisms of meropenem resistance. Results: We analyzed 55 episodes of P. aeruginosa bacteremia among 51 patients. Breakthrough bacteremia while on fluoroquinolone prophylaxis was associated with nonsusceptibility to meropenem, but not to antipseudomonal </w:instrText>
            </w:r>
            <w:r>
              <w:rPr>
                <w:sz w:val="16"/>
                <w:szCs w:val="16"/>
                <w:lang w:val="en-US"/>
              </w:rPr>
              <w:instrText>β</w:instrText>
            </w:r>
            <w:r w:rsidRPr="003F32CA">
              <w:rPr>
                <w:sz w:val="16"/>
                <w:szCs w:val="16"/>
                <w:lang w:val="en-US"/>
              </w:rPr>
              <w:instrText>-lactams or aminoglycosides. The receipt of fluoroqui</w:instrText>
            </w:r>
            <w:r>
              <w:rPr>
                <w:sz w:val="16"/>
                <w:szCs w:val="16"/>
                <w:lang w:val="en-US"/>
              </w:rPr>
              <w:instrText>nolone prophylaxis was independently predictive of bacteremia with a meropenem-nonsusceptible isolate. All meropenem-nonsusceptible isolates analyzed by WGS contained oprD inactivating mutations, and all meropenem-nonsusceptible isolates tested demonstrated reductions in the meropenem minimum inhibitory concentration in the presence of an efflux pump inhibitor. A phylogenetic analysis based on WGS revealed several clusters of closely related isolates from different patients. Conclusions: Fluoroquinolone prophylaxis in HM patients and HCT recipients is associated with breakthrough bacteremia with meropenem-nonsusceptible P. aeruginosa strains, likely due to both mutations increasing efflux pump activity and the epidemiology of P. aeruginosa bloodstream infections in our patient population.","author":[{"dropping-particle":"","family":"Hakki","given":"Morgan","non-dropping-particle":"","parse-names":false,"suffix":""},{"dropping-particle":"","family":"Humphries","given":"Romney M.","non-dropping-particle":"","parse-names":false,"suffix":""},{"dropping-particle":"","family":"Hemarajata","given":"Peera","non-dropping-particle":"","parse-names":false,"suffix":""},{"dropping-particle":"","family":"Tallman","given":"Gregory B.","non-dropping-particle":"","parse-names":false,"suffix":""},{"dropping-particle":"","family":"Shields","given":"Ryan K.","non-dropping-particle":"","parse-names":false,"suffix":""},{"dropping-particle":"","family":"Mettus","given":"Roberta T.","non-dropping-particle":"","parse-names":false,"suffix":""},{"dropping-particle":"","family":"Doi","given":"Yohei","non-dropping-particle":"","parse-names":false,"suffix":""},{"dropping-particle":"","family":"Lewis","given":"James S.","non-dropping-particle":"","parse-names":false,"suffix":""}],"container-title":"Clinical Infectious Diseases","id":"ITEM-1","issue":"12","issued":{"date-parts":[["2019"]]},"page":"2045-2052","title":"Fluoroquinolone Prophylaxis Selects for Meropenem-nonsusceptible Pseudomonas aeruginosa in Patients with Hematologic Malignancies and Hematopoietic Cell Transplant Recipients","type":"article-journal","volume":"68"},"uris":["http://www.mendeley.com/documents/?uuid=1c6ea43c-151c-40e6-abda-cd981bafa2f6"]}],"mendeley":{"formattedCitation":"&lt;sup&gt;28&lt;/sup&gt;","plainTextFormattedCitation":"28","previouslyFormattedCitation":"&lt;sup&gt;28&lt;/sup&gt;"},"properties":{"noteIndex":0},"schema":"https://github.com/citation-style-language/schema/raw/master/csl-citation.json"}</w:instrText>
            </w:r>
            <w:r>
              <w:rPr>
                <w:sz w:val="16"/>
                <w:szCs w:val="16"/>
                <w:lang w:val="en-US"/>
              </w:rPr>
              <w:fldChar w:fldCharType="separate"/>
            </w:r>
            <w:r w:rsidRPr="00106AB9">
              <w:rPr>
                <w:noProof/>
                <w:sz w:val="16"/>
                <w:szCs w:val="16"/>
                <w:vertAlign w:val="superscript"/>
                <w:lang w:val="en-US"/>
              </w:rPr>
              <w:t>28</w:t>
            </w:r>
            <w:r>
              <w:rPr>
                <w:sz w:val="16"/>
                <w:szCs w:val="16"/>
                <w:lang w:val="en-US"/>
              </w:rPr>
              <w:fldChar w:fldCharType="end"/>
            </w:r>
          </w:p>
        </w:tc>
        <w:tc>
          <w:tcPr>
            <w:tcW w:w="0" w:type="auto"/>
            <w:vAlign w:val="center"/>
          </w:tcPr>
          <w:p w14:paraId="352FB5E6" w14:textId="0BBBA109" w:rsidR="009066CC" w:rsidRPr="009066CC" w:rsidRDefault="009066CC" w:rsidP="00376C8E">
            <w:pPr>
              <w:jc w:val="center"/>
              <w:rPr>
                <w:sz w:val="16"/>
                <w:szCs w:val="16"/>
                <w:lang w:val="en-US"/>
              </w:rPr>
            </w:pPr>
            <w:r w:rsidRPr="009066CC">
              <w:rPr>
                <w:sz w:val="16"/>
                <w:szCs w:val="16"/>
                <w:lang w:val="en-US"/>
              </w:rPr>
              <w:t>Retrospective; single center; USA</w:t>
            </w:r>
          </w:p>
        </w:tc>
        <w:tc>
          <w:tcPr>
            <w:tcW w:w="0" w:type="auto"/>
            <w:vAlign w:val="center"/>
          </w:tcPr>
          <w:p w14:paraId="02620EFD" w14:textId="76827294" w:rsidR="009066CC" w:rsidRDefault="009066CC" w:rsidP="00376C8E">
            <w:pPr>
              <w:jc w:val="center"/>
              <w:rPr>
                <w:color w:val="000000" w:themeColor="text1"/>
                <w:sz w:val="16"/>
                <w:szCs w:val="16"/>
                <w:lang w:val="en-US"/>
              </w:rPr>
            </w:pPr>
            <w:r w:rsidRPr="009066CC">
              <w:rPr>
                <w:color w:val="000000" w:themeColor="text1"/>
                <w:sz w:val="16"/>
                <w:szCs w:val="16"/>
                <w:lang w:val="en-US"/>
              </w:rPr>
              <w:t xml:space="preserve">HM, auto </w:t>
            </w:r>
            <w:r w:rsidR="005B5C5E">
              <w:rPr>
                <w:color w:val="000000" w:themeColor="text1"/>
                <w:sz w:val="16"/>
                <w:szCs w:val="16"/>
                <w:lang w:val="en-US"/>
              </w:rPr>
              <w:t>HCT</w:t>
            </w:r>
            <w:r w:rsidRPr="009066CC">
              <w:rPr>
                <w:color w:val="000000" w:themeColor="text1"/>
                <w:sz w:val="16"/>
                <w:szCs w:val="16"/>
                <w:lang w:val="en-US"/>
              </w:rPr>
              <w:t xml:space="preserve">, </w:t>
            </w:r>
            <w:proofErr w:type="spellStart"/>
            <w:r w:rsidRPr="009066CC">
              <w:rPr>
                <w:color w:val="000000" w:themeColor="text1"/>
                <w:sz w:val="16"/>
                <w:szCs w:val="16"/>
                <w:lang w:val="en-US"/>
              </w:rPr>
              <w:t>allo</w:t>
            </w:r>
            <w:proofErr w:type="spellEnd"/>
            <w:r w:rsidRPr="009066CC">
              <w:rPr>
                <w:color w:val="000000" w:themeColor="text1"/>
                <w:sz w:val="16"/>
                <w:szCs w:val="16"/>
                <w:lang w:val="en-US"/>
              </w:rPr>
              <w:t xml:space="preserve"> </w:t>
            </w:r>
            <w:r w:rsidR="005B5C5E">
              <w:rPr>
                <w:color w:val="000000" w:themeColor="text1"/>
                <w:sz w:val="16"/>
                <w:szCs w:val="16"/>
                <w:lang w:val="en-US"/>
              </w:rPr>
              <w:t>HCT</w:t>
            </w:r>
            <w:r w:rsidRPr="009066CC">
              <w:rPr>
                <w:color w:val="000000" w:themeColor="text1"/>
                <w:sz w:val="16"/>
                <w:szCs w:val="16"/>
                <w:lang w:val="en-US"/>
              </w:rPr>
              <w:t xml:space="preserve"> (n = 51) </w:t>
            </w:r>
            <w:r>
              <w:rPr>
                <w:color w:val="000000" w:themeColor="text1"/>
                <w:sz w:val="16"/>
                <w:szCs w:val="16"/>
                <w:lang w:val="en-US"/>
              </w:rPr>
              <w:t>[adult]</w:t>
            </w:r>
          </w:p>
        </w:tc>
        <w:tc>
          <w:tcPr>
            <w:tcW w:w="0" w:type="auto"/>
            <w:vAlign w:val="center"/>
          </w:tcPr>
          <w:p w14:paraId="06E5B440" w14:textId="62289FD0" w:rsidR="009066CC" w:rsidRPr="009066CC" w:rsidRDefault="009066CC" w:rsidP="00376C8E">
            <w:pPr>
              <w:jc w:val="center"/>
              <w:rPr>
                <w:color w:val="000000" w:themeColor="text1"/>
                <w:sz w:val="16"/>
                <w:szCs w:val="16"/>
                <w:lang w:val="en-US"/>
              </w:rPr>
            </w:pPr>
            <w:r w:rsidRPr="009066CC">
              <w:rPr>
                <w:color w:val="000000" w:themeColor="text1"/>
                <w:sz w:val="16"/>
                <w:szCs w:val="16"/>
                <w:lang w:val="en-US"/>
              </w:rPr>
              <w:t>Levofloxacin</w:t>
            </w:r>
          </w:p>
        </w:tc>
        <w:tc>
          <w:tcPr>
            <w:tcW w:w="0" w:type="auto"/>
            <w:vAlign w:val="center"/>
          </w:tcPr>
          <w:p w14:paraId="3540BD27" w14:textId="4B87DC08" w:rsidR="009066CC" w:rsidRDefault="009066CC" w:rsidP="00376C8E">
            <w:pPr>
              <w:jc w:val="center"/>
              <w:rPr>
                <w:color w:val="000000" w:themeColor="text1"/>
                <w:sz w:val="16"/>
                <w:szCs w:val="16"/>
                <w:lang w:val="en-US"/>
              </w:rPr>
            </w:pPr>
            <w:r w:rsidRPr="009066CC">
              <w:rPr>
                <w:color w:val="000000" w:themeColor="text1"/>
                <w:sz w:val="16"/>
                <w:szCs w:val="16"/>
                <w:lang w:val="en-US"/>
              </w:rPr>
              <w:t>NA</w:t>
            </w:r>
          </w:p>
        </w:tc>
        <w:tc>
          <w:tcPr>
            <w:tcW w:w="0" w:type="auto"/>
            <w:vAlign w:val="center"/>
          </w:tcPr>
          <w:p w14:paraId="0FA55558" w14:textId="36110735" w:rsidR="009066CC" w:rsidRDefault="009066CC" w:rsidP="00376C8E">
            <w:pPr>
              <w:jc w:val="center"/>
              <w:rPr>
                <w:color w:val="000000" w:themeColor="text1"/>
                <w:sz w:val="16"/>
                <w:szCs w:val="16"/>
                <w:lang w:val="en-US"/>
              </w:rPr>
            </w:pPr>
            <w:r w:rsidRPr="009066CC">
              <w:rPr>
                <w:color w:val="000000" w:themeColor="text1"/>
                <w:sz w:val="16"/>
                <w:szCs w:val="16"/>
                <w:lang w:val="en-US"/>
              </w:rPr>
              <w:t>NA</w:t>
            </w:r>
          </w:p>
        </w:tc>
        <w:tc>
          <w:tcPr>
            <w:tcW w:w="0" w:type="auto"/>
            <w:vAlign w:val="center"/>
          </w:tcPr>
          <w:p w14:paraId="54C7CB30" w14:textId="464E5019" w:rsidR="009066CC" w:rsidRDefault="009066CC" w:rsidP="00376C8E">
            <w:pPr>
              <w:jc w:val="center"/>
              <w:rPr>
                <w:color w:val="000000" w:themeColor="text1"/>
                <w:sz w:val="16"/>
                <w:szCs w:val="16"/>
                <w:lang w:val="en-US"/>
              </w:rPr>
            </w:pPr>
            <w:r w:rsidRPr="009066CC">
              <w:rPr>
                <w:color w:val="000000" w:themeColor="text1"/>
                <w:sz w:val="16"/>
                <w:szCs w:val="16"/>
                <w:lang w:val="en-US"/>
              </w:rPr>
              <w:t xml:space="preserve">Increased (CR BSI - </w:t>
            </w:r>
            <w:proofErr w:type="spellStart"/>
            <w:r w:rsidRPr="009066CC">
              <w:rPr>
                <w:color w:val="000000" w:themeColor="text1"/>
                <w:sz w:val="16"/>
                <w:szCs w:val="16"/>
                <w:lang w:val="en-US"/>
              </w:rPr>
              <w:t>PsA</w:t>
            </w:r>
            <w:proofErr w:type="spellEnd"/>
            <w:r w:rsidRPr="009066CC">
              <w:rPr>
                <w:color w:val="000000" w:themeColor="text1"/>
                <w:sz w:val="16"/>
                <w:szCs w:val="16"/>
                <w:lang w:val="en-US"/>
              </w:rPr>
              <w:t>)</w:t>
            </w:r>
          </w:p>
        </w:tc>
      </w:tr>
      <w:tr w:rsidR="009066CC" w:rsidRPr="00F20444" w14:paraId="6019E912" w14:textId="77777777" w:rsidTr="000E23C2">
        <w:trPr>
          <w:trHeight w:val="578"/>
        </w:trPr>
        <w:tc>
          <w:tcPr>
            <w:tcW w:w="0" w:type="auto"/>
            <w:vAlign w:val="center"/>
          </w:tcPr>
          <w:p w14:paraId="6430E0C9" w14:textId="156566D2" w:rsidR="009066CC" w:rsidRPr="004D40DF" w:rsidRDefault="009066CC" w:rsidP="00376C8E">
            <w:pPr>
              <w:jc w:val="center"/>
              <w:rPr>
                <w:sz w:val="16"/>
                <w:szCs w:val="16"/>
                <w:lang w:val="en-US"/>
              </w:rPr>
            </w:pPr>
            <w:r w:rsidRPr="005D5CC6">
              <w:rPr>
                <w:sz w:val="16"/>
                <w:szCs w:val="16"/>
                <w:lang w:val="en-US"/>
              </w:rPr>
              <w:t xml:space="preserve">Hauck </w:t>
            </w:r>
            <w:r>
              <w:rPr>
                <w:sz w:val="16"/>
                <w:szCs w:val="16"/>
                <w:lang w:val="en-US"/>
              </w:rPr>
              <w:t>2016</w:t>
            </w:r>
            <w:r>
              <w:rPr>
                <w:sz w:val="16"/>
                <w:szCs w:val="16"/>
                <w:lang w:val="en-US"/>
              </w:rPr>
              <w:fldChar w:fldCharType="begin" w:fldLock="1"/>
            </w:r>
            <w:r>
              <w:rPr>
                <w:sz w:val="16"/>
                <w:szCs w:val="16"/>
                <w:lang w:val="en-US"/>
              </w:rPr>
              <w:instrText>ADDIN CSL_CITATION {"citationItems":[{"id":"ITEM-1","itemData":{"DOI":"10.20411/pai.v1i2.115","ISSN":"24692964","abstract":"Fluoroquinolone (FQ) antibiotics have been shown to reduce mortality and the number of febrile episodes when used as prophylaxis during neutropenia. Prior studies suggest that prophylaxis may result in increasing rates of FQ resistance. Fluoroquinolone non-susceptibility trends in Escherichia coli isolated from blood and urine cultures were evaluated over a 16-year period during which prophylaxis was initiated in patients with hematologic malignancies and stem cell transplants. Non-susceptibility rates increased after the introduction of prophylaxis, with yearly non-susceptibility rates rising from 30%–33% to 40%–88% in blood isolates. The high rates of non-susceptibility now observed raise concerns about the continued efficacy of FQ prophylaxis. This concern exists particularly in those patients undergoing stem cell transplants where the total FQ non-susceptibility rates over the study period were 82.3%. Further evaluation of the effect of FQ prophylaxis on antibiotic resistance and its efficacy in the setting of increased rates of resistance is warranted.","author":[{"dropping-particle":"","family":"Hauck","given":"Christopher G.","non-dropping-particle":"","parse-names":false,"suffix":""},{"dropping-particle":"","family":"Chong","given":"Pearlie P.","non-dropping-particle":"","parse-names":false,"suffix":""},{"dropping-particle":"","family":"Miller","given":"Melissa B.","non-dropping-particle":"","parse-names":false,"suffix":""},{"dropping-particle":"","family":"Jamieson","given":"Katarzyna","non-dropping-particle":"","parse-names":false,"suffix":""},{"dropping-particle":"","family":"Fine","given":"Jason P.","non-dropping-particle":"","parse-names":false,"suffix":""},{"dropping-particle":"","family":"Foster","given":"Matthew C.","non-dropping-particle":"","parse-names":false,"suffix":""},{"dropping-particle":"","family":"Shea","given":"Thomas C.","non-dropping-particle":"","parse-names":false,"suffix":""},{"dropping-particle":"","family":"Duin","given":"David","non-dropping-particle":"van","parse-names":false,"suffix":""}],"container-title":"Pathogens and Immunity","id":"ITEM-1","issue":"2","issued":{"date-parts":[["2016"]]},"page":"234-242","title":"Increasing rates of fluoroquinolone resistance in escherichia coli isolated from the blood and urine of patients with hematologic malignancies and stem cell transplant recipients","type":"article-journal","volume":"1"},"uris":["http://www.mendeley.com/documents/?uuid=c5ff82a4-ee43-4106-92dd-467fe8b53aeb"]}],"mendeley":{"formattedCitation":"&lt;sup&gt;29&lt;/sup&gt;","plainTextFormattedCitation":"29","previouslyFormattedCitation":"&lt;sup&gt;29&lt;/sup&gt;"},"properties":{"noteIndex":0},"schema":"https://github.com/citation-style-language/schema/raw/master/csl-citation.json"}</w:instrText>
            </w:r>
            <w:r>
              <w:rPr>
                <w:sz w:val="16"/>
                <w:szCs w:val="16"/>
                <w:lang w:val="en-US"/>
              </w:rPr>
              <w:fldChar w:fldCharType="separate"/>
            </w:r>
            <w:r w:rsidRPr="00106AB9">
              <w:rPr>
                <w:noProof/>
                <w:sz w:val="16"/>
                <w:szCs w:val="16"/>
                <w:vertAlign w:val="superscript"/>
                <w:lang w:val="en-US"/>
              </w:rPr>
              <w:t>29</w:t>
            </w:r>
            <w:r>
              <w:rPr>
                <w:sz w:val="16"/>
                <w:szCs w:val="16"/>
                <w:lang w:val="en-US"/>
              </w:rPr>
              <w:fldChar w:fldCharType="end"/>
            </w:r>
          </w:p>
        </w:tc>
        <w:tc>
          <w:tcPr>
            <w:tcW w:w="0" w:type="auto"/>
            <w:vAlign w:val="center"/>
          </w:tcPr>
          <w:p w14:paraId="3CC0E5EB" w14:textId="75FB079A" w:rsidR="009066CC" w:rsidRPr="00490DD4" w:rsidRDefault="009066CC" w:rsidP="00376C8E">
            <w:pPr>
              <w:jc w:val="center"/>
              <w:rPr>
                <w:sz w:val="16"/>
                <w:szCs w:val="16"/>
              </w:rPr>
            </w:pPr>
            <w:proofErr w:type="spellStart"/>
            <w:r w:rsidRPr="00490DD4">
              <w:rPr>
                <w:sz w:val="16"/>
                <w:szCs w:val="16"/>
              </w:rPr>
              <w:t>Retrospective</w:t>
            </w:r>
            <w:proofErr w:type="spellEnd"/>
            <w:r>
              <w:rPr>
                <w:sz w:val="16"/>
                <w:szCs w:val="16"/>
              </w:rPr>
              <w:t xml:space="preserve"> (</w:t>
            </w:r>
            <w:proofErr w:type="spellStart"/>
            <w:r>
              <w:rPr>
                <w:sz w:val="16"/>
                <w:szCs w:val="16"/>
              </w:rPr>
              <w:t>pre</w:t>
            </w:r>
            <w:proofErr w:type="spellEnd"/>
            <w:r>
              <w:rPr>
                <w:sz w:val="16"/>
                <w:szCs w:val="16"/>
              </w:rPr>
              <w:t xml:space="preserve">-post </w:t>
            </w:r>
            <w:proofErr w:type="spellStart"/>
            <w:r>
              <w:rPr>
                <w:sz w:val="16"/>
                <w:szCs w:val="16"/>
              </w:rPr>
              <w:t>implementation</w:t>
            </w:r>
            <w:proofErr w:type="spellEnd"/>
            <w:r>
              <w:rPr>
                <w:sz w:val="16"/>
                <w:szCs w:val="16"/>
              </w:rPr>
              <w:t xml:space="preserve">); single center; </w:t>
            </w:r>
            <w:r w:rsidRPr="00490DD4">
              <w:rPr>
                <w:sz w:val="16"/>
                <w:szCs w:val="16"/>
              </w:rPr>
              <w:t>USA</w:t>
            </w:r>
          </w:p>
        </w:tc>
        <w:tc>
          <w:tcPr>
            <w:tcW w:w="0" w:type="auto"/>
            <w:vAlign w:val="center"/>
          </w:tcPr>
          <w:p w14:paraId="4F414236" w14:textId="4416DDD1" w:rsidR="009066CC" w:rsidRPr="00313A98" w:rsidRDefault="009066CC" w:rsidP="00376C8E">
            <w:pPr>
              <w:jc w:val="center"/>
              <w:rPr>
                <w:color w:val="000000" w:themeColor="text1"/>
                <w:sz w:val="16"/>
                <w:szCs w:val="16"/>
              </w:rPr>
            </w:pPr>
            <w:r w:rsidRPr="00D859F5">
              <w:rPr>
                <w:sz w:val="16"/>
                <w:szCs w:val="16"/>
              </w:rPr>
              <w:t xml:space="preserve">HM, auto </w:t>
            </w:r>
            <w:r w:rsidR="008901EF">
              <w:rPr>
                <w:sz w:val="16"/>
                <w:szCs w:val="16"/>
              </w:rPr>
              <w:t>HCT</w:t>
            </w:r>
            <w:r w:rsidRPr="00D859F5">
              <w:rPr>
                <w:sz w:val="16"/>
                <w:szCs w:val="16"/>
              </w:rPr>
              <w:t xml:space="preserve">, allo </w:t>
            </w:r>
            <w:r w:rsidR="008901EF">
              <w:rPr>
                <w:sz w:val="16"/>
                <w:szCs w:val="16"/>
              </w:rPr>
              <w:t>HCT</w:t>
            </w:r>
            <w:r w:rsidRPr="00D859F5">
              <w:rPr>
                <w:sz w:val="16"/>
                <w:szCs w:val="16"/>
              </w:rPr>
              <w:t xml:space="preserve"> (n = 14</w:t>
            </w:r>
            <w:r>
              <w:rPr>
                <w:sz w:val="16"/>
                <w:szCs w:val="16"/>
              </w:rPr>
              <w:t xml:space="preserve">9) </w:t>
            </w:r>
            <w:r>
              <w:rPr>
                <w:color w:val="000000" w:themeColor="text1"/>
                <w:sz w:val="16"/>
                <w:szCs w:val="16"/>
                <w:lang w:val="en-US"/>
              </w:rPr>
              <w:t>[adult]</w:t>
            </w:r>
          </w:p>
        </w:tc>
        <w:tc>
          <w:tcPr>
            <w:tcW w:w="0" w:type="auto"/>
            <w:vAlign w:val="center"/>
          </w:tcPr>
          <w:p w14:paraId="1595E34B" w14:textId="7F49FF11" w:rsidR="009066CC" w:rsidRDefault="009066CC" w:rsidP="00376C8E">
            <w:pPr>
              <w:jc w:val="center"/>
              <w:rPr>
                <w:color w:val="000000" w:themeColor="text1"/>
                <w:sz w:val="16"/>
                <w:szCs w:val="16"/>
              </w:rPr>
            </w:pPr>
            <w:r>
              <w:rPr>
                <w:color w:val="000000" w:themeColor="text1"/>
                <w:sz w:val="16"/>
                <w:szCs w:val="16"/>
                <w:lang w:val="en-US"/>
              </w:rPr>
              <w:t>FQ</w:t>
            </w:r>
          </w:p>
        </w:tc>
        <w:tc>
          <w:tcPr>
            <w:tcW w:w="0" w:type="auto"/>
            <w:vAlign w:val="center"/>
          </w:tcPr>
          <w:p w14:paraId="323D6746" w14:textId="54CB221D" w:rsidR="009066CC" w:rsidRDefault="009066CC" w:rsidP="00376C8E">
            <w:pPr>
              <w:jc w:val="center"/>
              <w:rPr>
                <w:color w:val="000000" w:themeColor="text1"/>
                <w:sz w:val="16"/>
                <w:szCs w:val="16"/>
              </w:rPr>
            </w:pPr>
            <w:r>
              <w:rPr>
                <w:color w:val="000000" w:themeColor="text1"/>
                <w:sz w:val="16"/>
                <w:szCs w:val="16"/>
              </w:rPr>
              <w:t>NA</w:t>
            </w:r>
          </w:p>
        </w:tc>
        <w:tc>
          <w:tcPr>
            <w:tcW w:w="0" w:type="auto"/>
            <w:vAlign w:val="center"/>
          </w:tcPr>
          <w:p w14:paraId="78AFB6A7" w14:textId="0FE8A4F4" w:rsidR="009066CC" w:rsidRDefault="009066CC" w:rsidP="00376C8E">
            <w:pPr>
              <w:jc w:val="center"/>
              <w:rPr>
                <w:color w:val="000000" w:themeColor="text1"/>
                <w:sz w:val="16"/>
                <w:szCs w:val="16"/>
              </w:rPr>
            </w:pPr>
            <w:r>
              <w:rPr>
                <w:color w:val="000000" w:themeColor="text1"/>
                <w:sz w:val="16"/>
                <w:szCs w:val="16"/>
              </w:rPr>
              <w:t>NA</w:t>
            </w:r>
          </w:p>
        </w:tc>
        <w:tc>
          <w:tcPr>
            <w:tcW w:w="0" w:type="auto"/>
            <w:vAlign w:val="center"/>
          </w:tcPr>
          <w:p w14:paraId="07FF16CA" w14:textId="6B0CE620" w:rsidR="009066CC" w:rsidRPr="00376C8E" w:rsidRDefault="009066CC" w:rsidP="00376C8E">
            <w:pPr>
              <w:jc w:val="center"/>
              <w:rPr>
                <w:color w:val="000000" w:themeColor="text1"/>
                <w:sz w:val="16"/>
                <w:szCs w:val="16"/>
                <w:lang w:val="en-US"/>
              </w:rPr>
            </w:pPr>
            <w:r w:rsidRPr="00F6654F">
              <w:rPr>
                <w:color w:val="000000" w:themeColor="text1"/>
                <w:sz w:val="16"/>
                <w:szCs w:val="16"/>
                <w:lang w:val="en-US"/>
              </w:rPr>
              <w:t>Increased (FQ-R BSI – E. Coli)</w:t>
            </w:r>
          </w:p>
        </w:tc>
      </w:tr>
      <w:tr w:rsidR="009066CC" w:rsidRPr="00376C8E" w14:paraId="2E9EB916" w14:textId="77777777" w:rsidTr="000E23C2">
        <w:trPr>
          <w:trHeight w:val="578"/>
        </w:trPr>
        <w:tc>
          <w:tcPr>
            <w:tcW w:w="0" w:type="auto"/>
            <w:vAlign w:val="center"/>
          </w:tcPr>
          <w:p w14:paraId="5D9B1B1F" w14:textId="02D936F3" w:rsidR="009066CC" w:rsidRPr="005D5CC6" w:rsidRDefault="009066CC" w:rsidP="00BF5947">
            <w:pPr>
              <w:jc w:val="center"/>
              <w:rPr>
                <w:sz w:val="16"/>
                <w:szCs w:val="16"/>
                <w:lang w:val="en-US"/>
              </w:rPr>
            </w:pPr>
            <w:r w:rsidRPr="005D5CC6">
              <w:rPr>
                <w:sz w:val="16"/>
                <w:szCs w:val="16"/>
                <w:lang w:val="en-US"/>
              </w:rPr>
              <w:t xml:space="preserve">Lee </w:t>
            </w:r>
            <w:r>
              <w:rPr>
                <w:sz w:val="16"/>
                <w:szCs w:val="16"/>
                <w:lang w:val="en-US"/>
              </w:rPr>
              <w:t>2018</w:t>
            </w:r>
            <w:r>
              <w:rPr>
                <w:sz w:val="16"/>
                <w:szCs w:val="16"/>
                <w:lang w:val="en-US"/>
              </w:rPr>
              <w:fldChar w:fldCharType="begin" w:fldLock="1"/>
            </w:r>
            <w:r>
              <w:rPr>
                <w:sz w:val="16"/>
                <w:szCs w:val="16"/>
                <w:lang w:val="en-US"/>
              </w:rPr>
              <w:instrText>ADDIN CSL_CITATION {"citationItems":[{"id":"ITEM-1","itemData":{"DOI":"10.1007/s00520-017-3976-1","ISSN":"14337339","PMID":"29170868","abstract":"Purpose: The purpose of this study is to evaluate the efficacy and safety of prophylactic oral levofloxacin in acute myeloid leukemia (AML) patients after receiving consolidation chemotherapy to prevent febrile neutropenia. Methods: We conducted a retrospective chart review of 50 AML patients who were prescribed levofloxacin and 50 AML patients who were not prescribed levofloxacin post-consolidation chemotherapy between June 2006 and August 2013 at a tertiary academic medical center. The primary outcome of this study was to evaluate the effectiveness of levofloxacin in preventing hospital readmission due to febrile neutropenia. Secondary outcomes evaluated the safety of this therapy, including the rate of Clostridium difficile-associated diarrhea (CDAD) within 30 days from discharge of receiving consolidation chemotherapy and rate of fluoroquinolone resistance in positive bacterial cultures. Results: Hospital readmission due to febrile neutropenia after the first consolidation cycle occurred in 42% of patients prescribed levofloxacin, as compared to 72% that were not prescribed levofloxacin (p = 0.002). This was also significantly reduced when levofloxacin was prescribed after all consolidation cycles (51.4 vs. 67%, p = 0.023). CDAD did not occur in any patient prescribed levofloxacin after the first cycle, compared to one case in those not prescribed levofloxacin. Evaluation of the impact on fluoroquinolone resistance was limited due to a paucity of fluoroquinolone susceptibilities reported. Conclusions: Prescribing oral levofloxacin post-consolidation chemotherapy in AML patients is associated with a reduction in febrile neutropenia. Further research is required to identify the impact on fluoroquinolone resistance and risk of CDAD.","author":[{"dropping-particle":"","family":"Lee","given":"Samantha S.F.","non-dropping-particle":"","parse-names":false,"suffix":""},{"dropping-particle":"","family":"Fulford","given":"Adrienne E.","non-dropping-particle":"","parse-names":false,"suffix":""},{"dropping-particle":"","family":"Quinn","given":"Maureen A.","non-dropping-particle":"","parse-names":false,"suffix":""},{"dropping-particle":"","family":"Seabrook","given":"Jamie","non-dropping-particle":"","parse-names":false,"suffix":""},{"dropping-particle":"","family":"Rajakumar","given":"Irina","non-dropping-particle":"","parse-names":false,"suffix":""}],"container-title":"Supportive Care in Cancer","id":"ITEM-1","issue":"5","issued":{"date-parts":[["2018"]]},"page":"1499-1504","publisher":"Supportive Care in Cancer","title":"Levofloxacin for febrile neutropenia prophylaxis in acute myeloid leukemia patients associated with reduction in hospital admissions","type":"article-journal","volume":"26"},"uris":["http://www.mendeley.com/documents/?uuid=f29f9b28-e7ac-4841-8091-771e26cfeb24"]}],"mendeley":{"formattedCitation":"&lt;sup&gt;30&lt;/sup&gt;","plainTextFormattedCitation":"30","previouslyFormattedCitation":"&lt;sup&gt;30&lt;/sup&gt;"},"properties":{"noteIndex":0},"schema":"https://github.com/citation-style-language/schema/raw/master/csl-citation.json"}</w:instrText>
            </w:r>
            <w:r>
              <w:rPr>
                <w:sz w:val="16"/>
                <w:szCs w:val="16"/>
                <w:lang w:val="en-US"/>
              </w:rPr>
              <w:fldChar w:fldCharType="separate"/>
            </w:r>
            <w:r w:rsidRPr="008E7EF2">
              <w:rPr>
                <w:noProof/>
                <w:sz w:val="16"/>
                <w:szCs w:val="16"/>
                <w:vertAlign w:val="superscript"/>
                <w:lang w:val="en-US"/>
              </w:rPr>
              <w:t>30</w:t>
            </w:r>
            <w:r>
              <w:rPr>
                <w:sz w:val="16"/>
                <w:szCs w:val="16"/>
                <w:lang w:val="en-US"/>
              </w:rPr>
              <w:fldChar w:fldCharType="end"/>
            </w:r>
          </w:p>
        </w:tc>
        <w:tc>
          <w:tcPr>
            <w:tcW w:w="0" w:type="auto"/>
            <w:vAlign w:val="center"/>
          </w:tcPr>
          <w:p w14:paraId="32AEEE15" w14:textId="6E55A441" w:rsidR="009066CC" w:rsidRPr="00490DD4" w:rsidRDefault="009066CC" w:rsidP="00BF5947">
            <w:pPr>
              <w:jc w:val="center"/>
              <w:rPr>
                <w:sz w:val="16"/>
                <w:szCs w:val="16"/>
              </w:rPr>
            </w:pPr>
            <w:proofErr w:type="spellStart"/>
            <w:r w:rsidRPr="00490DD4">
              <w:rPr>
                <w:sz w:val="16"/>
                <w:szCs w:val="16"/>
              </w:rPr>
              <w:t>Retrospective</w:t>
            </w:r>
            <w:proofErr w:type="spellEnd"/>
            <w:r>
              <w:rPr>
                <w:sz w:val="16"/>
                <w:szCs w:val="16"/>
              </w:rPr>
              <w:t xml:space="preserve">; single center; </w:t>
            </w:r>
            <w:r w:rsidRPr="00490DD4">
              <w:rPr>
                <w:sz w:val="16"/>
                <w:szCs w:val="16"/>
              </w:rPr>
              <w:t>Canada</w:t>
            </w:r>
          </w:p>
        </w:tc>
        <w:tc>
          <w:tcPr>
            <w:tcW w:w="0" w:type="auto"/>
            <w:vAlign w:val="center"/>
          </w:tcPr>
          <w:p w14:paraId="7BF0570B" w14:textId="668B3724" w:rsidR="009066CC" w:rsidRPr="00D859F5" w:rsidRDefault="009066CC" w:rsidP="00BF5947">
            <w:pPr>
              <w:jc w:val="center"/>
              <w:rPr>
                <w:sz w:val="16"/>
                <w:szCs w:val="16"/>
              </w:rPr>
            </w:pPr>
            <w:r>
              <w:rPr>
                <w:color w:val="000000" w:themeColor="text1"/>
                <w:sz w:val="16"/>
                <w:szCs w:val="16"/>
                <w:lang w:val="en-US"/>
              </w:rPr>
              <w:t>HM, AML (n = 100) [adult]</w:t>
            </w:r>
          </w:p>
        </w:tc>
        <w:tc>
          <w:tcPr>
            <w:tcW w:w="0" w:type="auto"/>
            <w:vAlign w:val="center"/>
          </w:tcPr>
          <w:p w14:paraId="4E4842C5" w14:textId="05CF3EB7" w:rsidR="009066CC" w:rsidRDefault="009066CC" w:rsidP="00BF5947">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4536707C" w14:textId="7AA5B5C3" w:rsidR="009066CC" w:rsidRDefault="009066CC" w:rsidP="00BF5947">
            <w:pPr>
              <w:jc w:val="center"/>
              <w:rPr>
                <w:color w:val="000000" w:themeColor="text1"/>
                <w:sz w:val="16"/>
                <w:szCs w:val="16"/>
              </w:rPr>
            </w:pPr>
            <w:r>
              <w:rPr>
                <w:color w:val="000000" w:themeColor="text1"/>
                <w:sz w:val="16"/>
                <w:szCs w:val="16"/>
                <w:lang w:val="en-US"/>
              </w:rPr>
              <w:t>NA</w:t>
            </w:r>
          </w:p>
        </w:tc>
        <w:tc>
          <w:tcPr>
            <w:tcW w:w="0" w:type="auto"/>
            <w:vAlign w:val="center"/>
          </w:tcPr>
          <w:p w14:paraId="5486149F" w14:textId="423AFE63" w:rsidR="009066CC" w:rsidRDefault="009066CC" w:rsidP="00BF5947">
            <w:pPr>
              <w:jc w:val="center"/>
              <w:rPr>
                <w:color w:val="000000" w:themeColor="text1"/>
                <w:sz w:val="16"/>
                <w:szCs w:val="16"/>
              </w:rPr>
            </w:pPr>
            <w:r>
              <w:rPr>
                <w:color w:val="000000" w:themeColor="text1"/>
                <w:sz w:val="16"/>
                <w:szCs w:val="16"/>
                <w:lang w:val="en-US"/>
              </w:rPr>
              <w:t>NA</w:t>
            </w:r>
          </w:p>
        </w:tc>
        <w:tc>
          <w:tcPr>
            <w:tcW w:w="0" w:type="auto"/>
            <w:vAlign w:val="center"/>
          </w:tcPr>
          <w:p w14:paraId="36D1EDDB" w14:textId="6C3E023D" w:rsidR="009066CC" w:rsidRPr="00F6654F" w:rsidRDefault="009066CC" w:rsidP="00BF5947">
            <w:pPr>
              <w:jc w:val="center"/>
              <w:rPr>
                <w:color w:val="000000" w:themeColor="text1"/>
                <w:sz w:val="16"/>
                <w:szCs w:val="16"/>
                <w:lang w:val="en-US"/>
              </w:rPr>
            </w:pPr>
            <w:r>
              <w:rPr>
                <w:color w:val="000000" w:themeColor="text1"/>
                <w:sz w:val="16"/>
                <w:szCs w:val="16"/>
                <w:lang w:val="en-US"/>
              </w:rPr>
              <w:t>Unchanged</w:t>
            </w:r>
            <w:r w:rsidDel="00F6654F">
              <w:rPr>
                <w:color w:val="000000" w:themeColor="text1"/>
                <w:sz w:val="16"/>
                <w:szCs w:val="16"/>
                <w:lang w:val="en-US"/>
              </w:rPr>
              <w:t xml:space="preserve"> </w:t>
            </w:r>
            <w:r>
              <w:rPr>
                <w:color w:val="000000" w:themeColor="text1"/>
                <w:sz w:val="16"/>
                <w:szCs w:val="16"/>
                <w:lang w:val="en-US"/>
              </w:rPr>
              <w:t>(FQ-R BSI)</w:t>
            </w:r>
          </w:p>
        </w:tc>
      </w:tr>
      <w:tr w:rsidR="009066CC" w:rsidRPr="00F20444" w14:paraId="787FB803" w14:textId="77777777" w:rsidTr="000E23C2">
        <w:trPr>
          <w:trHeight w:val="578"/>
        </w:trPr>
        <w:tc>
          <w:tcPr>
            <w:tcW w:w="0" w:type="auto"/>
            <w:vAlign w:val="center"/>
          </w:tcPr>
          <w:p w14:paraId="2F9B4577" w14:textId="5EA94AEE" w:rsidR="009066CC" w:rsidRPr="004D40DF" w:rsidRDefault="009066CC" w:rsidP="00376C8E">
            <w:pPr>
              <w:jc w:val="center"/>
              <w:rPr>
                <w:color w:val="000000" w:themeColor="text1"/>
                <w:sz w:val="16"/>
                <w:szCs w:val="16"/>
                <w:lang w:val="en-US"/>
              </w:rPr>
            </w:pPr>
            <w:proofErr w:type="spellStart"/>
            <w:r w:rsidRPr="004D40DF">
              <w:rPr>
                <w:color w:val="000000" w:themeColor="text1"/>
                <w:sz w:val="16"/>
                <w:szCs w:val="16"/>
                <w:lang w:val="en-US"/>
              </w:rPr>
              <w:t>Macesic</w:t>
            </w:r>
            <w:proofErr w:type="spellEnd"/>
            <w:r w:rsidRPr="004D40DF">
              <w:rPr>
                <w:color w:val="000000" w:themeColor="text1"/>
                <w:sz w:val="16"/>
                <w:szCs w:val="16"/>
                <w:lang w:val="en-US"/>
              </w:rPr>
              <w:t xml:space="preserve"> </w:t>
            </w:r>
            <w:r>
              <w:rPr>
                <w:color w:val="000000" w:themeColor="text1"/>
                <w:sz w:val="16"/>
                <w:szCs w:val="16"/>
                <w:lang w:val="en-US"/>
              </w:rPr>
              <w:t>2014</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{"citationItems":[{"id":"ITEM-1","itemData":{"DOI":"10.1111/tid.12298","ISSN":"13993062","PMID":"25298044","abstract":"Infections remain important contributors to mortality in hematopoietic stem cell transplantation (HSCT). Method: We studied the evolving epidemiology and trends in susceptibility of bacterial and Candida isolates at an Australian HSCT center. A total of 528 HSCTs in 508 patients were performed from April 2001 to May 2010. A total of 605 isolates were eligible for study inclusion; 318 (53%) were gram-positive, 268 (44%) were gram-negative, and 19 (3%) were Candida species. Results: The most common site for isolates was blood (380 isolates, 63%). Staphylococcus aureus was the most common gram-positive organism (n = 107, 34%), but trends to increasing coagulase-negative staphylococci (P = 0.002) and vancomycin-resistant Enterococcus (P &lt; 0.001) were observed. Escherichia coli was the most common gram-negative isolate (n = 74, 28%). Fluoroquinolone resistance increased with widespread use of protocol fluoroquinolone prophylaxis (P = 0.001). Carbapenem resistance was found in 44% of Pseudomonas or Acinetobacter isolates. Bloodstream infection with a multidrug-resistant organism (odds ratio 3.61, 95% confidence interval: 1.40-9.32, P = 0.008) was an independent predictor of mortality at 7 days after a positive blood culture. Conclusions: Antimicrobial resistance is an increasing problem in this vulnerable patient population, and not only has an impact on choice of empiric therapy for febrile neutropenia but also on mortality.","author":[{"dropping-particle":"","family":"Macesic","given":"N.","non-dropping-particle":"","parse-names":false,"suffix":""},{"dropping-particle":"","family":"Morrissey","given":"C. O.","non-dropping-particle":"","parse-names":false,"suffix":""},{"dropping-particle":"","family":"Cheng","given":"A. C.","non-dropping-particle":"","parse-names":false,"suffix":""},{"dropping-particle":"","family":"Spencer","given":"A.","non-dropping-particle":"","parse-names":false,"suffix":""},{"dropping-particle":"","family":"Peleg","given":"A. Y.","non-dropping-particle":"","parse-names":false,"suffix":""}],"container-title":"Transplant Infectious Disease","id":"ITEM-1","issue":"6","issued":{"date-parts":[["2014"]]},"page":"887-896","title":"Changing microbial epidemiology in hematopoietic stem cell transplant recipients: Increasing resistance over a 9-year period","type":"article-journal","volume":"16"},"uris":["http://www.mendeley.com/documents/?uuid=819579aa-e690-43c0-826d-90de00dd29d2"]}],"mendeley":{"formattedCitation":"&lt;sup&gt;31&lt;/sup&gt;","plainTextFormattedCitation":"31","previouslyFormattedCitation":"&lt;sup&gt;31&lt;/sup&gt;"},"properties":{"noteIndex":0},"schema":"https://github.com/citation-style-language/schema/raw/master/csl-citation.json"}</w:instrText>
            </w:r>
            <w:r>
              <w:rPr>
                <w:color w:val="000000" w:themeColor="text1"/>
                <w:sz w:val="16"/>
                <w:szCs w:val="16"/>
                <w:lang w:val="en-US"/>
              </w:rPr>
              <w:fldChar w:fldCharType="separate"/>
            </w:r>
            <w:r w:rsidRPr="008E7EF2">
              <w:rPr>
                <w:noProof/>
                <w:color w:val="000000" w:themeColor="text1"/>
                <w:sz w:val="16"/>
                <w:szCs w:val="16"/>
                <w:vertAlign w:val="superscript"/>
                <w:lang w:val="en-US"/>
              </w:rPr>
              <w:t>31</w:t>
            </w:r>
            <w:r>
              <w:rPr>
                <w:color w:val="000000" w:themeColor="text1"/>
                <w:sz w:val="16"/>
                <w:szCs w:val="16"/>
                <w:lang w:val="en-US"/>
              </w:rPr>
              <w:fldChar w:fldCharType="end"/>
            </w:r>
          </w:p>
        </w:tc>
        <w:tc>
          <w:tcPr>
            <w:tcW w:w="0" w:type="auto"/>
            <w:vAlign w:val="center"/>
          </w:tcPr>
          <w:p w14:paraId="00792EB5" w14:textId="67959C44" w:rsidR="009066CC" w:rsidRPr="00376C8E" w:rsidRDefault="009066CC" w:rsidP="00376C8E">
            <w:pPr>
              <w:jc w:val="center"/>
              <w:rPr>
                <w:sz w:val="16"/>
                <w:szCs w:val="16"/>
                <w:lang w:val="en-US"/>
              </w:rPr>
            </w:pPr>
            <w:r w:rsidRPr="00F80190">
              <w:rPr>
                <w:sz w:val="16"/>
                <w:szCs w:val="16"/>
                <w:lang w:val="en-US"/>
              </w:rPr>
              <w:t>Retrospective (pre-post implementation); single center; Australia</w:t>
            </w:r>
          </w:p>
        </w:tc>
        <w:tc>
          <w:tcPr>
            <w:tcW w:w="0" w:type="auto"/>
            <w:vAlign w:val="center"/>
          </w:tcPr>
          <w:p w14:paraId="44018555" w14:textId="512A3871" w:rsidR="009066CC" w:rsidRPr="008901EF" w:rsidRDefault="009066CC" w:rsidP="00376C8E">
            <w:pPr>
              <w:jc w:val="center"/>
              <w:rPr>
                <w:color w:val="000000" w:themeColor="text1"/>
                <w:sz w:val="16"/>
                <w:szCs w:val="16"/>
              </w:rPr>
            </w:pPr>
            <w:r w:rsidRPr="00F80190">
              <w:rPr>
                <w:color w:val="000000" w:themeColor="text1"/>
                <w:sz w:val="16"/>
                <w:szCs w:val="16"/>
              </w:rPr>
              <w:t xml:space="preserve">Auto </w:t>
            </w:r>
            <w:r w:rsidR="008901EF">
              <w:rPr>
                <w:color w:val="000000" w:themeColor="text1"/>
                <w:sz w:val="16"/>
                <w:szCs w:val="16"/>
              </w:rPr>
              <w:t>HCT</w:t>
            </w:r>
            <w:r w:rsidRPr="00F80190">
              <w:rPr>
                <w:color w:val="000000" w:themeColor="text1"/>
                <w:sz w:val="16"/>
                <w:szCs w:val="16"/>
              </w:rPr>
              <w:t xml:space="preserve">, allo </w:t>
            </w:r>
            <w:r w:rsidR="008901EF">
              <w:rPr>
                <w:color w:val="000000" w:themeColor="text1"/>
                <w:sz w:val="16"/>
                <w:szCs w:val="16"/>
              </w:rPr>
              <w:t>HCT</w:t>
            </w:r>
            <w:r w:rsidRPr="00F80190">
              <w:rPr>
                <w:color w:val="000000" w:themeColor="text1"/>
                <w:sz w:val="16"/>
                <w:szCs w:val="16"/>
              </w:rPr>
              <w:t xml:space="preserve"> (n</w:t>
            </w:r>
            <w:r>
              <w:rPr>
                <w:color w:val="000000" w:themeColor="text1"/>
                <w:sz w:val="16"/>
                <w:szCs w:val="16"/>
              </w:rPr>
              <w:t xml:space="preserve"> = 508) </w:t>
            </w:r>
            <w:r w:rsidRPr="008901EF">
              <w:rPr>
                <w:color w:val="000000" w:themeColor="text1"/>
                <w:sz w:val="16"/>
                <w:szCs w:val="16"/>
              </w:rPr>
              <w:t>[</w:t>
            </w:r>
            <w:proofErr w:type="spellStart"/>
            <w:r w:rsidRPr="008901EF">
              <w:rPr>
                <w:color w:val="000000" w:themeColor="text1"/>
                <w:sz w:val="16"/>
                <w:szCs w:val="16"/>
              </w:rPr>
              <w:t>adult</w:t>
            </w:r>
            <w:proofErr w:type="spellEnd"/>
            <w:r w:rsidRPr="008901EF">
              <w:rPr>
                <w:color w:val="000000" w:themeColor="text1"/>
                <w:sz w:val="16"/>
                <w:szCs w:val="16"/>
              </w:rPr>
              <w:t>]</w:t>
            </w:r>
          </w:p>
        </w:tc>
        <w:tc>
          <w:tcPr>
            <w:tcW w:w="0" w:type="auto"/>
            <w:vAlign w:val="center"/>
          </w:tcPr>
          <w:p w14:paraId="0964F4D6" w14:textId="0E390AAF" w:rsidR="009066CC" w:rsidRDefault="009066CC" w:rsidP="00376C8E">
            <w:pPr>
              <w:jc w:val="center"/>
              <w:rPr>
                <w:color w:val="000000" w:themeColor="text1"/>
                <w:sz w:val="16"/>
                <w:szCs w:val="16"/>
                <w:lang w:val="en-US"/>
              </w:rPr>
            </w:pPr>
            <w:proofErr w:type="spellStart"/>
            <w:r>
              <w:rPr>
                <w:color w:val="000000" w:themeColor="text1"/>
                <w:sz w:val="16"/>
                <w:szCs w:val="16"/>
              </w:rPr>
              <w:t>Ciprofloxacin</w:t>
            </w:r>
            <w:proofErr w:type="spellEnd"/>
          </w:p>
        </w:tc>
        <w:tc>
          <w:tcPr>
            <w:tcW w:w="0" w:type="auto"/>
            <w:vAlign w:val="center"/>
          </w:tcPr>
          <w:p w14:paraId="0111645A" w14:textId="3D5BA109" w:rsidR="009066CC" w:rsidRDefault="009066CC" w:rsidP="00376C8E">
            <w:pPr>
              <w:jc w:val="center"/>
              <w:rPr>
                <w:color w:val="000000" w:themeColor="text1"/>
                <w:sz w:val="16"/>
                <w:szCs w:val="16"/>
                <w:lang w:val="en-US"/>
              </w:rPr>
            </w:pPr>
            <w:proofErr w:type="spellStart"/>
            <w:r>
              <w:rPr>
                <w:color w:val="000000" w:themeColor="text1"/>
                <w:sz w:val="16"/>
                <w:szCs w:val="16"/>
              </w:rPr>
              <w:t>Decreased</w:t>
            </w:r>
            <w:proofErr w:type="spellEnd"/>
          </w:p>
        </w:tc>
        <w:tc>
          <w:tcPr>
            <w:tcW w:w="0" w:type="auto"/>
            <w:vAlign w:val="center"/>
          </w:tcPr>
          <w:p w14:paraId="1343836D" w14:textId="7F3D985A" w:rsidR="009066CC" w:rsidRDefault="009066CC" w:rsidP="00376C8E">
            <w:pPr>
              <w:jc w:val="center"/>
              <w:rPr>
                <w:color w:val="000000" w:themeColor="text1"/>
                <w:sz w:val="16"/>
                <w:szCs w:val="16"/>
                <w:lang w:val="en-US"/>
              </w:rPr>
            </w:pPr>
            <w:proofErr w:type="spellStart"/>
            <w:r>
              <w:rPr>
                <w:color w:val="000000" w:themeColor="text1"/>
                <w:sz w:val="16"/>
                <w:szCs w:val="16"/>
              </w:rPr>
              <w:t>Decreased</w:t>
            </w:r>
            <w:proofErr w:type="spellEnd"/>
          </w:p>
        </w:tc>
        <w:tc>
          <w:tcPr>
            <w:tcW w:w="0" w:type="auto"/>
            <w:vAlign w:val="center"/>
          </w:tcPr>
          <w:p w14:paraId="20159EF4" w14:textId="790ABCD6" w:rsidR="009066CC" w:rsidRDefault="009066CC" w:rsidP="00376C8E">
            <w:pPr>
              <w:jc w:val="center"/>
              <w:rPr>
                <w:color w:val="000000" w:themeColor="text1"/>
                <w:sz w:val="16"/>
                <w:szCs w:val="16"/>
                <w:lang w:val="en-US"/>
              </w:rPr>
            </w:pPr>
            <w:r w:rsidRPr="00F80190">
              <w:rPr>
                <w:color w:val="000000" w:themeColor="text1"/>
                <w:sz w:val="16"/>
                <w:szCs w:val="16"/>
                <w:lang w:val="en-US"/>
              </w:rPr>
              <w:t>Increase</w:t>
            </w:r>
            <w:r>
              <w:rPr>
                <w:color w:val="000000" w:themeColor="text1"/>
                <w:sz w:val="16"/>
                <w:szCs w:val="16"/>
                <w:lang w:val="en-US"/>
              </w:rPr>
              <w:t>d</w:t>
            </w:r>
            <w:r w:rsidRPr="00F80190">
              <w:rPr>
                <w:color w:val="000000" w:themeColor="text1"/>
                <w:sz w:val="16"/>
                <w:szCs w:val="16"/>
                <w:lang w:val="en-US"/>
              </w:rPr>
              <w:t xml:space="preserve"> </w:t>
            </w:r>
            <w:r>
              <w:rPr>
                <w:color w:val="000000" w:themeColor="text1"/>
                <w:sz w:val="16"/>
                <w:szCs w:val="16"/>
                <w:lang w:val="en-US"/>
              </w:rPr>
              <w:t>(</w:t>
            </w:r>
            <w:r w:rsidRPr="00F80190">
              <w:rPr>
                <w:color w:val="000000" w:themeColor="text1"/>
                <w:sz w:val="16"/>
                <w:szCs w:val="16"/>
                <w:lang w:val="en-US"/>
              </w:rPr>
              <w:t xml:space="preserve">FQ-R and ESBL </w:t>
            </w:r>
            <w:r>
              <w:rPr>
                <w:color w:val="000000" w:themeColor="text1"/>
                <w:sz w:val="16"/>
                <w:szCs w:val="16"/>
                <w:lang w:val="en-US"/>
              </w:rPr>
              <w:t>BSI)</w:t>
            </w:r>
          </w:p>
        </w:tc>
      </w:tr>
      <w:tr w:rsidR="009066CC" w:rsidRPr="00376C8E" w14:paraId="11C45176" w14:textId="77777777" w:rsidTr="000E23C2">
        <w:trPr>
          <w:trHeight w:val="578"/>
        </w:trPr>
        <w:tc>
          <w:tcPr>
            <w:tcW w:w="0" w:type="auto"/>
            <w:vAlign w:val="center"/>
          </w:tcPr>
          <w:p w14:paraId="743130CB" w14:textId="62F60CAF" w:rsidR="009066CC" w:rsidRPr="004D40DF" w:rsidRDefault="009066CC" w:rsidP="00376C8E">
            <w:pPr>
              <w:jc w:val="center"/>
              <w:rPr>
                <w:color w:val="000000" w:themeColor="text1"/>
                <w:sz w:val="16"/>
                <w:szCs w:val="16"/>
                <w:lang w:val="en-US"/>
              </w:rPr>
            </w:pPr>
            <w:proofErr w:type="spellStart"/>
            <w:r w:rsidRPr="004D40DF">
              <w:rPr>
                <w:sz w:val="16"/>
                <w:szCs w:val="16"/>
                <w:lang w:val="en-US"/>
              </w:rPr>
              <w:t>Maakaron</w:t>
            </w:r>
            <w:proofErr w:type="spellEnd"/>
            <w:r w:rsidRPr="004D40DF">
              <w:rPr>
                <w:sz w:val="16"/>
                <w:szCs w:val="16"/>
                <w:lang w:val="en-US"/>
              </w:rPr>
              <w:t xml:space="preserve"> </w:t>
            </w:r>
            <w:r>
              <w:rPr>
                <w:sz w:val="16"/>
                <w:szCs w:val="16"/>
                <w:lang w:val="en-US"/>
              </w:rPr>
              <w:t>2020</w:t>
            </w:r>
            <w:r>
              <w:rPr>
                <w:sz w:val="16"/>
                <w:szCs w:val="16"/>
                <w:lang w:val="en-US"/>
              </w:rPr>
              <w:fldChar w:fldCharType="begin" w:fldLock="1"/>
            </w:r>
            <w:r>
              <w:rPr>
                <w:sz w:val="16"/>
                <w:szCs w:val="16"/>
                <w:lang w:val="en-US"/>
              </w:rPr>
              <w:instrText>ADDIN CSL_CITATION {"citationItems":[{"id":"ITEM-1","itemData":{"DOI":"10.1016/j.bbmt.2020.03.027","ISSN":"15236536","PMID":"32304873","abstract":"Prophylaxis with fluoroquinolone (FQ) for patients undergoing autologous stem cell transplantation (ASCT) remains controversial. We performed a retrospective review of patients undergoing ASCT with and without bacterial prophylaxis to compare endpoints of interest. In accordance with institutional policy, patients undergoing ASCT for multiple myeloma routinely receive levofloxacin prophylaxis during their period of neutropenia, whereas patients undergoing the ASCT for lymphoma do not. We retrospectively examined patients with multiple myeloma (MM) or lymphoma undergoing ASCT between July 2015 and July 2018 for evidence of positive blood cultures. A total of 172 patients underwent ASCT for lymphoma and 343 underwent ASCT for MM. The 2 cohorts were similar in terms of baseline characteristics. Almost 20% (35 of 172) of the patients with lymphoma and 5.2% (18 of 342) of those with MM had a bloodstream infection (BSI). BSI occurred an average of 2 days earlier in patients with lymphoma compared with patients with MM (day +5 versus day +7; P =.0003). The 2 cohorts recovered absolute neutrophil count at the same time. Hospital length of stay was 2 days shorter for patients with MM (median, 20 days versus 18 days; P =.01). The majority of the organisms were gram-negative in both cohorts. Of the organisms commonly tested for FQ sensitivity, only 1 of 25 was resistant in the lymphoma cohort, compared with 7 of 9 in the MM cohort (P &lt;.0001), with 4 being multidrug resistant. The odds of developing a BSI were 4.6 times greater in the lymphoma cohort compared with the MM cohort (95% confidence interval [CI], 2.52 to 8.40; P &lt;.0001). In total, 23 of 172 patients with lymphoma (13.4%) and 28 of 342 patients with MM (8.2%) developed Clostridium difficile infection (odds ratio, 1.73; 95% CI,.96 to 3.11; P =.066). Two infection-related deaths occurred in the MM cohort. Our data indicate that FQ prophylaxis reduces the risk of BSI in patients undergoing ASCT but increases the incidence of resistant organisms. We recommend routine antimicrobial prophylaxis in patients undergoing ASCT to reduce the risk of BSI, along with a systematic and regular review of outcomes.","author":[{"dropping-particle":"","family":"Maakaron","given":"Joseph E.","non-dropping-particle":"","parse-names":false,"suffix":""},{"dropping-particle":"","family":"Liscynesky","given":"Christina","non-dropping-particle":"","parse-names":false,"suffix":""},{"dropping-particle":"El","family":"Boghdadly","given":"Zeinab","non-dropping-particle":"","parse-names":false,"suffix":""},{"dropping-particle":"","family":"Huang","given":"Ying","non-dropping-particle":"","parse-names":false,"suffix":""},{"dropping-particle":"","family":"Agyeman","given":"Akwasi","non-dropping-particle":"","parse-names":false,"suffix":""},{"dropping-particle":"","family":"Brammer","given":"Jonathan","non-dropping-particle":"","parse-names":false,"suffix":""},{"dropping-particle":"","family":"Penza","given":"Sam","non-dropping-particle":"","parse-names":false,"suffix":""},{"dropping-particle":"","family":"Efebera","given":"Yvonne","non-dropping-particle":"","parse-names":false,"suffix":""},{"dropping-particle":"","family":"Benson","given":"Don","non-dropping-particle":"","parse-names":false,"suffix":""},{"dropping-particle":"","family":"Rosko","given":"Ashley","non-dropping-particle":"","parse-names":false,"suffix":""},{"dropping-particle":"","family":"William","given":"Basem","non-dropping-particle":"","parse-names":false,"suffix":""},{"dropping-particle":"","family":"Jaglowski","given":"Samantha M.","non-dropping-particle":"","parse-names":false,"suffix":""}],"container-title":"Biology of Blood and Marrow Transplantation","id":"ITEM-1","issue":"8","issued":{"date-parts":[["2020"]]},"page":"e198-e201","publisher":"Elsevier Inc.","title":"Fluoroquinolone Prophylaxis in Autologous Stem Cell Transplantation: Worthy of a Second Look","type":"article-journal","volume":"26"},"uris":["http://www.mendeley.com/documents/?uuid=b6455d42-8d2e-4fbe-9115-24763b3f7e19"]}],"mendeley":{"formattedCitation":"&lt;sup&gt;32&lt;/sup&gt;","plainTextFormattedCitation":"32","previouslyFormattedCitation":"&lt;sup&gt;32&lt;/sup&gt;"},"properties":{"noteIndex":0},"schema":"https://github.com/citation-style-language/schema/raw/master/csl-citation.json"}</w:instrText>
            </w:r>
            <w:r>
              <w:rPr>
                <w:sz w:val="16"/>
                <w:szCs w:val="16"/>
                <w:lang w:val="en-US"/>
              </w:rPr>
              <w:fldChar w:fldCharType="separate"/>
            </w:r>
            <w:r w:rsidRPr="008E7EF2">
              <w:rPr>
                <w:noProof/>
                <w:sz w:val="16"/>
                <w:szCs w:val="16"/>
                <w:vertAlign w:val="superscript"/>
                <w:lang w:val="en-US"/>
              </w:rPr>
              <w:t>32</w:t>
            </w:r>
            <w:r>
              <w:rPr>
                <w:sz w:val="16"/>
                <w:szCs w:val="16"/>
                <w:lang w:val="en-US"/>
              </w:rPr>
              <w:fldChar w:fldCharType="end"/>
            </w:r>
          </w:p>
        </w:tc>
        <w:tc>
          <w:tcPr>
            <w:tcW w:w="0" w:type="auto"/>
            <w:vAlign w:val="center"/>
          </w:tcPr>
          <w:p w14:paraId="479CE2F4" w14:textId="2E4B7591" w:rsidR="009066CC" w:rsidRPr="00F80190" w:rsidRDefault="009066CC" w:rsidP="00376C8E">
            <w:pPr>
              <w:jc w:val="center"/>
              <w:rPr>
                <w:sz w:val="16"/>
                <w:szCs w:val="16"/>
                <w:lang w:val="en-US"/>
              </w:rPr>
            </w:pPr>
            <w:proofErr w:type="spellStart"/>
            <w:r w:rsidRPr="00490DD4">
              <w:rPr>
                <w:sz w:val="16"/>
                <w:szCs w:val="16"/>
              </w:rPr>
              <w:t>Retrospective</w:t>
            </w:r>
            <w:proofErr w:type="spellEnd"/>
            <w:r>
              <w:rPr>
                <w:sz w:val="16"/>
                <w:szCs w:val="16"/>
              </w:rPr>
              <w:t xml:space="preserve">; single center; </w:t>
            </w:r>
            <w:r w:rsidRPr="00490DD4">
              <w:rPr>
                <w:sz w:val="16"/>
                <w:szCs w:val="16"/>
              </w:rPr>
              <w:t>USA</w:t>
            </w:r>
          </w:p>
        </w:tc>
        <w:tc>
          <w:tcPr>
            <w:tcW w:w="0" w:type="auto"/>
            <w:vAlign w:val="center"/>
          </w:tcPr>
          <w:p w14:paraId="68BB7485" w14:textId="0EB8964C" w:rsidR="009066CC" w:rsidRPr="00F80190" w:rsidRDefault="009066CC" w:rsidP="00376C8E">
            <w:pPr>
              <w:jc w:val="center"/>
              <w:rPr>
                <w:color w:val="000000" w:themeColor="text1"/>
                <w:sz w:val="16"/>
                <w:szCs w:val="16"/>
              </w:rPr>
            </w:pPr>
            <w:r>
              <w:rPr>
                <w:color w:val="000000" w:themeColor="text1"/>
                <w:sz w:val="16"/>
                <w:szCs w:val="16"/>
                <w:lang w:val="en-US"/>
              </w:rPr>
              <w:t xml:space="preserve">Auto </w:t>
            </w:r>
            <w:r w:rsidR="008901EF">
              <w:rPr>
                <w:color w:val="000000" w:themeColor="text1"/>
                <w:sz w:val="16"/>
                <w:szCs w:val="16"/>
                <w:lang w:val="en-US"/>
              </w:rPr>
              <w:t>HCT</w:t>
            </w:r>
            <w:r>
              <w:rPr>
                <w:color w:val="000000" w:themeColor="text1"/>
                <w:sz w:val="16"/>
                <w:szCs w:val="16"/>
                <w:lang w:val="en-US"/>
              </w:rPr>
              <w:t xml:space="preserve"> (n = 515) [adult]</w:t>
            </w:r>
          </w:p>
        </w:tc>
        <w:tc>
          <w:tcPr>
            <w:tcW w:w="0" w:type="auto"/>
            <w:vAlign w:val="center"/>
          </w:tcPr>
          <w:p w14:paraId="7A71EFE6" w14:textId="07B05176" w:rsidR="009066CC" w:rsidRDefault="009066CC" w:rsidP="00376C8E">
            <w:pPr>
              <w:jc w:val="center"/>
              <w:rPr>
                <w:color w:val="000000" w:themeColor="text1"/>
                <w:sz w:val="16"/>
                <w:szCs w:val="16"/>
              </w:rPr>
            </w:pPr>
            <w:r>
              <w:rPr>
                <w:color w:val="000000" w:themeColor="text1"/>
                <w:sz w:val="16"/>
                <w:szCs w:val="16"/>
                <w:lang w:val="en-US"/>
              </w:rPr>
              <w:t>Levofloxacin</w:t>
            </w:r>
          </w:p>
        </w:tc>
        <w:tc>
          <w:tcPr>
            <w:tcW w:w="0" w:type="auto"/>
            <w:vAlign w:val="center"/>
          </w:tcPr>
          <w:p w14:paraId="000D45BE" w14:textId="0531C045" w:rsidR="009066CC" w:rsidRDefault="009066CC" w:rsidP="00376C8E">
            <w:pPr>
              <w:jc w:val="center"/>
              <w:rPr>
                <w:color w:val="000000" w:themeColor="text1"/>
                <w:sz w:val="16"/>
                <w:szCs w:val="16"/>
              </w:rPr>
            </w:pPr>
            <w:r>
              <w:rPr>
                <w:color w:val="000000" w:themeColor="text1"/>
                <w:sz w:val="16"/>
                <w:szCs w:val="16"/>
                <w:lang w:val="en-US"/>
              </w:rPr>
              <w:t>Decreased</w:t>
            </w:r>
          </w:p>
        </w:tc>
        <w:tc>
          <w:tcPr>
            <w:tcW w:w="0" w:type="auto"/>
            <w:vAlign w:val="center"/>
          </w:tcPr>
          <w:p w14:paraId="18392ED1" w14:textId="60A9D0FC" w:rsidR="009066CC" w:rsidRDefault="009066CC" w:rsidP="00376C8E">
            <w:pPr>
              <w:jc w:val="center"/>
              <w:rPr>
                <w:color w:val="000000" w:themeColor="text1"/>
                <w:sz w:val="16"/>
                <w:szCs w:val="16"/>
              </w:rPr>
            </w:pPr>
            <w:r>
              <w:rPr>
                <w:color w:val="000000" w:themeColor="text1"/>
                <w:sz w:val="16"/>
                <w:szCs w:val="16"/>
                <w:lang w:val="en-US"/>
              </w:rPr>
              <w:t>Unchanged</w:t>
            </w:r>
          </w:p>
        </w:tc>
        <w:tc>
          <w:tcPr>
            <w:tcW w:w="0" w:type="auto"/>
            <w:vAlign w:val="center"/>
          </w:tcPr>
          <w:p w14:paraId="64C5C285" w14:textId="6DC33D0B" w:rsidR="009066CC" w:rsidRPr="00F80190" w:rsidRDefault="009066CC" w:rsidP="00376C8E">
            <w:pPr>
              <w:jc w:val="center"/>
              <w:rPr>
                <w:color w:val="000000" w:themeColor="text1"/>
                <w:sz w:val="16"/>
                <w:szCs w:val="16"/>
                <w:lang w:val="en-US"/>
              </w:rPr>
            </w:pPr>
            <w:r>
              <w:rPr>
                <w:color w:val="000000" w:themeColor="text1"/>
                <w:sz w:val="16"/>
                <w:szCs w:val="16"/>
                <w:lang w:val="en-US"/>
              </w:rPr>
              <w:t>Increased (FQ-R and MDR BSI)</w:t>
            </w:r>
          </w:p>
        </w:tc>
      </w:tr>
      <w:tr w:rsidR="009066CC" w:rsidRPr="00376C8E" w14:paraId="507E3AE9" w14:textId="77777777" w:rsidTr="000E23C2">
        <w:trPr>
          <w:trHeight w:val="578"/>
        </w:trPr>
        <w:tc>
          <w:tcPr>
            <w:tcW w:w="0" w:type="auto"/>
            <w:vAlign w:val="center"/>
          </w:tcPr>
          <w:p w14:paraId="75FBECCE" w14:textId="63083A71" w:rsidR="009066CC" w:rsidRPr="004D40DF" w:rsidRDefault="009066CC" w:rsidP="00376C8E">
            <w:pPr>
              <w:jc w:val="center"/>
              <w:rPr>
                <w:color w:val="000000" w:themeColor="text1"/>
                <w:sz w:val="16"/>
                <w:szCs w:val="16"/>
                <w:lang w:val="en-US"/>
              </w:rPr>
            </w:pPr>
            <w:r w:rsidRPr="004D40DF">
              <w:rPr>
                <w:sz w:val="16"/>
                <w:szCs w:val="16"/>
                <w:lang w:val="en-US"/>
              </w:rPr>
              <w:t xml:space="preserve">Maurer </w:t>
            </w:r>
            <w:r>
              <w:rPr>
                <w:sz w:val="16"/>
                <w:szCs w:val="16"/>
                <w:lang w:val="en-US"/>
              </w:rPr>
              <w:t>2020</w:t>
            </w:r>
            <w:r>
              <w:rPr>
                <w:sz w:val="16"/>
                <w:szCs w:val="16"/>
                <w:lang w:val="en-US"/>
              </w:rPr>
              <w:fldChar w:fldCharType="begin" w:fldLock="1"/>
            </w:r>
            <w:r>
              <w:rPr>
                <w:sz w:val="16"/>
                <w:szCs w:val="16"/>
                <w:lang w:val="en-US"/>
              </w:rPr>
              <w:instrText>ADDIN CSL_CITATION {"citationItems":[{"id":"ITEM-1","itemData":{"DOI":"10.1038/s41409-020-0923-4","ISSN":"14765365","PMID":"32457426","author":[{"dropping-particle":"","family":"Maurer","given":"A. Katie","non-dropping-particle":"","parse-names":false,"suffix":""},{"dropping-particle":"","family":"Li","given":"Shuli","non-dropping-particle":"","parse-names":false,"suffix":""},{"dropping-particle":"","family":"Hunter","given":"Bradley D.","non-dropping-particle":"","parse-names":false,"suffix":""},{"dropping-particle":"","family":"Luk","given":"Samantha O.","non-dropping-particle":"","parse-names":false,"suffix":""},{"dropping-particle":"","family":"O’Donnell","given":"Susan E.","non-dropping-particle":"","parse-names":false,"suffix":""},{"dropping-particle":"","family":"Dey","given":"Bimalangshu R.","non-dropping-particle":"","parse-names":false,"suffix":""},{"dropping-particle":"","family":"El-Jawahri","given":"Areej","non-dropping-particle":"","parse-names":false,"suffix":""},{"dropping-particle":"","family":"Frigault","given":"Matthew J.","non-dropping-particle":"","parse-names":false,"suffix":""},{"dropping-particle":"","family":"McAfee","given":"Steven","non-dropping-particle":"","parse-names":false,"suffix":""},{"dropping-particle":"V.","family":"O’Donnell","given":"Paul","non-dropping-particle":"","parse-names":false,"suffix":""},{"dropping-particle":"","family":"Spitzer","given":"Thomas R.","non-dropping-particle":"","parse-names":false,"suffix":""},{"dropping-particle":"Bin","family":"Chen","given":"Yi","non-dropping-particle":"","parse-names":false,"suffix":""},{"dropping-particle":"","family":"DeFilipp","given":"Zachariah","non-dropping-particle":"","parse-names":false,"suffix":""}],"container-title":"Bone Marrow Transplantation","id":"ITEM-1","issue":"12","issued":{"date-parts":[["2020"]]},"page":"2319-2321","publisher":"Springer US","title":"Ciprofloxacin prophylaxis is associated with a lower incidence of gram-negative bacteremia in patients undergoing allogeneic hematopoietic cell transplantation","type":"article-journal","volume":"55"},"uris":["http://www.mendeley.com/documents/?uuid=d39e9aec-214f-415d-9671-cfb513360988"]}],"mendeley":{"formattedCitation":"&lt;sup&gt;33&lt;/sup&gt;","plainTextFormattedCitation":"33","previouslyFormattedCitation":"&lt;sup&gt;33&lt;/sup&gt;"},"properties":{"noteIndex":0},"schema":"https://github.com/citation-style-language/schema/raw/master/csl-citation.json"}</w:instrText>
            </w:r>
            <w:r>
              <w:rPr>
                <w:sz w:val="16"/>
                <w:szCs w:val="16"/>
                <w:lang w:val="en-US"/>
              </w:rPr>
              <w:fldChar w:fldCharType="separate"/>
            </w:r>
            <w:r w:rsidRPr="008E7EF2">
              <w:rPr>
                <w:noProof/>
                <w:sz w:val="16"/>
                <w:szCs w:val="16"/>
                <w:vertAlign w:val="superscript"/>
                <w:lang w:val="en-US"/>
              </w:rPr>
              <w:t>33</w:t>
            </w:r>
            <w:r>
              <w:rPr>
                <w:sz w:val="16"/>
                <w:szCs w:val="16"/>
                <w:lang w:val="en-US"/>
              </w:rPr>
              <w:fldChar w:fldCharType="end"/>
            </w:r>
          </w:p>
        </w:tc>
        <w:tc>
          <w:tcPr>
            <w:tcW w:w="0" w:type="auto"/>
            <w:vAlign w:val="center"/>
          </w:tcPr>
          <w:p w14:paraId="2CFBF02D" w14:textId="345BD0DC" w:rsidR="009066CC" w:rsidRPr="00F80190" w:rsidRDefault="009066CC" w:rsidP="00376C8E">
            <w:pPr>
              <w:jc w:val="center"/>
              <w:rPr>
                <w:sz w:val="16"/>
                <w:szCs w:val="16"/>
                <w:lang w:val="en-US"/>
              </w:rPr>
            </w:pPr>
            <w:proofErr w:type="spellStart"/>
            <w:r w:rsidRPr="00490DD4">
              <w:rPr>
                <w:sz w:val="16"/>
                <w:szCs w:val="16"/>
              </w:rPr>
              <w:t>Retrospective</w:t>
            </w:r>
            <w:proofErr w:type="spellEnd"/>
            <w:r>
              <w:rPr>
                <w:sz w:val="16"/>
                <w:szCs w:val="16"/>
              </w:rPr>
              <w:t xml:space="preserve">; single center; </w:t>
            </w:r>
            <w:r w:rsidRPr="00490DD4">
              <w:rPr>
                <w:sz w:val="16"/>
                <w:szCs w:val="16"/>
              </w:rPr>
              <w:t>USA</w:t>
            </w:r>
          </w:p>
        </w:tc>
        <w:tc>
          <w:tcPr>
            <w:tcW w:w="0" w:type="auto"/>
            <w:vAlign w:val="center"/>
          </w:tcPr>
          <w:p w14:paraId="5839C7D0" w14:textId="44EF09C9" w:rsidR="009066CC" w:rsidRPr="00F80190" w:rsidRDefault="009066CC" w:rsidP="00376C8E">
            <w:pPr>
              <w:jc w:val="center"/>
              <w:rPr>
                <w:color w:val="000000" w:themeColor="text1"/>
                <w:sz w:val="16"/>
                <w:szCs w:val="16"/>
              </w:rPr>
            </w:pPr>
            <w:proofErr w:type="spellStart"/>
            <w:r>
              <w:rPr>
                <w:color w:val="000000" w:themeColor="text1"/>
                <w:sz w:val="16"/>
                <w:szCs w:val="16"/>
                <w:lang w:val="en-US"/>
              </w:rPr>
              <w:t>Allo</w:t>
            </w:r>
            <w:proofErr w:type="spellEnd"/>
            <w:r>
              <w:rPr>
                <w:color w:val="000000" w:themeColor="text1"/>
                <w:sz w:val="16"/>
                <w:szCs w:val="16"/>
                <w:lang w:val="en-US"/>
              </w:rPr>
              <w:t xml:space="preserve"> </w:t>
            </w:r>
            <w:r w:rsidR="008901EF">
              <w:rPr>
                <w:color w:val="000000" w:themeColor="text1"/>
                <w:sz w:val="16"/>
                <w:szCs w:val="16"/>
                <w:lang w:val="en-US"/>
              </w:rPr>
              <w:t>HCT</w:t>
            </w:r>
            <w:r>
              <w:rPr>
                <w:color w:val="000000" w:themeColor="text1"/>
                <w:sz w:val="16"/>
                <w:szCs w:val="16"/>
                <w:lang w:val="en-US"/>
              </w:rPr>
              <w:t xml:space="preserve"> (n = 143) [adult]</w:t>
            </w:r>
          </w:p>
        </w:tc>
        <w:tc>
          <w:tcPr>
            <w:tcW w:w="0" w:type="auto"/>
            <w:vAlign w:val="center"/>
          </w:tcPr>
          <w:p w14:paraId="3BB34BC2" w14:textId="3D7B69E3" w:rsidR="009066CC" w:rsidRDefault="009066CC" w:rsidP="00376C8E">
            <w:pPr>
              <w:jc w:val="center"/>
              <w:rPr>
                <w:color w:val="000000" w:themeColor="text1"/>
                <w:sz w:val="16"/>
                <w:szCs w:val="16"/>
              </w:rPr>
            </w:pPr>
            <w:r>
              <w:rPr>
                <w:color w:val="000000" w:themeColor="text1"/>
                <w:sz w:val="16"/>
                <w:szCs w:val="16"/>
                <w:lang w:val="en-US"/>
              </w:rPr>
              <w:t>Levofloxacin</w:t>
            </w:r>
          </w:p>
        </w:tc>
        <w:tc>
          <w:tcPr>
            <w:tcW w:w="0" w:type="auto"/>
            <w:vAlign w:val="center"/>
          </w:tcPr>
          <w:p w14:paraId="686E191B" w14:textId="655658A8" w:rsidR="009066CC" w:rsidRDefault="009066CC" w:rsidP="00376C8E">
            <w:pPr>
              <w:jc w:val="center"/>
              <w:rPr>
                <w:color w:val="000000" w:themeColor="text1"/>
                <w:sz w:val="16"/>
                <w:szCs w:val="16"/>
              </w:rPr>
            </w:pPr>
            <w:r>
              <w:rPr>
                <w:color w:val="000000" w:themeColor="text1"/>
                <w:sz w:val="16"/>
                <w:szCs w:val="16"/>
                <w:lang w:val="en-US"/>
              </w:rPr>
              <w:t>Decreased</w:t>
            </w:r>
          </w:p>
        </w:tc>
        <w:tc>
          <w:tcPr>
            <w:tcW w:w="0" w:type="auto"/>
            <w:vAlign w:val="center"/>
          </w:tcPr>
          <w:p w14:paraId="62C61386" w14:textId="3C940AEF" w:rsidR="009066CC" w:rsidRDefault="009066CC" w:rsidP="00376C8E">
            <w:pPr>
              <w:jc w:val="center"/>
              <w:rPr>
                <w:color w:val="000000" w:themeColor="text1"/>
                <w:sz w:val="16"/>
                <w:szCs w:val="16"/>
              </w:rPr>
            </w:pPr>
            <w:r>
              <w:rPr>
                <w:color w:val="000000" w:themeColor="text1"/>
                <w:sz w:val="16"/>
                <w:szCs w:val="16"/>
                <w:lang w:val="en-US"/>
              </w:rPr>
              <w:t>Decreased</w:t>
            </w:r>
          </w:p>
        </w:tc>
        <w:tc>
          <w:tcPr>
            <w:tcW w:w="0" w:type="auto"/>
            <w:vAlign w:val="center"/>
          </w:tcPr>
          <w:p w14:paraId="63E7D90A" w14:textId="16744DDD" w:rsidR="009066CC" w:rsidRPr="00F80190" w:rsidRDefault="009066CC" w:rsidP="00376C8E">
            <w:pPr>
              <w:jc w:val="center"/>
              <w:rPr>
                <w:color w:val="000000" w:themeColor="text1"/>
                <w:sz w:val="16"/>
                <w:szCs w:val="16"/>
                <w:lang w:val="en-US"/>
              </w:rPr>
            </w:pPr>
            <w:r>
              <w:rPr>
                <w:color w:val="000000" w:themeColor="text1"/>
                <w:sz w:val="16"/>
                <w:szCs w:val="16"/>
                <w:lang w:val="en-US"/>
              </w:rPr>
              <w:t>Unchanged</w:t>
            </w:r>
          </w:p>
        </w:tc>
      </w:tr>
      <w:tr w:rsidR="009066CC" w:rsidRPr="00DB2F73" w14:paraId="245BE2FF" w14:textId="77777777" w:rsidTr="000E23C2">
        <w:trPr>
          <w:trHeight w:val="578"/>
        </w:trPr>
        <w:tc>
          <w:tcPr>
            <w:tcW w:w="0" w:type="auto"/>
            <w:vAlign w:val="center"/>
          </w:tcPr>
          <w:p w14:paraId="068CB5FA" w14:textId="1E28AD56" w:rsidR="009066CC" w:rsidRPr="004D40DF" w:rsidRDefault="009066CC" w:rsidP="00376C8E">
            <w:pPr>
              <w:jc w:val="center"/>
              <w:rPr>
                <w:color w:val="000000" w:themeColor="text1"/>
                <w:sz w:val="16"/>
                <w:szCs w:val="16"/>
                <w:lang w:val="en-US"/>
              </w:rPr>
            </w:pPr>
            <w:r w:rsidRPr="004D40DF">
              <w:rPr>
                <w:color w:val="000000" w:themeColor="text1"/>
                <w:sz w:val="16"/>
                <w:szCs w:val="16"/>
                <w:lang w:val="en-US"/>
              </w:rPr>
              <w:t xml:space="preserve">Miles-Jay </w:t>
            </w:r>
            <w:r>
              <w:rPr>
                <w:color w:val="000000" w:themeColor="text1"/>
                <w:sz w:val="16"/>
                <w:szCs w:val="16"/>
                <w:lang w:val="en-US"/>
              </w:rPr>
              <w:t>2015</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{"citationItems":[{"id":"ITEM-1","itemData":{"DOI":"10.1016/j.bbmt.2014.12.006","ISSN":"15236536","PMID":"25498393","abstract":"There are concerns that emerging resistance to fluoroquinolones (FQ) may be leading to increasing rates of gram-negative rod (GNR) bacteremia in hematopoietic cell transplant (HCT) recipients. We set out to describe time trends in the incidence rates of GNR bacteremia and FQ-resistant GNR bacteremia in HCT recipients during an era of levofloxacin prophylaxis. We conducted a longitudinal retrospective study of adults undergoing allogeneic HCT between 2003 and 2012 at the Seattle Cancer Care Alliance (SCCA). Annual trends in the incidence rates of GNR bacteremia and FQ-resistant GNR bacteremia through 100days after transplantation were assessed using Poisson regression. Cox proportional hazards regression was used to compare 30-day mortality between patients with FQ-resistant and those with FQ-sensitive GNR bacteremia. Of the 2306 patients included in this cohort, 280 (12.1%) had GNR bacteremia. The incidence rates of GNR bacteremia and FQ-resistant GNR bacteremia increased from 2003 to 2009 and decreased afterwards; however, the overall annual trends were not significant (incidence rate ratio [IRR], 1.01; 95% confidence interval [CI], .98 to 1.05; IRR, 1.01; 95% CI, .95 to 1.08, respectively). FQ-resistant GNR bacteremia was associated with increased mortality compared with FQ-sensitive GNR bacteremia, even after adjustment for underlying disease severity, conditioning regimen, and age at transplantation (hazard ratio, 2.11; 95% CI, 1.06 to 4.23). On average, rates of FQ-resistant GNR bacteremia have not significantly changed over 10years of FQ prophylaxis, although FQ-resistant GNR bacteremia is associated with increased mortality compared with FQ-sensitive GNR bacteremia.","author":[{"dropping-particle":"","family":"Miles-Jay","given":"Arianna","non-dropping-particle":"","parse-names":false,"suffix":""},{"dropping-particle":"","family":"Butler-Wu","given":"Susan","non-dropping-particle":"","parse-names":false,"suffix":""},{"dropping-particle":"","family":"Rowhani-Rahbar","given":"Ali","non-dropping-particle":"","parse-names":false,"suffix":""},{"dropping-particle":"","family":"Pergam","given":"Steven A.","non-dropping-particle":"","parse-names":false,"suffix":""}],"container-title":"Biology of Blood and Marrow Transplantation","id":"ITEM-1","issue":"3","issued":{"date-parts":[["2015"]]},"page":"539-545","publisher":"Elsevier Inc","title":"Incidence Rate of Fluoroquinolone-Resistant Gram-Negative Rod Bacteremia among Allogeneic Hematopoietic Cell Transplantation Patients during an Era of Levofloxacin Prophylaxis","type":"article-journal","volume":"21"},"uris":["http://www.mendeley.com/documents/?uuid=ffa98071-9220-4124-9a61-c91b7dc9ef3f"]}],"mendeley":{"formattedCitation":"&lt;sup&gt;34&lt;/sup&gt;","plainTextFormattedCitation":"34","previouslyFormattedCitation":"&lt;sup&gt;34&lt;/sup&gt;"},"properties":{"noteIndex":0},"schema":"https://github.com/citation-style-language/schema/raw/master/csl-citation.json"}</w:instrText>
            </w:r>
            <w:r>
              <w:rPr>
                <w:color w:val="000000" w:themeColor="text1"/>
                <w:sz w:val="16"/>
                <w:szCs w:val="16"/>
                <w:lang w:val="en-US"/>
              </w:rPr>
              <w:fldChar w:fldCharType="separate"/>
            </w:r>
            <w:r w:rsidRPr="008E7EF2">
              <w:rPr>
                <w:noProof/>
                <w:color w:val="000000" w:themeColor="text1"/>
                <w:sz w:val="16"/>
                <w:szCs w:val="16"/>
                <w:vertAlign w:val="superscript"/>
                <w:lang w:val="en-US"/>
              </w:rPr>
              <w:t>34</w:t>
            </w:r>
            <w:r>
              <w:rPr>
                <w:color w:val="000000" w:themeColor="text1"/>
                <w:sz w:val="16"/>
                <w:szCs w:val="16"/>
                <w:lang w:val="en-US"/>
              </w:rPr>
              <w:fldChar w:fldCharType="end"/>
            </w:r>
          </w:p>
        </w:tc>
        <w:tc>
          <w:tcPr>
            <w:tcW w:w="0" w:type="auto"/>
            <w:vAlign w:val="center"/>
          </w:tcPr>
          <w:p w14:paraId="02437648" w14:textId="3E2AF359" w:rsidR="009066CC" w:rsidRPr="00490DD4" w:rsidRDefault="009066CC" w:rsidP="00376C8E">
            <w:pPr>
              <w:jc w:val="center"/>
              <w:rPr>
                <w:sz w:val="16"/>
                <w:szCs w:val="16"/>
              </w:rPr>
            </w:pPr>
            <w:proofErr w:type="spellStart"/>
            <w:r w:rsidRPr="00490DD4">
              <w:rPr>
                <w:sz w:val="16"/>
                <w:szCs w:val="16"/>
              </w:rPr>
              <w:t>Retrospective</w:t>
            </w:r>
            <w:proofErr w:type="spellEnd"/>
            <w:r>
              <w:rPr>
                <w:sz w:val="16"/>
                <w:szCs w:val="16"/>
              </w:rPr>
              <w:t xml:space="preserve"> (</w:t>
            </w:r>
            <w:proofErr w:type="spellStart"/>
            <w:r>
              <w:rPr>
                <w:sz w:val="16"/>
                <w:szCs w:val="16"/>
              </w:rPr>
              <w:t>pre</w:t>
            </w:r>
            <w:proofErr w:type="spellEnd"/>
            <w:r>
              <w:rPr>
                <w:sz w:val="16"/>
                <w:szCs w:val="16"/>
              </w:rPr>
              <w:t xml:space="preserve">-post </w:t>
            </w:r>
            <w:proofErr w:type="spellStart"/>
            <w:r>
              <w:rPr>
                <w:sz w:val="16"/>
                <w:szCs w:val="16"/>
              </w:rPr>
              <w:t>implementation</w:t>
            </w:r>
            <w:proofErr w:type="spellEnd"/>
            <w:r>
              <w:rPr>
                <w:sz w:val="16"/>
                <w:szCs w:val="16"/>
              </w:rPr>
              <w:t xml:space="preserve">); single center; </w:t>
            </w:r>
            <w:r w:rsidRPr="00490DD4">
              <w:rPr>
                <w:sz w:val="16"/>
                <w:szCs w:val="16"/>
              </w:rPr>
              <w:t>USA</w:t>
            </w:r>
          </w:p>
        </w:tc>
        <w:tc>
          <w:tcPr>
            <w:tcW w:w="0" w:type="auto"/>
            <w:vAlign w:val="center"/>
          </w:tcPr>
          <w:p w14:paraId="711D5E2D" w14:textId="2C3A6398" w:rsidR="009066CC" w:rsidRDefault="009066CC" w:rsidP="00376C8E">
            <w:pPr>
              <w:jc w:val="center"/>
              <w:rPr>
                <w:color w:val="000000" w:themeColor="text1"/>
                <w:sz w:val="16"/>
                <w:szCs w:val="16"/>
                <w:lang w:val="en-US"/>
              </w:rPr>
            </w:pPr>
            <w:proofErr w:type="spellStart"/>
            <w:r>
              <w:rPr>
                <w:color w:val="000000" w:themeColor="text1"/>
                <w:sz w:val="16"/>
                <w:szCs w:val="16"/>
                <w:lang w:val="en-US"/>
              </w:rPr>
              <w:t>Allo</w:t>
            </w:r>
            <w:proofErr w:type="spellEnd"/>
            <w:r>
              <w:rPr>
                <w:color w:val="000000" w:themeColor="text1"/>
                <w:sz w:val="16"/>
                <w:szCs w:val="16"/>
                <w:lang w:val="en-US"/>
              </w:rPr>
              <w:t xml:space="preserve"> </w:t>
            </w:r>
            <w:r w:rsidR="008901EF">
              <w:rPr>
                <w:color w:val="000000" w:themeColor="text1"/>
                <w:sz w:val="16"/>
                <w:szCs w:val="16"/>
                <w:lang w:val="en-US"/>
              </w:rPr>
              <w:t>HCT</w:t>
            </w:r>
            <w:r>
              <w:rPr>
                <w:color w:val="000000" w:themeColor="text1"/>
                <w:sz w:val="16"/>
                <w:szCs w:val="16"/>
                <w:lang w:val="en-US"/>
              </w:rPr>
              <w:t xml:space="preserve"> (n = 2306) [adult]</w:t>
            </w:r>
          </w:p>
        </w:tc>
        <w:tc>
          <w:tcPr>
            <w:tcW w:w="0" w:type="auto"/>
            <w:vAlign w:val="center"/>
          </w:tcPr>
          <w:p w14:paraId="0EB2E322" w14:textId="27B73197" w:rsidR="009066CC" w:rsidRDefault="009066CC" w:rsidP="00376C8E">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7FC0406D" w14:textId="39F63D5B"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0D7494D4" w14:textId="369C9B2F"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4C7E4CFA" w14:textId="30FA2CB9" w:rsidR="009066CC" w:rsidRDefault="009066CC" w:rsidP="00376C8E">
            <w:pPr>
              <w:jc w:val="center"/>
              <w:rPr>
                <w:color w:val="000000" w:themeColor="text1"/>
                <w:sz w:val="16"/>
                <w:szCs w:val="16"/>
                <w:lang w:val="en-US"/>
              </w:rPr>
            </w:pPr>
            <w:r>
              <w:rPr>
                <w:color w:val="000000" w:themeColor="text1"/>
                <w:sz w:val="16"/>
                <w:szCs w:val="16"/>
                <w:lang w:val="en-US"/>
              </w:rPr>
              <w:t>Unchanged (FQ-R BSI)</w:t>
            </w:r>
          </w:p>
        </w:tc>
      </w:tr>
      <w:tr w:rsidR="009066CC" w:rsidRPr="00DB2F73" w14:paraId="60412165" w14:textId="77777777" w:rsidTr="000E23C2">
        <w:trPr>
          <w:trHeight w:val="578"/>
        </w:trPr>
        <w:tc>
          <w:tcPr>
            <w:tcW w:w="0" w:type="auto"/>
            <w:vAlign w:val="center"/>
          </w:tcPr>
          <w:p w14:paraId="3480FD86" w14:textId="1951ED75" w:rsidR="009066CC" w:rsidRPr="004D40DF" w:rsidRDefault="009066CC" w:rsidP="00BF5947">
            <w:pPr>
              <w:jc w:val="center"/>
              <w:rPr>
                <w:color w:val="000000" w:themeColor="text1"/>
                <w:sz w:val="16"/>
                <w:szCs w:val="16"/>
                <w:lang w:val="en-US"/>
              </w:rPr>
            </w:pPr>
            <w:proofErr w:type="spellStart"/>
            <w:r w:rsidRPr="00A075D5">
              <w:rPr>
                <w:sz w:val="16"/>
                <w:szCs w:val="16"/>
              </w:rPr>
              <w:t>Prodanuk</w:t>
            </w:r>
            <w:proofErr w:type="spellEnd"/>
            <w:r w:rsidRPr="00A075D5">
              <w:rPr>
                <w:sz w:val="16"/>
                <w:szCs w:val="16"/>
              </w:rPr>
              <w:t xml:space="preserve"> </w:t>
            </w:r>
            <w:r>
              <w:rPr>
                <w:sz w:val="16"/>
                <w:szCs w:val="16"/>
              </w:rPr>
              <w:t>2024</w:t>
            </w:r>
            <w:r>
              <w:rPr>
                <w:sz w:val="16"/>
                <w:szCs w:val="16"/>
              </w:rPr>
              <w:fldChar w:fldCharType="begin" w:fldLock="1"/>
            </w:r>
            <w:r>
              <w:rPr>
                <w:sz w:val="16"/>
                <w:szCs w:val="16"/>
              </w:rPr>
              <w:instrText>ADDIN CSL_CITATION {"citationItems":[{"id":"ITEM-1","itemData":{"DOI":"10.1002/pbc.31059","ISSN":"15455017","PMID":"38721864","abstract":"Levofloxacin prophylaxis during periods of neutropenia in pediatric hematopoietic stem cell transplant (HSCT) may reduce the number of febrile episodes and use of empiric intravenous antibiotics (EIA); however, the literature is conflicting. This retrospective review compared EIA use before and after implementation of levofloxacin prophylaxis at a children's hospital. Levofloxacin prophylaxis was associated with reduced use of certain EIA; however, did not reduce the number of positive blood cultures or clinical deteriorations. Therefore, levofloxacin prophylaxis may have implications for the stewardship of broad-spectrum intravenous antibiotics used in pediatric HSCT.","author":[{"dropping-particle":"","family":"Prodanuk","given":"Michael","non-dropping-particle":"","parse-names":false,"suffix":""},{"dropping-particle":"","family":"Timberlake","given":"Kathryn","non-dropping-particle":"","parse-names":false,"suffix":""},{"dropping-particle":"","family":"Koo","given":"Alicia","non-dropping-particle":"","parse-names":false,"suffix":""},{"dropping-particle":"","family":"Chopra","given":"Yogi","non-dropping-particle":"","parse-names":false,"suffix":""},{"dropping-particle":"","family":"Wall","given":"Donna A.","non-dropping-particle":"","parse-names":false,"suffix":""},{"dropping-particle":"","family":"Science","given":"Michelle","non-dropping-particle":"","parse-names":false,"suffix":""}],"container-title":"Pediatric Blood and Cancer","id":"ITEM-1","issue":"8","issued":{"date-parts":[["2024"]]},"page":"1-4","title":"The impact of levofloxacin prophylaxis on empiric intravenous antibiotic use in pediatric hematopoietic stem cell transplant recipients","type":"article-journal","volume":"71"},"uris":["http://www.mendeley.com/documents/?uuid=42889840-b26e-4064-8084-a4dede80e122"]}],"mendeley":{"formattedCitation":"&lt;sup&gt;35&lt;/sup&gt;","plainTextFormattedCitation":"35","previouslyFormattedCitation":"&lt;sup&gt;35&lt;/sup&gt;"},"properties":{"noteIndex":0},"schema":"https://github.com/citation-style-language/schema/raw/master/csl-citation.json"}</w:instrText>
            </w:r>
            <w:r>
              <w:rPr>
                <w:sz w:val="16"/>
                <w:szCs w:val="16"/>
              </w:rPr>
              <w:fldChar w:fldCharType="separate"/>
            </w:r>
            <w:r w:rsidRPr="008E7EF2">
              <w:rPr>
                <w:noProof/>
                <w:sz w:val="16"/>
                <w:szCs w:val="16"/>
                <w:vertAlign w:val="superscript"/>
              </w:rPr>
              <w:t>35</w:t>
            </w:r>
            <w:r>
              <w:rPr>
                <w:sz w:val="16"/>
                <w:szCs w:val="16"/>
              </w:rPr>
              <w:fldChar w:fldCharType="end"/>
            </w:r>
          </w:p>
        </w:tc>
        <w:tc>
          <w:tcPr>
            <w:tcW w:w="0" w:type="auto"/>
            <w:vAlign w:val="center"/>
          </w:tcPr>
          <w:p w14:paraId="1132D2B7" w14:textId="7891E7C2" w:rsidR="009066CC" w:rsidRPr="00BF5947" w:rsidRDefault="009066CC" w:rsidP="00BF5947">
            <w:pPr>
              <w:jc w:val="center"/>
              <w:rPr>
                <w:sz w:val="16"/>
                <w:szCs w:val="16"/>
                <w:lang w:val="en-US"/>
              </w:rPr>
            </w:pPr>
            <w:r>
              <w:rPr>
                <w:color w:val="000000" w:themeColor="text1"/>
                <w:sz w:val="16"/>
                <w:szCs w:val="16"/>
                <w:lang w:val="en-US"/>
              </w:rPr>
              <w:t>Retrospective (pre-post implementation), monocentric, Canada</w:t>
            </w:r>
          </w:p>
        </w:tc>
        <w:tc>
          <w:tcPr>
            <w:tcW w:w="0" w:type="auto"/>
            <w:vAlign w:val="center"/>
          </w:tcPr>
          <w:p w14:paraId="65CA6E4D" w14:textId="026C1AE7" w:rsidR="009066CC" w:rsidRPr="00BF5947" w:rsidRDefault="009066CC" w:rsidP="00BF5947">
            <w:pPr>
              <w:jc w:val="center"/>
              <w:rPr>
                <w:color w:val="000000" w:themeColor="text1"/>
                <w:sz w:val="16"/>
                <w:szCs w:val="16"/>
              </w:rPr>
            </w:pPr>
            <w:r w:rsidRPr="0017683E">
              <w:rPr>
                <w:color w:val="000000" w:themeColor="text1"/>
                <w:sz w:val="16"/>
                <w:szCs w:val="16"/>
              </w:rPr>
              <w:t xml:space="preserve">Auto </w:t>
            </w:r>
            <w:r w:rsidR="008901EF">
              <w:rPr>
                <w:color w:val="000000" w:themeColor="text1"/>
                <w:sz w:val="16"/>
                <w:szCs w:val="16"/>
              </w:rPr>
              <w:t>HCT</w:t>
            </w:r>
            <w:r w:rsidRPr="0017683E">
              <w:rPr>
                <w:color w:val="000000" w:themeColor="text1"/>
                <w:sz w:val="16"/>
                <w:szCs w:val="16"/>
              </w:rPr>
              <w:t xml:space="preserve">, allo </w:t>
            </w:r>
            <w:r w:rsidR="008901EF">
              <w:rPr>
                <w:color w:val="000000" w:themeColor="text1"/>
                <w:sz w:val="16"/>
                <w:szCs w:val="16"/>
              </w:rPr>
              <w:t>HCT</w:t>
            </w:r>
            <w:r w:rsidRPr="0017683E">
              <w:rPr>
                <w:color w:val="000000" w:themeColor="text1"/>
                <w:sz w:val="16"/>
                <w:szCs w:val="16"/>
              </w:rPr>
              <w:t xml:space="preserve"> (n = 109)</w:t>
            </w:r>
            <w:r>
              <w:rPr>
                <w:color w:val="000000" w:themeColor="text1"/>
                <w:sz w:val="16"/>
                <w:szCs w:val="16"/>
              </w:rPr>
              <w:t xml:space="preserve"> </w:t>
            </w:r>
            <w:r w:rsidRPr="00AB0CDA">
              <w:rPr>
                <w:color w:val="000000" w:themeColor="text1"/>
                <w:sz w:val="16"/>
                <w:szCs w:val="16"/>
              </w:rPr>
              <w:t>[</w:t>
            </w:r>
            <w:proofErr w:type="spellStart"/>
            <w:r w:rsidRPr="00AB0CDA">
              <w:rPr>
                <w:color w:val="000000" w:themeColor="text1"/>
                <w:sz w:val="16"/>
                <w:szCs w:val="16"/>
              </w:rPr>
              <w:t>pediatric</w:t>
            </w:r>
            <w:proofErr w:type="spellEnd"/>
            <w:r w:rsidRPr="00AB0CDA">
              <w:rPr>
                <w:color w:val="000000" w:themeColor="text1"/>
                <w:sz w:val="16"/>
                <w:szCs w:val="16"/>
              </w:rPr>
              <w:t>]</w:t>
            </w:r>
          </w:p>
        </w:tc>
        <w:tc>
          <w:tcPr>
            <w:tcW w:w="0" w:type="auto"/>
            <w:vAlign w:val="center"/>
          </w:tcPr>
          <w:p w14:paraId="21F6662D" w14:textId="2AA93DFD" w:rsidR="009066CC" w:rsidRDefault="009066CC" w:rsidP="00BF5947">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04BA9CE6" w14:textId="14794FE3" w:rsidR="009066CC" w:rsidRDefault="009066CC" w:rsidP="00BF5947">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0621E126" w14:textId="0CFA83D2" w:rsidR="009066CC" w:rsidRDefault="009066CC" w:rsidP="00BF5947">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5CC72E1E" w14:textId="019FC64A" w:rsidR="009066CC" w:rsidRDefault="009066CC" w:rsidP="00BF5947">
            <w:pPr>
              <w:jc w:val="center"/>
              <w:rPr>
                <w:color w:val="000000" w:themeColor="text1"/>
                <w:sz w:val="16"/>
                <w:szCs w:val="16"/>
                <w:lang w:val="en-US"/>
              </w:rPr>
            </w:pPr>
            <w:r>
              <w:rPr>
                <w:color w:val="000000" w:themeColor="text1"/>
                <w:sz w:val="16"/>
                <w:szCs w:val="16"/>
              </w:rPr>
              <w:t>NA</w:t>
            </w:r>
          </w:p>
        </w:tc>
      </w:tr>
      <w:tr w:rsidR="009066CC" w:rsidRPr="00376C8E" w14:paraId="709BCB53" w14:textId="77777777" w:rsidTr="000E23C2">
        <w:trPr>
          <w:trHeight w:val="578"/>
        </w:trPr>
        <w:tc>
          <w:tcPr>
            <w:tcW w:w="0" w:type="auto"/>
            <w:vAlign w:val="center"/>
          </w:tcPr>
          <w:p w14:paraId="3AD37287" w14:textId="5DFFF476" w:rsidR="009066CC" w:rsidRPr="004D40DF" w:rsidRDefault="009066CC" w:rsidP="00376C8E">
            <w:pPr>
              <w:jc w:val="center"/>
              <w:rPr>
                <w:color w:val="000000" w:themeColor="text1"/>
                <w:sz w:val="16"/>
                <w:szCs w:val="16"/>
                <w:lang w:val="en-US"/>
              </w:rPr>
            </w:pPr>
            <w:proofErr w:type="spellStart"/>
            <w:r w:rsidRPr="004D40DF">
              <w:rPr>
                <w:color w:val="000000" w:themeColor="text1"/>
                <w:sz w:val="16"/>
                <w:szCs w:val="16"/>
                <w:lang w:val="en-US"/>
              </w:rPr>
              <w:t>Satlin</w:t>
            </w:r>
            <w:proofErr w:type="spellEnd"/>
            <w:r w:rsidRPr="004D40DF">
              <w:rPr>
                <w:color w:val="000000" w:themeColor="text1"/>
                <w:sz w:val="16"/>
                <w:szCs w:val="16"/>
                <w:lang w:val="en-US"/>
              </w:rPr>
              <w:t xml:space="preserve"> </w:t>
            </w:r>
            <w:r>
              <w:rPr>
                <w:color w:val="000000" w:themeColor="text1"/>
                <w:sz w:val="16"/>
                <w:szCs w:val="16"/>
                <w:lang w:val="en-US"/>
              </w:rPr>
              <w:t>2015</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{"citationItems":[{"id":"ITEM-1","itemData":{"DOI":"10.1016/j.bbmt.2015.06.017","ISSN":"1523-6536 (Electronic)","PMID":"26150022","abstract":"Few studies have evaluated the role of antibacterial prophylaxis during  neutropenia in patients with multiple myeloma undergoing autologous hematopoietic stem cell transplantation (HSCT). At our center, levofloxacin prophylaxis was initiated in June 2006 in patients with myeloma who were undergoing autologous HSCT. We compared the incidence of bloodstream infection (BSI) and fever and neutropenia (FN) within 30 days of transplantation before (January 2003 to May 2006) and after (June 2006 to April 2010) the initiation of levofloxacin prophylaxis in patients undergoing autologous HSCT for myeloma. We also compared rates of BSI and FN during the same time periods in autologous HSCT recipients with lymphoma who did not receive antibacterial prophylaxis during either time period. After the initiation of levofloxacin prophylaxis, the BSI rate decreased from 41.2% (49 of 119) to 14.7% (23 of 156) and the rate of FN decreased from 91.6% to 60.9% in patients with myeloma (P &lt; .001, for each). In contrast, rates of BSI (43.1% versus 47.3%; P = .50) and FN (98.8% versus 97.1%; P = .63) did not change in patients with lymphoma. Levofloxacin prophylaxis was independently associated with decreased odds of BSI (odds ratio, .27; 95% confidence interval, .14 to .51; P &lt; .001) and FN (odds ratio, .18; 95% confidence interval, .09 to .36; P &lt; .001) in multivariate analysis. Patients with myeloma had a nonsignificant increase in the risk of BSI due to levofloxacin-resistant Enterobacteriaceae (5% versus 1%, P = .08) and Clostridium difficile infection (7% versus 3%, P = .12) after the initiation of levofloxacin prophylaxis but did not have higher rates of BSI due to other resistant bacteria. Levofloxacin prophylaxis is associated with decreased risk of BSI and FN in patients with myeloma undergoing autologous HSCT.","author":[{"dropping-particle":"","family":"Satlin","given":"Michael J","non-dropping-particle":"","parse-names":false,"suffix":""},{"dropping-particle":"","family":"Vardhana","given":"Santosh","non-dropping-particle":"","parse-names":false,"suffix":""},{"dropping-particle":"","family":"Soave","given":"Rosemary","non-dropping-particle":"","parse-names":false,"suffix":""},{"dropping-particle":"","family":"Shore","given":"Tsiporah B","non-dropping-particle":"","parse-names":false,"suffix":""},{"dropping-particle":"","family":"Mark","given":"Tomer M","non-dropping-particle":"","parse-names":false,"suffix":""},{"dropping-particle":"","family":"Jacobs","given":"Samantha E","non-dropping-particle":"","parse-names":false,"suffix":""},{"dropping-particle":"","family":"Walsh","given":"Thomas J","non-dropping-particle":"","parse-names":false,"suffix":""},{"dropping-particle":"","family":"Gergis","given":"Usama","non-dropping-particle":"","parse-names":false,"suffix":""}],"container-title":"Biology of blood and marrow transplantation : journal of the American Society for  Blood and Marrow Transplantation","id":"ITEM-1","issue":"10","issued":{"date-parts":[["2015","10"]]},"language":"eng","page":"1808-1814","publisher-place":"United States","title":"Impact of Prophylactic Levofloxacin on Rates of Bloodstream Infection and Fever  in Neutropenic Patients with Multiple Myeloma Undergoing Autologous Hematopoietic Stem Cell Transplantation.","type":"article-journal","volume":"21"},"uris":["http://www.mendeley.com/documents/?uuid=766a01d1-1e5b-43e1-92b2-e426e90adf28"]}],"mendeley":{"formattedCitation":"&lt;sup&gt;36&lt;/sup&gt;","plainTextFormattedCitation":"36","previouslyFormattedCitation":"&lt;sup&gt;36&lt;/sup&gt;"},"properties":{"noteIndex":0},"schema":"https://github.com/citation-style-language/schema/raw/master/csl-citation.json"}</w:instrText>
            </w:r>
            <w:r>
              <w:rPr>
                <w:color w:val="000000" w:themeColor="text1"/>
                <w:sz w:val="16"/>
                <w:szCs w:val="16"/>
                <w:lang w:val="en-US"/>
              </w:rPr>
              <w:fldChar w:fldCharType="separate"/>
            </w:r>
            <w:r w:rsidRPr="008E7EF2">
              <w:rPr>
                <w:noProof/>
                <w:color w:val="000000" w:themeColor="text1"/>
                <w:sz w:val="16"/>
                <w:szCs w:val="16"/>
                <w:vertAlign w:val="superscript"/>
                <w:lang w:val="en-US"/>
              </w:rPr>
              <w:t>36</w:t>
            </w:r>
            <w:r>
              <w:rPr>
                <w:color w:val="000000" w:themeColor="text1"/>
                <w:sz w:val="16"/>
                <w:szCs w:val="16"/>
                <w:lang w:val="en-US"/>
              </w:rPr>
              <w:fldChar w:fldCharType="end"/>
            </w:r>
          </w:p>
        </w:tc>
        <w:tc>
          <w:tcPr>
            <w:tcW w:w="0" w:type="auto"/>
            <w:vAlign w:val="center"/>
          </w:tcPr>
          <w:p w14:paraId="36654C47" w14:textId="02C483E7" w:rsidR="009066CC" w:rsidRPr="00490DD4" w:rsidRDefault="009066CC" w:rsidP="00376C8E">
            <w:pPr>
              <w:jc w:val="center"/>
              <w:rPr>
                <w:sz w:val="16"/>
                <w:szCs w:val="16"/>
              </w:rPr>
            </w:pPr>
            <w:proofErr w:type="spellStart"/>
            <w:r w:rsidRPr="00490DD4">
              <w:rPr>
                <w:sz w:val="16"/>
                <w:szCs w:val="16"/>
              </w:rPr>
              <w:t>Retrospective</w:t>
            </w:r>
            <w:proofErr w:type="spellEnd"/>
            <w:r>
              <w:rPr>
                <w:sz w:val="16"/>
                <w:szCs w:val="16"/>
              </w:rPr>
              <w:t xml:space="preserve"> (</w:t>
            </w:r>
            <w:proofErr w:type="spellStart"/>
            <w:r>
              <w:rPr>
                <w:sz w:val="16"/>
                <w:szCs w:val="16"/>
              </w:rPr>
              <w:t>pre</w:t>
            </w:r>
            <w:proofErr w:type="spellEnd"/>
            <w:r>
              <w:rPr>
                <w:sz w:val="16"/>
                <w:szCs w:val="16"/>
              </w:rPr>
              <w:t xml:space="preserve">-post </w:t>
            </w:r>
            <w:proofErr w:type="spellStart"/>
            <w:r>
              <w:rPr>
                <w:sz w:val="16"/>
                <w:szCs w:val="16"/>
              </w:rPr>
              <w:t>implementation</w:t>
            </w:r>
            <w:proofErr w:type="spellEnd"/>
            <w:r>
              <w:rPr>
                <w:sz w:val="16"/>
                <w:szCs w:val="16"/>
              </w:rPr>
              <w:t xml:space="preserve">); single center; </w:t>
            </w:r>
            <w:r w:rsidRPr="00490DD4">
              <w:rPr>
                <w:sz w:val="16"/>
                <w:szCs w:val="16"/>
              </w:rPr>
              <w:t>USA</w:t>
            </w:r>
          </w:p>
        </w:tc>
        <w:tc>
          <w:tcPr>
            <w:tcW w:w="0" w:type="auto"/>
            <w:vAlign w:val="center"/>
          </w:tcPr>
          <w:p w14:paraId="672C0D57" w14:textId="1D8FE96E" w:rsidR="009066CC" w:rsidRDefault="009066CC" w:rsidP="00376C8E">
            <w:pPr>
              <w:jc w:val="center"/>
              <w:rPr>
                <w:color w:val="000000" w:themeColor="text1"/>
                <w:sz w:val="16"/>
                <w:szCs w:val="16"/>
                <w:lang w:val="en-US"/>
              </w:rPr>
            </w:pPr>
            <w:r>
              <w:rPr>
                <w:color w:val="000000" w:themeColor="text1"/>
                <w:sz w:val="16"/>
                <w:szCs w:val="16"/>
                <w:lang w:val="en-US"/>
              </w:rPr>
              <w:t xml:space="preserve">Auto </w:t>
            </w:r>
            <w:r w:rsidR="008901EF">
              <w:rPr>
                <w:color w:val="000000" w:themeColor="text1"/>
                <w:sz w:val="16"/>
                <w:szCs w:val="16"/>
                <w:lang w:val="en-US"/>
              </w:rPr>
              <w:t>HCT</w:t>
            </w:r>
            <w:r>
              <w:rPr>
                <w:color w:val="000000" w:themeColor="text1"/>
                <w:sz w:val="16"/>
                <w:szCs w:val="16"/>
                <w:lang w:val="en-US"/>
              </w:rPr>
              <w:t>, MM (n = 275) [adult]</w:t>
            </w:r>
          </w:p>
        </w:tc>
        <w:tc>
          <w:tcPr>
            <w:tcW w:w="0" w:type="auto"/>
            <w:vAlign w:val="center"/>
          </w:tcPr>
          <w:p w14:paraId="2008C2BC" w14:textId="4AAF2A31" w:rsidR="009066CC" w:rsidRDefault="009066CC" w:rsidP="00376C8E">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0B237101" w14:textId="44094B99"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69B2EA82" w14:textId="33A6134F"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0FDB7172" w14:textId="053F98AB" w:rsidR="009066CC" w:rsidRDefault="009066CC" w:rsidP="00376C8E">
            <w:pPr>
              <w:jc w:val="center"/>
              <w:rPr>
                <w:color w:val="000000" w:themeColor="text1"/>
                <w:sz w:val="16"/>
                <w:szCs w:val="16"/>
                <w:lang w:val="en-US"/>
              </w:rPr>
            </w:pPr>
            <w:r>
              <w:rPr>
                <w:color w:val="000000" w:themeColor="text1"/>
                <w:sz w:val="16"/>
                <w:szCs w:val="16"/>
                <w:lang w:val="en-US"/>
              </w:rPr>
              <w:t>Increased (FQ-R BSI); no difference (ESBL and CR BSI)</w:t>
            </w:r>
          </w:p>
        </w:tc>
      </w:tr>
      <w:tr w:rsidR="009066CC" w:rsidRPr="00376C8E" w14:paraId="52C067DB" w14:textId="77777777" w:rsidTr="000E23C2">
        <w:trPr>
          <w:trHeight w:val="578"/>
        </w:trPr>
        <w:tc>
          <w:tcPr>
            <w:tcW w:w="0" w:type="auto"/>
            <w:vAlign w:val="center"/>
          </w:tcPr>
          <w:p w14:paraId="7ADCD63B" w14:textId="35A83EDD" w:rsidR="009066CC" w:rsidRPr="004D40DF" w:rsidRDefault="009066CC" w:rsidP="00376C8E">
            <w:pPr>
              <w:jc w:val="center"/>
              <w:rPr>
                <w:color w:val="000000" w:themeColor="text1"/>
                <w:sz w:val="16"/>
                <w:szCs w:val="16"/>
                <w:lang w:val="en-US"/>
              </w:rPr>
            </w:pPr>
            <w:proofErr w:type="spellStart"/>
            <w:r w:rsidRPr="004D40DF">
              <w:rPr>
                <w:sz w:val="16"/>
                <w:szCs w:val="16"/>
              </w:rPr>
              <w:t>Shbaklo</w:t>
            </w:r>
            <w:proofErr w:type="spellEnd"/>
            <w:r w:rsidRPr="004D40DF">
              <w:rPr>
                <w:sz w:val="16"/>
                <w:szCs w:val="16"/>
              </w:rPr>
              <w:t xml:space="preserve"> </w:t>
            </w:r>
            <w:r>
              <w:rPr>
                <w:sz w:val="16"/>
                <w:szCs w:val="16"/>
              </w:rPr>
              <w:t>2023</w:t>
            </w:r>
            <w:r>
              <w:rPr>
                <w:sz w:val="16"/>
                <w:szCs w:val="16"/>
              </w:rPr>
              <w:fldChar w:fldCharType="begin" w:fldLock="1"/>
            </w:r>
            <w:r>
              <w:rPr>
                <w:sz w:val="16"/>
                <w:szCs w:val="16"/>
              </w:rPr>
              <w:instrText>ADDIN CSL_CITATION {"citationItems":[{"id":"ITEM-1","itemData":{"DOI":"10.3390/ph16030466","ISSN":"14248247","abstract":"Bloodstream infections (BSI) are life-threatening complications for onco-hematologic patients. Fluoroquinolones prophylaxis (FQP) was recommended for patients with neutropenia. Later, it was correlated with increased resistance rates among this population and its role became debated. While the role of FQ prophylaxis is still being studied, its cost-effectiveness is also unknown. The objective of this study was to evaluate the costs and effects associated with two alternative strategies (FQP vs. no prophylaxis) for patients with hematological malignancies undergoing allogenic stem cell transplant (HSCT). A decision-tree model was built integrating retrospectively collected data from a single transplant center, part of a tertiary teaching hospital in Northern Italy. Probabilities, costs and effects were considered in the assessment of the two alternative strategies. Probabilities of colonization, BSIs, extended-spectrum beta lactamase (ESBL) and Klebsiella pneumoniae carbapenemase (KPC) BSIs and mortality associated with infection, as well as median duration of length of stay (LOS) were calculated based on data collected between 2013 and 2021. The center applied the strategy of FQP between 2013 and 2016, and of no prophylaxis between 2016 and 2021. Data on 326 patients were collected during the considered time period. Overall, the rates of colonization, BSI, KPC/ESBL BSI, and mortality were 6.8% (95% confidence interval (CI) 2.7–13.5), 42% (9.9–81.4) and 20.72 (16.67–25.26), respectively. A mean bed-day cost of 132€ was estimated. Considering no prophylaxis vs. prophylaxis, the difference in costs ranged between additional 33.61 and 80.59€ per patient, whereas the difference in effects ranged between 0.11 and 0.03 life-years (LYs) lost (around 40 and 11 days). Given the small differences in terms of costs and effects between the two strategies, no prophylaxis seems an appropriate choice. Furthermore, this analysis did not consider the broader effect on hospital ecology of multiple doses of FQP, which could provide further support for the strategy of no prophylaxis. Our results suggest that the necessity for FQP in onco-hematologic setting should be determined based on local antibiotic resistance patterns.","author":[{"dropping-particle":"","family":"Shbaklo","given":"Nour","non-dropping-particle":"","parse-names":false,"suffix":""},{"dropping-particle":"","family":"Vicentini","given":"Costanza","non-dropping-particle":"","parse-names":false,"suffix":""},{"dropping-particle":"","family":"Busca","given":"Alessandro","non-dropping-particle":"","parse-names":false,"suffix":""},{"dropping-particle":"","family":"Giaccone","given":"Luisa","non-dropping-particle":"","parse-names":false,"suffix":""},{"dropping-particle":"","family":"Dellacasa","given":"Chiara","non-dropping-particle":"","parse-names":false,"suffix":""},{"dropping-particle":"","family":"Dogliotti","given":"Irene","non-dropping-particle":"","parse-names":false,"suffix":""},{"dropping-particle":"","family":"Lupia","given":"Tommaso","non-dropping-particle":"","parse-names":false,"suffix":""},{"dropping-particle":"","family":"Zotti","given":"Carla M.","non-dropping-particle":"","parse-names":false,"suffix":""},{"dropping-particle":"","family":"Corcione","given":"Silvia","non-dropping-particle":"","parse-names":false,"suffix":""},{"dropping-particle":"","family":"Rosa","given":"Francesco Giuseppe","non-dropping-particle":"De","parse-names":false,"suffix":""}],"container-title":"Pharmaceuticals","id":"ITEM-1","issue":"3","issued":{"date-parts":[["2023"]]},"page":"1-10","title":"Cost-Effectiveness of Targeted Prophylaxis among Allogenic Stem Cell Transplant Recipients","type":"article-journal","volume":"16"},"uris":["http://www.mendeley.com/documents/?uuid=1e87f61d-d8d1-4162-a693-d7a60f545102"]}],"mendeley":{"formattedCitation":"&lt;sup&gt;37&lt;/sup&gt;","plainTextFormattedCitation":"37","previouslyFormattedCitation":"&lt;sup&gt;37&lt;/sup&gt;"},"properties":{"noteIndex":0},"schema":"https://github.com/citation-style-language/schema/raw/master/csl-citation.json"}</w:instrText>
            </w:r>
            <w:r>
              <w:rPr>
                <w:sz w:val="16"/>
                <w:szCs w:val="16"/>
              </w:rPr>
              <w:fldChar w:fldCharType="separate"/>
            </w:r>
            <w:r w:rsidRPr="008E7EF2">
              <w:rPr>
                <w:noProof/>
                <w:sz w:val="16"/>
                <w:szCs w:val="16"/>
                <w:vertAlign w:val="superscript"/>
              </w:rPr>
              <w:t>37</w:t>
            </w:r>
            <w:r>
              <w:rPr>
                <w:sz w:val="16"/>
                <w:szCs w:val="16"/>
              </w:rPr>
              <w:fldChar w:fldCharType="end"/>
            </w:r>
          </w:p>
        </w:tc>
        <w:tc>
          <w:tcPr>
            <w:tcW w:w="0" w:type="auto"/>
            <w:vAlign w:val="center"/>
          </w:tcPr>
          <w:p w14:paraId="5BFE78EC" w14:textId="4A35ED5E" w:rsidR="009066CC" w:rsidRPr="00490DD4" w:rsidRDefault="009066CC" w:rsidP="00376C8E">
            <w:pPr>
              <w:jc w:val="center"/>
              <w:rPr>
                <w:sz w:val="16"/>
                <w:szCs w:val="16"/>
              </w:rPr>
            </w:pPr>
            <w:proofErr w:type="spellStart"/>
            <w:r w:rsidRPr="00490DD4">
              <w:rPr>
                <w:sz w:val="16"/>
                <w:szCs w:val="16"/>
              </w:rPr>
              <w:t>Retrospective</w:t>
            </w:r>
            <w:proofErr w:type="spellEnd"/>
            <w:r>
              <w:rPr>
                <w:sz w:val="16"/>
                <w:szCs w:val="16"/>
              </w:rPr>
              <w:t xml:space="preserve">; single center; </w:t>
            </w:r>
            <w:proofErr w:type="spellStart"/>
            <w:r w:rsidRPr="00490DD4">
              <w:rPr>
                <w:sz w:val="16"/>
                <w:szCs w:val="16"/>
              </w:rPr>
              <w:t>Italy</w:t>
            </w:r>
            <w:proofErr w:type="spellEnd"/>
          </w:p>
        </w:tc>
        <w:tc>
          <w:tcPr>
            <w:tcW w:w="0" w:type="auto"/>
            <w:vAlign w:val="center"/>
          </w:tcPr>
          <w:p w14:paraId="4C71E095" w14:textId="1591C3F1" w:rsidR="009066CC" w:rsidRDefault="009066CC" w:rsidP="00376C8E">
            <w:pPr>
              <w:jc w:val="center"/>
              <w:rPr>
                <w:color w:val="000000" w:themeColor="text1"/>
                <w:sz w:val="16"/>
                <w:szCs w:val="16"/>
                <w:lang w:val="en-US"/>
              </w:rPr>
            </w:pPr>
            <w:proofErr w:type="spellStart"/>
            <w:r>
              <w:rPr>
                <w:color w:val="000000" w:themeColor="text1"/>
                <w:sz w:val="16"/>
                <w:szCs w:val="16"/>
                <w:lang w:val="en-US"/>
              </w:rPr>
              <w:t>Allo</w:t>
            </w:r>
            <w:proofErr w:type="spellEnd"/>
            <w:r>
              <w:rPr>
                <w:color w:val="000000" w:themeColor="text1"/>
                <w:sz w:val="16"/>
                <w:szCs w:val="16"/>
                <w:lang w:val="en-US"/>
              </w:rPr>
              <w:t xml:space="preserve"> </w:t>
            </w:r>
            <w:r w:rsidR="008901EF">
              <w:rPr>
                <w:color w:val="000000" w:themeColor="text1"/>
                <w:sz w:val="16"/>
                <w:szCs w:val="16"/>
                <w:lang w:val="en-US"/>
              </w:rPr>
              <w:t>HCT</w:t>
            </w:r>
            <w:r>
              <w:rPr>
                <w:color w:val="000000" w:themeColor="text1"/>
                <w:sz w:val="16"/>
                <w:szCs w:val="16"/>
                <w:lang w:val="en-US"/>
              </w:rPr>
              <w:t xml:space="preserve"> (n = 326) [adult]</w:t>
            </w:r>
          </w:p>
        </w:tc>
        <w:tc>
          <w:tcPr>
            <w:tcW w:w="0" w:type="auto"/>
            <w:vAlign w:val="center"/>
          </w:tcPr>
          <w:p w14:paraId="47C18EB8" w14:textId="5AA8E4E0" w:rsidR="009066CC" w:rsidRDefault="009066CC" w:rsidP="00376C8E">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678CF378" w14:textId="1C61419D"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25653F80" w14:textId="5A1EEE83"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3841E379" w14:textId="6FB1068E" w:rsidR="009066CC" w:rsidRDefault="009066CC" w:rsidP="00376C8E">
            <w:pPr>
              <w:jc w:val="center"/>
              <w:rPr>
                <w:color w:val="000000" w:themeColor="text1"/>
                <w:sz w:val="16"/>
                <w:szCs w:val="16"/>
                <w:lang w:val="en-US"/>
              </w:rPr>
            </w:pPr>
            <w:r>
              <w:rPr>
                <w:color w:val="000000" w:themeColor="text1"/>
                <w:sz w:val="16"/>
                <w:szCs w:val="16"/>
                <w:lang w:val="en-US"/>
              </w:rPr>
              <w:t>No difference (R-BSI)</w:t>
            </w:r>
          </w:p>
        </w:tc>
      </w:tr>
      <w:tr w:rsidR="009066CC" w:rsidRPr="00F20444" w14:paraId="5F3D8162" w14:textId="77777777" w:rsidTr="000E23C2">
        <w:trPr>
          <w:trHeight w:val="578"/>
        </w:trPr>
        <w:tc>
          <w:tcPr>
            <w:tcW w:w="0" w:type="auto"/>
            <w:vAlign w:val="center"/>
          </w:tcPr>
          <w:p w14:paraId="3DD6419C" w14:textId="7F1C16FD" w:rsidR="009066CC" w:rsidRPr="004D40DF" w:rsidRDefault="009066CC" w:rsidP="00376C8E">
            <w:pPr>
              <w:jc w:val="center"/>
              <w:rPr>
                <w:color w:val="000000" w:themeColor="text1"/>
                <w:sz w:val="16"/>
                <w:szCs w:val="16"/>
                <w:lang w:val="en-US"/>
              </w:rPr>
            </w:pPr>
            <w:r w:rsidRPr="004D40DF">
              <w:rPr>
                <w:sz w:val="16"/>
                <w:szCs w:val="16"/>
                <w:lang w:val="en-US"/>
              </w:rPr>
              <w:t xml:space="preserve">Signorelli </w:t>
            </w:r>
            <w:r>
              <w:rPr>
                <w:sz w:val="16"/>
                <w:szCs w:val="16"/>
                <w:lang w:val="en-US"/>
              </w:rPr>
              <w:t>2020</w:t>
            </w:r>
            <w:r>
              <w:rPr>
                <w:sz w:val="16"/>
                <w:szCs w:val="16"/>
                <w:lang w:val="en-US"/>
              </w:rPr>
              <w:fldChar w:fldCharType="begin" w:fldLock="1"/>
            </w:r>
            <w:r>
              <w:rPr>
                <w:sz w:val="16"/>
                <w:szCs w:val="16"/>
                <w:lang w:val="en-US"/>
              </w:rPr>
              <w:instrText>ADDIN CSL_CITATION {"citationItems":[{"id":"ITEM-1","itemData":{"DOI":"10.1111/tid.13225","ISSN":"1399-3062 (Electronic)","PMID":"31785022","abstract":"BACKGROUND: Autologous hematopoietic stem cell transplant (HSCT) recipients are  not uniformly considered as \"high risk\" enough to receive fluoroquinolone (FQ) prophylaxis. The risks versus benefits of FQ prophylaxis in autologous HSCT require further investigation. METHODS: A retrospective chart review of patients &gt; 19 years old who received an autologous HSCT at Nebraska Medicine analyzed two time periods (period 1: no prophylaxis [2013-2015] versus period 2: levofloxacin prophylaxis [2015-2016]) to characterize the clinical impact of levofloxacin prophylaxis on autologous HSCT recipients. RESULTS: A total of 224 autologous HSCT were screened with 214 included. Febrile neutropenia (FN) developed in 101/113 (89%) versus 60/101 (59%) patients in the no prophylaxis (NPx) versus prophylaxis (Px) group (P &lt; .01). Time to onset of FN was a median 6 versus 7 days (P = .01), and total bloodstream infections (BSI) were 33/113 (29%) versus 7/101 (7%) (P &lt; .01) in NPx and Px groups, respectively. Gram-negative BSI were absent in the Px group. Viridans group streptococci were the most common Gram-positive BSI overall, with FQ-resistance more common in Px recipients. Rates of Clostridium difficile infections, length of hospital stay, or death at 100 days post-HSCT did not differ between the groups. CONCLUSION: Fluoroquinolone prophylaxis introduced into autologous HSCT care at our institution in 2015 resulted in prevention of Gram-negative BSI, decreased rates of FN, microbiologically documented infections, and a delay in time to onset of FN compared with the prior NPx. FQ prophylaxis in autologous HSCT recipients should be evaluated per individual institution.","author":[{"dropping-particle":"","family":"Signorelli","given":"Jessie","non-dropping-particle":"","parse-names":false,"suffix":""},{"dropping-particle":"","family":"Zimmer","given":"Andrea","non-dropping-particle":"","parse-names":false,"suffix":""},{"dropping-particle":"","family":"Liewer","given":"Susanne","non-dropping-particle":"","parse-names":false,"suffix":""},{"dropping-particle":"","family":"Shostrom","given":"Valerie K","non-dropping-particle":"","parse-names":false,"suffix":""},{"dropping-particle":"","family":"Freifeld","given":"Alison","non-dropping-particle":"","parse-names":false,"suffix":""}],"container-title":"Transplant infectious disease : an official journal of the Transplantation  Society","id":"ITEM-1","issue":"2","issued":{"date-parts":[["2020","4"]]},"language":"eng","page":"e13225","publisher-place":"Denmark","title":"Incidence of Febrile Neutropenia in Autologous Hematopoietic Stem Cell Transplant  (HSCT) Recipients on levofloxacin prophylaxis.","type":"article-journal","volume":"22"},"uris":["http://www.mendeley.com/documents/?uuid=70b13f91-ceaf-4e06-b464-9863270905c7"]}],"mendeley":{"formattedCitation":"&lt;sup&gt;38&lt;/sup&gt;","plainTextFormattedCitation":"38","previouslyFormattedCitation":"&lt;sup&gt;38&lt;/sup&gt;"},"properties":{"noteIndex":0},"schema":"https://github.com/citation-style-language/schema/raw/master/csl-citation.json"}</w:instrText>
            </w:r>
            <w:r>
              <w:rPr>
                <w:sz w:val="16"/>
                <w:szCs w:val="16"/>
                <w:lang w:val="en-US"/>
              </w:rPr>
              <w:fldChar w:fldCharType="separate"/>
            </w:r>
            <w:r w:rsidRPr="008E7EF2">
              <w:rPr>
                <w:noProof/>
                <w:sz w:val="16"/>
                <w:szCs w:val="16"/>
                <w:vertAlign w:val="superscript"/>
                <w:lang w:val="en-US"/>
              </w:rPr>
              <w:t>38</w:t>
            </w:r>
            <w:r>
              <w:rPr>
                <w:sz w:val="16"/>
                <w:szCs w:val="16"/>
                <w:lang w:val="en-US"/>
              </w:rPr>
              <w:fldChar w:fldCharType="end"/>
            </w:r>
          </w:p>
        </w:tc>
        <w:tc>
          <w:tcPr>
            <w:tcW w:w="0" w:type="auto"/>
            <w:vAlign w:val="center"/>
          </w:tcPr>
          <w:p w14:paraId="133DE134" w14:textId="10556D33" w:rsidR="009066CC" w:rsidRPr="009066CC" w:rsidRDefault="009066CC" w:rsidP="00376C8E">
            <w:pPr>
              <w:jc w:val="center"/>
              <w:rPr>
                <w:sz w:val="16"/>
                <w:szCs w:val="16"/>
                <w:lang w:val="en-US"/>
              </w:rPr>
            </w:pPr>
            <w:r w:rsidRPr="009066CC">
              <w:rPr>
                <w:sz w:val="16"/>
                <w:szCs w:val="16"/>
                <w:lang w:val="en-US"/>
              </w:rPr>
              <w:t>Retrospective (pre-post implementation); single center; USA</w:t>
            </w:r>
          </w:p>
        </w:tc>
        <w:tc>
          <w:tcPr>
            <w:tcW w:w="0" w:type="auto"/>
            <w:vAlign w:val="center"/>
          </w:tcPr>
          <w:p w14:paraId="47F540B0" w14:textId="43266291" w:rsidR="009066CC" w:rsidRDefault="009066CC" w:rsidP="00376C8E">
            <w:pPr>
              <w:jc w:val="center"/>
              <w:rPr>
                <w:color w:val="000000" w:themeColor="text1"/>
                <w:sz w:val="16"/>
                <w:szCs w:val="16"/>
                <w:lang w:val="en-US"/>
              </w:rPr>
            </w:pPr>
            <w:r>
              <w:rPr>
                <w:color w:val="000000" w:themeColor="text1"/>
                <w:sz w:val="16"/>
                <w:szCs w:val="16"/>
                <w:lang w:val="en-US"/>
              </w:rPr>
              <w:t xml:space="preserve">Auto </w:t>
            </w:r>
            <w:r w:rsidR="008901EF">
              <w:rPr>
                <w:color w:val="000000" w:themeColor="text1"/>
                <w:sz w:val="16"/>
                <w:szCs w:val="16"/>
                <w:lang w:val="en-US"/>
              </w:rPr>
              <w:t>HCT</w:t>
            </w:r>
            <w:r>
              <w:rPr>
                <w:color w:val="000000" w:themeColor="text1"/>
                <w:sz w:val="16"/>
                <w:szCs w:val="16"/>
                <w:lang w:val="en-US"/>
              </w:rPr>
              <w:t xml:space="preserve"> (n = 214) [adult]</w:t>
            </w:r>
          </w:p>
        </w:tc>
        <w:tc>
          <w:tcPr>
            <w:tcW w:w="0" w:type="auto"/>
            <w:vAlign w:val="center"/>
          </w:tcPr>
          <w:p w14:paraId="26BF6DA4" w14:textId="2E2663DF" w:rsidR="009066CC" w:rsidRDefault="009066CC" w:rsidP="00376C8E">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18DDEDEB" w14:textId="11D23CAE"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14FD12D6" w14:textId="496E8A72"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4BC853A3" w14:textId="30C209D6"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F20444" w14:paraId="7067A379" w14:textId="77777777" w:rsidTr="000E23C2">
        <w:trPr>
          <w:trHeight w:val="578"/>
        </w:trPr>
        <w:tc>
          <w:tcPr>
            <w:tcW w:w="0" w:type="auto"/>
            <w:vAlign w:val="center"/>
          </w:tcPr>
          <w:p w14:paraId="3CC631DE" w14:textId="4D3C4EBF" w:rsidR="009066CC" w:rsidRPr="004D40DF" w:rsidRDefault="009066CC" w:rsidP="00376C8E">
            <w:pPr>
              <w:jc w:val="center"/>
              <w:rPr>
                <w:color w:val="000000" w:themeColor="text1"/>
                <w:sz w:val="16"/>
                <w:szCs w:val="16"/>
                <w:lang w:val="en-US"/>
              </w:rPr>
            </w:pPr>
            <w:proofErr w:type="spellStart"/>
            <w:r w:rsidRPr="004D40DF">
              <w:rPr>
                <w:color w:val="000000" w:themeColor="text1"/>
                <w:sz w:val="16"/>
                <w:szCs w:val="16"/>
                <w:lang w:val="en-US"/>
              </w:rPr>
              <w:t>Simondsen</w:t>
            </w:r>
            <w:proofErr w:type="spellEnd"/>
            <w:r w:rsidRPr="004D40DF">
              <w:rPr>
                <w:color w:val="000000" w:themeColor="text1"/>
                <w:sz w:val="16"/>
                <w:szCs w:val="16"/>
                <w:lang w:val="en-US"/>
              </w:rPr>
              <w:t xml:space="preserve"> </w:t>
            </w:r>
            <w:r>
              <w:rPr>
                <w:color w:val="000000" w:themeColor="text1"/>
                <w:sz w:val="16"/>
                <w:szCs w:val="16"/>
                <w:lang w:val="en-US"/>
              </w:rPr>
              <w:t>2013</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{"citationItems":[{"id":"ITEM-1","itemData":{"DOI":"10.1177/1078155212465215","ISSN":"10781552","PMID":"23184539","abstract":"Background: Patients undergoing allogeneic hematopoietic stem cell transplant are at a high risk for infection-related mortality in the immediate post-transplantation phase. Prophylaxis with a fluoroquinolone is now recommended to reduce this risk with the stipulation that surveillance for increased fluoroquinolone resistance Clostridium difficile associated diarrhea be conducted. Methods: We conducted a retrospective chart review of 48 patients who underwent an allogeneic hematopoietic stem cell transplant and received a fluoroquinolone for prophylaxis and 48 patients who underwent an allogeneic hematopoietic stem cell transplant who did not receive a fluoroquinolone for prophylaxis. All patients received the same standard antifungal, antiviral and anti-pneumocystis prophylaxis. Results: Patients receiving fluoroquinolone prophylaxis had a lower incidence of febrile neutropenia than those not receiving prophylaxis, though the difference was not found to be statistically significant (83% vs. 67%, p0.098). Similar non-significant improvements in the number of positive cultures recovered during an episode of febrile neutropenia and antimicrobial days were noted. No significant increase in fluoroquinolone resistance, Clostridium difficile associated diarrhea, or in methicillin resistant Staphylococcus aureus infections were noted. Conclusion: Our single institution experience with fluoroquinolone prophylaxis for allogeneic hematopoietic stem cell transplant patients supports continuation of this practice. Expansion to autologous hematopoietic stem cell transplant patients may be appropriate based on guideline recommendations and our institution-specific experience with fluoroquinolone prophylaxis. © 2013 The Author(s).","author":[{"dropping-particle":"","family":"Simondsen","given":"Katherine A.","non-dropping-particle":"","parse-names":false,"suffix":""},{"dropping-particle":"","family":"Reed","given":"Michael P.","non-dropping-particle":"","parse-names":false,"suffix":""},{"dropping-particle":"","family":"Mably","given":"Mary S.","non-dropping-particle":"","parse-names":false,"suffix":""},{"dropping-particle":"","family":"Zhang","given":"Yang","non-dropping-particle":"","parse-names":false,"suffix":""},{"dropping-particle":"","family":"Longo","given":"Walter L.","non-dropping-particle":"","parse-names":false,"suffix":""}],"container-title":"Journal of Oncology Pharmacy Practice","id":"ITEM-1","issue":"4","issued":{"date-parts":[["2013"]]},"page":"291-297","title":"Retrospective analysis of fluoroquinolone prophylaxis in patients undergoing allogeneic hematopoietic stem cell transplantation","type":"article-journal","volume":"19"},"uris":["http://www.mendeley.com/documents/?uuid=47a16c68-b4c3-4a0c-8a46-a186e674303a"]}],"mendeley":{"formattedCitation":"&lt;sup&gt;39&lt;/sup&gt;","plainTextFormattedCitation":"39","previouslyFormattedCitation":"&lt;sup&gt;39&lt;/sup&gt;"},"properties":{"noteIndex":0},"schema":"https://github.com/citation-style-language/schema/raw/master/csl-citation.json"}</w:instrText>
            </w:r>
            <w:r>
              <w:rPr>
                <w:color w:val="000000" w:themeColor="text1"/>
                <w:sz w:val="16"/>
                <w:szCs w:val="16"/>
                <w:lang w:val="en-US"/>
              </w:rPr>
              <w:fldChar w:fldCharType="separate"/>
            </w:r>
            <w:r w:rsidRPr="008E7EF2">
              <w:rPr>
                <w:noProof/>
                <w:color w:val="000000" w:themeColor="text1"/>
                <w:sz w:val="16"/>
                <w:szCs w:val="16"/>
                <w:vertAlign w:val="superscript"/>
                <w:lang w:val="en-US"/>
              </w:rPr>
              <w:t>39</w:t>
            </w:r>
            <w:r>
              <w:rPr>
                <w:color w:val="000000" w:themeColor="text1"/>
                <w:sz w:val="16"/>
                <w:szCs w:val="16"/>
                <w:lang w:val="en-US"/>
              </w:rPr>
              <w:fldChar w:fldCharType="end"/>
            </w:r>
          </w:p>
        </w:tc>
        <w:tc>
          <w:tcPr>
            <w:tcW w:w="0" w:type="auto"/>
            <w:vAlign w:val="center"/>
          </w:tcPr>
          <w:p w14:paraId="6C65C8D9" w14:textId="09318B38" w:rsidR="009066CC" w:rsidRPr="009066CC" w:rsidRDefault="009066CC" w:rsidP="00376C8E">
            <w:pPr>
              <w:jc w:val="center"/>
              <w:rPr>
                <w:sz w:val="16"/>
                <w:szCs w:val="16"/>
                <w:lang w:val="en-US"/>
              </w:rPr>
            </w:pPr>
            <w:r w:rsidRPr="009066CC">
              <w:rPr>
                <w:sz w:val="16"/>
                <w:szCs w:val="16"/>
                <w:lang w:val="en-US"/>
              </w:rPr>
              <w:t>Retrospective; single center; USA</w:t>
            </w:r>
          </w:p>
        </w:tc>
        <w:tc>
          <w:tcPr>
            <w:tcW w:w="0" w:type="auto"/>
            <w:vAlign w:val="center"/>
          </w:tcPr>
          <w:p w14:paraId="17D7124A" w14:textId="44B11056" w:rsidR="009066CC" w:rsidRDefault="009066CC" w:rsidP="00376C8E">
            <w:pPr>
              <w:jc w:val="center"/>
              <w:rPr>
                <w:color w:val="000000" w:themeColor="text1"/>
                <w:sz w:val="16"/>
                <w:szCs w:val="16"/>
                <w:lang w:val="en-US"/>
              </w:rPr>
            </w:pPr>
            <w:proofErr w:type="spellStart"/>
            <w:r>
              <w:rPr>
                <w:color w:val="000000" w:themeColor="text1"/>
                <w:sz w:val="16"/>
                <w:szCs w:val="16"/>
                <w:lang w:val="en-US"/>
              </w:rPr>
              <w:t>Allo</w:t>
            </w:r>
            <w:proofErr w:type="spellEnd"/>
            <w:r>
              <w:rPr>
                <w:color w:val="000000" w:themeColor="text1"/>
                <w:sz w:val="16"/>
                <w:szCs w:val="16"/>
                <w:lang w:val="en-US"/>
              </w:rPr>
              <w:t xml:space="preserve"> </w:t>
            </w:r>
            <w:r w:rsidR="008901EF">
              <w:rPr>
                <w:color w:val="000000" w:themeColor="text1"/>
                <w:sz w:val="16"/>
                <w:szCs w:val="16"/>
                <w:lang w:val="en-US"/>
              </w:rPr>
              <w:t>HCT</w:t>
            </w:r>
            <w:r>
              <w:rPr>
                <w:color w:val="000000" w:themeColor="text1"/>
                <w:sz w:val="16"/>
                <w:szCs w:val="16"/>
                <w:lang w:val="en-US"/>
              </w:rPr>
              <w:t xml:space="preserve"> (n = 96) [adult]</w:t>
            </w:r>
          </w:p>
        </w:tc>
        <w:tc>
          <w:tcPr>
            <w:tcW w:w="0" w:type="auto"/>
            <w:vAlign w:val="center"/>
          </w:tcPr>
          <w:p w14:paraId="30E55243" w14:textId="29C837C0" w:rsidR="009066CC" w:rsidRDefault="009066CC" w:rsidP="00376C8E">
            <w:pPr>
              <w:jc w:val="center"/>
              <w:rPr>
                <w:color w:val="000000" w:themeColor="text1"/>
                <w:sz w:val="16"/>
                <w:szCs w:val="16"/>
                <w:lang w:val="en-US"/>
              </w:rPr>
            </w:pPr>
            <w:r w:rsidRPr="00641CBA">
              <w:rPr>
                <w:color w:val="000000" w:themeColor="text1"/>
                <w:sz w:val="16"/>
                <w:szCs w:val="16"/>
                <w:lang w:val="en-US"/>
              </w:rPr>
              <w:t>Ciprofloxacin</w:t>
            </w:r>
          </w:p>
        </w:tc>
        <w:tc>
          <w:tcPr>
            <w:tcW w:w="0" w:type="auto"/>
            <w:vAlign w:val="center"/>
          </w:tcPr>
          <w:p w14:paraId="6891A2B6" w14:textId="0ECC7997"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361C202C" w14:textId="5561608F"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700AFBB8" w14:textId="13C22B76" w:rsidR="009066CC" w:rsidRDefault="009066CC" w:rsidP="00376C8E">
            <w:pPr>
              <w:jc w:val="center"/>
              <w:rPr>
                <w:color w:val="000000" w:themeColor="text1"/>
                <w:sz w:val="16"/>
                <w:szCs w:val="16"/>
                <w:lang w:val="en-US"/>
              </w:rPr>
            </w:pPr>
            <w:r>
              <w:rPr>
                <w:color w:val="000000" w:themeColor="text1"/>
                <w:sz w:val="16"/>
                <w:szCs w:val="16"/>
                <w:lang w:val="en-US"/>
              </w:rPr>
              <w:t>Unchanged</w:t>
            </w:r>
            <w:r w:rsidDel="00F6654F">
              <w:rPr>
                <w:color w:val="000000" w:themeColor="text1"/>
                <w:sz w:val="16"/>
                <w:szCs w:val="16"/>
                <w:lang w:val="en-US"/>
              </w:rPr>
              <w:t xml:space="preserve"> </w:t>
            </w:r>
            <w:r>
              <w:rPr>
                <w:color w:val="000000" w:themeColor="text1"/>
                <w:sz w:val="16"/>
                <w:szCs w:val="16"/>
                <w:lang w:val="en-US"/>
              </w:rPr>
              <w:t>(FQ-R and MRSA BSI)</w:t>
            </w:r>
          </w:p>
        </w:tc>
      </w:tr>
      <w:tr w:rsidR="009066CC" w:rsidRPr="00F20444" w14:paraId="41FFCC4E" w14:textId="77777777" w:rsidTr="000E23C2">
        <w:trPr>
          <w:trHeight w:val="578"/>
        </w:trPr>
        <w:tc>
          <w:tcPr>
            <w:tcW w:w="0" w:type="auto"/>
            <w:vAlign w:val="center"/>
          </w:tcPr>
          <w:p w14:paraId="2438BFF4" w14:textId="38D9B9A7" w:rsidR="009066CC" w:rsidRPr="004D40DF" w:rsidRDefault="009066CC" w:rsidP="00BF5947">
            <w:pPr>
              <w:jc w:val="center"/>
              <w:rPr>
                <w:color w:val="000000" w:themeColor="text1"/>
                <w:sz w:val="16"/>
                <w:szCs w:val="16"/>
                <w:lang w:val="en-US"/>
              </w:rPr>
            </w:pPr>
            <w:r w:rsidRPr="00A075D5">
              <w:rPr>
                <w:sz w:val="16"/>
                <w:szCs w:val="16"/>
                <w:lang w:val="en-US"/>
              </w:rPr>
              <w:t>Sulis ML</w:t>
            </w:r>
            <w:r>
              <w:rPr>
                <w:sz w:val="16"/>
                <w:szCs w:val="16"/>
                <w:lang w:val="en-US"/>
              </w:rPr>
              <w:fldChar w:fldCharType="begin" w:fldLock="1"/>
            </w:r>
            <w:r>
              <w:rPr>
                <w:sz w:val="16"/>
                <w:szCs w:val="16"/>
                <w:lang w:val="en-US"/>
              </w:rPr>
              <w:instrText>ADDIN CSL_CITATION {"citationItems":[{"id":"ITEM-1","itemData":{"DOI":"10.1002/PBC.26952/FORMAT/PDF","ISSN":"15455017","PMID":"29319209","abstract":"Background: Pediatric patients receiving induction chemotherapy for newly diagnosed acute lymphoblastic leukemia (ALL) are at high risk of developing life-threatening infections. We investigated whether uniform antibacterial guidelines, including mandatory antibacterial prophylaxis in afebrile patients during induction, decreases the incidence of microbiologically documented bacteremia. Methods: Between 2012 and 2015, 230 patients with newly diagnosed ALL (aged 1–21) were enrolled on Dana-Farber Cancer Institute ALL Consortium Protocol 11-001 (DFCI 11-001). Induction therapy, regardless of risk group, included vincristine, prednisone, doxorubicin, methotrexate, and PEG-asparaginase. Afebrile patients received fluoroquinolone prophylaxis at the initiation of induction and those presenting with fever received broad-spectrum antibiotics; antibiotics were continued until blood count recovery. Rates of documented bacteremias and fungal infections on DFCI 11-001 were compared to those on the predecessor protocol (DFCI 05-001), which included the same induction phase without antibiotic prophylaxis guidelines. Results: Sixty-six (28.7%) patients received fluoroquinolone prophylaxis, the remaining patients received broad-spectrum antibiotics. Twenty-four (36.4%) patients on prophylaxis developed fever and seven (10.6%) developed bacteremia. The overall rate of infection during induction on DFCI 11-001 was lower than on DFCl 05-001 (14.3% vs. 26.3%, P &lt; 0.0001) due to a decreased rate of bacteremia (10.9% vs. 24.4%, P &lt; 0.0001). The rate of fungal infections (4.8% vs. 3.6%) and induction death (0.9% vs. 2%) was not significantly different. Conclusion: For children with newly diagnosed ALL, uniform antibiotic administration until blood count recovery, including fluoroquinolone prophylaxis for afebrile patients, reduced the incidence of bacteremia during the induction phase. Larger, randomized studies should be performed to confirm these findings.","author":[{"dropping-particle":"","family":"Sulis","given":"M. L.","non-dropping-particle":"","parse-names":false,"suffix":""},{"dropping-particle":"","family":"Blonquist","given":"T. M.","non-dropping-particle":"","parse-names":false,"suffix":""},{"dropping-particle":"","family":"Stevenson","given":"K. E.","non-dropping-particle":"","parse-names":false,"suffix":""},{"dropping-particle":"","family":"Hunt","given":"S. K.","non-dropping-particle":"","parse-names":false,"suffix":""},{"dropping-particle":"","family":"Kay-Green","given":"S.","non-dropping-particle":"","parse-names":false,"suffix":""},{"dropping-particle":"","family":"Athale","given":"U. H.","non-dropping-particle":"","parse-names":false,"suffix":""},{"dropping-particle":"","family":"Clavell","given":"L. A.","non-dropping-particle":"","parse-names":false,"suffix":""},{"dropping-particle":"","family":"Cole","given":"P. D.","non-dropping-particle":"","parse-names":false,"suffix":""},{"dropping-particle":"","family":"Kelly","given":"K. M.","non-dropping-particle":"","parse-names":false,"suffix":""},{"dropping-particle":"","family":"Laverdiere","given":"C.","non-dropping-particle":"","parse-names":false,"suffix":""},{"dropping-particle":"","family":"Leclerc","given":"J. M.","non-dropping-particle":"","parse-names":false,"suffix":""},{"dropping-particle":"","family":"Michon","given":"B.","non-dropping-particle":"","parse-names":false,"suffix":""},{"dropping-particle":"","family":"Schorin","given":"M. A.","non-dropping-particle":"","parse-names":false,"suffix":""},{"dropping-particle":"","family":"Welch","given":"J. G.","non-dropping-particle":"","parse-names":false,"suffix":""},{"dropping-particle":"","family":"Neuberg","given":"D. S.","non-dropping-particle":"","parse-names":false,"suffix":""},{"dropping-particle":"","family":"Sallan","given":"S. E.","non-dropping-particle":"","parse-names":false,"suffix":""},{"dropping-particle":"","family":"Silverman","given":"L. B.","non-dropping-particle":"","parse-names":false,"suffix":""}],"container-title":"Pediatric Blood and Cancer","id":"ITEM-1","issue":"5","issued":{"date-parts":[["2018","5"]]},"publisher":"John Wiley and Sons Inc.","title":"Effectiveness of antibacterial prophylaxis during induction chemotherapy in children with acute lymphoblastic leukemia","type":"article-journal","volume":"65"},"uris":["http://www.mendeley.com/documents/?uuid=f40567e8-72ae-4ad0-9c41-6e7e5c4e84ab"]}],"mendeley":{"formattedCitation":"&lt;sup&gt;40&lt;/sup&gt;","plainTextFormattedCitation":"40","previouslyFormattedCitation":"&lt;sup&gt;40&lt;/sup&gt;"},"properties":{"noteIndex":0},"schema":"https://github.com/citation-style-language/schema/raw/master/csl-citation.json"}</w:instrText>
            </w:r>
            <w:r>
              <w:rPr>
                <w:sz w:val="16"/>
                <w:szCs w:val="16"/>
                <w:lang w:val="en-US"/>
              </w:rPr>
              <w:fldChar w:fldCharType="separate"/>
            </w:r>
            <w:r w:rsidRPr="008E7EF2">
              <w:rPr>
                <w:noProof/>
                <w:sz w:val="16"/>
                <w:szCs w:val="16"/>
                <w:vertAlign w:val="superscript"/>
                <w:lang w:val="en-US"/>
              </w:rPr>
              <w:t>40</w:t>
            </w:r>
            <w:r>
              <w:rPr>
                <w:sz w:val="16"/>
                <w:szCs w:val="16"/>
                <w:lang w:val="en-US"/>
              </w:rPr>
              <w:fldChar w:fldCharType="end"/>
            </w:r>
          </w:p>
        </w:tc>
        <w:tc>
          <w:tcPr>
            <w:tcW w:w="0" w:type="auto"/>
            <w:vAlign w:val="center"/>
          </w:tcPr>
          <w:p w14:paraId="25E755CF" w14:textId="06D4DCB4" w:rsidR="009066CC" w:rsidRPr="00BF5947" w:rsidRDefault="009066CC" w:rsidP="00BF5947">
            <w:pPr>
              <w:jc w:val="center"/>
              <w:rPr>
                <w:sz w:val="16"/>
                <w:szCs w:val="16"/>
                <w:lang w:val="en-US"/>
              </w:rPr>
            </w:pPr>
            <w:proofErr w:type="spellStart"/>
            <w:r w:rsidRPr="00AB0CDA">
              <w:rPr>
                <w:color w:val="000000" w:themeColor="text1"/>
                <w:sz w:val="16"/>
                <w:lang w:val="fr-CH"/>
              </w:rPr>
              <w:t>Retrospective</w:t>
            </w:r>
            <w:proofErr w:type="spellEnd"/>
            <w:r w:rsidRPr="00AB0CDA">
              <w:rPr>
                <w:color w:val="000000" w:themeColor="text1"/>
                <w:sz w:val="16"/>
                <w:lang w:val="fr-CH"/>
              </w:rPr>
              <w:t xml:space="preserve"> (</w:t>
            </w:r>
            <w:proofErr w:type="spellStart"/>
            <w:r w:rsidRPr="00AB0CDA">
              <w:rPr>
                <w:color w:val="000000" w:themeColor="text1"/>
                <w:sz w:val="16"/>
                <w:lang w:val="fr-CH"/>
              </w:rPr>
              <w:t>pre</w:t>
            </w:r>
            <w:proofErr w:type="spellEnd"/>
            <w:r w:rsidRPr="00AB0CDA">
              <w:rPr>
                <w:color w:val="000000" w:themeColor="text1"/>
                <w:sz w:val="16"/>
                <w:lang w:val="fr-CH"/>
              </w:rPr>
              <w:t xml:space="preserve">-post </w:t>
            </w:r>
            <w:proofErr w:type="spellStart"/>
            <w:r w:rsidRPr="00AB0CDA">
              <w:rPr>
                <w:color w:val="000000" w:themeColor="text1"/>
                <w:sz w:val="16"/>
                <w:lang w:val="fr-CH"/>
              </w:rPr>
              <w:t>implementation</w:t>
            </w:r>
            <w:proofErr w:type="spellEnd"/>
            <w:r w:rsidRPr="00AB0CDA">
              <w:rPr>
                <w:color w:val="000000" w:themeColor="text1"/>
                <w:sz w:val="16"/>
                <w:lang w:val="fr-CH"/>
              </w:rPr>
              <w:t xml:space="preserve">), </w:t>
            </w:r>
            <w:proofErr w:type="spellStart"/>
            <w:r w:rsidRPr="00AB0CDA">
              <w:rPr>
                <w:color w:val="000000" w:themeColor="text1"/>
                <w:sz w:val="16"/>
                <w:lang w:val="fr-CH"/>
              </w:rPr>
              <w:t>multicenter</w:t>
            </w:r>
            <w:proofErr w:type="spellEnd"/>
            <w:r w:rsidRPr="00AB0CDA">
              <w:rPr>
                <w:color w:val="000000" w:themeColor="text1"/>
                <w:sz w:val="16"/>
                <w:lang w:val="fr-CH"/>
              </w:rPr>
              <w:t>, USA</w:t>
            </w:r>
          </w:p>
        </w:tc>
        <w:tc>
          <w:tcPr>
            <w:tcW w:w="0" w:type="auto"/>
            <w:vAlign w:val="center"/>
          </w:tcPr>
          <w:p w14:paraId="36D3B181" w14:textId="2F239CC4" w:rsidR="009066CC" w:rsidRDefault="009066CC" w:rsidP="00BF5947">
            <w:pPr>
              <w:jc w:val="center"/>
              <w:rPr>
                <w:color w:val="000000" w:themeColor="text1"/>
                <w:sz w:val="16"/>
                <w:szCs w:val="16"/>
                <w:lang w:val="en-US"/>
              </w:rPr>
            </w:pPr>
            <w:r>
              <w:rPr>
                <w:color w:val="000000" w:themeColor="text1"/>
                <w:sz w:val="16"/>
                <w:szCs w:val="16"/>
                <w:lang w:val="en-US"/>
              </w:rPr>
              <w:t>HM, ALL (n = 1025) [pediatric]</w:t>
            </w:r>
          </w:p>
        </w:tc>
        <w:tc>
          <w:tcPr>
            <w:tcW w:w="0" w:type="auto"/>
            <w:vAlign w:val="center"/>
          </w:tcPr>
          <w:p w14:paraId="724D6A64" w14:textId="2B92D7F5" w:rsidR="009066CC" w:rsidRPr="00641CBA" w:rsidRDefault="009066CC" w:rsidP="00BF5947">
            <w:pPr>
              <w:jc w:val="center"/>
              <w:rPr>
                <w:color w:val="000000" w:themeColor="text1"/>
                <w:sz w:val="16"/>
                <w:szCs w:val="16"/>
                <w:lang w:val="en-US"/>
              </w:rPr>
            </w:pPr>
            <w:r>
              <w:rPr>
                <w:color w:val="000000" w:themeColor="text1"/>
                <w:sz w:val="16"/>
                <w:szCs w:val="16"/>
                <w:lang w:val="en-US"/>
              </w:rPr>
              <w:t>FQ</w:t>
            </w:r>
          </w:p>
        </w:tc>
        <w:tc>
          <w:tcPr>
            <w:tcW w:w="0" w:type="auto"/>
            <w:vAlign w:val="center"/>
          </w:tcPr>
          <w:p w14:paraId="1EF777F0" w14:textId="6A92FB7E" w:rsidR="009066CC" w:rsidRDefault="009066CC" w:rsidP="00BF5947">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16C10489" w14:textId="23C6F27B" w:rsidR="009066CC" w:rsidRDefault="009066CC" w:rsidP="00BF5947">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05D7C727" w14:textId="22512D21" w:rsidR="009066CC" w:rsidRDefault="009066CC" w:rsidP="00BF5947">
            <w:pPr>
              <w:jc w:val="center"/>
              <w:rPr>
                <w:color w:val="000000" w:themeColor="text1"/>
                <w:sz w:val="16"/>
                <w:szCs w:val="16"/>
                <w:lang w:val="en-US"/>
              </w:rPr>
            </w:pPr>
            <w:r>
              <w:rPr>
                <w:color w:val="000000" w:themeColor="text1"/>
                <w:sz w:val="16"/>
                <w:szCs w:val="16"/>
                <w:lang w:val="en-US"/>
              </w:rPr>
              <w:t>NA</w:t>
            </w:r>
          </w:p>
        </w:tc>
      </w:tr>
      <w:tr w:rsidR="009066CC" w:rsidRPr="00F20444" w14:paraId="2F372C60" w14:textId="77777777" w:rsidTr="000E23C2">
        <w:trPr>
          <w:trHeight w:val="578"/>
        </w:trPr>
        <w:tc>
          <w:tcPr>
            <w:tcW w:w="0" w:type="auto"/>
            <w:vAlign w:val="center"/>
          </w:tcPr>
          <w:p w14:paraId="53382D46" w14:textId="5C070DB4" w:rsidR="009066CC" w:rsidRPr="004D40DF" w:rsidRDefault="009066CC" w:rsidP="00376C8E">
            <w:pPr>
              <w:jc w:val="center"/>
              <w:rPr>
                <w:color w:val="000000" w:themeColor="text1"/>
                <w:sz w:val="16"/>
                <w:szCs w:val="16"/>
                <w:lang w:val="en-US"/>
              </w:rPr>
            </w:pPr>
            <w:proofErr w:type="spellStart"/>
            <w:r w:rsidRPr="004D40DF">
              <w:rPr>
                <w:color w:val="000000" w:themeColor="text1"/>
                <w:sz w:val="16"/>
                <w:szCs w:val="16"/>
                <w:lang w:val="en-US"/>
              </w:rPr>
              <w:t>Tofas</w:t>
            </w:r>
            <w:proofErr w:type="spellEnd"/>
            <w:r w:rsidRPr="004D40DF">
              <w:rPr>
                <w:color w:val="000000" w:themeColor="text1"/>
                <w:sz w:val="16"/>
                <w:szCs w:val="16"/>
                <w:lang w:val="en-US"/>
              </w:rPr>
              <w:t xml:space="preserve"> </w:t>
            </w:r>
            <w:r>
              <w:rPr>
                <w:color w:val="000000" w:themeColor="text1"/>
                <w:sz w:val="16"/>
                <w:szCs w:val="16"/>
                <w:lang w:val="en-US"/>
              </w:rPr>
              <w:t>2017</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{"citationItems":[{"id":"ITEM-1","itemData":{"DOI":"10.1016/j.diagmicrobio.2017.05.003","ISSN":"18790070","PMID":"28529091","abstract":"Our aims were to identify factors associated with Pseudomonas aeruginosa (PA) bloodstream infection (BSI) in patients with hematological malignancies and evaluate the outcome of the affected patients. Consecutive patients with hematological malignancies who developed PA BSI were identified. Subsequently, two case–control studies were performed to evaluate the risk factors (i) for PA BSI and (ii) for carbapenem resistant (CR) PA BSI. Patients' outcome was evaluated at 28 days after the onset of bacteraemia. A total of 64 patients with PA BSI (45 caused by CS and 19 by CR organisms) and 128 without PA BSI were enrolled. Patients with rapidly fatal disease, steroid use, neutropenia or prior surgery were more likely to develop PA BSI, whereas patients with previous hospitalization and prior use of fluoroquinolones were more likely to develop CR PA BSI. The 28-day mortality rate was 35.9%. Severity of sepsis was the only independent predictor of adverse outcome.","author":[{"dropping-particle":"","family":"Tofas","given":"Polydoros","non-dropping-particle":"","parse-names":false,"suffix":""},{"dropping-particle":"","family":"Samarkos","given":"Michael","non-dropping-particle":"","parse-names":false,"suffix":""},{"dropping-particle":"","family":"Piperaki","given":"Evangelia Theophano","non-dropping-particle":"","parse-names":false,"suffix":""},{"dropping-particle":"","family":"Kosmidis","given":"Christos","non-dropping-particle":"","parse-names":false,"suffix":""},{"dropping-particle":"","family":"Triantafyllopoulou","given":"Ioanna Dionysia","non-dropping-particle":"","parse-names":false,"suffix":""},{"dropping-particle":"","family":"Kotsopoulou","given":"Maria","non-dropping-particle":"","parse-names":false,"suffix":""},{"dropping-particle":"","family":"Pantazatou","given":"Aggeliki","non-dropping-particle":"","parse-names":false,"suffix":""},{"dropping-particle":"","family":"Perlorentzou","given":"Stavroula","non-dropping-particle":"","parse-names":false,"suffix":""},{"dropping-particle":"","family":"Poulli","given":"Anastasia","non-dropping-particle":"","parse-names":false,"suffix":""},{"dropping-particle":"","family":"Vagia","given":"Maria","non-dropping-particle":"","parse-names":false,"suffix":""},{"dropping-particle":"","family":"Daikos","given":"George L.","non-dropping-particle":"","parse-names":false,"suffix":""}],"container-title":"Diagnostic Microbiology and Infectious Disease","id":"ITEM-1","issue":"4","issued":{"date-parts":[["2017"]]},"page":"335-341","publisher":"Elsevier Inc.","title":"Pseudomonas aeruginosa bacteraemia in patients with hematologic malignancies: risk factors, treatment and outcome","type":"article-journal","volume":"88"},"uris":["http://www.mendeley.com/documents/?uuid=f5f3e7ea-e579-48e7-9398-d133f3ba4c59"]}],"mendeley":{"formattedCitation":"&lt;sup&gt;41&lt;/sup&gt;","plainTextFormattedCitation":"41","previouslyFormattedCitation":"&lt;sup&gt;41&lt;/sup&gt;"},"properties":{"noteIndex":0},"schema":"https://github.com/citation-style-language/schema/raw/master/csl-citation.json"}</w:instrText>
            </w:r>
            <w:r>
              <w:rPr>
                <w:color w:val="000000" w:themeColor="text1"/>
                <w:sz w:val="16"/>
                <w:szCs w:val="16"/>
                <w:lang w:val="en-US"/>
              </w:rPr>
              <w:fldChar w:fldCharType="separate"/>
            </w:r>
            <w:r w:rsidRPr="008E7EF2">
              <w:rPr>
                <w:noProof/>
                <w:color w:val="000000" w:themeColor="text1"/>
                <w:sz w:val="16"/>
                <w:szCs w:val="16"/>
                <w:vertAlign w:val="superscript"/>
                <w:lang w:val="en-US"/>
              </w:rPr>
              <w:t>41</w:t>
            </w:r>
            <w:r>
              <w:rPr>
                <w:color w:val="000000" w:themeColor="text1"/>
                <w:sz w:val="16"/>
                <w:szCs w:val="16"/>
                <w:lang w:val="en-US"/>
              </w:rPr>
              <w:fldChar w:fldCharType="end"/>
            </w:r>
          </w:p>
        </w:tc>
        <w:tc>
          <w:tcPr>
            <w:tcW w:w="0" w:type="auto"/>
            <w:vAlign w:val="center"/>
          </w:tcPr>
          <w:p w14:paraId="4E656681" w14:textId="42AE395B" w:rsidR="009066CC" w:rsidRPr="009066CC" w:rsidRDefault="009066CC" w:rsidP="00376C8E">
            <w:pPr>
              <w:jc w:val="center"/>
              <w:rPr>
                <w:sz w:val="16"/>
                <w:szCs w:val="16"/>
                <w:lang w:val="en-US"/>
              </w:rPr>
            </w:pPr>
            <w:r w:rsidRPr="009066CC">
              <w:rPr>
                <w:sz w:val="16"/>
                <w:szCs w:val="16"/>
                <w:lang w:val="en-US"/>
              </w:rPr>
              <w:t>Retrospective; multicenter; Greece</w:t>
            </w:r>
          </w:p>
        </w:tc>
        <w:tc>
          <w:tcPr>
            <w:tcW w:w="0" w:type="auto"/>
            <w:vAlign w:val="center"/>
          </w:tcPr>
          <w:p w14:paraId="231A36A3" w14:textId="5C7CB123" w:rsidR="009066CC" w:rsidRDefault="009066CC" w:rsidP="00376C8E">
            <w:pPr>
              <w:jc w:val="center"/>
              <w:rPr>
                <w:color w:val="000000" w:themeColor="text1"/>
                <w:sz w:val="16"/>
                <w:szCs w:val="16"/>
                <w:lang w:val="en-US"/>
              </w:rPr>
            </w:pPr>
            <w:r w:rsidRPr="009066CC">
              <w:rPr>
                <w:color w:val="000000" w:themeColor="text1"/>
                <w:sz w:val="16"/>
                <w:szCs w:val="16"/>
                <w:lang w:val="en-US"/>
              </w:rPr>
              <w:t xml:space="preserve">HM, auto </w:t>
            </w:r>
            <w:r w:rsidR="008901EF">
              <w:rPr>
                <w:color w:val="000000" w:themeColor="text1"/>
                <w:sz w:val="16"/>
                <w:szCs w:val="16"/>
                <w:lang w:val="en-US"/>
              </w:rPr>
              <w:t>HCT</w:t>
            </w:r>
            <w:r w:rsidRPr="009066CC">
              <w:rPr>
                <w:color w:val="000000" w:themeColor="text1"/>
                <w:sz w:val="16"/>
                <w:szCs w:val="16"/>
                <w:lang w:val="en-US"/>
              </w:rPr>
              <w:t xml:space="preserve">, </w:t>
            </w:r>
            <w:proofErr w:type="spellStart"/>
            <w:r w:rsidRPr="009066CC">
              <w:rPr>
                <w:color w:val="000000" w:themeColor="text1"/>
                <w:sz w:val="16"/>
                <w:szCs w:val="16"/>
                <w:lang w:val="en-US"/>
              </w:rPr>
              <w:t>allo</w:t>
            </w:r>
            <w:proofErr w:type="spellEnd"/>
            <w:r w:rsidRPr="009066CC">
              <w:rPr>
                <w:color w:val="000000" w:themeColor="text1"/>
                <w:sz w:val="16"/>
                <w:szCs w:val="16"/>
                <w:lang w:val="en-US"/>
              </w:rPr>
              <w:t xml:space="preserve"> </w:t>
            </w:r>
            <w:r w:rsidR="008901EF">
              <w:rPr>
                <w:color w:val="000000" w:themeColor="text1"/>
                <w:sz w:val="16"/>
                <w:szCs w:val="16"/>
                <w:lang w:val="en-US"/>
              </w:rPr>
              <w:t>HCT</w:t>
            </w:r>
            <w:r w:rsidRPr="009066CC">
              <w:rPr>
                <w:color w:val="000000" w:themeColor="text1"/>
                <w:sz w:val="16"/>
                <w:szCs w:val="16"/>
                <w:lang w:val="en-US"/>
              </w:rPr>
              <w:t xml:space="preserve"> (n = 192) </w:t>
            </w:r>
            <w:r>
              <w:rPr>
                <w:color w:val="000000" w:themeColor="text1"/>
                <w:sz w:val="16"/>
                <w:szCs w:val="16"/>
                <w:lang w:val="en-US"/>
              </w:rPr>
              <w:t>[adult]</w:t>
            </w:r>
          </w:p>
        </w:tc>
        <w:tc>
          <w:tcPr>
            <w:tcW w:w="0" w:type="auto"/>
            <w:vAlign w:val="center"/>
          </w:tcPr>
          <w:p w14:paraId="61DFCFB4" w14:textId="77777777" w:rsidR="009066CC" w:rsidRPr="009066CC" w:rsidRDefault="009066CC" w:rsidP="00376C8E">
            <w:pPr>
              <w:jc w:val="center"/>
              <w:rPr>
                <w:color w:val="000000" w:themeColor="text1"/>
                <w:sz w:val="16"/>
                <w:szCs w:val="16"/>
                <w:lang w:val="en-US"/>
              </w:rPr>
            </w:pPr>
            <w:r w:rsidRPr="009066CC">
              <w:rPr>
                <w:color w:val="000000" w:themeColor="text1"/>
                <w:sz w:val="16"/>
                <w:szCs w:val="16"/>
                <w:lang w:val="en-US"/>
              </w:rPr>
              <w:t>FQ</w:t>
            </w:r>
          </w:p>
          <w:p w14:paraId="3FAEC18A" w14:textId="77777777" w:rsidR="009066CC" w:rsidRPr="00641CBA" w:rsidRDefault="009066CC" w:rsidP="00376C8E">
            <w:pPr>
              <w:jc w:val="center"/>
              <w:rPr>
                <w:color w:val="000000" w:themeColor="text1"/>
                <w:sz w:val="16"/>
                <w:szCs w:val="16"/>
                <w:lang w:val="en-US"/>
              </w:rPr>
            </w:pPr>
          </w:p>
        </w:tc>
        <w:tc>
          <w:tcPr>
            <w:tcW w:w="0" w:type="auto"/>
            <w:vAlign w:val="center"/>
          </w:tcPr>
          <w:p w14:paraId="2E43990F" w14:textId="62300BFF"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7253AAB0" w14:textId="68492D25"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0EC824C4" w14:textId="5A55D9C7" w:rsidR="009066CC" w:rsidRDefault="009066CC" w:rsidP="00376C8E">
            <w:pPr>
              <w:jc w:val="center"/>
              <w:rPr>
                <w:color w:val="000000" w:themeColor="text1"/>
                <w:sz w:val="16"/>
                <w:szCs w:val="16"/>
                <w:lang w:val="en-US"/>
              </w:rPr>
            </w:pPr>
            <w:r>
              <w:rPr>
                <w:color w:val="000000" w:themeColor="text1"/>
                <w:sz w:val="16"/>
                <w:szCs w:val="16"/>
                <w:lang w:val="en-US"/>
              </w:rPr>
              <w:t xml:space="preserve">Increased (CR-BSI - </w:t>
            </w:r>
            <w:proofErr w:type="spellStart"/>
            <w:r>
              <w:rPr>
                <w:color w:val="000000" w:themeColor="text1"/>
                <w:sz w:val="16"/>
                <w:szCs w:val="16"/>
                <w:lang w:val="en-US"/>
              </w:rPr>
              <w:t>PsA</w:t>
            </w:r>
            <w:proofErr w:type="spellEnd"/>
            <w:r>
              <w:rPr>
                <w:color w:val="000000" w:themeColor="text1"/>
                <w:sz w:val="16"/>
                <w:szCs w:val="16"/>
                <w:lang w:val="en-US"/>
              </w:rPr>
              <w:t>)</w:t>
            </w:r>
          </w:p>
        </w:tc>
      </w:tr>
      <w:tr w:rsidR="009066CC" w:rsidRPr="00F20444" w14:paraId="64C7728C" w14:textId="77777777" w:rsidTr="000E23C2">
        <w:trPr>
          <w:trHeight w:val="578"/>
        </w:trPr>
        <w:tc>
          <w:tcPr>
            <w:tcW w:w="0" w:type="auto"/>
            <w:vAlign w:val="center"/>
          </w:tcPr>
          <w:p w14:paraId="1B2FDEC2" w14:textId="19F29582" w:rsidR="009066CC" w:rsidRPr="004D40DF" w:rsidRDefault="009066CC" w:rsidP="00376C8E">
            <w:pPr>
              <w:jc w:val="center"/>
              <w:rPr>
                <w:color w:val="000000" w:themeColor="text1"/>
                <w:sz w:val="16"/>
                <w:szCs w:val="16"/>
                <w:lang w:val="en-US"/>
              </w:rPr>
            </w:pPr>
            <w:r w:rsidRPr="009066CC">
              <w:rPr>
                <w:sz w:val="16"/>
                <w:szCs w:val="16"/>
                <w:lang w:val="en-US"/>
              </w:rPr>
              <w:t>Urbino 2023</w:t>
            </w:r>
            <w:r>
              <w:rPr>
                <w:sz w:val="16"/>
                <w:szCs w:val="16"/>
              </w:rPr>
              <w:fldChar w:fldCharType="begin" w:fldLock="1"/>
            </w:r>
            <w:r w:rsidRPr="009066CC">
              <w:rPr>
                <w:sz w:val="16"/>
                <w:szCs w:val="16"/>
                <w:lang w:val="en-US"/>
              </w:rPr>
              <w:instrText xml:space="preserve">ADDIN CSL_CITATION {"citationItems":[{"id":"ITEM-1","itemData":{"DOI":"10.4084/MJHID.2023.022","ISSN":"20353006","abstract":"Background: Acute myeloid leukemia (AML) patients are at high risk of infections during post-induction neutropenia. Recently, the role of antibacterial prophylaxis has been reconsidered due to concerns about the emergence of multi-resistant pathogens. The aim of the present study was to evaluate the impact of avoiding prophylaxis on the rate of induction death (primary endpoint), neutropenic fevers, bloodstream infections (BSIs), resistant pathogens BSIs and septic shocks (secondary endpoints). Methods: We performed a retrospective single-center study including 373 AML patients treated with intensive induction chemotherapy, divided into two groups according to levofloxacin prophylaxis given (group A, gA) or not (group B, gB). Results: Neutropenic fever was observed in 91% of patients in gA and 97% in gB (OR 0.35, IC95% 0.08 - 1.52, p=0162). The rate of BSIs was 27% in gA compared to 34% in gB (OR 0.69, 0.38 - 1.25, p=0.222). The induction death rate was 5% in gA and 3% in gB (OR 1.50, 0.34 - 6.70, p=0.284). Fluoroquinolones (FQ) resistant pathogens were responsible for 59% of total BSIs in gA and 22% in gB (OR 5.07, 1.87 - 13.73, p=0.001); gram-negative BSIs due to multi-drug resistant organisms were 31% in gA and 36% </w:instrText>
            </w:r>
            <w:r w:rsidRPr="00F20444">
              <w:rPr>
                <w:sz w:val="16"/>
                <w:szCs w:val="16"/>
                <w:lang w:val="en-US"/>
              </w:rPr>
              <w:instrText>in</w:instrText>
            </w:r>
            <w:r>
              <w:rPr>
                <w:sz w:val="16"/>
                <w:szCs w:val="16"/>
              </w:rPr>
              <w:instrText xml:space="preserve"> gB (OR 0.75, 0.15 - 3.70, p=0.727). Conclusions: Despite its limitations (retrospective nature, single-center, different cohort size), the present study showed that avoiding levofloxacin prophylaxis was not associated with an increased risk of induction death. The cumulative incidence of neutropenic fever was higher in non-prophylaxis group, while no difference was observed for BSIs. In the prophylaxis group we observed a higher incidence of FQ-resistant organisms.","author":[{"dropping-particle":"","family":"Urbino","given":"Irene","non-dropping-particle":"","parse-names":false,"suffix":""},{"dropping-particle":"","family":"Frairia","given":"Chiara","non-dropping-particle":"","parse-names":false,"suffix":""},{"dropping-particle":"","family":"Busca","given":"Alessandro","non-dropping-particle":"","parse-names":false,"suffix":""},{"dropping-particle":"","family":"Corcione","given":"Silvia","non-dropping-particle":"","parse-names":false,"suffix":""},{"dropping-particle":"","family":"D'Ardia","given":"Stefano","non-dropping-particle":"","parse-names":false,"suffix":""},{"dropping-particle":"","family":"Dellacasa","given":"Chiara Maria","non-dropping-particle":"","parse-names":false,"suffix":""},{"dropping-particle":"","family":"Giai","given":"Valentina","non-dropping-particle":"","parse-names":false,"suffix":""},{"dropping-particle":"","family":"Secreto","given":"Carolina","non-dropping-particle":"","parse-names":false,"suffix":""},{"dropping-particle":"",</w:instrText>
            </w:r>
            <w:r w:rsidRPr="009066CC">
              <w:rPr>
                <w:sz w:val="16"/>
                <w:szCs w:val="16"/>
                <w:lang w:val="en-US"/>
              </w:rPr>
              <w:instrText>"family":"Freilone","given":"Roberto","non-dropping-particle":"","parse-names":false,"suffix":""},{"dropping-particle":"","family":"Rosa","given":"Francesco Giuseppe","non-dropping-particle":"De","parse-names":false,"suffix":""},{"dropping-particle":"","family":"Aydin","given":"Semra","non-dropping-particle":"","parse-names":false,"suffix":""},{"dropping-particle":"","family":"Ciccone","given":"Giovannino","non-dropping-particle":"","parse-names":false,"suffix":""},{"dropping-particle":"","family":"Rosato","given":"Rosalba","non-dropping-particle":"","parse-names":false,"suffix":""},{"dropping-particle":"","family":"Cerrano","given":"Marco","non-dropping-particle":"","parse-names":false,"suffix":""},{"dropping-particle":"","family":"Audisio","given":"Ernesta","non-dropping-particle":"","parse-names":false,"suffix":""}],"container-title":"Mediterranean Journal of Hematology and Infectious Diseases","id":"ITEM-1","issue":"1","issued":{"date-parts":[["2023"]]},"page":"1-8","title":"Levofloxacin Prophylaxis Versus no Prophylaxis in Acute Myeloid Leukemia During Post-Induction Aplasia: a Single Center Study","type":"article-journal","volume":"15"},"uris":["http://www.mendeley.com/documents/?uuid=cc7777b3-29d4-4e8a-8741-4e3e106dd4fb"]}],"mendeley":{"formattedCitation":"&lt;sup&gt;42&lt;/sup&gt;","plainTextFormattedCitation":"42","previouslyFormattedCitation":"&lt;sup&gt;42&lt;/sup&gt;"},"properties":{"noteIndex":0},"schema":"https://github.com/citation-style-language/schema/raw/master/csl-citation.json"}</w:instrText>
            </w:r>
            <w:r>
              <w:rPr>
                <w:sz w:val="16"/>
                <w:szCs w:val="16"/>
              </w:rPr>
              <w:fldChar w:fldCharType="separate"/>
            </w:r>
            <w:r w:rsidRPr="009066CC">
              <w:rPr>
                <w:noProof/>
                <w:sz w:val="16"/>
                <w:szCs w:val="16"/>
                <w:vertAlign w:val="superscript"/>
                <w:lang w:val="en-US"/>
              </w:rPr>
              <w:t>42</w:t>
            </w:r>
            <w:r>
              <w:rPr>
                <w:sz w:val="16"/>
                <w:szCs w:val="16"/>
              </w:rPr>
              <w:fldChar w:fldCharType="end"/>
            </w:r>
          </w:p>
        </w:tc>
        <w:tc>
          <w:tcPr>
            <w:tcW w:w="0" w:type="auto"/>
            <w:vAlign w:val="center"/>
          </w:tcPr>
          <w:p w14:paraId="7F7E9125" w14:textId="0E96E189" w:rsidR="009066CC" w:rsidRPr="009066CC" w:rsidRDefault="009066CC" w:rsidP="00376C8E">
            <w:pPr>
              <w:jc w:val="center"/>
              <w:rPr>
                <w:sz w:val="16"/>
                <w:szCs w:val="16"/>
                <w:lang w:val="en-US"/>
              </w:rPr>
            </w:pPr>
            <w:r w:rsidRPr="009066CC">
              <w:rPr>
                <w:sz w:val="16"/>
                <w:szCs w:val="16"/>
                <w:lang w:val="en-US"/>
              </w:rPr>
              <w:t>Retrospective; single center; Italy</w:t>
            </w:r>
          </w:p>
        </w:tc>
        <w:tc>
          <w:tcPr>
            <w:tcW w:w="0" w:type="auto"/>
            <w:vAlign w:val="center"/>
          </w:tcPr>
          <w:p w14:paraId="359327C9" w14:textId="4D56FD1D" w:rsidR="009066CC" w:rsidRPr="009066CC" w:rsidRDefault="009066CC" w:rsidP="00376C8E">
            <w:pPr>
              <w:jc w:val="center"/>
              <w:rPr>
                <w:color w:val="000000" w:themeColor="text1"/>
                <w:sz w:val="16"/>
                <w:szCs w:val="16"/>
                <w:lang w:val="en-US"/>
              </w:rPr>
            </w:pPr>
            <w:r>
              <w:rPr>
                <w:color w:val="000000" w:themeColor="text1"/>
                <w:sz w:val="16"/>
                <w:szCs w:val="16"/>
                <w:lang w:val="en-US"/>
              </w:rPr>
              <w:t>HM, AML (n = 373) [adult]</w:t>
            </w:r>
          </w:p>
        </w:tc>
        <w:tc>
          <w:tcPr>
            <w:tcW w:w="0" w:type="auto"/>
            <w:vAlign w:val="center"/>
          </w:tcPr>
          <w:p w14:paraId="696A20DC" w14:textId="1D393228" w:rsidR="009066CC" w:rsidRPr="009066CC" w:rsidRDefault="009066CC" w:rsidP="00376C8E">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277B85C5" w14:textId="3645DC3C"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48C794FB" w14:textId="311EAA03"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2BAB46CA" w14:textId="006D021F" w:rsidR="009066CC" w:rsidRDefault="009066CC" w:rsidP="00376C8E">
            <w:pPr>
              <w:jc w:val="center"/>
              <w:rPr>
                <w:color w:val="000000" w:themeColor="text1"/>
                <w:sz w:val="16"/>
                <w:szCs w:val="16"/>
                <w:lang w:val="en-US"/>
              </w:rPr>
            </w:pPr>
            <w:r>
              <w:rPr>
                <w:color w:val="000000" w:themeColor="text1"/>
                <w:sz w:val="16"/>
                <w:szCs w:val="16"/>
                <w:lang w:val="en-US"/>
              </w:rPr>
              <w:t>Increased (FQ-R BSI); Unchanged (MDR BSI)</w:t>
            </w:r>
          </w:p>
        </w:tc>
      </w:tr>
      <w:tr w:rsidR="009066CC" w:rsidRPr="00F20444" w14:paraId="51EDC57D" w14:textId="77777777" w:rsidTr="000E23C2">
        <w:trPr>
          <w:trHeight w:val="578"/>
        </w:trPr>
        <w:tc>
          <w:tcPr>
            <w:tcW w:w="0" w:type="auto"/>
            <w:vAlign w:val="center"/>
          </w:tcPr>
          <w:p w14:paraId="0C070B83" w14:textId="28435D67" w:rsidR="009066CC" w:rsidRPr="004D40DF" w:rsidRDefault="009066CC" w:rsidP="00376C8E">
            <w:pPr>
              <w:jc w:val="center"/>
              <w:rPr>
                <w:color w:val="000000" w:themeColor="text1"/>
                <w:sz w:val="16"/>
                <w:szCs w:val="16"/>
                <w:lang w:val="en-US"/>
              </w:rPr>
            </w:pPr>
            <w:proofErr w:type="spellStart"/>
            <w:r w:rsidRPr="004D40DF">
              <w:rPr>
                <w:color w:val="000000" w:themeColor="text1"/>
                <w:sz w:val="16"/>
                <w:szCs w:val="16"/>
                <w:lang w:val="en-US"/>
              </w:rPr>
              <w:t>Verlinden</w:t>
            </w:r>
            <w:proofErr w:type="spellEnd"/>
            <w:r w:rsidRPr="004D40DF">
              <w:rPr>
                <w:color w:val="000000" w:themeColor="text1"/>
                <w:sz w:val="16"/>
                <w:szCs w:val="16"/>
                <w:lang w:val="en-US"/>
              </w:rPr>
              <w:t xml:space="preserve"> </w:t>
            </w:r>
            <w:r>
              <w:rPr>
                <w:color w:val="000000" w:themeColor="text1"/>
                <w:sz w:val="16"/>
                <w:szCs w:val="16"/>
                <w:lang w:val="en-US"/>
              </w:rPr>
              <w:t>2014</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{"citationItems":[{"id":"ITEM-1","itemData":{"DOI":"10.1111/ejh.12345","ISSN":"16000609","PMID":"24750350","abstract":"Background: Infections remain a leading cause of morbidity and mortality in patients with reduced immunity caused by haematological disease and chemotherapy-induced neutropenia. We evaluated the clinical and microbiological impact of discontinuing fluoroquinolone prophylaxis in these patients. Methods: We analysed 154 admissions in three sequential periods of 8 months: long-standing use, discontinuation of prophylaxis and reintroduction of prophylaxis. Clinical endpoints were occurrence of febrile neutropenia, bacteraemia, severe sepsis, septic shock, response to antibiotic therapy, total antibiotic consumption and duration of hospital stay. Microbiological analysis included bacterial isolates from stool and blood cultures and their resistance pattern. Results: No significant increase in serious infectious complications was seen with the discontinuation of prophylaxis. The overall incidence of bacteraemia did not change, but a higher proportion of bacterial isolates were Gram-negative (22.2% vs. 5.9% &amp; 8.6%; P = 0.030), more often multisusceptible (50% vs. 0%) and less fluoroquinolone resistant (10% vs. 100%). Screening of stools showed a higher prevalence of organisms in the discontinuation period (86.7% vs. 37.3% &amp; 55.2%; P ≤ 0.001), but they were more frequently multisusceptible (53.8% vs. 10.5% &amp; 6.3%; P ≤ 0.001). After discontinuation of prophylaxis, fluoroquinolone resistance decreased rapidly from 73.7 to 7.7%, in association with a significant decrease in extended spectrum beta-lactamase (ESBL)-producing isolates from 42.1 to 10.3%. Resistance figures immediately returned to prediscontinuation values after reinstitution of prophylaxis. Conclusions: No clinically relevant short-term drawbacks were observed with the discontinuation of fluoroquinolone prophylaxis in patients with chemotherapy-induced prolonged profound neutropenia, which led to a significant decrease in fluoroquinolone resistance as well as occurrence of ESBL-producing isolates.","author":[{"dropping-particle":"","family":"Verlinden","given":"Anke","non-dropping-particle":"","parse-names":false,"suffix":""},{"dropping-particle":"","family":"Jansens","given":"Hilde","non-dropping-particle":"","parse-names":false,"suffix":""},{"dropping-particle":"","family":"Goossens","given":"Herman","non-dropping-particle":"","parse-names":false,"suffix":""},{"dropping-particle":"","family":"Velde","given":"Ann L.","non-dropping-particle":"van de","parse-names":false,"suffix":""},{"dropping-particle":"","family":"Schroyens","given":"Wilfried A.","non-dropping-particle":"","parse-names":false,"suffix":""},{"dropping-particle":"","family":"Berneman","given":"Zwi N.","non-dropping-particle":"","parse-names":false,"suffix":""},{"dropping-particle":"","family":"Gadisseur","given":"Alain P.","non-dropping-particle":"","parse-names":false,"suffix":""}],"container-title":"European Journal of Haematology","id":"ITEM-1","issue":"4","issued":{"date-parts":[["2014"]]},"page":"302-308","title":"Clinical and microbiological impact of discontinuation of fluoroquinolone prophylaxis in patients with prolonged profound neutropenia","type":"article-journal","volume":"93"},"uris":["http://www.mendeley.com/documents/?uuid=efdf8749-675f-48bb-939c-b0258989bf92"]}],"mendeley":{"formattedCitation":"&lt;sup&gt;43&lt;/sup&gt;","plainTextFormattedCitation":"43","previouslyFormattedCitation":"&lt;sup&gt;43&lt;/sup&gt;"},"properties":{"noteIndex":0},"schema":"https://github.com/citation-style-language/schema/raw/master/csl-citation.json"}</w:instrText>
            </w:r>
            <w:r>
              <w:rPr>
                <w:color w:val="000000" w:themeColor="text1"/>
                <w:sz w:val="16"/>
                <w:szCs w:val="16"/>
                <w:lang w:val="en-US"/>
              </w:rPr>
              <w:fldChar w:fldCharType="separate"/>
            </w:r>
            <w:r w:rsidRPr="009066CC">
              <w:rPr>
                <w:noProof/>
                <w:color w:val="000000" w:themeColor="text1"/>
                <w:sz w:val="16"/>
                <w:szCs w:val="16"/>
                <w:vertAlign w:val="superscript"/>
                <w:lang w:val="en-US"/>
              </w:rPr>
              <w:t>43</w:t>
            </w:r>
            <w:r>
              <w:rPr>
                <w:color w:val="000000" w:themeColor="text1"/>
                <w:sz w:val="16"/>
                <w:szCs w:val="16"/>
                <w:lang w:val="en-US"/>
              </w:rPr>
              <w:fldChar w:fldCharType="end"/>
            </w:r>
          </w:p>
        </w:tc>
        <w:tc>
          <w:tcPr>
            <w:tcW w:w="0" w:type="auto"/>
            <w:vAlign w:val="center"/>
          </w:tcPr>
          <w:p w14:paraId="1AF36EC8" w14:textId="65EFEE85" w:rsidR="009066CC" w:rsidRPr="00376C8E" w:rsidRDefault="009066CC" w:rsidP="00376C8E">
            <w:pPr>
              <w:jc w:val="center"/>
              <w:rPr>
                <w:sz w:val="16"/>
                <w:szCs w:val="16"/>
                <w:lang w:val="en-US"/>
              </w:rPr>
            </w:pPr>
            <w:r w:rsidRPr="00F80190">
              <w:rPr>
                <w:sz w:val="16"/>
                <w:szCs w:val="16"/>
                <w:lang w:val="en-US"/>
              </w:rPr>
              <w:t>Retrospective (pre-post implementation); single center; Belgium</w:t>
            </w:r>
          </w:p>
        </w:tc>
        <w:tc>
          <w:tcPr>
            <w:tcW w:w="0" w:type="auto"/>
            <w:vAlign w:val="center"/>
          </w:tcPr>
          <w:p w14:paraId="07EDBE29" w14:textId="58C108AA" w:rsidR="009066CC" w:rsidRDefault="009066CC" w:rsidP="00376C8E">
            <w:pPr>
              <w:jc w:val="center"/>
              <w:rPr>
                <w:color w:val="000000" w:themeColor="text1"/>
                <w:sz w:val="16"/>
                <w:szCs w:val="16"/>
                <w:lang w:val="en-US"/>
              </w:rPr>
            </w:pPr>
            <w:r w:rsidRPr="003F32CA">
              <w:rPr>
                <w:color w:val="000000" w:themeColor="text1"/>
                <w:sz w:val="16"/>
                <w:szCs w:val="16"/>
                <w:lang w:val="en-US"/>
              </w:rPr>
              <w:t xml:space="preserve">HM, auto </w:t>
            </w:r>
            <w:r w:rsidR="008901EF">
              <w:rPr>
                <w:color w:val="000000" w:themeColor="text1"/>
                <w:sz w:val="16"/>
                <w:szCs w:val="16"/>
                <w:lang w:val="en-US"/>
              </w:rPr>
              <w:t>HCT</w:t>
            </w:r>
            <w:r w:rsidRPr="003F32CA">
              <w:rPr>
                <w:color w:val="000000" w:themeColor="text1"/>
                <w:sz w:val="16"/>
                <w:szCs w:val="16"/>
                <w:lang w:val="en-US"/>
              </w:rPr>
              <w:t xml:space="preserve">, </w:t>
            </w:r>
            <w:proofErr w:type="spellStart"/>
            <w:r w:rsidRPr="003F32CA">
              <w:rPr>
                <w:color w:val="000000" w:themeColor="text1"/>
                <w:sz w:val="16"/>
                <w:szCs w:val="16"/>
                <w:lang w:val="en-US"/>
              </w:rPr>
              <w:t>allo</w:t>
            </w:r>
            <w:proofErr w:type="spellEnd"/>
            <w:r w:rsidRPr="003F32CA">
              <w:rPr>
                <w:color w:val="000000" w:themeColor="text1"/>
                <w:sz w:val="16"/>
                <w:szCs w:val="16"/>
                <w:lang w:val="en-US"/>
              </w:rPr>
              <w:t xml:space="preserve"> </w:t>
            </w:r>
            <w:r w:rsidR="008901EF">
              <w:rPr>
                <w:color w:val="000000" w:themeColor="text1"/>
                <w:sz w:val="16"/>
                <w:szCs w:val="16"/>
                <w:lang w:val="en-US"/>
              </w:rPr>
              <w:t>HCT</w:t>
            </w:r>
            <w:r w:rsidRPr="003F32CA">
              <w:rPr>
                <w:color w:val="000000" w:themeColor="text1"/>
                <w:sz w:val="16"/>
                <w:szCs w:val="16"/>
                <w:lang w:val="en-US"/>
              </w:rPr>
              <w:t xml:space="preserve"> (n = 112) </w:t>
            </w:r>
            <w:r>
              <w:rPr>
                <w:color w:val="000000" w:themeColor="text1"/>
                <w:sz w:val="16"/>
                <w:szCs w:val="16"/>
                <w:lang w:val="en-US"/>
              </w:rPr>
              <w:t>[adult]</w:t>
            </w:r>
          </w:p>
        </w:tc>
        <w:tc>
          <w:tcPr>
            <w:tcW w:w="0" w:type="auto"/>
            <w:vAlign w:val="center"/>
          </w:tcPr>
          <w:p w14:paraId="46A4D3A8" w14:textId="7260EAE4" w:rsidR="009066CC" w:rsidRDefault="009066CC" w:rsidP="00376C8E">
            <w:pPr>
              <w:jc w:val="center"/>
              <w:rPr>
                <w:color w:val="000000" w:themeColor="text1"/>
                <w:sz w:val="16"/>
                <w:szCs w:val="16"/>
                <w:lang w:val="en-US"/>
              </w:rPr>
            </w:pPr>
            <w:r w:rsidRPr="003F32CA">
              <w:rPr>
                <w:color w:val="000000" w:themeColor="text1"/>
                <w:sz w:val="16"/>
                <w:szCs w:val="16"/>
                <w:lang w:val="en-US"/>
              </w:rPr>
              <w:t>Ciprofloxacin</w:t>
            </w:r>
          </w:p>
        </w:tc>
        <w:tc>
          <w:tcPr>
            <w:tcW w:w="0" w:type="auto"/>
            <w:vAlign w:val="center"/>
          </w:tcPr>
          <w:p w14:paraId="3C58A6AD" w14:textId="6FD22809"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2FFF221A" w14:textId="6C56E30B" w:rsidR="009066CC" w:rsidRDefault="009066CC" w:rsidP="00376C8E">
            <w:pPr>
              <w:jc w:val="center"/>
              <w:rPr>
                <w:color w:val="000000" w:themeColor="text1"/>
                <w:sz w:val="16"/>
                <w:szCs w:val="16"/>
                <w:lang w:val="en-US"/>
              </w:rPr>
            </w:pPr>
            <w:r w:rsidRPr="003F32CA">
              <w:rPr>
                <w:color w:val="000000" w:themeColor="text1"/>
                <w:sz w:val="16"/>
                <w:szCs w:val="16"/>
                <w:lang w:val="en-US"/>
              </w:rPr>
              <w:t>Decreased</w:t>
            </w:r>
          </w:p>
        </w:tc>
        <w:tc>
          <w:tcPr>
            <w:tcW w:w="0" w:type="auto"/>
            <w:vAlign w:val="center"/>
          </w:tcPr>
          <w:p w14:paraId="69CBFE75" w14:textId="5C510DE9" w:rsidR="009066CC" w:rsidRDefault="009066CC" w:rsidP="00376C8E">
            <w:pPr>
              <w:jc w:val="center"/>
              <w:rPr>
                <w:color w:val="000000" w:themeColor="text1"/>
                <w:sz w:val="16"/>
                <w:szCs w:val="16"/>
                <w:lang w:val="en-US"/>
              </w:rPr>
            </w:pPr>
            <w:r w:rsidRPr="003F32CA">
              <w:rPr>
                <w:color w:val="000000" w:themeColor="text1"/>
                <w:sz w:val="16"/>
                <w:szCs w:val="16"/>
                <w:lang w:val="en-US"/>
              </w:rPr>
              <w:t>Increased (FQ-R BSI)</w:t>
            </w:r>
          </w:p>
        </w:tc>
      </w:tr>
      <w:tr w:rsidR="009066CC" w:rsidRPr="00F20444" w14:paraId="4EBDF077" w14:textId="77777777" w:rsidTr="000E23C2">
        <w:trPr>
          <w:trHeight w:val="578"/>
        </w:trPr>
        <w:tc>
          <w:tcPr>
            <w:tcW w:w="0" w:type="auto"/>
            <w:vAlign w:val="center"/>
          </w:tcPr>
          <w:p w14:paraId="61FE3413" w14:textId="44BD8B52" w:rsidR="009066CC" w:rsidRPr="004D40DF" w:rsidRDefault="009066CC" w:rsidP="00376C8E">
            <w:pPr>
              <w:jc w:val="center"/>
              <w:rPr>
                <w:color w:val="000000" w:themeColor="text1"/>
                <w:sz w:val="16"/>
                <w:szCs w:val="16"/>
                <w:lang w:val="en-US"/>
              </w:rPr>
            </w:pPr>
            <w:proofErr w:type="spellStart"/>
            <w:r w:rsidRPr="004D40DF">
              <w:rPr>
                <w:sz w:val="16"/>
                <w:szCs w:val="16"/>
                <w:lang w:val="en-US"/>
              </w:rPr>
              <w:t>Verlinden</w:t>
            </w:r>
            <w:proofErr w:type="spellEnd"/>
            <w:r w:rsidRPr="004D40DF">
              <w:rPr>
                <w:sz w:val="16"/>
                <w:szCs w:val="16"/>
                <w:lang w:val="en-US"/>
              </w:rPr>
              <w:t xml:space="preserve"> </w:t>
            </w:r>
            <w:r>
              <w:rPr>
                <w:sz w:val="16"/>
                <w:szCs w:val="16"/>
                <w:lang w:val="en-US"/>
              </w:rPr>
              <w:t>2021</w:t>
            </w:r>
            <w:r>
              <w:rPr>
                <w:sz w:val="16"/>
                <w:szCs w:val="16"/>
                <w:lang w:val="en-US"/>
              </w:rPr>
              <w:fldChar w:fldCharType="begin" w:fldLock="1"/>
            </w:r>
            <w:r>
              <w:rPr>
                <w:sz w:val="16"/>
                <w:szCs w:val="16"/>
                <w:lang w:val="en-US"/>
              </w:rPr>
              <w:instrText>ADDIN CSL_CITATION {"citationItems":[{"id":"ITEM-1","itemData":{"DOI":"10.1111/ejh.13670","ISSN":"16000609","PMID":"34018235","author":[{"dropping-particle":"","family":"Verlinden","given":"Anke","non-dropping-particle":"","parse-names":false,"suffix":""},{"dropping-particle":"","family":"Schroyens","given":"Wilfried A.","non-dropping-particle":"","parse-names":false,"suffix":""},{"dropping-particle":"","family":"Gadisseur","given":"Alain P.","non-dropping-particle":"","parse-names":false,"suffix":""}],"container-title":"European Journal of Haematology","id":"ITEM-1","issue":"3","issued":{"date-parts":[["2021"]]},"page":"377-379","title":"Clinical and microbiological impact of long-term discontinuation of fluoroquinolone prophylaxis in haematological patients with prolonged profound neutropenia","type":"article-journal","volume":"107"},"uris":["http://www.mendeley.com/documents/?uuid=aa67da3c-9e28-43d1-81f6-4743f921861c"]}],"mendeley":{"formattedCitation":"&lt;sup&gt;44&lt;/sup&gt;","plainTextFormattedCitation":"44","previouslyFormattedCitation":"&lt;sup&gt;44&lt;/sup&gt;"},"properties":{"noteIndex":0},"schema":"https://github.com/citation-style-language/schema/raw/master/csl-citation.json"}</w:instrText>
            </w:r>
            <w:r>
              <w:rPr>
                <w:sz w:val="16"/>
                <w:szCs w:val="16"/>
                <w:lang w:val="en-US"/>
              </w:rPr>
              <w:fldChar w:fldCharType="separate"/>
            </w:r>
            <w:r w:rsidRPr="009066CC">
              <w:rPr>
                <w:noProof/>
                <w:sz w:val="16"/>
                <w:szCs w:val="16"/>
                <w:vertAlign w:val="superscript"/>
                <w:lang w:val="en-US"/>
              </w:rPr>
              <w:t>44</w:t>
            </w:r>
            <w:r>
              <w:rPr>
                <w:sz w:val="16"/>
                <w:szCs w:val="16"/>
                <w:lang w:val="en-US"/>
              </w:rPr>
              <w:fldChar w:fldCharType="end"/>
            </w:r>
          </w:p>
        </w:tc>
        <w:tc>
          <w:tcPr>
            <w:tcW w:w="0" w:type="auto"/>
            <w:vAlign w:val="center"/>
          </w:tcPr>
          <w:p w14:paraId="2F1B4A7D" w14:textId="29F92FDC" w:rsidR="009066CC" w:rsidRPr="00F80190" w:rsidRDefault="009066CC" w:rsidP="00376C8E">
            <w:pPr>
              <w:jc w:val="center"/>
              <w:rPr>
                <w:sz w:val="16"/>
                <w:szCs w:val="16"/>
                <w:lang w:val="en-US"/>
              </w:rPr>
            </w:pPr>
            <w:r w:rsidRPr="003F32CA">
              <w:rPr>
                <w:sz w:val="16"/>
                <w:szCs w:val="16"/>
                <w:lang w:val="en-US"/>
              </w:rPr>
              <w:t>Retrospective; single center; Belgium</w:t>
            </w:r>
          </w:p>
        </w:tc>
        <w:tc>
          <w:tcPr>
            <w:tcW w:w="0" w:type="auto"/>
            <w:vAlign w:val="center"/>
          </w:tcPr>
          <w:p w14:paraId="45057C7F" w14:textId="7F7AE0C1" w:rsidR="009066CC" w:rsidRPr="003F32CA" w:rsidRDefault="009066CC" w:rsidP="00376C8E">
            <w:pPr>
              <w:jc w:val="center"/>
              <w:rPr>
                <w:color w:val="000000" w:themeColor="text1"/>
                <w:sz w:val="16"/>
                <w:szCs w:val="16"/>
                <w:lang w:val="en-US"/>
              </w:rPr>
            </w:pPr>
            <w:r w:rsidRPr="003F32CA">
              <w:rPr>
                <w:color w:val="000000" w:themeColor="text1"/>
                <w:sz w:val="16"/>
                <w:szCs w:val="16"/>
                <w:lang w:val="en-US"/>
              </w:rPr>
              <w:t xml:space="preserve">HM, auto </w:t>
            </w:r>
            <w:r w:rsidR="008901EF">
              <w:rPr>
                <w:color w:val="000000" w:themeColor="text1"/>
                <w:sz w:val="16"/>
                <w:szCs w:val="16"/>
                <w:lang w:val="en-US"/>
              </w:rPr>
              <w:t>HCT</w:t>
            </w:r>
            <w:r w:rsidRPr="003F32CA">
              <w:rPr>
                <w:color w:val="000000" w:themeColor="text1"/>
                <w:sz w:val="16"/>
                <w:szCs w:val="16"/>
                <w:lang w:val="en-US"/>
              </w:rPr>
              <w:t xml:space="preserve">, </w:t>
            </w:r>
            <w:proofErr w:type="spellStart"/>
            <w:r w:rsidRPr="003F32CA">
              <w:rPr>
                <w:color w:val="000000" w:themeColor="text1"/>
                <w:sz w:val="16"/>
                <w:szCs w:val="16"/>
                <w:lang w:val="en-US"/>
              </w:rPr>
              <w:t>allo</w:t>
            </w:r>
            <w:proofErr w:type="spellEnd"/>
            <w:r w:rsidRPr="003F32CA">
              <w:rPr>
                <w:color w:val="000000" w:themeColor="text1"/>
                <w:sz w:val="16"/>
                <w:szCs w:val="16"/>
                <w:lang w:val="en-US"/>
              </w:rPr>
              <w:t xml:space="preserve"> </w:t>
            </w:r>
            <w:r w:rsidR="008901EF">
              <w:rPr>
                <w:color w:val="000000" w:themeColor="text1"/>
                <w:sz w:val="16"/>
                <w:szCs w:val="16"/>
                <w:lang w:val="en-US"/>
              </w:rPr>
              <w:t>HCT</w:t>
            </w:r>
            <w:r w:rsidRPr="003F32CA">
              <w:rPr>
                <w:color w:val="000000" w:themeColor="text1"/>
                <w:sz w:val="16"/>
                <w:szCs w:val="16"/>
                <w:lang w:val="en-US"/>
              </w:rPr>
              <w:t xml:space="preserve"> (n = 500) </w:t>
            </w:r>
            <w:r>
              <w:rPr>
                <w:color w:val="000000" w:themeColor="text1"/>
                <w:sz w:val="16"/>
                <w:szCs w:val="16"/>
                <w:lang w:val="en-US"/>
              </w:rPr>
              <w:t>[adult]</w:t>
            </w:r>
          </w:p>
        </w:tc>
        <w:tc>
          <w:tcPr>
            <w:tcW w:w="0" w:type="auto"/>
            <w:vAlign w:val="center"/>
          </w:tcPr>
          <w:p w14:paraId="7E85DADE" w14:textId="409ED305" w:rsidR="009066CC" w:rsidRPr="003F32CA" w:rsidRDefault="009066CC" w:rsidP="00376C8E">
            <w:pPr>
              <w:jc w:val="center"/>
              <w:rPr>
                <w:color w:val="000000" w:themeColor="text1"/>
                <w:sz w:val="16"/>
                <w:szCs w:val="16"/>
                <w:lang w:val="en-US"/>
              </w:rPr>
            </w:pPr>
            <w:r w:rsidRPr="003F32CA">
              <w:rPr>
                <w:color w:val="000000" w:themeColor="text1"/>
                <w:sz w:val="16"/>
                <w:szCs w:val="16"/>
                <w:lang w:val="en-US"/>
              </w:rPr>
              <w:t>Ciprofloxacin</w:t>
            </w:r>
          </w:p>
        </w:tc>
        <w:tc>
          <w:tcPr>
            <w:tcW w:w="0" w:type="auto"/>
            <w:vAlign w:val="center"/>
          </w:tcPr>
          <w:p w14:paraId="702A6278" w14:textId="2812315F"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25107E1F" w14:textId="5CFCD916" w:rsidR="009066CC" w:rsidRPr="003F32CA" w:rsidRDefault="009066CC" w:rsidP="00376C8E">
            <w:pPr>
              <w:jc w:val="center"/>
              <w:rPr>
                <w:color w:val="000000" w:themeColor="text1"/>
                <w:sz w:val="16"/>
                <w:szCs w:val="16"/>
                <w:lang w:val="en-US"/>
              </w:rPr>
            </w:pPr>
            <w:r w:rsidRPr="003F32CA">
              <w:rPr>
                <w:color w:val="000000" w:themeColor="text1"/>
                <w:sz w:val="16"/>
                <w:szCs w:val="16"/>
                <w:lang w:val="en-US"/>
              </w:rPr>
              <w:t>Decreased</w:t>
            </w:r>
          </w:p>
        </w:tc>
        <w:tc>
          <w:tcPr>
            <w:tcW w:w="0" w:type="auto"/>
            <w:vAlign w:val="center"/>
          </w:tcPr>
          <w:p w14:paraId="04C32DBA" w14:textId="6B20F715" w:rsidR="009066CC" w:rsidRPr="00376C8E" w:rsidRDefault="009066CC" w:rsidP="00376C8E">
            <w:pPr>
              <w:jc w:val="center"/>
              <w:rPr>
                <w:color w:val="000000" w:themeColor="text1"/>
                <w:sz w:val="16"/>
                <w:szCs w:val="16"/>
                <w:lang w:val="en-US"/>
              </w:rPr>
            </w:pPr>
            <w:r w:rsidRPr="00313A98">
              <w:rPr>
                <w:color w:val="000000" w:themeColor="text1"/>
                <w:sz w:val="16"/>
                <w:szCs w:val="16"/>
                <w:lang w:val="en-US"/>
              </w:rPr>
              <w:t>Increase</w:t>
            </w:r>
            <w:r>
              <w:rPr>
                <w:color w:val="000000" w:themeColor="text1"/>
                <w:sz w:val="16"/>
                <w:szCs w:val="16"/>
                <w:lang w:val="en-US"/>
              </w:rPr>
              <w:t>d</w:t>
            </w:r>
            <w:r w:rsidRPr="00313A98">
              <w:rPr>
                <w:color w:val="000000" w:themeColor="text1"/>
                <w:sz w:val="16"/>
                <w:szCs w:val="16"/>
                <w:lang w:val="en-US"/>
              </w:rPr>
              <w:t xml:space="preserve"> </w:t>
            </w:r>
            <w:r>
              <w:rPr>
                <w:color w:val="000000" w:themeColor="text1"/>
                <w:sz w:val="16"/>
                <w:szCs w:val="16"/>
                <w:lang w:val="en-US"/>
              </w:rPr>
              <w:t>(</w:t>
            </w:r>
            <w:r w:rsidRPr="00313A98">
              <w:rPr>
                <w:color w:val="000000" w:themeColor="text1"/>
                <w:sz w:val="16"/>
                <w:szCs w:val="16"/>
                <w:lang w:val="en-US"/>
              </w:rPr>
              <w:t xml:space="preserve">FQ-R </w:t>
            </w:r>
            <w:r>
              <w:rPr>
                <w:color w:val="000000" w:themeColor="text1"/>
                <w:sz w:val="16"/>
                <w:szCs w:val="16"/>
                <w:lang w:val="en-US"/>
              </w:rPr>
              <w:t xml:space="preserve">and </w:t>
            </w:r>
            <w:r w:rsidRPr="00313A98">
              <w:rPr>
                <w:color w:val="000000" w:themeColor="text1"/>
                <w:sz w:val="16"/>
                <w:szCs w:val="16"/>
                <w:lang w:val="en-US"/>
              </w:rPr>
              <w:t>ESBL</w:t>
            </w:r>
            <w:r>
              <w:rPr>
                <w:color w:val="000000" w:themeColor="text1"/>
                <w:sz w:val="16"/>
                <w:szCs w:val="16"/>
                <w:lang w:val="en-US"/>
              </w:rPr>
              <w:t xml:space="preserve"> colonization)</w:t>
            </w:r>
          </w:p>
        </w:tc>
      </w:tr>
      <w:tr w:rsidR="009066CC" w:rsidRPr="00376C8E" w14:paraId="0EF11FB8" w14:textId="77777777" w:rsidTr="000E23C2">
        <w:trPr>
          <w:trHeight w:val="578"/>
        </w:trPr>
        <w:tc>
          <w:tcPr>
            <w:tcW w:w="0" w:type="auto"/>
            <w:vAlign w:val="center"/>
          </w:tcPr>
          <w:p w14:paraId="4EA21A8D" w14:textId="3E8FB81D" w:rsidR="009066CC" w:rsidRPr="004D40DF" w:rsidRDefault="009066CC" w:rsidP="00BF5947">
            <w:pPr>
              <w:jc w:val="center"/>
              <w:rPr>
                <w:sz w:val="16"/>
                <w:szCs w:val="16"/>
                <w:lang w:val="en-US"/>
              </w:rPr>
            </w:pPr>
            <w:r w:rsidRPr="00A075D5">
              <w:rPr>
                <w:sz w:val="16"/>
                <w:szCs w:val="16"/>
                <w:lang w:val="en-US"/>
              </w:rPr>
              <w:t xml:space="preserve">Wolf </w:t>
            </w:r>
            <w:r>
              <w:rPr>
                <w:sz w:val="16"/>
                <w:szCs w:val="16"/>
                <w:lang w:val="en-US"/>
              </w:rPr>
              <w:t>2017</w:t>
            </w:r>
            <w:r>
              <w:rPr>
                <w:sz w:val="16"/>
                <w:szCs w:val="16"/>
                <w:lang w:val="en-US"/>
              </w:rPr>
              <w:fldChar w:fldCharType="begin" w:fldLock="1"/>
            </w:r>
            <w:r>
              <w:rPr>
                <w:sz w:val="16"/>
                <w:szCs w:val="16"/>
                <w:lang w:val="en-US"/>
              </w:rPr>
              <w:instrText>ADDIN CSL_CITATION {"citationItems":[{"id":"ITEM-1","itemData":{"DOI":"10.1093/cid/cix644","author":[{"dropping-particle":"","family":"Wolf","given":"Joshua","non-dropping-particle":"","parse-names":false,"suffix":""},{"dropping-particle":"","family":"Tang","given":"Li","non-dropping-particle":"","parse-names":false,"suffix":""},{"dropping-particle":"","family":"Flynn","given":"Patricia M","non-dropping-particle":"","parse-names":false,"suffix":""},{"dropping-particle":"","family":"Pui","given":"Ching-hon","non-dropping-particle":"","parse-names":false,"suffix":""},{"dropping-particle":"","family":"Gaur","given":"Aditya H","non-dropping-particle":"","parse-names":false,"suffix":""},{"dropping-particle":"","family":"Sun","given":"Yilun","non-dropping-particle":"","parse-names":false,"suffix":""},{"dropping-particle":"","family":"Inaba","given":"Hiroto","non-dropping-particle":"","parse-names":false,"suffix":""},{"dropping-particle":"","family":"Stewart","given":"Tracy","non-dropping-particle":"","parse-names":false,"suffix":""},{"dropping-particle":"","family":"Hayden","given":"Randall T","non-dropping-particle":"","parse-names":false,"suffix":""},{"dropping-particle":"","family":"Hakim","given":"Hana","non-dropping-particle":"","parse-names":false,"suffix":""},{"dropping-particle":"","family":"Jeha","given":"Sima","non-dropping-particle":"","parse-names":false,"suffix":""}],"id":"ITEM-1","issued":{"date-parts":[["2017"]]},"title":"Levofloxacin Prophylaxis During Induction Therapy for Pediatric Acute Lymphoblastic Leukemia","type":"article-journal","volume":"65"},"uris":["http://www.mendeley.com/documents/?uuid=c8344550-b8f8-4420-8dab-83f511bffd3b"]}],"mendeley":{"formattedCitation":"&lt;sup&gt;45&lt;/sup&gt;","plainTextFormattedCitation":"45","previouslyFormattedCitation":"&lt;sup&gt;45&lt;/sup&gt;"},"properties":{"noteIndex":0},"schema":"https://github.com/citation-style-language/schema/raw/master/csl-citation.json"}</w:instrText>
            </w:r>
            <w:r>
              <w:rPr>
                <w:sz w:val="16"/>
                <w:szCs w:val="16"/>
                <w:lang w:val="en-US"/>
              </w:rPr>
              <w:fldChar w:fldCharType="separate"/>
            </w:r>
            <w:r w:rsidRPr="009066CC">
              <w:rPr>
                <w:noProof/>
                <w:sz w:val="16"/>
                <w:szCs w:val="16"/>
                <w:vertAlign w:val="superscript"/>
                <w:lang w:val="en-US"/>
              </w:rPr>
              <w:t>45</w:t>
            </w:r>
            <w:r>
              <w:rPr>
                <w:sz w:val="16"/>
                <w:szCs w:val="16"/>
                <w:lang w:val="en-US"/>
              </w:rPr>
              <w:fldChar w:fldCharType="end"/>
            </w:r>
          </w:p>
        </w:tc>
        <w:tc>
          <w:tcPr>
            <w:tcW w:w="0" w:type="auto"/>
            <w:vAlign w:val="center"/>
          </w:tcPr>
          <w:p w14:paraId="5016A805" w14:textId="66BF563F" w:rsidR="009066CC" w:rsidRPr="00490DD4" w:rsidRDefault="009066CC" w:rsidP="00BF5947">
            <w:pPr>
              <w:jc w:val="center"/>
              <w:rPr>
                <w:sz w:val="16"/>
                <w:szCs w:val="16"/>
              </w:rPr>
            </w:pPr>
            <w:r>
              <w:rPr>
                <w:color w:val="000000" w:themeColor="text1"/>
                <w:sz w:val="16"/>
                <w:szCs w:val="16"/>
                <w:lang w:val="en-US"/>
              </w:rPr>
              <w:t>Retrospective, monocentric, USA</w:t>
            </w:r>
          </w:p>
        </w:tc>
        <w:tc>
          <w:tcPr>
            <w:tcW w:w="0" w:type="auto"/>
            <w:vAlign w:val="center"/>
          </w:tcPr>
          <w:p w14:paraId="1038B657" w14:textId="555CA067" w:rsidR="009066CC" w:rsidRPr="00313A98" w:rsidRDefault="009066CC" w:rsidP="00BF5947">
            <w:pPr>
              <w:jc w:val="center"/>
              <w:rPr>
                <w:color w:val="000000" w:themeColor="text1"/>
                <w:sz w:val="16"/>
                <w:szCs w:val="16"/>
              </w:rPr>
            </w:pPr>
            <w:r>
              <w:rPr>
                <w:color w:val="000000" w:themeColor="text1"/>
                <w:sz w:val="16"/>
                <w:szCs w:val="16"/>
                <w:lang w:val="en-US"/>
              </w:rPr>
              <w:t>HM, ALL (n = 344) [pediatric]</w:t>
            </w:r>
          </w:p>
        </w:tc>
        <w:tc>
          <w:tcPr>
            <w:tcW w:w="0" w:type="auto"/>
            <w:vAlign w:val="center"/>
          </w:tcPr>
          <w:p w14:paraId="6AB7D802" w14:textId="0D1B6771" w:rsidR="009066CC" w:rsidRDefault="009066CC" w:rsidP="00BF5947">
            <w:pPr>
              <w:jc w:val="center"/>
              <w:rPr>
                <w:color w:val="000000" w:themeColor="text1"/>
                <w:sz w:val="16"/>
                <w:szCs w:val="16"/>
              </w:rPr>
            </w:pPr>
            <w:r>
              <w:rPr>
                <w:color w:val="000000" w:themeColor="text1"/>
                <w:sz w:val="16"/>
                <w:szCs w:val="16"/>
                <w:lang w:val="en-US"/>
              </w:rPr>
              <w:t>Levofloxacin</w:t>
            </w:r>
          </w:p>
        </w:tc>
        <w:tc>
          <w:tcPr>
            <w:tcW w:w="0" w:type="auto"/>
            <w:vAlign w:val="center"/>
          </w:tcPr>
          <w:p w14:paraId="29E6AB9B" w14:textId="701DEE5C" w:rsidR="009066CC" w:rsidRDefault="009066CC" w:rsidP="00BF5947">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11521BD9" w14:textId="474E374F" w:rsidR="009066CC" w:rsidRDefault="009066CC" w:rsidP="00BF5947">
            <w:pPr>
              <w:jc w:val="center"/>
              <w:rPr>
                <w:color w:val="000000" w:themeColor="text1"/>
                <w:sz w:val="16"/>
                <w:szCs w:val="16"/>
              </w:rPr>
            </w:pPr>
            <w:r>
              <w:rPr>
                <w:color w:val="000000" w:themeColor="text1"/>
                <w:sz w:val="16"/>
                <w:szCs w:val="16"/>
                <w:lang w:val="en-US"/>
              </w:rPr>
              <w:t>NA</w:t>
            </w:r>
          </w:p>
        </w:tc>
        <w:tc>
          <w:tcPr>
            <w:tcW w:w="0" w:type="auto"/>
            <w:vAlign w:val="center"/>
          </w:tcPr>
          <w:p w14:paraId="160312B3" w14:textId="1EAC9D28" w:rsidR="009066CC" w:rsidRPr="00313A98" w:rsidRDefault="009066CC" w:rsidP="00BF5947">
            <w:pPr>
              <w:jc w:val="center"/>
              <w:rPr>
                <w:color w:val="000000" w:themeColor="text1"/>
                <w:sz w:val="16"/>
                <w:szCs w:val="16"/>
                <w:lang w:val="en-US"/>
              </w:rPr>
            </w:pPr>
            <w:r>
              <w:rPr>
                <w:color w:val="000000" w:themeColor="text1"/>
                <w:sz w:val="16"/>
                <w:szCs w:val="16"/>
                <w:lang w:val="en-US"/>
              </w:rPr>
              <w:t>NA</w:t>
            </w:r>
          </w:p>
        </w:tc>
      </w:tr>
      <w:tr w:rsidR="009066CC" w:rsidRPr="00DB2F73" w14:paraId="4CCBF9C3" w14:textId="66EC7A7B" w:rsidTr="000E23C2">
        <w:trPr>
          <w:trHeight w:val="578"/>
        </w:trPr>
        <w:tc>
          <w:tcPr>
            <w:tcW w:w="0" w:type="auto"/>
            <w:vAlign w:val="center"/>
          </w:tcPr>
          <w:p w14:paraId="30283B4F" w14:textId="50FF6212" w:rsidR="009066CC" w:rsidRDefault="009066CC" w:rsidP="00376C8E">
            <w:pPr>
              <w:jc w:val="center"/>
              <w:rPr>
                <w:color w:val="000000" w:themeColor="text1"/>
                <w:sz w:val="16"/>
                <w:szCs w:val="16"/>
                <w:lang w:val="en-US"/>
              </w:rPr>
            </w:pPr>
            <w:proofErr w:type="spellStart"/>
            <w:r w:rsidRPr="004D40DF">
              <w:rPr>
                <w:color w:val="000000" w:themeColor="text1"/>
                <w:sz w:val="16"/>
                <w:szCs w:val="16"/>
                <w:lang w:val="en-US"/>
              </w:rPr>
              <w:lastRenderedPageBreak/>
              <w:t>Wolska</w:t>
            </w:r>
            <w:proofErr w:type="spellEnd"/>
            <w:r w:rsidRPr="004D40DF">
              <w:rPr>
                <w:color w:val="000000" w:themeColor="text1"/>
                <w:sz w:val="16"/>
                <w:szCs w:val="16"/>
                <w:lang w:val="en-US"/>
              </w:rPr>
              <w:t xml:space="preserve"> </w:t>
            </w:r>
            <w:r>
              <w:rPr>
                <w:color w:val="000000" w:themeColor="text1"/>
                <w:sz w:val="16"/>
                <w:szCs w:val="16"/>
                <w:lang w:val="en-US"/>
              </w:rPr>
              <w:t>2012</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{"citationItems":[{"id":"ITEM-1","itemData":{"DOI":"10.2478/v10039-012-0004-z","ISSN":"1898-4002 (Electronic)","PMID":"22366265","abstract":"PURPOSE: The objective of the study was to evaluate the efficacy of ciprofloxacin  prophylaxis for patients undergoing high-dose chemotherapy followed by autologous stem cell transplantation (ASCT). MATERIALS AND METHODS: The data of 104 patients transplanted at the Department of Hematology Medical University of Lodz between 2005 and 2008 were analyzed. The cohort was divided into two groups depending on the administered ciprofloxacin prophylaxis. Conditioning regimens did not differ significantly among the groups. Multiple myeloma was the main indication for ASCT in both groups. RESULTS: Ciprofloxacin prophylaxis resulted in a statistically significant reduction of duration of intravenous (IV) antibiotic treatment in the group with prophylaxis (p=0.01). The trend has been observed towards lower prevalence of infectious episodes in the prophylaxis group. Positive blood cultures were similar in both groups with no significant resistance to ciprofloxacin. CONCLUSION: These data demonstrate that ciprofloxacin prophylaxis is beneficial for patients treated with ASCT following high dose chemotherapy regimen, in terms of the intravenous antibiotics usage. This advantage directly translates into economic benefit and may also induce less bacterial resistance due to less exposure to antibiotics.","author":[{"dropping-particle":"","family":"Wolska","given":"A","non-dropping-particle":"","parse-names":false,"suffix":""},{"dropping-particle":"","family":"Robak","given":"T","non-dropping-particle":"","parse-names":false,"suffix":""},{"dropping-particle":"","family":"Szmigielska-Kaplon","given":"A","non-dropping-particle":"","parse-names":false,"suffix":""},{"dropping-particle":"","family":"Pluta","given":"A","non-dropping-particle":"","parse-names":false,"suffix":""},{"dropping-particle":"","family":"Kopka","given":"P","non-dropping-particle":"","parse-names":false,"suffix":""},{"dropping-particle":"","family":"Wierzbowska","given":"A","non-dropping-particle":"","parse-names":false,"suffix":""}],"container-title":"Advances in medical sciences","id":"ITEM-1","issue":"1","issued":{"date-parts":[["2012","6"]]},"language":"eng","page":"118-123","publisher-place":"Netherlands","title":"Ciprofloxacin prophylaxis for patients undergoing high-dose chemotherapy and  autologous stem cell transplantation (ASCT) - a single-center experience.","type":"article-journal","volume":"57"},"uris":["http://www.mendeley.com/documents/?uuid=2c4d3f7e-8dcc-477e-b1a2-64d7a2878bcb"]}],"mendeley":{"formattedCitation":"&lt;sup&gt;46&lt;/sup&gt;","plainTextFormattedCitation":"46","previouslyFormattedCitation":"&lt;sup&gt;46&lt;/sup&gt;"},"properties":{"noteIndex":0},"schema":"https://github.com/citation-style-language/schema/raw/master/csl-citation.json"}</w:instrText>
            </w:r>
            <w:r>
              <w:rPr>
                <w:color w:val="000000" w:themeColor="text1"/>
                <w:sz w:val="16"/>
                <w:szCs w:val="16"/>
                <w:lang w:val="en-US"/>
              </w:rPr>
              <w:fldChar w:fldCharType="separate"/>
            </w:r>
            <w:r w:rsidRPr="009066CC">
              <w:rPr>
                <w:noProof/>
                <w:color w:val="000000" w:themeColor="text1"/>
                <w:sz w:val="16"/>
                <w:szCs w:val="16"/>
                <w:vertAlign w:val="superscript"/>
                <w:lang w:val="en-US"/>
              </w:rPr>
              <w:t>46</w:t>
            </w:r>
            <w:r>
              <w:rPr>
                <w:color w:val="000000" w:themeColor="text1"/>
                <w:sz w:val="16"/>
                <w:szCs w:val="16"/>
                <w:lang w:val="en-US"/>
              </w:rPr>
              <w:fldChar w:fldCharType="end"/>
            </w:r>
          </w:p>
        </w:tc>
        <w:tc>
          <w:tcPr>
            <w:tcW w:w="0" w:type="auto"/>
            <w:vAlign w:val="center"/>
          </w:tcPr>
          <w:p w14:paraId="63920D15" w14:textId="5E0CF7EB" w:rsidR="009066CC" w:rsidRPr="00490DD4" w:rsidRDefault="009066CC" w:rsidP="00376C8E">
            <w:pPr>
              <w:jc w:val="center"/>
              <w:rPr>
                <w:color w:val="000000" w:themeColor="text1"/>
                <w:sz w:val="16"/>
                <w:szCs w:val="16"/>
                <w:lang w:val="en-US"/>
              </w:rPr>
            </w:pPr>
            <w:proofErr w:type="spellStart"/>
            <w:r w:rsidRPr="00490DD4">
              <w:rPr>
                <w:sz w:val="16"/>
                <w:szCs w:val="16"/>
              </w:rPr>
              <w:t>Retrospective</w:t>
            </w:r>
            <w:proofErr w:type="spellEnd"/>
            <w:r>
              <w:rPr>
                <w:sz w:val="16"/>
                <w:szCs w:val="16"/>
              </w:rPr>
              <w:t xml:space="preserve">, single center; </w:t>
            </w:r>
            <w:r w:rsidRPr="00490DD4">
              <w:rPr>
                <w:sz w:val="16"/>
                <w:szCs w:val="16"/>
              </w:rPr>
              <w:t>Poland</w:t>
            </w:r>
          </w:p>
        </w:tc>
        <w:tc>
          <w:tcPr>
            <w:tcW w:w="0" w:type="auto"/>
            <w:vAlign w:val="center"/>
          </w:tcPr>
          <w:p w14:paraId="090CCBB8" w14:textId="20D6B584" w:rsidR="009066CC" w:rsidRPr="00490DD4" w:rsidRDefault="009066CC" w:rsidP="00376C8E">
            <w:pPr>
              <w:jc w:val="center"/>
              <w:rPr>
                <w:color w:val="000000" w:themeColor="text1"/>
                <w:sz w:val="16"/>
                <w:szCs w:val="16"/>
                <w:lang w:val="en-US"/>
              </w:rPr>
            </w:pPr>
            <w:r>
              <w:rPr>
                <w:color w:val="000000" w:themeColor="text1"/>
                <w:sz w:val="16"/>
                <w:szCs w:val="16"/>
                <w:lang w:val="en-US"/>
              </w:rPr>
              <w:t xml:space="preserve">Auto </w:t>
            </w:r>
            <w:r w:rsidR="008901EF">
              <w:rPr>
                <w:color w:val="000000" w:themeColor="text1"/>
                <w:sz w:val="16"/>
                <w:szCs w:val="16"/>
                <w:lang w:val="en-US"/>
              </w:rPr>
              <w:t>HCT</w:t>
            </w:r>
            <w:r>
              <w:rPr>
                <w:color w:val="000000" w:themeColor="text1"/>
                <w:sz w:val="16"/>
                <w:szCs w:val="16"/>
                <w:lang w:val="en-US"/>
              </w:rPr>
              <w:t xml:space="preserve"> (n = 104) [adult]</w:t>
            </w:r>
          </w:p>
        </w:tc>
        <w:tc>
          <w:tcPr>
            <w:tcW w:w="0" w:type="auto"/>
            <w:vAlign w:val="center"/>
          </w:tcPr>
          <w:p w14:paraId="28A43B82" w14:textId="0BAFB566" w:rsidR="009066CC" w:rsidRPr="00DB2F73" w:rsidRDefault="009066CC" w:rsidP="00376C8E">
            <w:pPr>
              <w:jc w:val="center"/>
              <w:rPr>
                <w:color w:val="000000" w:themeColor="text1"/>
                <w:sz w:val="16"/>
                <w:szCs w:val="16"/>
                <w:lang w:val="en-US"/>
              </w:rPr>
            </w:pPr>
            <w:r w:rsidRPr="00DB2F73">
              <w:rPr>
                <w:color w:val="000000" w:themeColor="text1"/>
                <w:sz w:val="16"/>
                <w:szCs w:val="16"/>
                <w:lang w:val="en-US"/>
              </w:rPr>
              <w:t>Ciprofloxacin</w:t>
            </w:r>
          </w:p>
          <w:p w14:paraId="4AF00C83" w14:textId="77777777" w:rsidR="009066CC" w:rsidRDefault="009066CC" w:rsidP="00376C8E">
            <w:pPr>
              <w:jc w:val="center"/>
              <w:rPr>
                <w:color w:val="000000" w:themeColor="text1"/>
                <w:sz w:val="16"/>
                <w:szCs w:val="16"/>
                <w:lang w:val="en-US"/>
              </w:rPr>
            </w:pPr>
          </w:p>
        </w:tc>
        <w:tc>
          <w:tcPr>
            <w:tcW w:w="0" w:type="auto"/>
            <w:vAlign w:val="center"/>
          </w:tcPr>
          <w:p w14:paraId="761CE00B" w14:textId="47BE792F" w:rsidR="009066CC" w:rsidRDefault="009066CC" w:rsidP="00376C8E">
            <w:pPr>
              <w:jc w:val="center"/>
              <w:rPr>
                <w:color w:val="000000" w:themeColor="text1"/>
                <w:sz w:val="16"/>
                <w:szCs w:val="16"/>
                <w:lang w:val="en-US"/>
              </w:rPr>
            </w:pPr>
            <w:r>
              <w:rPr>
                <w:color w:val="000000" w:themeColor="text1"/>
                <w:sz w:val="16"/>
                <w:szCs w:val="16"/>
                <w:lang w:val="en-US"/>
              </w:rPr>
              <w:t>Unchanged</w:t>
            </w:r>
          </w:p>
        </w:tc>
        <w:tc>
          <w:tcPr>
            <w:tcW w:w="0" w:type="auto"/>
            <w:vAlign w:val="center"/>
          </w:tcPr>
          <w:p w14:paraId="59A565F3" w14:textId="186A0191"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19239D73" w14:textId="42EE45AA" w:rsidR="009066CC" w:rsidRDefault="009066CC" w:rsidP="00376C8E">
            <w:pPr>
              <w:jc w:val="center"/>
              <w:rPr>
                <w:color w:val="000000" w:themeColor="text1"/>
                <w:sz w:val="16"/>
                <w:szCs w:val="16"/>
                <w:lang w:val="en-US"/>
              </w:rPr>
            </w:pPr>
            <w:r>
              <w:rPr>
                <w:color w:val="000000" w:themeColor="text1"/>
                <w:sz w:val="16"/>
                <w:szCs w:val="16"/>
                <w:lang w:val="en-US"/>
              </w:rPr>
              <w:t>NA</w:t>
            </w:r>
          </w:p>
        </w:tc>
      </w:tr>
      <w:tr w:rsidR="009066CC" w:rsidRPr="00F20444" w14:paraId="3DEF858D" w14:textId="065BF350" w:rsidTr="000E23C2">
        <w:trPr>
          <w:trHeight w:val="578"/>
        </w:trPr>
        <w:tc>
          <w:tcPr>
            <w:tcW w:w="0" w:type="auto"/>
            <w:vAlign w:val="center"/>
          </w:tcPr>
          <w:p w14:paraId="6EB2F275" w14:textId="372AF385" w:rsidR="009066CC" w:rsidRDefault="009066CC" w:rsidP="00376C8E">
            <w:pPr>
              <w:jc w:val="center"/>
              <w:rPr>
                <w:color w:val="000000" w:themeColor="text1"/>
                <w:sz w:val="16"/>
                <w:szCs w:val="16"/>
                <w:lang w:val="en-US"/>
              </w:rPr>
            </w:pPr>
            <w:r w:rsidRPr="004D40DF">
              <w:rPr>
                <w:color w:val="000000" w:themeColor="text1"/>
                <w:sz w:val="16"/>
                <w:szCs w:val="16"/>
                <w:lang w:val="en-US"/>
              </w:rPr>
              <w:t xml:space="preserve">Yeshurun </w:t>
            </w:r>
            <w:r>
              <w:rPr>
                <w:color w:val="000000" w:themeColor="text1"/>
                <w:sz w:val="16"/>
                <w:szCs w:val="16"/>
                <w:lang w:val="en-US"/>
              </w:rPr>
              <w:t>2018</w:t>
            </w:r>
            <w:r>
              <w:rPr>
                <w:color w:val="000000" w:themeColor="text1"/>
                <w:sz w:val="16"/>
                <w:szCs w:val="16"/>
                <w:lang w:val="en-US"/>
              </w:rPr>
              <w:fldChar w:fldCharType="begin" w:fldLock="1"/>
            </w:r>
            <w:r>
              <w:rPr>
                <w:color w:val="000000" w:themeColor="text1"/>
                <w:sz w:val="16"/>
                <w:szCs w:val="16"/>
                <w:lang w:val="en-US"/>
              </w:rPr>
              <w:instrText>ADDIN CSL_CITATION {"citationItems":[{"id":"ITEM-1","itemData":{"DOI":"10.1016/j.cmi.2017.11.019","ISSN":"14690691","PMID":"29208561","abstract":"Objectives: We aimed to study whether ciprofloxacin prophylaxis reduces infectious complications in patients undergoing autologous haematopoietic cell transplantation (AHCT). Methods: This is a quasi-experimental, retrospective, before-after study. We compared the incidence of bacterial-related complications among 356 patients with multiple myeloma (MM) (n = 202) and lymphoma (n = 154) who underwent AHCT with (n = 177) or without (n = 179) ciprofloxacin prophylaxis between 03/2007 and 10/2012 and between 10/2012 and 07/2016, respectively, at a single centre. Results: Febrile neutropaenia, bacteraemia, and pneumonia were significantly more common among patients who underwent AHCT during the second study period and did not receive antibacterial prophylaxis compared with patients who underwent AHCT during the first study period and received antibacterial prophylaxis (89.9% (161/179) vs. 83.1% (147/177), difference 6.9%, 95% CI 0-14.1%, P = 0.002; 15.1% (27/179) vs. 4.5% (8/177), difference 10.6%, 95% CI 4.4-16.9%, p &lt; 0.0001; 12.3% (22/179) vs. 6.2% (11/177), difference 6.1%, 95% CI 0-12.3%, p = 0.04, respectively). The number-needed-to-treat to prevent one episode of bacteraemia, pneumonia, and febrile neutropaenia was 8.6, 8.5, and 13.7, respectively. Patients with ciprofloxacin prophylaxis had higher rates of ciprofloxacin-resistant bacteraemia (62.5% (5/8) vs. 18.5% (5/27), difference 44%, 95% CI 7-70%, p = 0.01). In multivariate analysis, ciprofloxacin prophylaxis significantly decreased the odds of bacteraemia (OR 0.19, 95% CI 0.07-0.52; p &lt; 0.0001) and pneumonia (OR 0.37, 95% CI 0.16-0.85, p = 0.02). Conclusion: According to our single-centre experience, patients with MM and lymphoma undergoing AHCT may benefit from antibacterial prophylaxis with ciprofloxacin.","author":[{"dropping-particle":"","family":"Yeshurun","given":"M.","non-dropping-particle":"","parse-names":false,"suffix":""},{"dropping-particle":"","family":"Vaxman","given":"I.","non-dropping-particle":"","parse-names":false,"suffix":""},{"dropping-particle":"","family":"Shargian","given":"L.","non-dropping-particle":"","parse-names":false,"suffix":""},{"dropping-particle":"","family":"Yahav","given":"D.","non-dropping-particle":"","parse-names":false,"suffix":""},{"dropping-particle":"","family":"Bishara","given":"J.","non-dropping-particle":"","parse-names":false,"suffix":""},{"dropping-particle":"","family":"Pasvolsky","given":"O.","non-dropping-particle":"","parse-names":false,"suffix":""},{"dropping-particle":"","family":"Wolach","given":"O.","non-dropping-particle":"","parse-names":false,"suffix":""},{"dropping-particle":"","family":"Lahav","given":"M.","non-dropping-particle":"","parse-names":false,"suffix":""},{"dropping-particle":"","family":"Gurion","given":"R.","non-dropping-particle":"","parse-names":false,"suffix":""},{"dropping-particle":"","family":"Magen","given":"H.","non-dropping-particle":"","parse-names":false,"suffix":""},{"dropping-particle":"","family":"Vidal","given":"L.","non-dropping-particle":"","parse-names":false,"suffix":""},{"dropping-particle":"","family":"Herscovici","given":"C.","non-dropping-particle":"","parse-names":false,"suffix":""},{"dropping-particle":"","family":"Peck","given":"A.","non-dropping-particle":"","parse-names":false,"suffix":""},{"dropping-particle":"","family":"Moshe","given":"M.","non-dropping-particle":"","parse-names":false,"suffix":""},{"dropping-particle":"","family":"Sela-Navon","given":"M.","non-dropping-particle":"","parse-names":false,"suffix":""},{"dropping-particle":"","family":"Naparstek","given":"E.","non-dropping-particle":"","parse-names":false,"suffix":""},{"dropping-particle":"","family":"Raanani","given":"P.","non-dropping-particle":"","parse-names":false,"suffix":""},{"dropping-particle":"","family":"Rozovski","given":"U.","non-dropping-particle":"","parse-names":false,"suffix":""}],"container-title":"Clinical Microbiology and Infection","id":"ITEM-1","issue":"7","issued":{"date-parts":[["2018"]]},"page":"749-754","publisher":"Elsevier Ltd","title":"Antibacterial prophylaxis with ciprofloxacin for patients with multiple myeloma and lymphoma undergoing autologous haematopoietic cell transplantation: a quasi-experimental single-centre before-after study","type":"article-journal","volume":"24"},"uris":["http://www.mendeley.com/documents/?uuid=1b6f5165-dd9f-4fd8-ad2d-d16639de4bc6"]}],"mendeley":{"formattedCitation":"&lt;sup&gt;47&lt;/sup&gt;","plainTextFormattedCitation":"47","previouslyFormattedCitation":"&lt;sup&gt;47&lt;/sup&gt;"},"properties":{"noteIndex":0},"schema":"https://github.com/citation-style-language/schema/raw/master/csl-citation.json"}</w:instrText>
            </w:r>
            <w:r>
              <w:rPr>
                <w:color w:val="000000" w:themeColor="text1"/>
                <w:sz w:val="16"/>
                <w:szCs w:val="16"/>
                <w:lang w:val="en-US"/>
              </w:rPr>
              <w:fldChar w:fldCharType="separate"/>
            </w:r>
            <w:r w:rsidRPr="009066CC">
              <w:rPr>
                <w:noProof/>
                <w:color w:val="000000" w:themeColor="text1"/>
                <w:sz w:val="16"/>
                <w:szCs w:val="16"/>
                <w:vertAlign w:val="superscript"/>
                <w:lang w:val="en-US"/>
              </w:rPr>
              <w:t>47</w:t>
            </w:r>
            <w:r>
              <w:rPr>
                <w:color w:val="000000" w:themeColor="text1"/>
                <w:sz w:val="16"/>
                <w:szCs w:val="16"/>
                <w:lang w:val="en-US"/>
              </w:rPr>
              <w:fldChar w:fldCharType="end"/>
            </w:r>
          </w:p>
        </w:tc>
        <w:tc>
          <w:tcPr>
            <w:tcW w:w="0" w:type="auto"/>
            <w:vAlign w:val="center"/>
          </w:tcPr>
          <w:p w14:paraId="4E62E47D" w14:textId="40FD315D" w:rsidR="009066CC" w:rsidRPr="00490DD4" w:rsidRDefault="009066CC" w:rsidP="00376C8E">
            <w:pPr>
              <w:jc w:val="center"/>
              <w:rPr>
                <w:color w:val="000000" w:themeColor="text1"/>
                <w:sz w:val="16"/>
                <w:szCs w:val="16"/>
                <w:lang w:val="en-US"/>
              </w:rPr>
            </w:pPr>
            <w:r w:rsidRPr="009066CC">
              <w:rPr>
                <w:sz w:val="16"/>
                <w:szCs w:val="16"/>
                <w:lang w:val="en-US"/>
              </w:rPr>
              <w:t>Retrospective (pre-post implementation); single center; Israel</w:t>
            </w:r>
          </w:p>
        </w:tc>
        <w:tc>
          <w:tcPr>
            <w:tcW w:w="0" w:type="auto"/>
            <w:vAlign w:val="center"/>
          </w:tcPr>
          <w:p w14:paraId="4E0E6049" w14:textId="24887E46" w:rsidR="009066CC" w:rsidRPr="00490DD4" w:rsidRDefault="009066CC" w:rsidP="00376C8E">
            <w:pPr>
              <w:jc w:val="center"/>
              <w:rPr>
                <w:color w:val="000000" w:themeColor="text1"/>
                <w:sz w:val="16"/>
                <w:szCs w:val="16"/>
                <w:lang w:val="en-US"/>
              </w:rPr>
            </w:pPr>
            <w:r>
              <w:rPr>
                <w:color w:val="000000" w:themeColor="text1"/>
                <w:sz w:val="16"/>
                <w:szCs w:val="16"/>
                <w:lang w:val="en-US"/>
              </w:rPr>
              <w:t xml:space="preserve">Auto </w:t>
            </w:r>
            <w:r w:rsidR="008901EF">
              <w:rPr>
                <w:color w:val="000000" w:themeColor="text1"/>
                <w:sz w:val="16"/>
                <w:szCs w:val="16"/>
                <w:lang w:val="en-US"/>
              </w:rPr>
              <w:t>HCT</w:t>
            </w:r>
            <w:r>
              <w:rPr>
                <w:color w:val="000000" w:themeColor="text1"/>
                <w:sz w:val="16"/>
                <w:szCs w:val="16"/>
                <w:lang w:val="en-US"/>
              </w:rPr>
              <w:t xml:space="preserve"> (N = 331) [adult]</w:t>
            </w:r>
          </w:p>
        </w:tc>
        <w:tc>
          <w:tcPr>
            <w:tcW w:w="0" w:type="auto"/>
            <w:vAlign w:val="center"/>
          </w:tcPr>
          <w:p w14:paraId="1890B3A7" w14:textId="2145E87D" w:rsidR="009066CC" w:rsidRDefault="009066CC" w:rsidP="00376C8E">
            <w:pPr>
              <w:jc w:val="center"/>
              <w:rPr>
                <w:color w:val="000000" w:themeColor="text1"/>
                <w:sz w:val="16"/>
                <w:szCs w:val="16"/>
                <w:lang w:val="en-US"/>
              </w:rPr>
            </w:pPr>
            <w:r>
              <w:rPr>
                <w:color w:val="000000" w:themeColor="text1"/>
                <w:sz w:val="16"/>
                <w:szCs w:val="16"/>
                <w:lang w:val="en-US"/>
              </w:rPr>
              <w:t>Ciprofloxacin</w:t>
            </w:r>
          </w:p>
        </w:tc>
        <w:tc>
          <w:tcPr>
            <w:tcW w:w="0" w:type="auto"/>
            <w:vAlign w:val="center"/>
          </w:tcPr>
          <w:p w14:paraId="0248CD10" w14:textId="7518A033"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26BB6338" w14:textId="4CC6C122"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1091EFD3" w14:textId="7FEC11E2" w:rsidR="009066CC" w:rsidRDefault="009066CC" w:rsidP="00376C8E">
            <w:pPr>
              <w:jc w:val="center"/>
              <w:rPr>
                <w:color w:val="000000" w:themeColor="text1"/>
                <w:sz w:val="16"/>
                <w:szCs w:val="16"/>
                <w:lang w:val="en-US"/>
              </w:rPr>
            </w:pPr>
            <w:r>
              <w:rPr>
                <w:color w:val="000000" w:themeColor="text1"/>
                <w:sz w:val="16"/>
                <w:szCs w:val="16"/>
                <w:lang w:val="en-US"/>
              </w:rPr>
              <w:t>Increased (FQ-R BSI)</w:t>
            </w:r>
          </w:p>
        </w:tc>
      </w:tr>
      <w:tr w:rsidR="009066CC" w:rsidRPr="00F20444" w14:paraId="7EE0C75C" w14:textId="49AA2820" w:rsidTr="000E23C2">
        <w:trPr>
          <w:trHeight w:val="578"/>
        </w:trPr>
        <w:tc>
          <w:tcPr>
            <w:tcW w:w="0" w:type="auto"/>
            <w:vAlign w:val="center"/>
          </w:tcPr>
          <w:p w14:paraId="59794961" w14:textId="4FD5FC44" w:rsidR="009066CC" w:rsidRDefault="009066CC" w:rsidP="00376C8E">
            <w:pPr>
              <w:jc w:val="center"/>
              <w:rPr>
                <w:color w:val="000000" w:themeColor="text1"/>
                <w:sz w:val="16"/>
                <w:szCs w:val="16"/>
                <w:lang w:val="en-US"/>
              </w:rPr>
            </w:pPr>
            <w:r w:rsidRPr="004D40DF">
              <w:rPr>
                <w:sz w:val="16"/>
                <w:szCs w:val="16"/>
                <w:lang w:val="en-US"/>
              </w:rPr>
              <w:t xml:space="preserve">Ziegler </w:t>
            </w:r>
            <w:r>
              <w:rPr>
                <w:sz w:val="16"/>
                <w:szCs w:val="16"/>
                <w:lang w:val="en-US"/>
              </w:rPr>
              <w:t>2019</w:t>
            </w:r>
            <w:r>
              <w:rPr>
                <w:sz w:val="16"/>
                <w:szCs w:val="16"/>
                <w:lang w:val="en-US"/>
              </w:rPr>
              <w:fldChar w:fldCharType="begin" w:fldLock="1"/>
            </w:r>
            <w:r w:rsidR="000679D1">
              <w:rPr>
                <w:sz w:val="16"/>
                <w:szCs w:val="16"/>
                <w:lang w:val="en-US"/>
              </w:rPr>
              <w:instrText>ADDIN CSL_CITATION {"citationItems":[{"id":"ITEM-1","itemData":{"DOI":"10.1016/j.bbmt.2018.11.023","ISSN":"15236536","PMID":"30481595","abstract":"Patients undergoing stem cell transplant (SCT)for the treatment of hematologic malignancy are at increased risk for central line–associated bloodstream infections (CLABSIs). The use of prophylactic antibiotics to prevent CLABSIs in the setting of autologous SCT is of unclear benefit. We aimed to evaluate the impact of levofloxacin prophylaxis on reducing CLABSIs in this high-risk population. Patients undergoing autologous SCT at a tertiary care hospital received levofloxacin prophylaxis from January 13, 2016 to January 12, 2017. Levofloxacin was administered from autologous SCT (day 0)until day 13, absolute neutrophil count &gt; 500/mm 3 , or neutropenic fever, whichever occurred first. Clinical outcomes were compared with a baseline group who underwent autologous SCT but did not receive antibacterial prophylaxis during the previous year. The primary endpoint was incidence of CLABSIs assessed using Cox proportional hazards regression. A total of 324 patients underwent autologous SCT during the entire study period, with 150 receiving levofloxacin prophylaxis during the intervention period. The rate of CLABSIs was reduced from 18.4% during the baseline period to 6.0% during the intervention period. On multivariable analysis levofloxacin prophylaxis significantly reduced CLABSI incidence (hazard ratio,.33; 95% confidence interval [CI],.16 to.69; P =.003). There was also a reduction in the risk of neutropenic fever (odds ratio [OR],.23; 95% CI,.14 to.39; P &lt;.001)and a trend toward a reduction in intensive care unit transfer for sepsis (OR,.33; 95% CI,.09 to 1.24; P =.10)in patients receiving levofloxacin prophylaxis. Notably, there was no increase in Clostridium difficile infection in the levofloxacin group (OR,.66; 95% CI,.29 to 1.49; P =.32). Levofloxacin prophylaxis was effective in reducing CLABSIs and neutropenic fever in patients undergoing autologous SCT. Further studies are needed to identify specific patient groups who will benefit most from antibiotic prophylaxis.","author":[{"dropping-particle":"","family":"Ziegler","given":"Matthew","non-dropping-particle":"","parse-names":false,"suffix":""},{"dropping-particle":"","family":"Landsburg","given":"Daniel","non-dropping-particle":"","parse-names":false,"suffix":""},{"dropping-particle":"","family":"Pegues","given":"David","non-dropping-particle":"","parse-names":false,"suffix":""},{"dropping-particle":"","family":"Bilker","given":"Warren","non-dropping-particle":"","parse-names":false,"suffix":""},{"dropping-particle":"","family":"Gilmar","given":"Cheryl","non-dropping-particle":"","parse-names":false,"suffix":""},{"dropping-particle":"","family":"Kucharczuk","given":"Colleen","non-dropping-particle":"","parse-names":false,"suffix":""},{"dropping-particle":"","family":"Gorman","given":"Theresa","non-dropping-particle":"","parse-names":false,"suffix":""},{"dropping-particle":"","family":"Bink","given":"Kristen","non-dropping-particle":"","parse-names":false,"suffix":""},{"dropping-particle":"","family":"Moore","given":"Amy","non-dropping-particle":"","parse-names":false,"suffix":""},{"dropping-particle":"","family":"Fitzpatrick","given":"Rebecca","non-dropping-particle":"","parse-names":false,"suffix":""},{"dropping-particle":"","family":"Stadtmauer","given":"Edward A.","non-dropping-particle":"","parse-names":false,"suffix":""},{"dropping-particle":"","family":"Mangan","given":"Patricia","non-dropping-particle":"","parse-names":false,"suffix":""},{"dropping-particle":"","family":"Kraus","given":"Kelly","non-dropping-particle":"","parse-names":false,"suffix":""},{"dropping-particle":"","family":"Han","given":"Jennifer H.","non-dropping-particle":"","parse-names":false,"suffix":""}],"container-title":"Biology of Blood and Marrow Transplantation","id":"ITEM-1","issue":"5","issued":{"date-parts":[["2019"]]},"page":"1004-1010","publisher":"Elsevier Inc.","title":"Fluoroquinolone Prophylaxis Is Highly Effective for the Prevention of Central Line–Associated Bloodstream Infections in Autologous Stem Cell Transplant Patients","type":"article-journal","volume":"25"},"uris":["http://www.mendeley.com/documents/?uuid=46510975-100e-466e-be72-07d636104956"]}],"mendeley":{"formattedCitation":"&lt;sup&gt;48&lt;/sup&gt;","plainTextFormattedCitation":"48","previouslyFormattedCitation":"&lt;sup&gt;48&lt;/sup&gt;"},"properties":{"noteIndex":0},"schema":"https://github.com/citation-style-language/schema/raw/master/csl-citation.json"}</w:instrText>
            </w:r>
            <w:r>
              <w:rPr>
                <w:sz w:val="16"/>
                <w:szCs w:val="16"/>
                <w:lang w:val="en-US"/>
              </w:rPr>
              <w:fldChar w:fldCharType="separate"/>
            </w:r>
            <w:r w:rsidRPr="009066CC">
              <w:rPr>
                <w:noProof/>
                <w:sz w:val="16"/>
                <w:szCs w:val="16"/>
                <w:vertAlign w:val="superscript"/>
                <w:lang w:val="en-US"/>
              </w:rPr>
              <w:t>48</w:t>
            </w:r>
            <w:r>
              <w:rPr>
                <w:sz w:val="16"/>
                <w:szCs w:val="16"/>
                <w:lang w:val="en-US"/>
              </w:rPr>
              <w:fldChar w:fldCharType="end"/>
            </w:r>
          </w:p>
        </w:tc>
        <w:tc>
          <w:tcPr>
            <w:tcW w:w="0" w:type="auto"/>
            <w:vAlign w:val="center"/>
          </w:tcPr>
          <w:p w14:paraId="4B3F10A3" w14:textId="71CFE9B3" w:rsidR="009066CC" w:rsidRPr="00490DD4" w:rsidRDefault="009066CC" w:rsidP="00376C8E">
            <w:pPr>
              <w:jc w:val="center"/>
              <w:rPr>
                <w:color w:val="000000" w:themeColor="text1"/>
                <w:sz w:val="16"/>
                <w:szCs w:val="16"/>
                <w:lang w:val="en-US"/>
              </w:rPr>
            </w:pPr>
            <w:r w:rsidRPr="003F32CA">
              <w:rPr>
                <w:sz w:val="16"/>
                <w:szCs w:val="16"/>
                <w:lang w:val="en-US"/>
              </w:rPr>
              <w:t>Retrospective; single center; USA</w:t>
            </w:r>
          </w:p>
        </w:tc>
        <w:tc>
          <w:tcPr>
            <w:tcW w:w="0" w:type="auto"/>
            <w:vAlign w:val="center"/>
          </w:tcPr>
          <w:p w14:paraId="13F5C012" w14:textId="5DD826D1" w:rsidR="009066CC" w:rsidRPr="00490DD4" w:rsidRDefault="009066CC" w:rsidP="00376C8E">
            <w:pPr>
              <w:jc w:val="center"/>
              <w:rPr>
                <w:color w:val="000000" w:themeColor="text1"/>
                <w:sz w:val="16"/>
                <w:szCs w:val="16"/>
                <w:lang w:val="en-US"/>
              </w:rPr>
            </w:pPr>
            <w:r w:rsidRPr="00313A98">
              <w:rPr>
                <w:color w:val="000000" w:themeColor="text1"/>
                <w:sz w:val="16"/>
                <w:szCs w:val="16"/>
                <w:lang w:val="en-US"/>
              </w:rPr>
              <w:t xml:space="preserve">Auto </w:t>
            </w:r>
            <w:r w:rsidR="008901EF">
              <w:rPr>
                <w:color w:val="000000" w:themeColor="text1"/>
                <w:sz w:val="16"/>
                <w:szCs w:val="16"/>
                <w:lang w:val="en-US"/>
              </w:rPr>
              <w:t>HCT</w:t>
            </w:r>
            <w:r w:rsidRPr="00313A98">
              <w:rPr>
                <w:color w:val="000000" w:themeColor="text1"/>
                <w:sz w:val="16"/>
                <w:szCs w:val="16"/>
                <w:lang w:val="en-US"/>
              </w:rPr>
              <w:t xml:space="preserve"> (n = 324)</w:t>
            </w:r>
            <w:r>
              <w:rPr>
                <w:color w:val="000000" w:themeColor="text1"/>
                <w:sz w:val="16"/>
                <w:szCs w:val="16"/>
                <w:lang w:val="en-US"/>
              </w:rPr>
              <w:t xml:space="preserve"> [adult]</w:t>
            </w:r>
          </w:p>
        </w:tc>
        <w:tc>
          <w:tcPr>
            <w:tcW w:w="0" w:type="auto"/>
            <w:vAlign w:val="center"/>
          </w:tcPr>
          <w:p w14:paraId="55D6300E" w14:textId="2538C3D6" w:rsidR="009066CC" w:rsidRDefault="009066CC" w:rsidP="00376C8E">
            <w:pPr>
              <w:jc w:val="center"/>
              <w:rPr>
                <w:color w:val="000000" w:themeColor="text1"/>
                <w:sz w:val="16"/>
                <w:szCs w:val="16"/>
                <w:lang w:val="en-US"/>
              </w:rPr>
            </w:pPr>
            <w:r>
              <w:rPr>
                <w:color w:val="000000" w:themeColor="text1"/>
                <w:sz w:val="16"/>
                <w:szCs w:val="16"/>
                <w:lang w:val="en-US"/>
              </w:rPr>
              <w:t>Levofloxacin</w:t>
            </w:r>
          </w:p>
        </w:tc>
        <w:tc>
          <w:tcPr>
            <w:tcW w:w="0" w:type="auto"/>
            <w:vAlign w:val="center"/>
          </w:tcPr>
          <w:p w14:paraId="14FE67CC" w14:textId="2E5F3CD2" w:rsidR="009066CC" w:rsidRDefault="009066CC" w:rsidP="00376C8E">
            <w:pPr>
              <w:jc w:val="center"/>
              <w:rPr>
                <w:color w:val="000000" w:themeColor="text1"/>
                <w:sz w:val="16"/>
                <w:szCs w:val="16"/>
                <w:lang w:val="en-US"/>
              </w:rPr>
            </w:pPr>
            <w:r>
              <w:rPr>
                <w:color w:val="000000" w:themeColor="text1"/>
                <w:sz w:val="16"/>
                <w:szCs w:val="16"/>
                <w:lang w:val="en-US"/>
              </w:rPr>
              <w:t>Decreased</w:t>
            </w:r>
          </w:p>
        </w:tc>
        <w:tc>
          <w:tcPr>
            <w:tcW w:w="0" w:type="auto"/>
            <w:vAlign w:val="center"/>
          </w:tcPr>
          <w:p w14:paraId="31D63BB2" w14:textId="16AD2061" w:rsidR="009066CC" w:rsidRDefault="009066CC" w:rsidP="00376C8E">
            <w:pPr>
              <w:jc w:val="center"/>
              <w:rPr>
                <w:color w:val="000000" w:themeColor="text1"/>
                <w:sz w:val="16"/>
                <w:szCs w:val="16"/>
                <w:lang w:val="en-US"/>
              </w:rPr>
            </w:pPr>
            <w:r>
              <w:rPr>
                <w:color w:val="000000" w:themeColor="text1"/>
                <w:sz w:val="16"/>
                <w:szCs w:val="16"/>
                <w:lang w:val="en-US"/>
              </w:rPr>
              <w:t>NA</w:t>
            </w:r>
          </w:p>
        </w:tc>
        <w:tc>
          <w:tcPr>
            <w:tcW w:w="0" w:type="auto"/>
            <w:vAlign w:val="center"/>
          </w:tcPr>
          <w:p w14:paraId="1FD22F7D" w14:textId="0ABFE5C9" w:rsidR="009066CC" w:rsidRDefault="009066CC" w:rsidP="00376C8E">
            <w:pPr>
              <w:jc w:val="center"/>
              <w:rPr>
                <w:color w:val="000000" w:themeColor="text1"/>
                <w:sz w:val="16"/>
                <w:szCs w:val="16"/>
                <w:lang w:val="en-US"/>
              </w:rPr>
            </w:pPr>
            <w:r>
              <w:rPr>
                <w:color w:val="000000" w:themeColor="text1"/>
                <w:sz w:val="16"/>
                <w:szCs w:val="16"/>
                <w:lang w:val="en-US"/>
              </w:rPr>
              <w:t>NA</w:t>
            </w:r>
          </w:p>
        </w:tc>
      </w:tr>
    </w:tbl>
    <w:p w14:paraId="63F8DE4D" w14:textId="2838A4E6" w:rsidR="00E82407" w:rsidRDefault="00CA4985" w:rsidP="007C5F11">
      <w:pPr>
        <w:jc w:val="both"/>
        <w:rPr>
          <w:b/>
          <w:bCs/>
          <w:color w:val="000000" w:themeColor="text1"/>
          <w:lang w:val="en-US"/>
        </w:rPr>
      </w:pPr>
      <w:r w:rsidRPr="00DE1C3A">
        <w:rPr>
          <w:color w:val="000000" w:themeColor="text1"/>
          <w:sz w:val="20"/>
          <w:szCs w:val="20"/>
          <w:lang w:val="en-US"/>
        </w:rPr>
        <w:t>RCT, randomized controlled trial; FQ, fluoroquinolones</w:t>
      </w:r>
      <w:r>
        <w:rPr>
          <w:color w:val="000000" w:themeColor="text1"/>
          <w:sz w:val="20"/>
          <w:szCs w:val="20"/>
          <w:lang w:val="en-US"/>
        </w:rPr>
        <w:t xml:space="preserve">; n = number; NA, not addressed; BSI, bloodstream infections; GN, gram-negative; R-BSI, resistant BSI; auto, autologous; </w:t>
      </w:r>
      <w:proofErr w:type="spellStart"/>
      <w:r>
        <w:rPr>
          <w:color w:val="000000" w:themeColor="text1"/>
          <w:sz w:val="20"/>
          <w:szCs w:val="20"/>
          <w:lang w:val="en-US"/>
        </w:rPr>
        <w:t>allo</w:t>
      </w:r>
      <w:proofErr w:type="spellEnd"/>
      <w:r>
        <w:rPr>
          <w:color w:val="000000" w:themeColor="text1"/>
          <w:sz w:val="20"/>
          <w:szCs w:val="20"/>
          <w:lang w:val="en-US"/>
        </w:rPr>
        <w:t>, allogenic, HCT, hematopoietic cell transplantation; HM, hematologic malignancies; MM, multiple myeloma; AL, acute leukemia; ALL, acute lymphoblastic leukemia; AML, acute myeloid leukemia; FQ-R, fluoroquinolone resistan</w:t>
      </w:r>
      <w:r w:rsidR="00FB1162">
        <w:rPr>
          <w:color w:val="000000" w:themeColor="text1"/>
          <w:sz w:val="20"/>
          <w:szCs w:val="20"/>
          <w:lang w:val="en-US"/>
        </w:rPr>
        <w:t>ce</w:t>
      </w:r>
      <w:r>
        <w:rPr>
          <w:color w:val="000000" w:themeColor="text1"/>
          <w:sz w:val="20"/>
          <w:szCs w:val="20"/>
          <w:lang w:val="en-US"/>
        </w:rPr>
        <w:t xml:space="preserve">; MRSA, methicillin-resistant </w:t>
      </w:r>
      <w:r w:rsidR="00FB1162" w:rsidRPr="00AB0CDA">
        <w:rPr>
          <w:i/>
          <w:iCs/>
          <w:color w:val="000000" w:themeColor="text1"/>
          <w:sz w:val="20"/>
          <w:szCs w:val="20"/>
          <w:lang w:val="en-US"/>
        </w:rPr>
        <w:t>S</w:t>
      </w:r>
      <w:r w:rsidRPr="00AB0CDA">
        <w:rPr>
          <w:i/>
          <w:iCs/>
          <w:color w:val="000000" w:themeColor="text1"/>
          <w:sz w:val="20"/>
          <w:szCs w:val="20"/>
          <w:lang w:val="en-US"/>
        </w:rPr>
        <w:t>taphylococcus aureus</w:t>
      </w:r>
      <w:r>
        <w:rPr>
          <w:color w:val="000000" w:themeColor="text1"/>
          <w:sz w:val="20"/>
          <w:szCs w:val="20"/>
          <w:lang w:val="en-US"/>
        </w:rPr>
        <w:t xml:space="preserve">; CR, carbapenem resistant; MDR, multidrug resistant; </w:t>
      </w:r>
      <w:r w:rsidRPr="0044239F">
        <w:rPr>
          <w:color w:val="000000" w:themeColor="text1"/>
          <w:sz w:val="20"/>
          <w:szCs w:val="20"/>
          <w:lang w:val="en-US"/>
        </w:rPr>
        <w:t>ESBL/3GCR, Extended-Spectrum Beta-Lactamases-producing / 3</w:t>
      </w:r>
      <w:r w:rsidRPr="0044239F">
        <w:rPr>
          <w:color w:val="000000" w:themeColor="text1"/>
          <w:sz w:val="20"/>
          <w:szCs w:val="20"/>
          <w:vertAlign w:val="superscript"/>
          <w:lang w:val="en-US"/>
        </w:rPr>
        <w:t>rd</w:t>
      </w:r>
      <w:r w:rsidRPr="0044239F">
        <w:rPr>
          <w:color w:val="000000" w:themeColor="text1"/>
          <w:sz w:val="20"/>
          <w:szCs w:val="20"/>
          <w:lang w:val="en-US"/>
        </w:rPr>
        <w:t xml:space="preserve"> generation cephalosporin-resistant;</w:t>
      </w:r>
      <w:r>
        <w:rPr>
          <w:color w:val="000000" w:themeColor="text1"/>
          <w:sz w:val="20"/>
          <w:szCs w:val="20"/>
          <w:lang w:val="en-US"/>
        </w:rPr>
        <w:t xml:space="preserve"> </w:t>
      </w:r>
      <w:proofErr w:type="spellStart"/>
      <w:r>
        <w:rPr>
          <w:color w:val="000000" w:themeColor="text1"/>
          <w:sz w:val="20"/>
          <w:szCs w:val="20"/>
          <w:lang w:val="en-US"/>
        </w:rPr>
        <w:t>PsA</w:t>
      </w:r>
      <w:proofErr w:type="spellEnd"/>
      <w:r>
        <w:rPr>
          <w:color w:val="000000" w:themeColor="text1"/>
          <w:sz w:val="20"/>
          <w:szCs w:val="20"/>
          <w:lang w:val="en-US"/>
        </w:rPr>
        <w:t xml:space="preserve">, </w:t>
      </w:r>
      <w:r w:rsidRPr="00AB0CDA">
        <w:rPr>
          <w:i/>
          <w:iCs/>
          <w:color w:val="000000" w:themeColor="text1"/>
          <w:sz w:val="20"/>
          <w:szCs w:val="20"/>
          <w:lang w:val="en-US"/>
        </w:rPr>
        <w:t>Pseudomonas aeruginosa</w:t>
      </w:r>
      <w:r w:rsidR="00FB1162">
        <w:rPr>
          <w:b/>
          <w:bCs/>
          <w:color w:val="000000" w:themeColor="text1"/>
          <w:lang w:val="en-US"/>
        </w:rPr>
        <w:br w:type="page"/>
      </w:r>
    </w:p>
    <w:p w14:paraId="53D068B1" w14:textId="4F916753" w:rsidR="00FB1162" w:rsidRPr="009A73C6" w:rsidRDefault="00E7282B" w:rsidP="00E7282B">
      <w:pPr>
        <w:spacing w:line="360" w:lineRule="auto"/>
        <w:jc w:val="both"/>
        <w:rPr>
          <w:color w:val="000000" w:themeColor="text1"/>
          <w:sz w:val="20"/>
          <w:szCs w:val="20"/>
          <w:lang w:val="en-US"/>
        </w:rPr>
      </w:pPr>
      <w:r w:rsidRPr="009A73C6">
        <w:rPr>
          <w:b/>
          <w:bCs/>
          <w:color w:val="000000" w:themeColor="text1"/>
          <w:sz w:val="20"/>
          <w:szCs w:val="20"/>
          <w:lang w:val="en-US"/>
        </w:rPr>
        <w:lastRenderedPageBreak/>
        <w:t>Supplementary Table S</w:t>
      </w:r>
      <w:r w:rsidR="000E23C2">
        <w:rPr>
          <w:b/>
          <w:bCs/>
          <w:color w:val="000000" w:themeColor="text1"/>
          <w:sz w:val="20"/>
          <w:szCs w:val="20"/>
          <w:lang w:val="en-US"/>
        </w:rPr>
        <w:t>5</w:t>
      </w:r>
      <w:r w:rsidRPr="009A73C6">
        <w:rPr>
          <w:color w:val="000000" w:themeColor="text1"/>
          <w:sz w:val="20"/>
          <w:szCs w:val="20"/>
          <w:lang w:val="en-US"/>
        </w:rPr>
        <w:t xml:space="preserve">. </w:t>
      </w:r>
      <w:r w:rsidR="002D31D5" w:rsidRPr="002D31D5">
        <w:rPr>
          <w:color w:val="000000" w:themeColor="text1"/>
          <w:sz w:val="20"/>
          <w:szCs w:val="20"/>
          <w:lang w:val="en-US"/>
        </w:rPr>
        <w:t>Characteristics and</w:t>
      </w:r>
      <w:r w:rsidR="00D27B51">
        <w:rPr>
          <w:color w:val="000000" w:themeColor="text1"/>
          <w:sz w:val="20"/>
          <w:szCs w:val="20"/>
          <w:lang w:val="en-US"/>
        </w:rPr>
        <w:t xml:space="preserve"> main </w:t>
      </w:r>
      <w:r w:rsidR="002D31D5" w:rsidRPr="002D31D5">
        <w:rPr>
          <w:color w:val="000000" w:themeColor="text1"/>
          <w:sz w:val="20"/>
          <w:szCs w:val="20"/>
          <w:lang w:val="en-US"/>
        </w:rPr>
        <w:t xml:space="preserve">findings of studies </w:t>
      </w:r>
      <w:r w:rsidR="002D31D5">
        <w:rPr>
          <w:color w:val="000000" w:themeColor="text1"/>
          <w:sz w:val="20"/>
          <w:szCs w:val="20"/>
          <w:lang w:val="en-US"/>
        </w:rPr>
        <w:t xml:space="preserve">examining </w:t>
      </w:r>
      <w:r w:rsidRPr="009A73C6">
        <w:rPr>
          <w:color w:val="000000" w:themeColor="text1"/>
          <w:sz w:val="20"/>
          <w:szCs w:val="20"/>
          <w:lang w:val="en-US"/>
        </w:rPr>
        <w:t>the rate</w:t>
      </w:r>
      <w:r w:rsidR="002D31D5">
        <w:rPr>
          <w:color w:val="000000" w:themeColor="text1"/>
          <w:sz w:val="20"/>
          <w:szCs w:val="20"/>
          <w:lang w:val="en-US"/>
        </w:rPr>
        <w:t>s</w:t>
      </w:r>
      <w:r w:rsidRPr="009A73C6">
        <w:rPr>
          <w:color w:val="000000" w:themeColor="text1"/>
          <w:sz w:val="20"/>
          <w:szCs w:val="20"/>
          <w:lang w:val="en-US"/>
        </w:rPr>
        <w:t xml:space="preserve"> of </w:t>
      </w:r>
      <w:r w:rsidR="002D31D5">
        <w:rPr>
          <w:color w:val="000000" w:themeColor="text1"/>
          <w:sz w:val="20"/>
          <w:szCs w:val="20"/>
          <w:lang w:val="en-US"/>
        </w:rPr>
        <w:t>bloodstream infections (</w:t>
      </w:r>
      <w:r w:rsidRPr="009A73C6">
        <w:rPr>
          <w:color w:val="000000" w:themeColor="text1"/>
          <w:sz w:val="20"/>
          <w:szCs w:val="20"/>
          <w:lang w:val="en-US"/>
        </w:rPr>
        <w:t>BSI</w:t>
      </w:r>
      <w:r w:rsidR="002D31D5">
        <w:rPr>
          <w:color w:val="000000" w:themeColor="text1"/>
          <w:sz w:val="20"/>
          <w:szCs w:val="20"/>
          <w:lang w:val="en-US"/>
        </w:rPr>
        <w:t>)</w:t>
      </w:r>
      <w:r w:rsidRPr="009A73C6">
        <w:rPr>
          <w:color w:val="000000" w:themeColor="text1"/>
          <w:sz w:val="20"/>
          <w:szCs w:val="20"/>
          <w:lang w:val="en-US"/>
        </w:rPr>
        <w:t>, G</w:t>
      </w:r>
      <w:r w:rsidR="002D31D5">
        <w:rPr>
          <w:color w:val="000000" w:themeColor="text1"/>
          <w:sz w:val="20"/>
          <w:szCs w:val="20"/>
          <w:lang w:val="en-US"/>
        </w:rPr>
        <w:t>ram-negative (</w:t>
      </w:r>
      <w:r w:rsidRPr="009A73C6">
        <w:rPr>
          <w:color w:val="000000" w:themeColor="text1"/>
          <w:sz w:val="20"/>
          <w:szCs w:val="20"/>
          <w:lang w:val="en-US"/>
        </w:rPr>
        <w:t>GN</w:t>
      </w:r>
      <w:r w:rsidR="002D31D5">
        <w:rPr>
          <w:color w:val="000000" w:themeColor="text1"/>
          <w:sz w:val="20"/>
          <w:szCs w:val="20"/>
          <w:lang w:val="en-US"/>
        </w:rPr>
        <w:t xml:space="preserve">) and Gram-positive (GP) </w:t>
      </w:r>
      <w:r w:rsidRPr="009A73C6">
        <w:rPr>
          <w:color w:val="000000" w:themeColor="text1"/>
          <w:sz w:val="20"/>
          <w:szCs w:val="20"/>
          <w:lang w:val="en-US"/>
        </w:rPr>
        <w:t xml:space="preserve">BSI and BSI </w:t>
      </w:r>
      <w:r w:rsidR="002D31D5">
        <w:rPr>
          <w:color w:val="000000" w:themeColor="text1"/>
          <w:sz w:val="20"/>
          <w:szCs w:val="20"/>
          <w:lang w:val="en-US"/>
        </w:rPr>
        <w:t xml:space="preserve">caused </w:t>
      </w:r>
      <w:r w:rsidRPr="009A73C6">
        <w:rPr>
          <w:color w:val="000000" w:themeColor="text1"/>
          <w:sz w:val="20"/>
          <w:szCs w:val="20"/>
          <w:lang w:val="en-US"/>
        </w:rPr>
        <w:t>by resistant bacteria.</w:t>
      </w:r>
      <w:r w:rsidR="00A3702B">
        <w:rPr>
          <w:color w:val="000000" w:themeColor="text1"/>
          <w:sz w:val="20"/>
          <w:szCs w:val="20"/>
          <w:lang w:val="en-US"/>
        </w:rPr>
        <w:t xml:space="preserve"> </w:t>
      </w:r>
    </w:p>
    <w:tbl>
      <w:tblPr>
        <w:tblStyle w:val="Grigliatabella"/>
        <w:tblW w:w="0" w:type="auto"/>
        <w:tblLook w:val="04A0" w:firstRow="1" w:lastRow="0" w:firstColumn="1" w:lastColumn="0" w:noHBand="0" w:noVBand="1"/>
      </w:tblPr>
      <w:tblGrid>
        <w:gridCol w:w="1037"/>
        <w:gridCol w:w="1156"/>
        <w:gridCol w:w="981"/>
        <w:gridCol w:w="1613"/>
        <w:gridCol w:w="1253"/>
        <w:gridCol w:w="1015"/>
        <w:gridCol w:w="1031"/>
        <w:gridCol w:w="701"/>
        <w:gridCol w:w="835"/>
      </w:tblGrid>
      <w:tr w:rsidR="003F32CA" w:rsidRPr="00F20444" w14:paraId="4250F60F" w14:textId="2B1DD358" w:rsidTr="007C5F11">
        <w:trPr>
          <w:trHeight w:val="516"/>
        </w:trPr>
        <w:tc>
          <w:tcPr>
            <w:tcW w:w="0" w:type="auto"/>
            <w:vAlign w:val="center"/>
          </w:tcPr>
          <w:p w14:paraId="359BA06E" w14:textId="5D3F4FFE" w:rsidR="00D43EF9" w:rsidRPr="00A3702B" w:rsidRDefault="00D43EF9" w:rsidP="00AB0CDA">
            <w:pPr>
              <w:spacing w:line="360" w:lineRule="auto"/>
              <w:jc w:val="center"/>
              <w:rPr>
                <w:b/>
                <w:bCs/>
                <w:color w:val="000000" w:themeColor="text1"/>
                <w:sz w:val="16"/>
                <w:szCs w:val="16"/>
                <w:lang w:val="en-US"/>
              </w:rPr>
            </w:pPr>
            <w:r w:rsidRPr="00A3702B">
              <w:rPr>
                <w:b/>
                <w:bCs/>
                <w:color w:val="000000" w:themeColor="text1"/>
                <w:sz w:val="16"/>
                <w:szCs w:val="16"/>
                <w:lang w:val="en-US"/>
              </w:rPr>
              <w:t>First author, Year</w:t>
            </w:r>
          </w:p>
        </w:tc>
        <w:tc>
          <w:tcPr>
            <w:tcW w:w="0" w:type="auto"/>
            <w:vAlign w:val="center"/>
          </w:tcPr>
          <w:p w14:paraId="2E666398" w14:textId="73731EB2" w:rsidR="00D43EF9" w:rsidRPr="00A3702B" w:rsidRDefault="00F6654F" w:rsidP="00AB0CDA">
            <w:pPr>
              <w:spacing w:line="360" w:lineRule="auto"/>
              <w:jc w:val="center"/>
              <w:rPr>
                <w:b/>
                <w:bCs/>
                <w:color w:val="000000" w:themeColor="text1"/>
                <w:sz w:val="16"/>
                <w:szCs w:val="16"/>
                <w:lang w:val="en-US"/>
              </w:rPr>
            </w:pPr>
            <w:r>
              <w:rPr>
                <w:b/>
                <w:bCs/>
                <w:color w:val="000000" w:themeColor="text1"/>
                <w:sz w:val="16"/>
                <w:szCs w:val="16"/>
                <w:lang w:val="en-US"/>
              </w:rPr>
              <w:t>Endpoints (number of patients)</w:t>
            </w:r>
          </w:p>
        </w:tc>
        <w:tc>
          <w:tcPr>
            <w:tcW w:w="0" w:type="auto"/>
            <w:vAlign w:val="center"/>
          </w:tcPr>
          <w:p w14:paraId="1DC4F6BC" w14:textId="77777777" w:rsidR="002C5C0E" w:rsidRDefault="002C5C0E" w:rsidP="009D2548">
            <w:pPr>
              <w:spacing w:line="360" w:lineRule="auto"/>
              <w:jc w:val="center"/>
              <w:rPr>
                <w:b/>
                <w:bCs/>
                <w:color w:val="000000" w:themeColor="text1"/>
                <w:sz w:val="16"/>
                <w:szCs w:val="16"/>
                <w:lang w:val="en-US"/>
              </w:rPr>
            </w:pPr>
            <w:r>
              <w:rPr>
                <w:b/>
                <w:bCs/>
                <w:color w:val="000000" w:themeColor="text1"/>
                <w:sz w:val="16"/>
                <w:szCs w:val="16"/>
                <w:lang w:val="en-US"/>
              </w:rPr>
              <w:t xml:space="preserve">GN </w:t>
            </w:r>
            <w:r w:rsidR="00D43EF9">
              <w:rPr>
                <w:b/>
                <w:bCs/>
                <w:color w:val="000000" w:themeColor="text1"/>
                <w:sz w:val="16"/>
                <w:szCs w:val="16"/>
                <w:lang w:val="en-US"/>
              </w:rPr>
              <w:t>BSI</w:t>
            </w:r>
          </w:p>
          <w:p w14:paraId="62CBACC6" w14:textId="493A3CDA" w:rsidR="00D43EF9" w:rsidRPr="00A3702B" w:rsidRDefault="00D43EF9" w:rsidP="00AB0CDA">
            <w:pPr>
              <w:spacing w:line="360" w:lineRule="auto"/>
              <w:jc w:val="center"/>
              <w:rPr>
                <w:b/>
                <w:bCs/>
                <w:color w:val="000000" w:themeColor="text1"/>
                <w:sz w:val="16"/>
                <w:szCs w:val="16"/>
                <w:lang w:val="en-US"/>
              </w:rPr>
            </w:pPr>
            <w:r>
              <w:rPr>
                <w:b/>
                <w:bCs/>
                <w:color w:val="000000" w:themeColor="text1"/>
                <w:sz w:val="16"/>
                <w:szCs w:val="16"/>
                <w:lang w:val="en-US"/>
              </w:rPr>
              <w:t xml:space="preserve"> (%; n/n) </w:t>
            </w:r>
          </w:p>
        </w:tc>
        <w:tc>
          <w:tcPr>
            <w:tcW w:w="0" w:type="auto"/>
            <w:vAlign w:val="center"/>
          </w:tcPr>
          <w:p w14:paraId="29078A93" w14:textId="5A3D5E5F" w:rsidR="00D43EF9" w:rsidRPr="00A3702B" w:rsidRDefault="00D43EF9" w:rsidP="00AB0CDA">
            <w:pPr>
              <w:spacing w:line="360" w:lineRule="auto"/>
              <w:jc w:val="center"/>
              <w:rPr>
                <w:b/>
                <w:bCs/>
                <w:color w:val="000000" w:themeColor="text1"/>
                <w:sz w:val="16"/>
                <w:szCs w:val="16"/>
                <w:lang w:val="en-US"/>
              </w:rPr>
            </w:pPr>
            <w:r w:rsidRPr="00A3702B">
              <w:rPr>
                <w:b/>
                <w:bCs/>
                <w:color w:val="000000" w:themeColor="text1"/>
                <w:sz w:val="16"/>
                <w:szCs w:val="16"/>
                <w:lang w:val="en-US"/>
              </w:rPr>
              <w:t xml:space="preserve">FQ-R </w:t>
            </w:r>
            <w:r w:rsidR="002C5C0E">
              <w:rPr>
                <w:b/>
                <w:bCs/>
                <w:color w:val="000000" w:themeColor="text1"/>
                <w:sz w:val="16"/>
                <w:szCs w:val="16"/>
                <w:lang w:val="en-US"/>
              </w:rPr>
              <w:t xml:space="preserve">BSI </w:t>
            </w:r>
            <w:r w:rsidRPr="00A3702B">
              <w:rPr>
                <w:b/>
                <w:bCs/>
                <w:color w:val="000000" w:themeColor="text1"/>
                <w:sz w:val="16"/>
                <w:szCs w:val="16"/>
                <w:lang w:val="en-US"/>
              </w:rPr>
              <w:t>(%; n/n)</w:t>
            </w:r>
          </w:p>
        </w:tc>
        <w:tc>
          <w:tcPr>
            <w:tcW w:w="0" w:type="auto"/>
            <w:vAlign w:val="center"/>
          </w:tcPr>
          <w:p w14:paraId="215BE067" w14:textId="7F5A40EB" w:rsidR="00D43EF9" w:rsidRPr="00A3702B" w:rsidRDefault="00D43EF9" w:rsidP="00AB0CDA">
            <w:pPr>
              <w:spacing w:line="360" w:lineRule="auto"/>
              <w:jc w:val="center"/>
              <w:rPr>
                <w:b/>
                <w:bCs/>
                <w:color w:val="000000" w:themeColor="text1"/>
                <w:sz w:val="16"/>
                <w:szCs w:val="16"/>
                <w:lang w:val="en-US"/>
              </w:rPr>
            </w:pPr>
            <w:r w:rsidRPr="00A3702B">
              <w:rPr>
                <w:b/>
                <w:bCs/>
                <w:color w:val="000000" w:themeColor="text1"/>
                <w:sz w:val="16"/>
                <w:szCs w:val="16"/>
                <w:lang w:val="en-US"/>
              </w:rPr>
              <w:t xml:space="preserve">ESBL/3GCR </w:t>
            </w:r>
            <w:r w:rsidR="002C5C0E">
              <w:rPr>
                <w:b/>
                <w:bCs/>
                <w:color w:val="000000" w:themeColor="text1"/>
                <w:sz w:val="16"/>
                <w:szCs w:val="16"/>
                <w:lang w:val="en-US"/>
              </w:rPr>
              <w:t xml:space="preserve">BSI </w:t>
            </w:r>
            <w:r w:rsidRPr="00A3702B">
              <w:rPr>
                <w:b/>
                <w:bCs/>
                <w:color w:val="000000" w:themeColor="text1"/>
                <w:sz w:val="16"/>
                <w:szCs w:val="16"/>
                <w:lang w:val="en-US"/>
              </w:rPr>
              <w:t>(%; n/n)</w:t>
            </w:r>
          </w:p>
        </w:tc>
        <w:tc>
          <w:tcPr>
            <w:tcW w:w="0" w:type="auto"/>
            <w:vAlign w:val="center"/>
          </w:tcPr>
          <w:p w14:paraId="48D72378" w14:textId="77777777" w:rsidR="002C5C0E" w:rsidRDefault="00D43EF9" w:rsidP="009D2548">
            <w:pPr>
              <w:spacing w:line="360" w:lineRule="auto"/>
              <w:jc w:val="center"/>
              <w:rPr>
                <w:b/>
                <w:bCs/>
                <w:color w:val="000000" w:themeColor="text1"/>
                <w:sz w:val="16"/>
                <w:szCs w:val="16"/>
                <w:lang w:val="en-US"/>
              </w:rPr>
            </w:pPr>
            <w:r w:rsidRPr="00A3702B">
              <w:rPr>
                <w:b/>
                <w:bCs/>
                <w:color w:val="000000" w:themeColor="text1"/>
                <w:sz w:val="16"/>
                <w:szCs w:val="16"/>
                <w:lang w:val="en-US"/>
              </w:rPr>
              <w:t xml:space="preserve">CR </w:t>
            </w:r>
            <w:r w:rsidR="002C5C0E">
              <w:rPr>
                <w:b/>
                <w:bCs/>
                <w:color w:val="000000" w:themeColor="text1"/>
                <w:sz w:val="16"/>
                <w:szCs w:val="16"/>
                <w:lang w:val="en-US"/>
              </w:rPr>
              <w:t>BSI</w:t>
            </w:r>
          </w:p>
          <w:p w14:paraId="5CBC8F55" w14:textId="4479727A" w:rsidR="00D43EF9" w:rsidRPr="00A3702B" w:rsidRDefault="002C5C0E" w:rsidP="00AB0CDA">
            <w:pPr>
              <w:spacing w:line="360" w:lineRule="auto"/>
              <w:jc w:val="center"/>
              <w:rPr>
                <w:b/>
                <w:bCs/>
                <w:color w:val="000000" w:themeColor="text1"/>
                <w:sz w:val="16"/>
                <w:szCs w:val="16"/>
                <w:lang w:val="en-US"/>
              </w:rPr>
            </w:pPr>
            <w:r>
              <w:rPr>
                <w:b/>
                <w:bCs/>
                <w:color w:val="000000" w:themeColor="text1"/>
                <w:sz w:val="16"/>
                <w:szCs w:val="16"/>
                <w:lang w:val="en-US"/>
              </w:rPr>
              <w:t xml:space="preserve"> </w:t>
            </w:r>
            <w:r w:rsidR="00D43EF9" w:rsidRPr="00A3702B">
              <w:rPr>
                <w:b/>
                <w:bCs/>
                <w:color w:val="000000" w:themeColor="text1"/>
                <w:sz w:val="16"/>
                <w:szCs w:val="16"/>
                <w:lang w:val="en-US"/>
              </w:rPr>
              <w:t>(%; n/n)</w:t>
            </w:r>
          </w:p>
        </w:tc>
        <w:tc>
          <w:tcPr>
            <w:tcW w:w="0" w:type="auto"/>
            <w:vAlign w:val="center"/>
          </w:tcPr>
          <w:p w14:paraId="48D38765" w14:textId="02299CF3" w:rsidR="00D43EF9" w:rsidRPr="00A3702B" w:rsidRDefault="00D43EF9" w:rsidP="00AB0CDA">
            <w:pPr>
              <w:spacing w:line="360" w:lineRule="auto"/>
              <w:jc w:val="center"/>
              <w:rPr>
                <w:b/>
                <w:bCs/>
                <w:color w:val="000000" w:themeColor="text1"/>
                <w:sz w:val="16"/>
                <w:szCs w:val="16"/>
                <w:lang w:val="en-US"/>
              </w:rPr>
            </w:pPr>
            <w:r w:rsidRPr="00A3702B">
              <w:rPr>
                <w:b/>
                <w:bCs/>
                <w:color w:val="000000" w:themeColor="text1"/>
                <w:sz w:val="16"/>
                <w:szCs w:val="16"/>
                <w:lang w:val="en-US"/>
              </w:rPr>
              <w:t xml:space="preserve">MDR </w:t>
            </w:r>
            <w:r w:rsidR="002C5C0E">
              <w:rPr>
                <w:b/>
                <w:bCs/>
                <w:color w:val="000000" w:themeColor="text1"/>
                <w:sz w:val="16"/>
                <w:szCs w:val="16"/>
                <w:lang w:val="en-US"/>
              </w:rPr>
              <w:t xml:space="preserve">BSI </w:t>
            </w:r>
            <w:r w:rsidRPr="00A3702B">
              <w:rPr>
                <w:b/>
                <w:bCs/>
                <w:color w:val="000000" w:themeColor="text1"/>
                <w:sz w:val="16"/>
                <w:szCs w:val="16"/>
                <w:lang w:val="en-US"/>
              </w:rPr>
              <w:t>(%; n/n)</w:t>
            </w:r>
          </w:p>
        </w:tc>
        <w:tc>
          <w:tcPr>
            <w:tcW w:w="0" w:type="auto"/>
            <w:vAlign w:val="center"/>
          </w:tcPr>
          <w:p w14:paraId="75FE0D86" w14:textId="1176B59A" w:rsidR="00D43EF9" w:rsidRPr="00AB0CDA" w:rsidRDefault="00D43EF9" w:rsidP="00AB0CDA">
            <w:pPr>
              <w:spacing w:line="360" w:lineRule="auto"/>
              <w:jc w:val="center"/>
              <w:rPr>
                <w:b/>
                <w:color w:val="000000" w:themeColor="text1"/>
                <w:sz w:val="16"/>
                <w:lang w:val="fr-CH"/>
              </w:rPr>
            </w:pPr>
            <w:r w:rsidRPr="00AB0CDA">
              <w:rPr>
                <w:b/>
                <w:color w:val="000000" w:themeColor="text1"/>
                <w:sz w:val="16"/>
                <w:lang w:val="fr-CH"/>
              </w:rPr>
              <w:t xml:space="preserve">VRE </w:t>
            </w:r>
            <w:r w:rsidR="002C5C0E">
              <w:rPr>
                <w:b/>
                <w:bCs/>
                <w:color w:val="000000" w:themeColor="text1"/>
                <w:sz w:val="16"/>
                <w:szCs w:val="16"/>
                <w:lang w:val="fr-CH"/>
              </w:rPr>
              <w:t xml:space="preserve">BSI </w:t>
            </w:r>
            <w:r w:rsidRPr="00AB0CDA">
              <w:rPr>
                <w:b/>
                <w:color w:val="000000" w:themeColor="text1"/>
                <w:sz w:val="16"/>
                <w:lang w:val="fr-CH"/>
              </w:rPr>
              <w:t>(</w:t>
            </w:r>
            <w:proofErr w:type="gramStart"/>
            <w:r w:rsidRPr="00AB0CDA">
              <w:rPr>
                <w:b/>
                <w:color w:val="000000" w:themeColor="text1"/>
                <w:sz w:val="16"/>
                <w:lang w:val="fr-CH"/>
              </w:rPr>
              <w:t>%;</w:t>
            </w:r>
            <w:proofErr w:type="gramEnd"/>
            <w:r w:rsidRPr="00AB0CDA">
              <w:rPr>
                <w:b/>
                <w:color w:val="000000" w:themeColor="text1"/>
                <w:sz w:val="16"/>
                <w:lang w:val="fr-CH"/>
              </w:rPr>
              <w:t xml:space="preserve"> n/n) </w:t>
            </w:r>
          </w:p>
        </w:tc>
        <w:tc>
          <w:tcPr>
            <w:tcW w:w="0" w:type="auto"/>
            <w:vAlign w:val="center"/>
          </w:tcPr>
          <w:p w14:paraId="2E59B3BC" w14:textId="12218594" w:rsidR="00D43EF9" w:rsidRPr="00AB0CDA" w:rsidRDefault="00D43EF9" w:rsidP="00AB0CDA">
            <w:pPr>
              <w:spacing w:line="360" w:lineRule="auto"/>
              <w:jc w:val="center"/>
              <w:rPr>
                <w:b/>
                <w:color w:val="000000" w:themeColor="text1"/>
                <w:sz w:val="16"/>
                <w:lang w:val="fr-CH"/>
              </w:rPr>
            </w:pPr>
            <w:r w:rsidRPr="00AB0CDA">
              <w:rPr>
                <w:b/>
                <w:color w:val="000000" w:themeColor="text1"/>
                <w:sz w:val="16"/>
                <w:lang w:val="fr-CH"/>
              </w:rPr>
              <w:t xml:space="preserve">MRSA </w:t>
            </w:r>
            <w:r w:rsidR="002C5C0E">
              <w:rPr>
                <w:b/>
                <w:bCs/>
                <w:color w:val="000000" w:themeColor="text1"/>
                <w:sz w:val="16"/>
                <w:szCs w:val="16"/>
                <w:lang w:val="fr-CH"/>
              </w:rPr>
              <w:t xml:space="preserve">BSI </w:t>
            </w:r>
            <w:r w:rsidRPr="00AB0CDA">
              <w:rPr>
                <w:b/>
                <w:color w:val="000000" w:themeColor="text1"/>
                <w:sz w:val="16"/>
                <w:lang w:val="fr-CH"/>
              </w:rPr>
              <w:t>(</w:t>
            </w:r>
            <w:proofErr w:type="gramStart"/>
            <w:r w:rsidRPr="00AB0CDA">
              <w:rPr>
                <w:b/>
                <w:color w:val="000000" w:themeColor="text1"/>
                <w:sz w:val="16"/>
                <w:lang w:val="fr-CH"/>
              </w:rPr>
              <w:t>%;</w:t>
            </w:r>
            <w:proofErr w:type="gramEnd"/>
            <w:r w:rsidRPr="00AB0CDA">
              <w:rPr>
                <w:b/>
                <w:color w:val="000000" w:themeColor="text1"/>
                <w:sz w:val="16"/>
                <w:lang w:val="fr-CH"/>
              </w:rPr>
              <w:t xml:space="preserve"> n/n)</w:t>
            </w:r>
          </w:p>
        </w:tc>
      </w:tr>
      <w:tr w:rsidR="003F32CA" w:rsidRPr="00A3702B" w14:paraId="42AC092F" w14:textId="77777777" w:rsidTr="007C5F11">
        <w:trPr>
          <w:trHeight w:val="516"/>
        </w:trPr>
        <w:tc>
          <w:tcPr>
            <w:tcW w:w="0" w:type="auto"/>
            <w:vAlign w:val="center"/>
          </w:tcPr>
          <w:p w14:paraId="1BA5C178" w14:textId="53FF5F7E" w:rsidR="000E23C2" w:rsidRPr="00A3702B" w:rsidRDefault="000E23C2" w:rsidP="000E23C2">
            <w:pPr>
              <w:spacing w:line="360" w:lineRule="auto"/>
              <w:jc w:val="center"/>
              <w:rPr>
                <w:sz w:val="16"/>
                <w:szCs w:val="16"/>
                <w:lang w:val="en-US"/>
              </w:rPr>
            </w:pPr>
            <w:proofErr w:type="spellStart"/>
            <w:r w:rsidRPr="00A3702B">
              <w:rPr>
                <w:color w:val="000000" w:themeColor="text1"/>
                <w:sz w:val="16"/>
                <w:szCs w:val="16"/>
                <w:lang w:val="en-US"/>
              </w:rPr>
              <w:t>Akhmedov</w:t>
            </w:r>
            <w:proofErr w:type="spellEnd"/>
            <w:r w:rsidRPr="00A3702B">
              <w:rPr>
                <w:color w:val="000000" w:themeColor="text1"/>
                <w:sz w:val="16"/>
                <w:szCs w:val="16"/>
                <w:lang w:val="en-US"/>
              </w:rPr>
              <w:t xml:space="preserve"> 2023</w:t>
            </w:r>
            <w:r w:rsidR="000679D1">
              <w:rPr>
                <w:color w:val="000000" w:themeColor="text1"/>
                <w:sz w:val="16"/>
                <w:szCs w:val="16"/>
                <w:lang w:val="en-US"/>
              </w:rPr>
              <w:fldChar w:fldCharType="begin" w:fldLock="1"/>
            </w:r>
            <w:r w:rsidR="000679D1">
              <w:rPr>
                <w:color w:val="000000" w:themeColor="text1"/>
                <w:sz w:val="16"/>
                <w:szCs w:val="16"/>
                <w:lang w:val="en-US"/>
              </w:rPr>
              <w:instrText>ADDIN CSL_CITATION {"citationItems":[{"id":"ITEM-1","itemData":{"DOI":"10.1080/10428194.2023.2197532","ISSN":"1029-2403 (Electronic)","PMID":"37086466","abstract":"Fluoroquinolones (FQ) has been used after allogeneic hematopoietic stem cell  transplantation (allo-HCT) for decades. This study on 284 allo-HCT recipients aimed to analyze the impact of FQ on pre-engraftment BSI. A total of 154 patients were colonized with resistant gram-negative bacteria, and 130 patients were not. Colonized patients did not receive FQ (n = 147) except 7 who received FQ as sequential therapy; 98 non-colonized patients received FQ, whereas 32 did not. Gram-negative (p &lt; 0.0001), and ESBL-E BSI (p &lt; 0.0001) were higher in colonized patients receiving FQ. No difference was found in gram-positive BSI (p = 0.452). In multivariate analysis colonized patients with (p &lt; 0.0001) or without FQ (p = 0.007), omission of FQ in non-colonized patients (p = 0.038), and active disease (p = 0.042) were associated with gram-negative BSI, whereas mismatched unrelated donor transplantations - with gram-positive BSI (p = 0.009). Colonized patients with FQ have a higher risk of gram-negative BSI. In non-colonized patients, FQ prophylaxis is effective approach significantly reducing gram-negative BSI risk.","author":[{"dropping-particle":"","family":"Akhmedov","given":"Mobil","non-dropping-particle":"","parse-names":false,"suffix":""},{"dropping-particle":"","family":"Klyasova","given":"Galina","non-dropping-particle":"","parse-names":false,"suffix":""},{"dropping-particle":"","family":"Kuzmina","given":"Larisa","non-dropping-particle":"","parse-names":false,"suffix":""},{"dropping-particle":"","family":"Fedorova","given":"Anastasia","non-dropping-particle":"","parse-names":false,"suffix":""},{"dropping-particle":"","family":"Drokov","given":"Mikhail","non-dropping-particle":"","parse-names":false,"suffix":""},{"dropping-particle":"","family":"Parovichnikova","given":"Elena","non-dropping-particle":"","parse-names":false,"suffix":""}],"container-title":"Leukemia &amp; lymphoma","id":"ITEM-1","issue":"6","issued":{"date-parts":[["2023","6"]]},"language":"eng","page":"1102-1111","publisher-place":"United States","title":"Impact of fluoroquinolone administration and gut mucosal colonization on the risk  of pre-engraftment bloodstream infections after allogeneic hematopoietic cell transplantation.","type":"article-journal","volume":"64"},"uris":["http://www.mendeley.com/documents/?uuid=0b78f442-f7cc-4017-9f77-b0c349f1aa72"]}],"mendeley":{"formattedCitation":"&lt;sup&gt;16&lt;/sup&gt;","plainTextFormattedCitation":"16","previouslyFormattedCitation":"&lt;sup&gt;16&lt;/sup&gt;"},"properties":{"noteIndex":0},"schema":"https://github.com/citation-style-language/schema/raw/master/csl-citation.json"}</w:instrText>
            </w:r>
            <w:r w:rsidR="000679D1">
              <w:rPr>
                <w:color w:val="000000" w:themeColor="text1"/>
                <w:sz w:val="16"/>
                <w:szCs w:val="16"/>
                <w:lang w:val="en-US"/>
              </w:rPr>
              <w:fldChar w:fldCharType="separate"/>
            </w:r>
            <w:r w:rsidR="000679D1" w:rsidRPr="000679D1">
              <w:rPr>
                <w:noProof/>
                <w:color w:val="000000" w:themeColor="text1"/>
                <w:sz w:val="16"/>
                <w:szCs w:val="16"/>
                <w:vertAlign w:val="superscript"/>
                <w:lang w:val="en-US"/>
              </w:rPr>
              <w:t>16</w:t>
            </w:r>
            <w:r w:rsidR="000679D1">
              <w:rPr>
                <w:color w:val="000000" w:themeColor="text1"/>
                <w:sz w:val="16"/>
                <w:szCs w:val="16"/>
                <w:lang w:val="en-US"/>
              </w:rPr>
              <w:fldChar w:fldCharType="end"/>
            </w:r>
          </w:p>
        </w:tc>
        <w:tc>
          <w:tcPr>
            <w:tcW w:w="0" w:type="auto"/>
            <w:vAlign w:val="center"/>
          </w:tcPr>
          <w:p w14:paraId="40FBCACC" w14:textId="289C8D93"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Pts (n = 289)</w:t>
            </w:r>
          </w:p>
        </w:tc>
        <w:tc>
          <w:tcPr>
            <w:tcW w:w="0" w:type="auto"/>
            <w:vAlign w:val="center"/>
          </w:tcPr>
          <w:p w14:paraId="169FC26A" w14:textId="18F016DF"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30% (99/284)</w:t>
            </w:r>
          </w:p>
        </w:tc>
        <w:tc>
          <w:tcPr>
            <w:tcW w:w="0" w:type="auto"/>
            <w:vAlign w:val="center"/>
          </w:tcPr>
          <w:p w14:paraId="09F208DE" w14:textId="4DAA3404"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54AF482" w14:textId="159A507A"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25% (11/59)</w:t>
            </w:r>
          </w:p>
        </w:tc>
        <w:tc>
          <w:tcPr>
            <w:tcW w:w="0" w:type="auto"/>
            <w:vAlign w:val="center"/>
          </w:tcPr>
          <w:p w14:paraId="4792DA1F" w14:textId="5C0E15AF"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14% (8/59)</w:t>
            </w:r>
          </w:p>
        </w:tc>
        <w:tc>
          <w:tcPr>
            <w:tcW w:w="0" w:type="auto"/>
            <w:vAlign w:val="center"/>
          </w:tcPr>
          <w:p w14:paraId="67C6A842" w14:textId="2362D1B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B31D361" w14:textId="2114059E"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186FD30" w14:textId="1828315A"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2%</w:t>
            </w:r>
          </w:p>
        </w:tc>
      </w:tr>
      <w:tr w:rsidR="003F32CA" w:rsidRPr="00A3702B" w14:paraId="4B9C2A3C" w14:textId="77777777" w:rsidTr="007C5F11">
        <w:trPr>
          <w:trHeight w:val="516"/>
        </w:trPr>
        <w:tc>
          <w:tcPr>
            <w:tcW w:w="0" w:type="auto"/>
            <w:vAlign w:val="center"/>
          </w:tcPr>
          <w:p w14:paraId="676B4FE2" w14:textId="76854CFE" w:rsidR="000E23C2" w:rsidRPr="003F32CA" w:rsidRDefault="000E23C2" w:rsidP="000E23C2">
            <w:pPr>
              <w:spacing w:line="360" w:lineRule="auto"/>
              <w:jc w:val="center"/>
              <w:rPr>
                <w:sz w:val="16"/>
                <w:szCs w:val="16"/>
              </w:rPr>
            </w:pPr>
            <w:proofErr w:type="spellStart"/>
            <w:r w:rsidRPr="00A3702B">
              <w:rPr>
                <w:color w:val="000000" w:themeColor="text1"/>
                <w:sz w:val="16"/>
                <w:szCs w:val="16"/>
                <w:lang w:val="en-US"/>
              </w:rPr>
              <w:t>Albasanz</w:t>
            </w:r>
            <w:proofErr w:type="spellEnd"/>
            <w:r w:rsidRPr="00A3702B">
              <w:rPr>
                <w:color w:val="000000" w:themeColor="text1"/>
                <w:sz w:val="16"/>
                <w:szCs w:val="16"/>
                <w:lang w:val="en-US"/>
              </w:rPr>
              <w:t>-Puig 2021</w:t>
            </w:r>
            <w:r w:rsidR="000679D1">
              <w:rPr>
                <w:color w:val="000000" w:themeColor="text1"/>
                <w:sz w:val="16"/>
                <w:szCs w:val="16"/>
                <w:lang w:val="en-US"/>
              </w:rPr>
              <w:fldChar w:fldCharType="begin" w:fldLock="1"/>
            </w:r>
            <w:r w:rsidR="000679D1">
              <w:rPr>
                <w:color w:val="000000" w:themeColor="text1"/>
                <w:sz w:val="16"/>
                <w:szCs w:val="16"/>
                <w:lang w:val="en-US"/>
              </w:rPr>
              <w:instrText>ADDIN CSL_CITATION {"citationItems":[{"id":"ITEM-1","itemData":{"DOI":"10.1128/AAC.00045-21","ISSN":"10986596","PMID":"33972253","abstract":"To test the hypothesis that the addition of an aminoglycoside to a b-lactam antibiotic could provide better outcomes than b-lactam monotherapy for the initial empirical treatment of hematological neutropenic patients with subsequently documented Gram-negative bacillus (GNB) bloodstream infection (BSI), a multinational, retrospective, cohort study of GNB BSI episodes in hematological neutropenic patients in six centers (2010 to 2017) was conducted. Combination therapy (b-lactam plus aminoglycoside) was compared to b-lactam monotherapy. The primary endpoint was the case fatality rate, assessed at 7 and 30 days from BSI onset. Secondary endpoints were nephrotoxicity and persistent BSI. Propensity score (PS) matching was performed. Among 542 GNB BSI episodes, 304 (56%) were initially treated with combination therapy, with cefepime plus amikacin being most common (158/304 [52%]). Overall, Escherichia coli (273/304 [50.4%]) was the main etiological agent, followed by Pseudomonas aeruginosa, which predominated in the combination group (76/304 [25%] versus 28/238 [11.8%]; P, 0.001). Multidrug resistance rates were similar between groups (83/294 [28.2%] versus 63/233 [27%]; P = 0.95). In the multivariate analysis, combination therapy was associated with a lower 7-day case fatality rate (odds ratio [OR], 0.37; 95% CI, 0.14 to 0.91; P = 0.035) with a tendency toward lower mortality at 30 days (OR, 0.56; 95% CI, 0.29 to 1.08; P = 0.084). After PS matching, these differences remained for the 7-day case fatality rate (OR, 0.33; 95% CI, 0.13 to 0.82; P = 0.017). In addition, aminoglycoside use was not significantly associated with renal function impairment (OR, 1.12; 95% CI, 0.26 to 4.87; P = 0.9). The addition of an aminoglycoside to the initial empirical therapy regimen for febrile neutropenic hematological patients should be considered.","author":[{"dropping-particle":"","family":"Albasanz-Puig","given":"A.","non-dropping-particle":"","parse-names":false,"suffix":""},{"dropping-particle":"","family":"Gudiol","given":"C.","non-dropping-particle":"","parse-names":false,"suffix":""},{"dropping-particle":"","family":"Puerta-Alcalde","given":"P.","non-dropping-particle":"","parse-names":false,"suffix":""},{"dropping-particle":"","family":"Ayaz","given":"C. M.","non-dropping-particle":"","parse-names":false,"suffix":""},{"dropping-particle":"","family":"Machado","given":"M.","non-dropping-particle":"","parse-names":false,"suffix":""},{"dropping-particle":"","family":"Herrera","given":"F.","non-dropping-particle":"","parse-names":false,"suffix":""},{"dropping-particle":"","family":"Martín-Dávila","given":"P.","non-dropping-particle":"","parse-names":false,"suffix":""},{"dropping-particle":"","family":"Laporte-Amargós","given":"J.","non-dropping-particle":"","parse-names":false,"suffix":""},{"dropping-particle":"","family":"Cardozo","given":"C.","non-dropping-particle":"","parse-names":false,"suffix":""},{"dropping-particle":"","family":"Akova","given":"M.","non-dropping-particle":"","parse-names":false,"suffix":""},{"dropping-particle":"","family":"Álvarez-Uría","given":"A.","non-dropping-particle":"","parse-names":false,"suffix":""},{"dropping-particle":"","family":"Torres","given":"D.","non-dropping-particle":"","parse-names":false,"suffix":""},{"dropping-particle":"","family":"Fortún","given":"J.","non-dropping-particle":"","parse-names":false,"suffix":""},{"dropping-particle":"","family":"García-Vidal","given":"C.","non-dropping-particle":"","parse-names":false,"suffix":""},{"dropping-particle":"","family":"Muñoz","given":"P.","non-dropping-particle":"","parse-names":false,"suffix":""},{"dropping-particle":"","family":"Bergas","given":"A.","non-dropping-par</w:instrText>
            </w:r>
            <w:r w:rsidR="000679D1" w:rsidRPr="003F32CA">
              <w:rPr>
                <w:color w:val="000000" w:themeColor="text1"/>
                <w:sz w:val="16"/>
                <w:szCs w:val="16"/>
              </w:rPr>
              <w:instrText>ticle":"","parse-names":false,"suffix":""},{"dropping-particle":"","family":"Pomares","given":"H.","non-dropping-particle":"","parse-names":false,"suffix":""},{"dropping-particle":"","family":"Mercadal","given":"S.","non-dropping-particle":"","parse-names":false,"suffix":""},{"dropping-particle":"","family":"Durà-Miralles","given":"X.","non-dropping-particle":"","parse-names":false,"suffix":""},{"dropping-particle":"","family":"García-Lerma","given":"E.","non-dropping-particle":"","parse-names":false,"suffix":""},{"dropping-particle":"","family":"Pallarès","given":"N.","non-dropping-particle":"","parse-names":false,"suffix":""},{"dropping-particle":"","family":"Carratalà","given":"J.","non-dropping-particle":"","parse-names":false,"suffix":""}],"container-title":"Antimicrobial Agents and Chemotherapy","id":"ITEM-1","issue":"8","issued":{"date-parts":[["2021"]]},"page":"1-10","title":"Impact of the inclusion of an aminoglycoside to the initial empirical antibiotic therapy for gram-negative bloodstream infections in hematological neutropenic patients: a propensity-matched cohort study (AMINOLACTAM study)","type":"article-journal","volume":"65"},"uris":["http://www.mendeley.com/documents/?uuid=eec9891b-a29d-4a43-9f93-6ed1b9e26c18"]}],"mendeley":{"formattedCitation":"&lt;sup&gt;49&lt;/sup&gt;","plainTextFormattedCitation":"49","previouslyFormattedCitation":"&lt;sup&gt;49&lt;/sup&gt;"},"properties":{"noteIndex":0},"schema":"https://github.com/citation-style-language/schema/raw/master/csl-citation.json"}</w:instrText>
            </w:r>
            <w:r w:rsidR="000679D1">
              <w:rPr>
                <w:color w:val="000000" w:themeColor="text1"/>
                <w:sz w:val="16"/>
                <w:szCs w:val="16"/>
                <w:lang w:val="en-US"/>
              </w:rPr>
              <w:fldChar w:fldCharType="separate"/>
            </w:r>
            <w:r w:rsidR="000679D1" w:rsidRPr="003F32CA">
              <w:rPr>
                <w:noProof/>
                <w:color w:val="000000" w:themeColor="text1"/>
                <w:sz w:val="16"/>
                <w:szCs w:val="16"/>
                <w:vertAlign w:val="superscript"/>
              </w:rPr>
              <w:t>49</w:t>
            </w:r>
            <w:r w:rsidR="000679D1">
              <w:rPr>
                <w:color w:val="000000" w:themeColor="text1"/>
                <w:sz w:val="16"/>
                <w:szCs w:val="16"/>
                <w:lang w:val="en-US"/>
              </w:rPr>
              <w:fldChar w:fldCharType="end"/>
            </w:r>
          </w:p>
        </w:tc>
        <w:tc>
          <w:tcPr>
            <w:tcW w:w="0" w:type="auto"/>
            <w:vAlign w:val="center"/>
          </w:tcPr>
          <w:p w14:paraId="1AE47E20" w14:textId="130D1FAD"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GN BSI (n = 542)</w:t>
            </w:r>
          </w:p>
        </w:tc>
        <w:tc>
          <w:tcPr>
            <w:tcW w:w="0" w:type="auto"/>
            <w:vAlign w:val="center"/>
          </w:tcPr>
          <w:p w14:paraId="4AC7501D" w14:textId="7984F527"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5B59551B" w14:textId="7CBDDA0B"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0D22CE38" w14:textId="1A62C206"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30% (164/542)</w:t>
            </w:r>
          </w:p>
        </w:tc>
        <w:tc>
          <w:tcPr>
            <w:tcW w:w="0" w:type="auto"/>
            <w:vAlign w:val="center"/>
          </w:tcPr>
          <w:p w14:paraId="0B4DF2EB" w14:textId="59BA148E"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32% (173/542)</w:t>
            </w:r>
          </w:p>
        </w:tc>
        <w:tc>
          <w:tcPr>
            <w:tcW w:w="0" w:type="auto"/>
            <w:vAlign w:val="center"/>
          </w:tcPr>
          <w:p w14:paraId="486CDA2B" w14:textId="52B36426"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28% (146/542)</w:t>
            </w:r>
          </w:p>
        </w:tc>
        <w:tc>
          <w:tcPr>
            <w:tcW w:w="0" w:type="auto"/>
            <w:vAlign w:val="center"/>
          </w:tcPr>
          <w:p w14:paraId="12FA7153" w14:textId="4715FA78"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2CDA3E7E" w14:textId="3136A051"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r>
      <w:tr w:rsidR="003F32CA" w:rsidRPr="00A3702B" w14:paraId="6415DECF" w14:textId="77777777" w:rsidTr="007C5F11">
        <w:trPr>
          <w:trHeight w:val="516"/>
        </w:trPr>
        <w:tc>
          <w:tcPr>
            <w:tcW w:w="0" w:type="auto"/>
            <w:vAlign w:val="center"/>
          </w:tcPr>
          <w:p w14:paraId="21417FDB" w14:textId="1E84B228" w:rsidR="000E23C2" w:rsidRPr="00A3702B" w:rsidRDefault="000E23C2" w:rsidP="000E23C2">
            <w:pPr>
              <w:spacing w:line="360" w:lineRule="auto"/>
              <w:jc w:val="center"/>
              <w:rPr>
                <w:color w:val="000000" w:themeColor="text1"/>
                <w:sz w:val="16"/>
                <w:szCs w:val="16"/>
                <w:lang w:val="en-US"/>
              </w:rPr>
            </w:pPr>
            <w:r w:rsidRPr="003F32CA">
              <w:rPr>
                <w:color w:val="000000" w:themeColor="text1"/>
                <w:sz w:val="16"/>
                <w:szCs w:val="16"/>
              </w:rPr>
              <w:t>Andria 2015</w:t>
            </w:r>
            <w:r w:rsidR="000679D1">
              <w:rPr>
                <w:color w:val="000000" w:themeColor="text1"/>
                <w:sz w:val="16"/>
                <w:szCs w:val="16"/>
                <w:lang w:val="en-US"/>
              </w:rPr>
              <w:fldChar w:fldCharType="begin" w:fldLock="1"/>
            </w:r>
            <w:r w:rsidR="002D23D7" w:rsidRPr="003F32CA">
              <w:rPr>
                <w:color w:val="000000" w:themeColor="text1"/>
                <w:sz w:val="16"/>
                <w:szCs w:val="16"/>
              </w:rPr>
              <w:instrText>ADDIN CSL_CITATION {"citationItems":[{"id":"ITEM-1","itemData":{"DOI":"10.1093/jac/dkv218","ISBN":"9724777162","ISSN":"14602091","PMID":"26209312","abstract":"Objectives: Carbapenem-resistant Gram-negative bacteria (CRGNB) pose a clinical challenge. We attempted to estimate the mortality burden of CRGNB among haematological cancer patients. Methods: This was a retrospective cohort study. We included adult patients hospitalized in the haemato-oncological/bone marrow transplantation departments for chemotherapy, between 2008 and 2014, with Gram-negative aerobic bacteraemia. We compared patients with CRGNB and carbapenem-susceptible Gram-negative bacteraemia (CSGNB). The primary outcome was 14 day all-cause mortality. In addition, we assessed 1 year survival. Multivariable logistics regression analysis and adjusted Cox regression analysis were conducted. Analyses were adjusted to the propensity for CRGNB bacteraemia. Results: The cohort included mostly young patients (mean age 50.1 years) with acute leukaemia (264/423, 62.4%) and the median absolute neutrophil count at bacteraemia onset was 0×109/L. The unadjusted 14 day mortality rate was higher for patients with CRGNB compared with CSGNB [45.6% (47/103) versus 15% (48/320), respectively (P&lt;0.001)]. Adjusting to baseline prognostic factors, infection characteristics and the propensity score retained a significant association between CRGN</w:instrText>
            </w:r>
            <w:r w:rsidR="002D23D7">
              <w:rPr>
                <w:color w:val="000000" w:themeColor="text1"/>
                <w:sz w:val="16"/>
                <w:szCs w:val="16"/>
                <w:lang w:val="en-US"/>
              </w:rPr>
              <w:instrText>B and 14 day mortality (OR 5.14, 95% CI 2.32-11.38). Including only the first bacteraemic episode per patient, 1 year mortality was 74.7% (68/91) for patients with CRGNB versus 49.8% (119/239) for patients with CSGNB (P&lt;0.001). Adjusting for risk factors associated with 1 year mortality, the HR for mortality with CRGNB was 1.48 (95% CI 1-2.2). CRGNB bacteraemia was associated with several risk factors for mortality, including inappropriate empirical antibiotic treatment and less effective definitive antibiotics. Conclusions: This study demonstrated a significant adjusted association between CRGNB and mortality up to 1 year among haemato-oncological patients receiving chemotherapy.","author":[{"dropping-particle":"","family":"Andria","given":"Nizar","non-dropping-particle":"","parse-names":false,"suffix":""},{"dropping-particle":"","family":"Henig","given":"Oryan","non-dropping-particle":"","parse-names":false,"suffix":""},{"dropping-particle":"","family":"Kotler","given":"Offer","non-dropping-particle":"","parse-names":false,"suffix":""},{"dropping-particle":"","family":"Domchenko","given":"Alexander","non-dropping-particle":"","parse-names":false,"suffix":""},{"dropping-particle":"","family":"Oren","given":"Ilana","non-dropping-particle":"","parse-names":false,"suffix":""},{"dropping-particle":"","family":"Zuckerman","given":"Tsila","non-dropping-particle":"","parse-names":false,"suffix":""},{"dropping-particle":"","family":"Ofran","given":"Yishai","non-dropping-particle":"","parse-names":false,"suffix":""},{"dropping-particle":"","family":"Fraser","given":"Drora","non-dropping-particle":"","parse-names":false,"suffix":""},{"dropping-particle":"","family":"Paul","given":"Mical","non-dropping-particle":"","parse-names":false,"suffix":""}],"container-title":"Journal of Antimicrobial Chemotherapy","id":"ITEM-1","issue":"11","issued":{"date-parts":[["2015"]]},"page":"3146-3153","title":"Mortality burden related to infection with carbapenem-resistant Gram-negative bacteria among haematological cancer patients: A retrospective cohort study","type":"article-journal","volume":"70"},"uris":["http://www.mendeley.com/documents/?uuid=1e8f1bab-dff2-425e-9244-311b762cf727"]}],"mendeley":{"formattedCitation":"&lt;sup&gt;50&lt;/sup&gt;","plainTextFormattedCitation":"50","previouslyFormattedCitation":"&lt;sup&gt;50&lt;/sup&gt;"},"properties":{"noteIndex":0},"schema":"https://github.com/citation-style-language/schema/raw/master/csl-citation.json"}</w:instrText>
            </w:r>
            <w:r w:rsidR="000679D1">
              <w:rPr>
                <w:color w:val="000000" w:themeColor="text1"/>
                <w:sz w:val="16"/>
                <w:szCs w:val="16"/>
                <w:lang w:val="en-US"/>
              </w:rPr>
              <w:fldChar w:fldCharType="separate"/>
            </w:r>
            <w:r w:rsidR="000679D1" w:rsidRPr="000679D1">
              <w:rPr>
                <w:noProof/>
                <w:color w:val="000000" w:themeColor="text1"/>
                <w:sz w:val="16"/>
                <w:szCs w:val="16"/>
                <w:vertAlign w:val="superscript"/>
                <w:lang w:val="en-US"/>
              </w:rPr>
              <w:t>50</w:t>
            </w:r>
            <w:r w:rsidR="000679D1">
              <w:rPr>
                <w:color w:val="000000" w:themeColor="text1"/>
                <w:sz w:val="16"/>
                <w:szCs w:val="16"/>
                <w:lang w:val="en-US"/>
              </w:rPr>
              <w:fldChar w:fldCharType="end"/>
            </w:r>
          </w:p>
        </w:tc>
        <w:tc>
          <w:tcPr>
            <w:tcW w:w="0" w:type="auto"/>
            <w:vAlign w:val="center"/>
          </w:tcPr>
          <w:p w14:paraId="68D2BC1D" w14:textId="534002C5"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GN BSI (n = 423)</w:t>
            </w:r>
          </w:p>
        </w:tc>
        <w:tc>
          <w:tcPr>
            <w:tcW w:w="0" w:type="auto"/>
            <w:vAlign w:val="center"/>
          </w:tcPr>
          <w:p w14:paraId="77879047" w14:textId="59B72DA3"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6B6FBA4" w14:textId="635E9989"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4E08231" w14:textId="3F34F602"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3EF73CF" w14:textId="6DCE9160"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24% (103/423)</w:t>
            </w:r>
          </w:p>
        </w:tc>
        <w:tc>
          <w:tcPr>
            <w:tcW w:w="0" w:type="auto"/>
            <w:vAlign w:val="center"/>
          </w:tcPr>
          <w:p w14:paraId="543A9627" w14:textId="28AC0A3C"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69F3AB8" w14:textId="6B116B19"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59C9BE9" w14:textId="16468CFB"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A3702B" w14:paraId="43B61DF2" w14:textId="77777777" w:rsidTr="007C5F11">
        <w:trPr>
          <w:trHeight w:val="516"/>
        </w:trPr>
        <w:tc>
          <w:tcPr>
            <w:tcW w:w="0" w:type="auto"/>
            <w:vAlign w:val="center"/>
          </w:tcPr>
          <w:p w14:paraId="49411FA0" w14:textId="7E5A8F36" w:rsidR="000E23C2" w:rsidRPr="00A3702B" w:rsidRDefault="000E23C2" w:rsidP="000E23C2">
            <w:pPr>
              <w:spacing w:line="360" w:lineRule="auto"/>
              <w:jc w:val="center"/>
              <w:rPr>
                <w:sz w:val="16"/>
                <w:szCs w:val="16"/>
                <w:lang w:val="en-US"/>
              </w:rPr>
            </w:pPr>
            <w:r w:rsidRPr="00A3702B">
              <w:rPr>
                <w:color w:val="000000" w:themeColor="text1"/>
                <w:sz w:val="16"/>
                <w:szCs w:val="16"/>
                <w:lang w:val="en-US"/>
              </w:rPr>
              <w:t>Averbuch 2017</w:t>
            </w:r>
            <w:r w:rsidR="002D23D7">
              <w:rPr>
                <w:color w:val="000000" w:themeColor="text1"/>
                <w:sz w:val="16"/>
                <w:szCs w:val="16"/>
                <w:lang w:val="en-US"/>
              </w:rPr>
              <w:fldChar w:fldCharType="begin" w:fldLock="1"/>
            </w:r>
            <w:r w:rsidR="002D23D7">
              <w:rPr>
                <w:color w:val="000000" w:themeColor="text1"/>
                <w:sz w:val="16"/>
                <w:szCs w:val="16"/>
                <w:lang w:val="en-US"/>
              </w:rPr>
              <w:instrText>ADDIN CSL_CITATION {"citationItems":[{"id":"ITEM-1","itemData":{"DOI":"10.1093/cid/cix646","ISSN":"15376591","PMID":"29020364","abstract":"Background This intercontinental study aimed to study gram-negative rod (GNR) resistance in hematopoietic stem cell transplantation (HSCT). Methods GNR bacteremias occurring during 6 months post-HSCT (February 2014-May 2015) were prospectively collected, and analyzed for rates and risk factors for resistance to fluoroquinolones, noncarbapenem anti-Pseudomonas β-lactams (noncarbapenems), carbapenems, and multidrug resistance. Results Sixty-five HSCT centers from 25 countries in Europe, Australia, and Asia reported data on 655 GNR episodes and 704 pathogens in 591 patients (Enterobacteriaceae, 73%; nonfermentative rods, 24%; and 3% others). Half of GNRs were fluoroquinolone and noncarbapenem resistant; 18.5% carbapenem resistant; 35.2% multidrug resistant. The total resistance rates were higher in allogeneic HSCT (allo-HSCT) vs autologous HSCT (auto-HSCT) patients (P &lt;.001) but similar in community-acquired infections. Noncarbapenem resistance and multidrug resistance were higher in auto-HSCT patients in centers providing vs not providing fluoroquinolone prophylaxis (P &lt;.01). Resistance rates were higher in southeast vs northwest Europe and similar in children and adults, excluding higher fluoroquinolone- and β-lactam/β-lactamase inhibitor resistance rates in allo-HSCT adults. Non-Klebsiella Enterobacteriaceae were rarely carbapenem resistant. Multivariable analysis revealed resistance risk factors in allo-HSCT patients: fluoroquinolone resistance: adult, prolonged neutropenia, breakthrough on fluoroquinolones; noncarbapenem resistance: hospital-acquired infection, breakthrough on noncarbapenems or other antibiotics (excluding fluoroquinolones, noncarbapenems, carbapenems), donor type; carbapenem resistance: breakthrough on carbapenem, longer hospitalization, intensive care unit, previous other antibiotic therapy; multidrug resistance: longer hospitalization, breakthrough on β-lactam/β-lactamase inhibitors, and carbapenems. Inappropriate empiric therapy and mortality were significantly more common in infections caused by resistant bacteria. Conclusions Our data question the recommendation for fluoroquinolone prophylaxis and call for reassessment of local empiric antibiotic protocols. Knowledge of pathogen-specific resistance enables early appropriate empiric therapy. Monitoring of resistance is crucial.","author":[{"dropping-particle":"","family":"Averbuch","given":"Diana","non-dropping-particle":"","parse-names":false,"suffix":""},{"dropping-particle":"","family":"Tridello","given":"Gloria","non-dropping-particle":"","parse-names":false,"suffix":""},{"dropping-particle":"","family":"Hoek","given":"Jennifer","non-dropping-particle":"","parse-names":false,"suffix":""},{"dropping-particle":"","family":"Mikulska","given":"Malgorzata","non-dropping-particle":"","parse-names":false,"suffix":""},{"dropping-particle":"","family":"Akan","given":"Hamdi","non-dropping-particle":"","parse-names":false,"suffix":""},{"dropping-particle":"","family":"Yaňez San Segundo","given":"Lucrecia","non-dropping-particle":"","parse-names":false,"suffix":""},{"dropping-particle":"","family":"Pabst","given":"Thomas","non-dropping-particle":"","parse-names":false,"suffix":""},{"dropping-particle":"","family":"Özçelik","given":"Tülay","non-dropping-particle":"","parse-names":false,"suffix":""},{"dropping-particle":"","family":"Klyasova","given":"Galina","non-dropping-particle":"","parse-names":false,"suffix":""},{"dropping-particle":"","family":"Donnini","given":"Irene","non-dropping-particle":"","parse-names":false,"suffix":""},{"dropping-particle":"","family":"Wu","given":"Depei","non-dropping-particle":"","parse-names":false,"suffix":""},{"dropping-particle":"","family":"Gülbas","given":"Zafer","non-dropping-particle":"","parse-names":false,"suffix":""},{"dropping-particle":"","family":"Zuckerman","given":"Tsila","non-dropping-particle":"","parse-names":false,"suffix":""},{"dropping-particle":"","family":"Botelho De Sousa","given":"Aida","non-dropping-particle":"","parse-names":false,"suffix":""},{"dropping-particle":"","family":"Beguin","given":"Yves","non-dropping-particle":"","parse-names":false,"suffix":""},{"dropping-particle":"","family":"Xhaard","given":"Aliénor","non-dropping-particle":"","parse-names":false,"suffix":""},{"dropping-particle":"","family":"Bachy","given":"Emmanuel","non-dropping-particle":"","parse-names":false,"suffix":""},{"dropping-particle":"","family":"Ljungman","given":"Per","non-dropping-particle":"","parse-names":false,"suffix":""},{"dropping-particle":"","family":"La Camara","given":"Rafael","non-dropping-particle":"De","parse-names":false,"suffix":""},{"dropping-particle":"","family":"Rascon","given":"Jelena","non-dropping-particle":"","parse-names":false,"suffix":""},{"dropping-particle":"","family":"Ruiz Camps","given":"Isabel","non-dropping-particle":"","parse-names":false,"suffix":""},{"dropping-particle":"","family":"Vitek","given":"Antonin","non-dropping-particle":"","parse-names":false,"suffix":""},{"dropping-particle":"","family":"Patriarca","given":"Francesca","non-dropping-particle":"","parse-names":false,"suffix":""},{"dropping-particle":"","family":"Cudillo","given":"Laura","non-dropping-particle":"","parse-names":false,"suffix":""},{"dropping-particle":"","family":"Vrhovac","given":"Radovan","non-dropping-particle":"","parse-names":false,"suffix":""},{"dropping-particle":"","family":"Shaw","given":"Peter J.","non-dropping-particle":"","parse-names":false,"suffix":""},{"dropping-particle":"","family":"Wolfs","given":"Tom","non-dropping-particle":"","parse-names":false,"suffix":""},{"dropping-particle":"","family":"O'Brien","given":"Tracey","non-dropping-particle":"","parse-names":false,"suffix":""},{"dropping-particle":"","family":"Avni","given":"Batia","non-dropping-particle":"","parse-names":false,"suffix":""},{"dropping-particle":"","family":"Silling","given":"Gerda","non-dropping-particle":"","parse-names":false,"suffix":""},{"dropping-particle":"","family":"Sabty","given":"Firas","non-dropping-particle":"Al","parse-names":false,"suffix":""},{"dropping-particle":"","family":"Graphakos","given":"Stelios","non-dropping-particle":"","parse-names":false,"suffix":""},{"dropping-particle":"","family":"Sankelo","given":"Marja","non-dropping-particle":"","parse-names":false,"suffix":""},{"dropping-particle":"","family":"Sengeloev","given":"Henrik","non-dropping-particle":"","parse-names":false,"suffix":""},{"dropping-particle":"","family":"Pillai","given":"Srinivas","non-dropping-particle":"","parse-names":false,"suffix":""},{"dropping-particle":"","family":"Matthes","given":"Susanne","non-dropping-particle":"","parse-names":false,"suffix":""},{"dropping-particle":"","family":"Melanthiou","given":"Frederiki","non-dropping-particle":"","parse-names":false,"suffix":""},{"dropping-particle":"","family":"Iacobelli","given":"Simona","non-dropping-particle":"","parse-names":false,"suffix":""},{"dropping-particle":"","family":"Styczynski","given":"Jan","non-dropping-particle":"","parse-names":false,"suffix":""},{"dropping-particle":"","family":"Engelhard","given":"Dan","non-dropping-particle":"","parse-names":false,"suffix":""},{"dropping-particle":"","family":"Cesaro","given":"Simone","non-dropping-particle":"","parse-names":false,"suffix":""}],"container-title":"Clinical Infectious Diseases","id":"ITEM-1","issue":"11","issued":{"date-parts":[["2017"]]},"page":"1819-1828","title":"Antimicrobial Resistance in Gram-Negative Rods Causing Bacteremia in Hematopoietic Stem Cell Transplant Recipients: Intercontinental Prospective Study of the Infectious Diseases Working Party of the European Bone Marrow Transplantation Group","type":"article-journal","volume":"65"},"uris":["http://www.mendeley.com/documents/?uuid=c61320e2-569c-47b0-af3c-53fd515a4238"]}],"mendeley":{"formattedCitation":"&lt;sup&gt;17&lt;/sup&gt;","plainTextFormattedCitation":"17","previouslyFormattedCitation":"&lt;sup&gt;17&lt;/sup&gt;"},"properties":{"noteIndex":0},"schema":"https://github.com/citation-style-language/schema/raw/master/csl-citation.json"}</w:instrText>
            </w:r>
            <w:r w:rsidR="002D23D7">
              <w:rPr>
                <w:color w:val="000000" w:themeColor="text1"/>
                <w:sz w:val="16"/>
                <w:szCs w:val="16"/>
                <w:lang w:val="en-US"/>
              </w:rPr>
              <w:fldChar w:fldCharType="separate"/>
            </w:r>
            <w:r w:rsidR="002D23D7" w:rsidRPr="002D23D7">
              <w:rPr>
                <w:noProof/>
                <w:color w:val="000000" w:themeColor="text1"/>
                <w:sz w:val="16"/>
                <w:szCs w:val="16"/>
                <w:vertAlign w:val="superscript"/>
                <w:lang w:val="en-US"/>
              </w:rPr>
              <w:t>17</w:t>
            </w:r>
            <w:r w:rsidR="002D23D7">
              <w:rPr>
                <w:color w:val="000000" w:themeColor="text1"/>
                <w:sz w:val="16"/>
                <w:szCs w:val="16"/>
                <w:lang w:val="en-US"/>
              </w:rPr>
              <w:fldChar w:fldCharType="end"/>
            </w:r>
          </w:p>
        </w:tc>
        <w:tc>
          <w:tcPr>
            <w:tcW w:w="0" w:type="auto"/>
            <w:vAlign w:val="center"/>
          </w:tcPr>
          <w:p w14:paraId="626717C9" w14:textId="014D15D5"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GN BSI (n = 591)</w:t>
            </w:r>
          </w:p>
        </w:tc>
        <w:tc>
          <w:tcPr>
            <w:tcW w:w="0" w:type="auto"/>
            <w:vAlign w:val="center"/>
          </w:tcPr>
          <w:p w14:paraId="280871FB" w14:textId="054B32AC"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7097C9A" w14:textId="30E39CFF"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50% (325/659)</w:t>
            </w:r>
          </w:p>
        </w:tc>
        <w:tc>
          <w:tcPr>
            <w:tcW w:w="0" w:type="auto"/>
            <w:vAlign w:val="center"/>
          </w:tcPr>
          <w:p w14:paraId="71FE18A7" w14:textId="270A9D91"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51% (322/659)</w:t>
            </w:r>
          </w:p>
        </w:tc>
        <w:tc>
          <w:tcPr>
            <w:tcW w:w="0" w:type="auto"/>
            <w:vAlign w:val="center"/>
          </w:tcPr>
          <w:p w14:paraId="3C04B069" w14:textId="5D4B7D55"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19% (127/659)</w:t>
            </w:r>
          </w:p>
        </w:tc>
        <w:tc>
          <w:tcPr>
            <w:tcW w:w="0" w:type="auto"/>
            <w:vAlign w:val="center"/>
          </w:tcPr>
          <w:p w14:paraId="1AF07BCC" w14:textId="34140A2C"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35% (236/659)</w:t>
            </w:r>
          </w:p>
        </w:tc>
        <w:tc>
          <w:tcPr>
            <w:tcW w:w="0" w:type="auto"/>
            <w:vAlign w:val="center"/>
          </w:tcPr>
          <w:p w14:paraId="16C9F7CF" w14:textId="7FD70582"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D348A9A" w14:textId="76FB500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A3702B" w14:paraId="62706676" w14:textId="77777777" w:rsidTr="007C5F11">
        <w:trPr>
          <w:trHeight w:val="516"/>
        </w:trPr>
        <w:tc>
          <w:tcPr>
            <w:tcW w:w="0" w:type="auto"/>
            <w:vAlign w:val="center"/>
          </w:tcPr>
          <w:p w14:paraId="3A475EC0" w14:textId="4F82C2A1" w:rsidR="000E23C2" w:rsidRPr="00A3702B" w:rsidRDefault="000E23C2" w:rsidP="000E23C2">
            <w:pPr>
              <w:spacing w:line="360" w:lineRule="auto"/>
              <w:jc w:val="center"/>
              <w:rPr>
                <w:sz w:val="16"/>
                <w:szCs w:val="16"/>
                <w:lang w:val="en-US"/>
              </w:rPr>
            </w:pPr>
            <w:proofErr w:type="spellStart"/>
            <w:r w:rsidRPr="00A3702B">
              <w:rPr>
                <w:color w:val="000000" w:themeColor="text1"/>
                <w:sz w:val="16"/>
                <w:szCs w:val="16"/>
                <w:lang w:val="en-US"/>
              </w:rPr>
              <w:t>Blennow</w:t>
            </w:r>
            <w:proofErr w:type="spellEnd"/>
            <w:r w:rsidRPr="00A3702B">
              <w:rPr>
                <w:color w:val="000000" w:themeColor="text1"/>
                <w:sz w:val="16"/>
                <w:szCs w:val="16"/>
                <w:lang w:val="en-US"/>
              </w:rPr>
              <w:t xml:space="preserve"> 2014</w:t>
            </w:r>
            <w:r w:rsidR="002D23D7">
              <w:rPr>
                <w:color w:val="000000" w:themeColor="text1"/>
                <w:sz w:val="16"/>
                <w:szCs w:val="16"/>
                <w:lang w:val="en-US"/>
              </w:rPr>
              <w:fldChar w:fldCharType="begin" w:fldLock="1"/>
            </w:r>
            <w:r w:rsidR="002D23D7">
              <w:rPr>
                <w:color w:val="000000" w:themeColor="text1"/>
                <w:sz w:val="16"/>
                <w:szCs w:val="16"/>
                <w:lang w:val="en-US"/>
              </w:rPr>
              <w:instrText>ADDIN CSL_CITATION {"citationItems":[{"id":"ITEM-1","itemData":{"DOI":"10.1111/tid.12175","ISSN":"13982273","PMID":"24372809","abstract":"Background: Bloodstream infection (BSI) after allogeneic hematopoietic stem cell transplantation (HSCT) is a well-known complication during the pre-engraftment phase. Knowledge of trends in etiology and antibiotic susceptibility of BSI is important as the time to effective antibiotic treatment is closely associated with survival in bacteremic patients with septic shock. Methods: BSI during the pre-engraftment phase was studied retrospectively in 521 patients undergoing HSCT at our center in 2001-2008. Incidence, risk factors, outcome, and microbiology findings were investigated and compared with BSI in a cohort transplanted during 1975-1996. Results: The incidence of at least 1 episode of BSI was 21%, the total attributable mortality of BSI was 3.3%, and crude mortality at day 120 after transplantation was 21%. The rate of gram-positive and gram-negative BSI was 80% and 13%, respectively. Gram-negative BSI was more frequent both in 2001-2004 and in 2005-2008 compared with 1986-1996 (P = 0.023 for 2001-2004, P = 0.001 for 2005-2008), with fluoroquinolone-resistant Escherichia coli as the predominant finding. BSI with viridans streptococci and E. coli occurred significantly earlier after HSCT than BSI with Enterococcus species, with median time of 4, 8, and 11 days, respectively (P &lt; 0.01 both for viridians streptococci vs. Enterococcus species, and E. coli vs. Enterococcus species). Risk factors for BSI in multivariate analysis were transplantation from unrelated donor and cord blood as stem cell source, whereas peripheral blood as stem cell source was protective. Conclusions: Despite low attributable mortality of BSI, crude mortality at day 120 after transplantation was 21%, indicating an association between BSI and other risk factors for death. The risk of gram-negative BSI increased over time in parallel with an increased rate of quinolone resistance. However, the incidence and attributable mortality of gram-negative BSI remained low. Thus, prophylaxis with ciprofloxacin is still deemed appropriate, but continued assessments of the risk and benefits of fluoroquinolone prophylaxis must be performed. © 2013 John Wiley &amp; Sons A/S. Published by John Wiley &amp; Sons Ltd.","author":[{"dropping-particle":"","family":"Blennow","given":"O.","non-dropping-particle":"","parse-names":false,"suffix":""},{"dropping-particle":"","family":"Ljungman","given":"P.","non-dropping-particle":"","parse-names":false,"suffix":""},{"dropping-particle":"","family":"Sparrelid","given":"E.","non-dropping-particle":"","parse-names":false,"suffix":""},{"dropping-particle":"","family":"Mattsson","given":"J.","non-dropping-particle":"","parse-names":false,"suffix":""},{"dropping-particle":"","family":"Remberger","given":"M.","non-dropping-particle":"","parse-names":false,"suffix":""}],"container-title":"Transplant Infectious Disease","id":"ITEM-1","issue":"1","issued":{"date-parts":[["2014"]]},"page":"106-114","title":"Incidence, risk factors, and outcome of bloodstream infections during the pre-engraftment phase in 521 allogeneic hematopoietic stem cell transplantations","type":"article-journal","volume":"16"},"uris":["http://www.mendeley.com/documents/?uuid=a9bd7e65-95c9-48d9-b4b4-b93771979829"]}],"mendeley":{"formattedCitation":"&lt;sup&gt;51&lt;/sup&gt;","plainTextFormattedCitation":"51","previouslyFormattedCitation":"&lt;sup&gt;51&lt;/sup&gt;"},"properties":{"noteIndex":0},"schema":"https://github.com/citation-style-language/schema/raw/master/csl-citation.json"}</w:instrText>
            </w:r>
            <w:r w:rsidR="002D23D7">
              <w:rPr>
                <w:color w:val="000000" w:themeColor="text1"/>
                <w:sz w:val="16"/>
                <w:szCs w:val="16"/>
                <w:lang w:val="en-US"/>
              </w:rPr>
              <w:fldChar w:fldCharType="separate"/>
            </w:r>
            <w:r w:rsidR="002D23D7" w:rsidRPr="002D23D7">
              <w:rPr>
                <w:noProof/>
                <w:color w:val="000000" w:themeColor="text1"/>
                <w:sz w:val="16"/>
                <w:szCs w:val="16"/>
                <w:vertAlign w:val="superscript"/>
                <w:lang w:val="en-US"/>
              </w:rPr>
              <w:t>51</w:t>
            </w:r>
            <w:r w:rsidR="002D23D7">
              <w:rPr>
                <w:color w:val="000000" w:themeColor="text1"/>
                <w:sz w:val="16"/>
                <w:szCs w:val="16"/>
                <w:lang w:val="en-US"/>
              </w:rPr>
              <w:fldChar w:fldCharType="end"/>
            </w:r>
          </w:p>
        </w:tc>
        <w:tc>
          <w:tcPr>
            <w:tcW w:w="0" w:type="auto"/>
            <w:vAlign w:val="center"/>
          </w:tcPr>
          <w:p w14:paraId="5F0ACA02" w14:textId="7F85FDBF"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 xml:space="preserve">Pts </w:t>
            </w:r>
            <w:r w:rsidRPr="00B62134">
              <w:rPr>
                <w:sz w:val="16"/>
                <w:szCs w:val="16"/>
                <w:lang w:val="en-US"/>
              </w:rPr>
              <w:t>(n</w:t>
            </w:r>
            <w:r>
              <w:rPr>
                <w:sz w:val="16"/>
                <w:szCs w:val="16"/>
                <w:lang w:val="en-US"/>
              </w:rPr>
              <w:t xml:space="preserve"> </w:t>
            </w:r>
            <w:r w:rsidRPr="00B62134">
              <w:rPr>
                <w:sz w:val="16"/>
                <w:szCs w:val="16"/>
                <w:lang w:val="en-US"/>
              </w:rPr>
              <w:t>=</w:t>
            </w:r>
            <w:r>
              <w:rPr>
                <w:sz w:val="16"/>
                <w:szCs w:val="16"/>
                <w:lang w:val="en-US"/>
              </w:rPr>
              <w:t xml:space="preserve"> </w:t>
            </w:r>
            <w:r w:rsidRPr="00B62134">
              <w:rPr>
                <w:sz w:val="16"/>
                <w:szCs w:val="16"/>
                <w:lang w:val="en-US"/>
              </w:rPr>
              <w:t>521)</w:t>
            </w:r>
          </w:p>
        </w:tc>
        <w:tc>
          <w:tcPr>
            <w:tcW w:w="0" w:type="auto"/>
            <w:vAlign w:val="center"/>
          </w:tcPr>
          <w:p w14:paraId="3BF49BE6" w14:textId="52648FC8"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21% (109/521)</w:t>
            </w:r>
          </w:p>
        </w:tc>
        <w:tc>
          <w:tcPr>
            <w:tcW w:w="0" w:type="auto"/>
            <w:vAlign w:val="center"/>
          </w:tcPr>
          <w:p w14:paraId="320D92FC" w14:textId="76ECCE2F"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DCC8B83" w14:textId="75AEDBCE"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B1102BF" w14:textId="50335C0E"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6A33148" w14:textId="5D5F666B"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DA64D1C" w14:textId="2FE8EED7"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FE8D642" w14:textId="161F6B0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A3702B" w14:paraId="011D201C" w14:textId="77777777" w:rsidTr="007C5F11">
        <w:trPr>
          <w:trHeight w:val="516"/>
        </w:trPr>
        <w:tc>
          <w:tcPr>
            <w:tcW w:w="0" w:type="auto"/>
            <w:vAlign w:val="center"/>
          </w:tcPr>
          <w:p w14:paraId="5B692B69" w14:textId="33D41FA7" w:rsidR="000E23C2" w:rsidRPr="003F32CA" w:rsidRDefault="000E23C2" w:rsidP="000E23C2">
            <w:pPr>
              <w:spacing w:line="360" w:lineRule="auto"/>
              <w:jc w:val="center"/>
              <w:rPr>
                <w:color w:val="000000" w:themeColor="text1"/>
                <w:sz w:val="16"/>
                <w:szCs w:val="16"/>
              </w:rPr>
            </w:pPr>
            <w:proofErr w:type="spellStart"/>
            <w:r w:rsidRPr="00A3702B">
              <w:rPr>
                <w:color w:val="000000" w:themeColor="text1"/>
                <w:sz w:val="16"/>
                <w:szCs w:val="16"/>
                <w:lang w:val="en-US"/>
              </w:rPr>
              <w:t>Bilinski</w:t>
            </w:r>
            <w:proofErr w:type="spellEnd"/>
            <w:r w:rsidRPr="00A3702B">
              <w:rPr>
                <w:color w:val="000000" w:themeColor="text1"/>
                <w:sz w:val="16"/>
                <w:szCs w:val="16"/>
                <w:lang w:val="en-US"/>
              </w:rPr>
              <w:t xml:space="preserve"> 2016</w:t>
            </w:r>
            <w:r w:rsidR="002D23D7">
              <w:rPr>
                <w:color w:val="000000" w:themeColor="text1"/>
                <w:sz w:val="16"/>
                <w:szCs w:val="16"/>
                <w:lang w:val="en-US"/>
              </w:rPr>
              <w:fldChar w:fldCharType="begin" w:fldLock="1"/>
            </w:r>
            <w:r w:rsidR="002D23D7">
              <w:rPr>
                <w:color w:val="000000" w:themeColor="text1"/>
                <w:sz w:val="16"/>
                <w:szCs w:val="16"/>
                <w:lang w:val="en-US"/>
              </w:rPr>
              <w:instrText>ADDIN CSL_CITATION {"citationItems":[{"id":"ITEM-1","itemData":{"DOI":"10.1016/j.bbmt.2016.02.009","ISSN":"15236536","PMID":"26900084","abstract":"Gut colonization by antibiotic-resistant bacteria may underlie hard-to-treat systemic infections. There is also accumulating evidence on the immunomodulatory function of gut microbiota after allogeneic stem cell transplantation (alloSCT) and its impact on graft-versus-host disease (GVHD). We investigated the epidemiology and clinical impact of gut colonization after alloSCT and retrospectively analyzed data on 107 alloSCTs performed at a single transplant center. Pretransplant microbiology screening identified colonization in 31% of cases. Colonization had a negative impact on overall survival after alloSCT in univariate (34% versus 74% at 24 months, P &lt; .001) and multivariate (hazard ratio, 3.53; 95% confidence interval, 1.71 to 7.28; P &lt; .001) analyses. Nonrelapse mortality was significantly higher in colonized than in noncolonized patients (42% versus 11% at 24 months, P = .001). Colonized patients more frequently experienced bacteremia (48% versus 24%, P = .01), and more deaths were attributable to infectious causes in the colonized group (42% versus 11% of patients and 67% versus 29% of deaths, P &lt; .05). We observed a significantly higher incidence of grades II to IV acute GVHD in colonized than in noncolonized patients (42% versus 23%, P &lt; .05), especially involving the gastrointestinal system (33% versus 13.5%, P = .07). In summary, we determined that gut colonization by antibiotic-resistant bacteria decreases the overall survival of patients undergoing alloSCT by increasing nonrelapse mortality and the incidences of systemic infection and acute GVHD.","author":[{"dropping-particle":"","family":"Bilinski","given":"Jaroslaw","non-dropping-particle":"","parse-names":false,"suffix":""},{"dropping-particle":"","family":"Robak","given":"Katarzyna","non-dropping-particle":"","parse-names":false,"suffix":""},{"dropping-particle":"","family":"Peric","given":"Zinaida","non-dropping-particle":"","parse-names":false,"suffix":""},{"dropping-particle":"","family":"Marchel","given":"Halina","non-dropping-particle":"","parse-names":false,"suffix":""},{"dropping-particle":"","family":"Karakulska-Prystupiuk","given":"Ewa","non-dropping-particle":"","parse-na</w:instrText>
            </w:r>
            <w:r w:rsidR="002D23D7" w:rsidRPr="003F32CA">
              <w:rPr>
                <w:color w:val="000000" w:themeColor="text1"/>
                <w:sz w:val="16"/>
                <w:szCs w:val="16"/>
              </w:rPr>
              <w:instrText>mes":false,"suffix":""},{"dropping-particle":"","family":"Halaburda","given":"Kazimierz","non-dropping-particle":"","parse-names":false,"suffix":""},{"dropping-particle":"","family":"Rusicka","given":"Patrycja","non-dropping-particle":"","parse-names":false,"suffix":""},{"dropping-particle":"","family":"Swoboda-Kopec","given":"Ewa","non-dropping-particle":"","parse-names":false,"suffix":""},{"dropping-particle":"","family":"Wroblewska","given":"Marta","non-dropping-particle":"","parse-names":false,"suffix":""},{"dropping-particle":"","family":"Wiktor-Jedrzejczak","given":"Wieslaw","non-dropping-particle":"","parse-names":false,"suffix":""},{"dropping-particle":"","family":"Basak","given":"Grzegorz W.","non-dropping-particle":"","parse-names":false,"suffix":""}],"container-title":"Biology of Blood and Marrow Transplantation","id":"ITEM-1","issue":"6","issued":{"date-parts":[["2016"]]},"page":"1087-1093","publisher":"Elsevier Inc","title":"Impact of Gut Colonization by Antibiotic-Resistant Bacteria on the Outcomes of Allogeneic Hematopoietic Stem Cell Transplantation: A Retrospective, Single-Center Study","type":"article-journal","volume":"22"},"uris":["http://www.mendeley.com/documents/?uuid=9a1eb6dc-1826-4ef0-9f0f-94434da626d7"]}],"mendeley":{"formattedCitation":"&lt;sup&gt;52&lt;/sup&gt;","plainTextFormattedCitation":"52","previouslyFormattedCitation":"&lt;sup&gt;52&lt;/sup&gt;"},"properties":{"noteIndex":0},"schema":"https://github.com/citation-style-language/schema/raw/master/csl-citation.json"}</w:instrText>
            </w:r>
            <w:r w:rsidR="002D23D7">
              <w:rPr>
                <w:color w:val="000000" w:themeColor="text1"/>
                <w:sz w:val="16"/>
                <w:szCs w:val="16"/>
                <w:lang w:val="en-US"/>
              </w:rPr>
              <w:fldChar w:fldCharType="separate"/>
            </w:r>
            <w:r w:rsidR="002D23D7" w:rsidRPr="003F32CA">
              <w:rPr>
                <w:noProof/>
                <w:color w:val="000000" w:themeColor="text1"/>
                <w:sz w:val="16"/>
                <w:szCs w:val="16"/>
                <w:vertAlign w:val="superscript"/>
              </w:rPr>
              <w:t>52</w:t>
            </w:r>
            <w:r w:rsidR="002D23D7">
              <w:rPr>
                <w:color w:val="000000" w:themeColor="text1"/>
                <w:sz w:val="16"/>
                <w:szCs w:val="16"/>
                <w:lang w:val="en-US"/>
              </w:rPr>
              <w:fldChar w:fldCharType="end"/>
            </w:r>
          </w:p>
        </w:tc>
        <w:tc>
          <w:tcPr>
            <w:tcW w:w="0" w:type="auto"/>
            <w:vAlign w:val="center"/>
          </w:tcPr>
          <w:p w14:paraId="6CB33F3F" w14:textId="47A98A41" w:rsidR="000E23C2" w:rsidRPr="003F32CA" w:rsidRDefault="000E23C2" w:rsidP="000E23C2">
            <w:pPr>
              <w:spacing w:line="360" w:lineRule="auto"/>
              <w:jc w:val="center"/>
              <w:rPr>
                <w:color w:val="000000" w:themeColor="text1"/>
                <w:sz w:val="16"/>
                <w:szCs w:val="16"/>
              </w:rPr>
            </w:pPr>
            <w:proofErr w:type="spellStart"/>
            <w:r w:rsidRPr="003F32CA">
              <w:rPr>
                <w:color w:val="000000" w:themeColor="text1"/>
                <w:sz w:val="16"/>
                <w:szCs w:val="16"/>
              </w:rPr>
              <w:t>Pts</w:t>
            </w:r>
            <w:proofErr w:type="spellEnd"/>
            <w:r w:rsidRPr="003F32CA">
              <w:rPr>
                <w:color w:val="000000" w:themeColor="text1"/>
                <w:sz w:val="16"/>
                <w:szCs w:val="16"/>
              </w:rPr>
              <w:t xml:space="preserve"> (n = 107)</w:t>
            </w:r>
          </w:p>
        </w:tc>
        <w:tc>
          <w:tcPr>
            <w:tcW w:w="0" w:type="auto"/>
            <w:vAlign w:val="center"/>
          </w:tcPr>
          <w:p w14:paraId="338E4781" w14:textId="4E29C7D7"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32% (34/107)</w:t>
            </w:r>
          </w:p>
        </w:tc>
        <w:tc>
          <w:tcPr>
            <w:tcW w:w="0" w:type="auto"/>
            <w:vAlign w:val="center"/>
          </w:tcPr>
          <w:p w14:paraId="7459DDD3" w14:textId="33E44FFC"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369FF02C" w14:textId="58DD37F5"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30CDA007" w14:textId="39B8A1CC"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5B80F06D" w14:textId="7B23E93F"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7C94752A" w14:textId="2BB8036F"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665FB7DA" w14:textId="4D688261"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r>
      <w:tr w:rsidR="003F32CA" w:rsidRPr="00AB5244" w14:paraId="52F25B25" w14:textId="77777777" w:rsidTr="007C5F11">
        <w:trPr>
          <w:trHeight w:val="516"/>
        </w:trPr>
        <w:tc>
          <w:tcPr>
            <w:tcW w:w="0" w:type="auto"/>
            <w:vAlign w:val="center"/>
          </w:tcPr>
          <w:p w14:paraId="6F112339" w14:textId="43129900" w:rsidR="000E23C2" w:rsidRPr="00AB5244" w:rsidRDefault="000E23C2" w:rsidP="000E23C2">
            <w:pPr>
              <w:spacing w:line="360" w:lineRule="auto"/>
              <w:jc w:val="center"/>
              <w:rPr>
                <w:sz w:val="16"/>
                <w:szCs w:val="16"/>
              </w:rPr>
            </w:pPr>
            <w:r w:rsidRPr="003F32CA">
              <w:rPr>
                <w:color w:val="000000" w:themeColor="text1"/>
                <w:sz w:val="16"/>
                <w:szCs w:val="16"/>
              </w:rPr>
              <w:t>Cattaneo 2012</w:t>
            </w:r>
            <w:r w:rsidR="002D23D7">
              <w:rPr>
                <w:color w:val="000000" w:themeColor="text1"/>
                <w:sz w:val="16"/>
                <w:szCs w:val="16"/>
                <w:lang w:val="en-US"/>
              </w:rPr>
              <w:fldChar w:fldCharType="begin" w:fldLock="1"/>
            </w:r>
            <w:r w:rsidR="002D23D7" w:rsidRPr="003F32CA">
              <w:rPr>
                <w:color w:val="000000" w:themeColor="text1"/>
                <w:sz w:val="16"/>
                <w:szCs w:val="16"/>
              </w:rPr>
              <w:instrText>ADDIN CSL_CITATION {"citationItems":[{"id":"ITEM-1","itemData":{"DOI":"10.1007/s00277-012-1424-3","ISSN":"09395555","PMID":"22349723","abstract":"Pseudomonas aeruginosa is a well-known cause of severe and potentially life-threatening infections among hematological patients. A prospective epidemiological surveillance program ongoing at our Hematology Unit revealed an increase over time of P. aeruginosa bloodstream infections (BSI). Their impact on outcome and antibiotic susceptibility was analyzed. BSI which consecutively occurred at our institution during a 70-month period were evaluated and correlated with type of pathogen, status of underlying disease, neutropenia, previous antibiotic therapy, resistance to antibiotics, and outcome. During the observation period, 441 BSI were recorded. Frequency of Gram-negative BSI was higher than that of other pathogens (57.3%). Overall, 66 P. aeruginosa BSI were recorded; 22 out of 66 were multiresistant (MR P. aeruginosa). Thirty-day mortality for all BSI was 11.3%; it was 27.3%for P. aeruginosa BSI and 36.4%forMRP. aeruginosa. At multivariate analysis, only active hematological disease and P. aeruginosa BSI were associated to an increased risk of death. For MR P. aeruginosa, BSI mortality was 83.3% vs. 18.8%when empiric therapy included or not an antibiotic with in vitro activity against P. aeruginosa (p=0.011). Together with active disease, the emergence of P. aerug</w:instrText>
            </w:r>
            <w:r w:rsidR="002D23D7">
              <w:rPr>
                <w:color w:val="000000" w:themeColor="text1"/>
                <w:sz w:val="16"/>
                <w:szCs w:val="16"/>
                <w:lang w:val="en-US"/>
              </w:rPr>
              <w:instrText>inosa BSI, particularly if multiresistant, was responsible for an increased risk of death among hematological patients at our institution. In this scenario, reconsidering the type of combination antibiotic therapy to be used as empiric treatment of neutropenic fever was worthwhile. © Springer-Verlag 2012.","author":[{"dropping-particle":"","family":"Cattaneo","given":"Chiara","non-dropping-particle":"","parse-names":false,"suffix":""},{"dropping-particle":"","family":"Antoniazzi","given":"F.","non-dropping-particle":"","parse-names":false,"suffix":""},{"dropping-particle":"","family":"Casari","given":"S.","non-dropping-particle":"","parse-names":false,"suffix":""},{"dropping-particle":"","family":"Ravizzola","given":"G.","non-dropping-particle":"","parse-names":false,"suffix":""},{"dropping-particle</w:instrText>
            </w:r>
            <w:r w:rsidR="002D23D7" w:rsidRPr="00AB5244">
              <w:rPr>
                <w:color w:val="000000" w:themeColor="text1"/>
                <w:sz w:val="16"/>
                <w:szCs w:val="16"/>
              </w:rPr>
              <w:instrText>":"","family":"Gelmi","given":"M.","non-dropping-particle":"","parse-names":false,"suffix":""},{"dropping-particle":"","family":"Pagani","given":"C.","non-dropping-particle":"","parse-names":false,"suffix":""},{"dropping-particle":"","family":"D'Adda","given":"M.","non-dropping-particle":"","parse-names":false,"suffix":""},{"dropping-particle":"","family":"Morello","given":"E.","non-dropping-particle":"","parse-names":false,"suffix":""},{"dropping-particle":"","family":"Re","given":"A.","non-dropping-particle":"","parse-names":false,"suffix":""},{"dropping-particle":"","family":"Borlenghi","given":"E.","non-dropping-particle":"","parse-names":false,"suffix":""},{"dropping-particle":"","family":"Manca","given":"N.","non-dropping-particle":"","parse-names":false,"suffix":""},{"dropping-particle":"","family":"Rossi","given":"G.","non-dropping-particle":"","parse-names":false,"suffix":""}],"container-title":"Annals of Hematology","id":"ITEM-1","issue":"8","issued":{"date-parts":[["2012"]]},"page":"1299-1304","title":"P. aeruginosa bloodstream infections among hematological patients: An old or new question?","type":"article-journal","volume":"91"},"uris":["http://www.mendeley.com/documents/?uuid=63404c5a-a81a-4a88-bf18-0f5bb135f059"]}],"mendeley":{"formattedCitation":"&lt;sup&gt;53&lt;/sup&gt;","plainTextFormattedCitation":"53","previouslyFormattedCitation":"&lt;sup&gt;53&lt;/sup&gt;"},"properties":{"noteIndex":0},"schema":"https://github.com/citation-style-language/schema/raw/master/csl-citation.json"}</w:instrText>
            </w:r>
            <w:r w:rsidR="002D23D7">
              <w:rPr>
                <w:color w:val="000000" w:themeColor="text1"/>
                <w:sz w:val="16"/>
                <w:szCs w:val="16"/>
                <w:lang w:val="en-US"/>
              </w:rPr>
              <w:fldChar w:fldCharType="separate"/>
            </w:r>
            <w:r w:rsidR="002D23D7" w:rsidRPr="00AB5244">
              <w:rPr>
                <w:noProof/>
                <w:color w:val="000000" w:themeColor="text1"/>
                <w:sz w:val="16"/>
                <w:szCs w:val="16"/>
                <w:vertAlign w:val="superscript"/>
              </w:rPr>
              <w:t>53</w:t>
            </w:r>
            <w:r w:rsidR="002D23D7">
              <w:rPr>
                <w:color w:val="000000" w:themeColor="text1"/>
                <w:sz w:val="16"/>
                <w:szCs w:val="16"/>
                <w:lang w:val="en-US"/>
              </w:rPr>
              <w:fldChar w:fldCharType="end"/>
            </w:r>
          </w:p>
        </w:tc>
        <w:tc>
          <w:tcPr>
            <w:tcW w:w="0" w:type="auto"/>
            <w:vAlign w:val="center"/>
          </w:tcPr>
          <w:p w14:paraId="7F813E29" w14:textId="0D04544E" w:rsidR="000E23C2" w:rsidRPr="00AB5244" w:rsidRDefault="000E23C2" w:rsidP="000E23C2">
            <w:pPr>
              <w:spacing w:line="360" w:lineRule="auto"/>
              <w:jc w:val="center"/>
              <w:rPr>
                <w:color w:val="000000" w:themeColor="text1"/>
                <w:sz w:val="16"/>
                <w:szCs w:val="16"/>
              </w:rPr>
            </w:pPr>
            <w:proofErr w:type="spellStart"/>
            <w:r w:rsidRPr="00AB5244">
              <w:rPr>
                <w:color w:val="000000" w:themeColor="text1"/>
                <w:sz w:val="16"/>
                <w:szCs w:val="16"/>
              </w:rPr>
              <w:t>PsA</w:t>
            </w:r>
            <w:proofErr w:type="spellEnd"/>
            <w:r w:rsidRPr="00AB5244">
              <w:rPr>
                <w:color w:val="000000" w:themeColor="text1"/>
                <w:sz w:val="16"/>
                <w:szCs w:val="16"/>
              </w:rPr>
              <w:t xml:space="preserve"> BSI (n = 441)</w:t>
            </w:r>
          </w:p>
        </w:tc>
        <w:tc>
          <w:tcPr>
            <w:tcW w:w="0" w:type="auto"/>
            <w:vAlign w:val="center"/>
          </w:tcPr>
          <w:p w14:paraId="1C3A9FDC" w14:textId="7A22EACE" w:rsidR="000E23C2" w:rsidRPr="00AB5244" w:rsidRDefault="000E23C2" w:rsidP="000E23C2">
            <w:pPr>
              <w:spacing w:line="360" w:lineRule="auto"/>
              <w:jc w:val="center"/>
              <w:rPr>
                <w:color w:val="000000" w:themeColor="text1"/>
                <w:sz w:val="16"/>
                <w:szCs w:val="16"/>
              </w:rPr>
            </w:pPr>
            <w:r w:rsidRPr="00AB5244">
              <w:rPr>
                <w:color w:val="000000" w:themeColor="text1"/>
                <w:sz w:val="16"/>
                <w:szCs w:val="16"/>
              </w:rPr>
              <w:t>NA/</w:t>
            </w:r>
          </w:p>
        </w:tc>
        <w:tc>
          <w:tcPr>
            <w:tcW w:w="0" w:type="auto"/>
            <w:vAlign w:val="center"/>
          </w:tcPr>
          <w:p w14:paraId="1013833B" w14:textId="2896E310" w:rsidR="000E23C2" w:rsidRPr="00AB5244" w:rsidRDefault="000E23C2" w:rsidP="000E23C2">
            <w:pPr>
              <w:spacing w:line="360" w:lineRule="auto"/>
              <w:jc w:val="center"/>
              <w:rPr>
                <w:color w:val="000000" w:themeColor="text1"/>
                <w:sz w:val="16"/>
                <w:szCs w:val="16"/>
              </w:rPr>
            </w:pPr>
            <w:r w:rsidRPr="00AB5244">
              <w:rPr>
                <w:color w:val="000000" w:themeColor="text1"/>
                <w:sz w:val="16"/>
                <w:szCs w:val="16"/>
              </w:rPr>
              <w:t>N/A</w:t>
            </w:r>
          </w:p>
        </w:tc>
        <w:tc>
          <w:tcPr>
            <w:tcW w:w="0" w:type="auto"/>
            <w:vAlign w:val="center"/>
          </w:tcPr>
          <w:p w14:paraId="579E2CC6" w14:textId="3F91AAF7" w:rsidR="000E23C2" w:rsidRPr="00AB5244" w:rsidRDefault="000E23C2" w:rsidP="000E23C2">
            <w:pPr>
              <w:spacing w:line="360" w:lineRule="auto"/>
              <w:jc w:val="center"/>
              <w:rPr>
                <w:color w:val="000000" w:themeColor="text1"/>
                <w:sz w:val="16"/>
                <w:szCs w:val="16"/>
              </w:rPr>
            </w:pPr>
            <w:r w:rsidRPr="00AB5244">
              <w:rPr>
                <w:color w:val="000000" w:themeColor="text1"/>
                <w:sz w:val="16"/>
                <w:szCs w:val="16"/>
              </w:rPr>
              <w:t>N/A</w:t>
            </w:r>
          </w:p>
        </w:tc>
        <w:tc>
          <w:tcPr>
            <w:tcW w:w="0" w:type="auto"/>
            <w:vAlign w:val="center"/>
          </w:tcPr>
          <w:p w14:paraId="6A288690" w14:textId="52588A84" w:rsidR="000E23C2" w:rsidRPr="00AB5244" w:rsidRDefault="000E23C2" w:rsidP="000E23C2">
            <w:pPr>
              <w:spacing w:line="360" w:lineRule="auto"/>
              <w:jc w:val="center"/>
              <w:rPr>
                <w:color w:val="000000" w:themeColor="text1"/>
                <w:sz w:val="16"/>
                <w:szCs w:val="16"/>
              </w:rPr>
            </w:pPr>
            <w:r w:rsidRPr="00AB5244">
              <w:rPr>
                <w:color w:val="000000" w:themeColor="text1"/>
                <w:sz w:val="16"/>
                <w:szCs w:val="16"/>
              </w:rPr>
              <w:t>N/A</w:t>
            </w:r>
          </w:p>
        </w:tc>
        <w:tc>
          <w:tcPr>
            <w:tcW w:w="0" w:type="auto"/>
            <w:vAlign w:val="center"/>
          </w:tcPr>
          <w:p w14:paraId="2FBF2BF6" w14:textId="29C6BA0E" w:rsidR="000E23C2" w:rsidRPr="00AB5244" w:rsidRDefault="000E23C2" w:rsidP="000E23C2">
            <w:pPr>
              <w:spacing w:line="360" w:lineRule="auto"/>
              <w:jc w:val="center"/>
              <w:rPr>
                <w:color w:val="000000" w:themeColor="text1"/>
                <w:sz w:val="16"/>
                <w:szCs w:val="16"/>
              </w:rPr>
            </w:pPr>
            <w:r w:rsidRPr="00AB5244">
              <w:rPr>
                <w:color w:val="000000" w:themeColor="text1"/>
                <w:sz w:val="16"/>
                <w:szCs w:val="16"/>
              </w:rPr>
              <w:t xml:space="preserve">33% (22/66 </w:t>
            </w:r>
            <w:proofErr w:type="spellStart"/>
            <w:r w:rsidRPr="00AB5244">
              <w:rPr>
                <w:color w:val="000000" w:themeColor="text1"/>
                <w:sz w:val="16"/>
                <w:szCs w:val="16"/>
              </w:rPr>
              <w:t>PsA</w:t>
            </w:r>
            <w:proofErr w:type="spellEnd"/>
            <w:r w:rsidRPr="00AB5244">
              <w:rPr>
                <w:color w:val="000000" w:themeColor="text1"/>
                <w:sz w:val="16"/>
                <w:szCs w:val="16"/>
              </w:rPr>
              <w:t xml:space="preserve"> BSI)</w:t>
            </w:r>
          </w:p>
        </w:tc>
        <w:tc>
          <w:tcPr>
            <w:tcW w:w="0" w:type="auto"/>
            <w:vAlign w:val="center"/>
          </w:tcPr>
          <w:p w14:paraId="54065A8D" w14:textId="47DC653B" w:rsidR="000E23C2" w:rsidRPr="00AB5244" w:rsidRDefault="000E23C2" w:rsidP="000E23C2">
            <w:pPr>
              <w:spacing w:line="360" w:lineRule="auto"/>
              <w:jc w:val="center"/>
              <w:rPr>
                <w:color w:val="000000" w:themeColor="text1"/>
                <w:sz w:val="16"/>
                <w:szCs w:val="16"/>
              </w:rPr>
            </w:pPr>
            <w:r w:rsidRPr="00AB5244">
              <w:rPr>
                <w:color w:val="000000" w:themeColor="text1"/>
                <w:sz w:val="16"/>
                <w:szCs w:val="16"/>
              </w:rPr>
              <w:t>N/A</w:t>
            </w:r>
          </w:p>
        </w:tc>
        <w:tc>
          <w:tcPr>
            <w:tcW w:w="0" w:type="auto"/>
            <w:vAlign w:val="center"/>
          </w:tcPr>
          <w:p w14:paraId="12CCB96E" w14:textId="6D246079" w:rsidR="000E23C2" w:rsidRPr="00AB5244" w:rsidRDefault="000E23C2" w:rsidP="000E23C2">
            <w:pPr>
              <w:spacing w:line="360" w:lineRule="auto"/>
              <w:jc w:val="center"/>
              <w:rPr>
                <w:color w:val="000000" w:themeColor="text1"/>
                <w:sz w:val="16"/>
                <w:szCs w:val="16"/>
              </w:rPr>
            </w:pPr>
            <w:r w:rsidRPr="00AB5244">
              <w:rPr>
                <w:color w:val="000000" w:themeColor="text1"/>
                <w:sz w:val="16"/>
                <w:szCs w:val="16"/>
              </w:rPr>
              <w:t>N/A</w:t>
            </w:r>
          </w:p>
        </w:tc>
      </w:tr>
      <w:tr w:rsidR="003F32CA" w:rsidRPr="00A3702B" w14:paraId="1DBEF14C" w14:textId="77777777" w:rsidTr="007C5F11">
        <w:trPr>
          <w:trHeight w:val="516"/>
        </w:trPr>
        <w:tc>
          <w:tcPr>
            <w:tcW w:w="0" w:type="auto"/>
            <w:vAlign w:val="center"/>
          </w:tcPr>
          <w:p w14:paraId="2D977793" w14:textId="65423483" w:rsidR="000E23C2" w:rsidRPr="00A3702B" w:rsidRDefault="000E23C2" w:rsidP="000E23C2">
            <w:pPr>
              <w:spacing w:line="360" w:lineRule="auto"/>
              <w:jc w:val="center"/>
              <w:rPr>
                <w:sz w:val="16"/>
                <w:szCs w:val="16"/>
                <w:lang w:val="en-US"/>
              </w:rPr>
            </w:pPr>
            <w:r w:rsidRPr="00AB5244">
              <w:rPr>
                <w:color w:val="000000" w:themeColor="text1"/>
                <w:sz w:val="16"/>
                <w:szCs w:val="16"/>
              </w:rPr>
              <w:t>Cattaneo 2016</w:t>
            </w:r>
            <w:r w:rsidR="002D23D7">
              <w:rPr>
                <w:color w:val="000000" w:themeColor="text1"/>
                <w:sz w:val="16"/>
                <w:szCs w:val="16"/>
                <w:lang w:val="en-US"/>
              </w:rPr>
              <w:fldChar w:fldCharType="begin" w:fldLock="1"/>
            </w:r>
            <w:r w:rsidR="002D23D7" w:rsidRPr="00AB5244">
              <w:rPr>
                <w:color w:val="000000" w:themeColor="text1"/>
                <w:sz w:val="16"/>
                <w:szCs w:val="16"/>
              </w:rPr>
              <w:instrText xml:space="preserve">ADDIN CSL_CITATION {"citationItems":[{"id":"ITEM-1","itemData":{"DOI":"10.1007/s00277-016-2815-7","ISSN":"14320584","PMID":"27650830","abstract":"Multiresistant bacterial infections are a potentially life-threatening condition in acute leukaemia (AL) patients. We aimed to better define the very recent epidemiology and outcome of bloodstream infections (BSIs) in a real-life setting. We prospectively collected all consecutive febrile/infectious episodes occurring in AL patients admitted to 9 haematology units. In 293 AL patients, 433 BSIs were diagnosed. Gram-positive (GP) bacteria were isolated in 44.8 % BSI and Gram-negative (GN) in 38.3 %, while polymicrobial aetiology- or fungi-related events were identified in 15.7 and 1.1 % of the cases, respectively. GP was observed more frequently in patients not in complete remission (p = 0.04), while GN during consolidation cycles (p = 0.003). Extended spectrum </w:instrText>
            </w:r>
            <w:r w:rsidR="002D23D7">
              <w:rPr>
                <w:color w:val="000000" w:themeColor="text1"/>
                <w:sz w:val="16"/>
                <w:szCs w:val="16"/>
                <w:lang w:val="en-US"/>
              </w:rPr>
              <w:instrText>β</w:instrText>
            </w:r>
            <w:r w:rsidR="002D23D7" w:rsidRPr="00AB5244">
              <w:rPr>
                <w:color w:val="000000" w:themeColor="text1"/>
                <w:sz w:val="16"/>
                <w:szCs w:val="16"/>
              </w:rPr>
              <w:instrText>-lactamase-producing strains accounted for 23.2 % of enterobacteria. They were associated with previous antibiotic exposure, including fluoroquinolones prophylaxis (p = 0.01). Carbapenem-resistant (CR) strains occurred in 9 % of enterobacteria. Among Pseudomonas aeruginosa strains, 21.6 % were multiresistant. Overall 30-day mortality was 8.5 %. CR GN and multiresistant P. aeruginosa BSIs were independent predictors of death (p = 0.002), as well as relapsed/resistant AL (18.3 %; p = 0.0002) and the</w:instrText>
            </w:r>
            <w:r w:rsidR="002D23D7">
              <w:rPr>
                <w:color w:val="000000" w:themeColor="text1"/>
                <w:sz w:val="16"/>
                <w:szCs w:val="16"/>
                <w:lang w:val="en-US"/>
              </w:rPr>
              <w:instrText xml:space="preserve"> presence of pulmonary infiltrates (26.6 %; p &lt; 0.001). Although GP still predominate over GN BSI, the percentage of antibiotic resistant GN strains is considerable in AL patients and it is associated with poor prognosis.","author":[{"dropping-particle":"","family":"Cattaneo","given":"Chiara","non-dropping-particle":"","parse-names":false,"suffix":""},{"dropping-particle":"","family":"Zappasodi","given":"P.","non-dropping-particle":"","parse-names":false,"suffix":""},{"dropping-particle":"","family":"Mancini","given":"V.","non-dropping-particle":"","parse-names":false,"suffix":""},{"dropping-particle":"","family":"Annaloro","given":"C.","non-dropping-particle":"","parse-names":false,"suffix":""},{"dropping-particle":"","family":"Pavesi","given":"F.","non-dropping-particle":"","parse-names":false,"suffix":""},{"dropping-particle":"","family":"Skert","given":"C.","non-dropping-particle":"","parse-names":false,"suffix":""},{"dropping-particle":"","family":"Ferrario","given":"A.","non-dropping-particle":"","parse-names":false,"suffix":""},{"dropping-particle":"","family":"Todisco","given":"E.","non-dropping-particle":"","parse-names":false,"suffix":""},{"dropping-particle":"","family":"Saccà","given":"V.","non-dropping-particle":"","parse-names":false,"suffix":""},{"dropping-particle":"","family":"Verga","given":"L.","non-dropping-particle":"","parse-names":false,"suffix":""},{"dropping-particle":"","family":"Passi","given":"A.","non-dropping-particle":"","parse-names":false,"suffix":""},{"dropping-particle":"","family":"Vià","given":"M.","non-dropping-particle":"Da","parse-names":false,"suffix":""},{"dropping-particle":"","family":"Ferrari","given":"S.","non-dropping-particle":"","parse-names":false,"suffix":""},{"dropping-particle":"","family":"Mometto","given":"G.","non-dropping-particle":"","parse-names":false,"suffix":""},{"dropping-particle":"","family":"Petullà","given":"M.","non-dropping-particle":"","parse-names":false,"suffix":""},{"dropping-particle":"","family":"Nosari","given":"A.","non-dropping-particle":"","parse-names":false,"suffix":""},{"dropping-particle":"","family":"Rossi","given":"G.","non-dropping-particle":"","parse-names":false,"suffix":""}],"container-title":"Annals of Hematology","id":"ITEM-1","issue":"12","issued":{"date-parts":[["2016"]]},"page":"1955-1963","publisher":"Annals of Hematology","title":"Emerging resistant bacteria strains in bloodstream infections of acute leukaemia patients: results of a prospective study by the Rete Ematologica Lombarda (Rel)","type":"article-journal","volume":"95"},"uris":["http://www.mendeley.com/documents/?uuid=7a2ffd7e-fdc7-44ee-8102-05ab133833cd"]}],"mendeley":{"formattedCitation":"&lt;sup&gt;18&lt;/sup&gt;","plainTextFormattedCitation":"18","previouslyFormattedCitation":"&lt;sup&gt;18&lt;/sup&gt;"},"properties":{"noteIndex":0},"schema":"https://github.com/citation-style-language/schema/raw/master/csl-citation.json"}</w:instrText>
            </w:r>
            <w:r w:rsidR="002D23D7">
              <w:rPr>
                <w:color w:val="000000" w:themeColor="text1"/>
                <w:sz w:val="16"/>
                <w:szCs w:val="16"/>
                <w:lang w:val="en-US"/>
              </w:rPr>
              <w:fldChar w:fldCharType="separate"/>
            </w:r>
            <w:r w:rsidR="002D23D7" w:rsidRPr="002D23D7">
              <w:rPr>
                <w:noProof/>
                <w:color w:val="000000" w:themeColor="text1"/>
                <w:sz w:val="16"/>
                <w:szCs w:val="16"/>
                <w:vertAlign w:val="superscript"/>
                <w:lang w:val="en-US"/>
              </w:rPr>
              <w:t>18</w:t>
            </w:r>
            <w:r w:rsidR="002D23D7">
              <w:rPr>
                <w:color w:val="000000" w:themeColor="text1"/>
                <w:sz w:val="16"/>
                <w:szCs w:val="16"/>
                <w:lang w:val="en-US"/>
              </w:rPr>
              <w:fldChar w:fldCharType="end"/>
            </w:r>
          </w:p>
        </w:tc>
        <w:tc>
          <w:tcPr>
            <w:tcW w:w="0" w:type="auto"/>
            <w:vAlign w:val="center"/>
          </w:tcPr>
          <w:p w14:paraId="26D312A7" w14:textId="6056EC35"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BSI (n = 433)</w:t>
            </w:r>
          </w:p>
        </w:tc>
        <w:tc>
          <w:tcPr>
            <w:tcW w:w="0" w:type="auto"/>
            <w:vAlign w:val="center"/>
          </w:tcPr>
          <w:p w14:paraId="0A7F58C1" w14:textId="01B08DEA"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27C8D8C" w14:textId="6D41099F"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55% (91/166)</w:t>
            </w:r>
          </w:p>
        </w:tc>
        <w:tc>
          <w:tcPr>
            <w:tcW w:w="0" w:type="auto"/>
            <w:vAlign w:val="center"/>
          </w:tcPr>
          <w:p w14:paraId="0F4F1EDC" w14:textId="731AFAC4"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22% (37/166)</w:t>
            </w:r>
          </w:p>
        </w:tc>
        <w:tc>
          <w:tcPr>
            <w:tcW w:w="0" w:type="auto"/>
            <w:vAlign w:val="center"/>
          </w:tcPr>
          <w:p w14:paraId="695FA015" w14:textId="6D133899"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8% (13/166)</w:t>
            </w:r>
          </w:p>
        </w:tc>
        <w:tc>
          <w:tcPr>
            <w:tcW w:w="0" w:type="auto"/>
            <w:vAlign w:val="center"/>
          </w:tcPr>
          <w:p w14:paraId="148D2E62" w14:textId="156F281E"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6% (10/166)</w:t>
            </w:r>
          </w:p>
        </w:tc>
        <w:tc>
          <w:tcPr>
            <w:tcW w:w="0" w:type="auto"/>
            <w:vAlign w:val="center"/>
          </w:tcPr>
          <w:p w14:paraId="07391689" w14:textId="6462B4FA"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1% / 2%</w:t>
            </w:r>
          </w:p>
        </w:tc>
        <w:tc>
          <w:tcPr>
            <w:tcW w:w="0" w:type="auto"/>
            <w:vAlign w:val="center"/>
          </w:tcPr>
          <w:p w14:paraId="34222A56" w14:textId="39C5CFDC"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4% / 80%</w:t>
            </w:r>
          </w:p>
        </w:tc>
      </w:tr>
      <w:tr w:rsidR="003F32CA" w:rsidRPr="00A3702B" w14:paraId="64418E2A" w14:textId="77777777" w:rsidTr="007C5F11">
        <w:trPr>
          <w:trHeight w:val="516"/>
        </w:trPr>
        <w:tc>
          <w:tcPr>
            <w:tcW w:w="0" w:type="auto"/>
            <w:vAlign w:val="center"/>
          </w:tcPr>
          <w:p w14:paraId="56129EF4" w14:textId="086BAA32" w:rsidR="000E23C2" w:rsidRPr="00F8461C" w:rsidRDefault="000E23C2" w:rsidP="000E23C2">
            <w:pPr>
              <w:spacing w:line="360" w:lineRule="auto"/>
              <w:jc w:val="center"/>
              <w:rPr>
                <w:sz w:val="16"/>
                <w:szCs w:val="16"/>
              </w:rPr>
            </w:pPr>
            <w:proofErr w:type="spellStart"/>
            <w:r w:rsidRPr="00A3702B">
              <w:rPr>
                <w:color w:val="000000" w:themeColor="text1"/>
                <w:sz w:val="16"/>
                <w:szCs w:val="16"/>
                <w:lang w:val="en-US"/>
              </w:rPr>
              <w:t>Chumbita</w:t>
            </w:r>
            <w:proofErr w:type="spellEnd"/>
            <w:r w:rsidRPr="00A3702B">
              <w:rPr>
                <w:color w:val="000000" w:themeColor="text1"/>
                <w:sz w:val="16"/>
                <w:szCs w:val="16"/>
                <w:lang w:val="en-US"/>
              </w:rPr>
              <w:t xml:space="preserve"> 2022</w:t>
            </w:r>
            <w:r w:rsidR="002D23D7">
              <w:rPr>
                <w:color w:val="000000" w:themeColor="text1"/>
                <w:sz w:val="16"/>
                <w:szCs w:val="16"/>
                <w:lang w:val="en-US"/>
              </w:rPr>
              <w:fldChar w:fldCharType="begin" w:fldLock="1"/>
            </w:r>
            <w:r w:rsidR="00F8461C">
              <w:rPr>
                <w:color w:val="000000" w:themeColor="text1"/>
                <w:sz w:val="16"/>
                <w:szCs w:val="16"/>
                <w:lang w:val="en-US"/>
              </w:rPr>
              <w:instrText>ADDIN CSL_CITATION {"citationItems":[{"id":"ITEM-1","itemData":{"DOI":"10.1128/AAC.01744-21","ISSN":"10986596","PMID":"34843387","abstract":"We analyzed risk factors for mortality in febrile neutropenic patients with bloodstream infections (BSI) presenting with septic shock and assessed the impact of empirical antibiotic regimens. A multicenter retrospective study (2010 to 2019) of two prospective cohorts compared BSI episodes in patients with or without septic shock. Multivariate analysis was performed to identify independent risk factors for mortality in episodes with septic shock. Of 1,563 patients with BSI, 257 (16%) presented with septic shock. Those patients with septic shock had higher mortality than those without septic shock (55% versus 15%, P , 0.001). Gram-negative bacilli caused 81% of episodes with septic shock, Gram-positive cocci caused 22%, and Candida species caused 5%. Inappropriate empirical antibiotic treatment (IEAT) was administered in 17.5% of septic shock episodes. Empirical β-lactam combined with other active antibiotics was associated with the lowest mortality observed. When amikacin was the only active antibiotic, mortality was 90%. Addition of empirical specific Gram-positive coverage had no impact on mortality. Mortality was higher when IEAT was administered (76% versus 51%, P = 0.002). Age of .70 years (odds ratio [OR], 2.3; 95% confidence interval [CI], 1.2 to 4.7), IEAT for Candida spp. or Gram-negative bacilli (OR, 3.8; 95% CI, 1.3 to 11.1), acute kidney injury (OR, 2.6; 95% CI, 1.4 to 4.9), and amikacin as the only active antibiotic (OR, 15.2; 95% CI, 1.7 to 134.5) were independent risk factors for mortality, while the combination of β-lactam and amikacin was protective (OR, 0.32; 95% CI, 0.18 to 0.57). Septic shock in febrile neutropenic patients with BSI is associated with extremely high mortality, especially when IEAT is administered. Combination therapy including an active β-lactam and amikacin results in the best outcomes.","author":[{"dropping-particle":"","family":"Chumbita","given":"Mariana","non-dropping-particle":"","parse-names":false,"suffix":""},{"dropping-particle":"","family":"Puerta-Alcalde","given":"Pedro","non-dropping-particle":"","parse-names":false,"suffix":""},{"dropping-particle":"","family":"Gudiol","given":"Carlota","non-dropping-particle":"","parse-names":false,"suffix":""},{"dropping-particle":"","family":"Garcia-Pouton","given":"Nicole","non-dropping-particle":"","parse-names":false,"suffix":""},{"dropping-particle":"","family":"Laporte-Amargós","given":"Júlia","non-dropping-particle":"","parse-names":false,"suffix":""},{"dropping-particle":"","family":"Ladino","given":"Andrea","non-dropping-particle":"","parse-names":false,"suffix":""},{"dropping-particle":"","family":"Albasanz-Puig","given":"Adaia","non-dropping-particle":"","parse-names":false,"suffix":""},{"dropping-particle":"","family":"Helguera","given":"Cristina","non-dropping-particle":"","parse-names":false,"suffix":""},{"dropping-particle":"","family":"Bergas","given":"Alba","non-dropping-particle":"","parse-names":false,"suffix":""},{"dropping-particle":"","family":"Grafia","given":"Ignacio","non-dropping-particle":"","parse-names":false,"suffix":""},{"dropping-particle":"","family":"Sastre","given":"Enric","non-dropping-particle":"","parse-names":false,"suffix":""},{"dropping-particle":"","family":"Suárez-Lledó","given":"María","non-dropping-particle":"","parse-names":false,"suffix":""},{"dropping-particle":"","family":"Durà","given":"Xavier","non-dropping-particle":"","parse-names":false,"suffix":""},{"dropping-particle":"","family":"Jordán","given":"Carlota","non-dropping-particle":"","parse-names":false,"suffix":""},{"dropping-particle":"","family":"Marco","given":"Francesc","non-dropping-particle":"","parse-names":false,"suffix":""},{"dropping-particle":"","family":"Condom","g</w:instrText>
            </w:r>
            <w:r w:rsidR="00F8461C" w:rsidRPr="00F8461C">
              <w:rPr>
                <w:color w:val="000000" w:themeColor="text1"/>
                <w:sz w:val="16"/>
                <w:szCs w:val="16"/>
              </w:rPr>
              <w:instrText>iven":"Maria","non-dropping-particle":"","parse-names":false,"suffix":""},{"dropping-particle":"","family":"Castro","given":"Pedro","non-dropping-particle":"","parse-names":false,"suffix":""},{"dropping-particle":"","family":"Martínez","given":"Jose A.","non-dropping-particle":"","parse-names":false,"suffix":""},{"dropping-particle":"","family":"Mensa","given":"Josep","non-dropping-particle":"","parse-names":false,"suffix":""},{"dropping-particle":"","family":"Soriano","given":"Alex","non-dropping-particle":"","parse-names":false,"suffix":""},{"dropping-particle":"","family":"Carratal","given":"Jordi","non-dropping-particle":"","parse-names":false,"suffix":""},{"dropping-particle":"","family":"Garcia-Vidal","given":"Carolina","non-dropping-particle":"","parse-names":false,"suffix":""}],"container-title":"Antimicrobial Agents and Chemotherapy","id":"ITEM-1","issue":"2","issued":{"date-parts":[["2022"]]},"page":"1-11","publisher":"American Society for Microbiology","title":"Impact of Empirical Antibiotic Regimens on Mortality in Neutropenic Patients with Bloodstream Infection Presenting with Septic Shock","type":"article-journal","volume":"66"},"uris":["http://www.mendeley.com/documents/?uuid=c82e663b-61bf-4ae9-94d5-99bb319c8f6b"]}],"mendeley":{"formattedCitation":"&lt;sup&gt;54&lt;/sup&gt;","plainTextFormattedCitation":"54","previouslyFormattedCitation":"&lt;sup&gt;54&lt;/sup&gt;"},"properties":{"noteIndex":0},"schema":"https://github.com/citation-style-language/schema/raw/master/csl-citation.json"}</w:instrText>
            </w:r>
            <w:r w:rsidR="002D23D7">
              <w:rPr>
                <w:color w:val="000000" w:themeColor="text1"/>
                <w:sz w:val="16"/>
                <w:szCs w:val="16"/>
                <w:lang w:val="en-US"/>
              </w:rPr>
              <w:fldChar w:fldCharType="separate"/>
            </w:r>
            <w:r w:rsidR="002D23D7" w:rsidRPr="00F8461C">
              <w:rPr>
                <w:noProof/>
                <w:color w:val="000000" w:themeColor="text1"/>
                <w:sz w:val="16"/>
                <w:szCs w:val="16"/>
                <w:vertAlign w:val="superscript"/>
              </w:rPr>
              <w:t>54</w:t>
            </w:r>
            <w:r w:rsidR="002D23D7">
              <w:rPr>
                <w:color w:val="000000" w:themeColor="text1"/>
                <w:sz w:val="16"/>
                <w:szCs w:val="16"/>
                <w:lang w:val="en-US"/>
              </w:rPr>
              <w:fldChar w:fldCharType="end"/>
            </w:r>
          </w:p>
        </w:tc>
        <w:tc>
          <w:tcPr>
            <w:tcW w:w="0" w:type="auto"/>
            <w:vAlign w:val="center"/>
          </w:tcPr>
          <w:p w14:paraId="2368EB88" w14:textId="5C73B813" w:rsidR="000E23C2" w:rsidRPr="00F8461C" w:rsidRDefault="000E23C2" w:rsidP="000E23C2">
            <w:pPr>
              <w:spacing w:line="360" w:lineRule="auto"/>
              <w:jc w:val="center"/>
              <w:rPr>
                <w:color w:val="000000" w:themeColor="text1"/>
                <w:sz w:val="16"/>
                <w:szCs w:val="16"/>
              </w:rPr>
            </w:pPr>
            <w:r w:rsidRPr="00F8461C">
              <w:rPr>
                <w:color w:val="000000" w:themeColor="text1"/>
                <w:sz w:val="16"/>
                <w:szCs w:val="16"/>
              </w:rPr>
              <w:t>GN BSI (n =700)</w:t>
            </w:r>
          </w:p>
        </w:tc>
        <w:tc>
          <w:tcPr>
            <w:tcW w:w="0" w:type="auto"/>
            <w:vAlign w:val="center"/>
          </w:tcPr>
          <w:p w14:paraId="0B2081AC" w14:textId="5E69A3EA" w:rsidR="000E23C2" w:rsidRPr="00F8461C" w:rsidRDefault="000E23C2" w:rsidP="000E23C2">
            <w:pPr>
              <w:spacing w:line="360" w:lineRule="auto"/>
              <w:jc w:val="center"/>
              <w:rPr>
                <w:color w:val="000000" w:themeColor="text1"/>
                <w:sz w:val="16"/>
                <w:szCs w:val="16"/>
              </w:rPr>
            </w:pPr>
            <w:r w:rsidRPr="00F8461C">
              <w:rPr>
                <w:color w:val="000000" w:themeColor="text1"/>
                <w:sz w:val="16"/>
                <w:szCs w:val="16"/>
              </w:rPr>
              <w:t>N/A</w:t>
            </w:r>
          </w:p>
        </w:tc>
        <w:tc>
          <w:tcPr>
            <w:tcW w:w="0" w:type="auto"/>
            <w:vAlign w:val="center"/>
          </w:tcPr>
          <w:p w14:paraId="791B5EF9" w14:textId="15C2413F" w:rsidR="000E23C2" w:rsidRPr="00F8461C" w:rsidRDefault="000E23C2" w:rsidP="000E23C2">
            <w:pPr>
              <w:spacing w:line="360" w:lineRule="auto"/>
              <w:jc w:val="center"/>
              <w:rPr>
                <w:color w:val="000000" w:themeColor="text1"/>
                <w:sz w:val="16"/>
                <w:szCs w:val="16"/>
              </w:rPr>
            </w:pPr>
            <w:r w:rsidRPr="00F8461C">
              <w:rPr>
                <w:color w:val="000000" w:themeColor="text1"/>
                <w:sz w:val="16"/>
                <w:szCs w:val="16"/>
              </w:rPr>
              <w:t>44% (134/308)</w:t>
            </w:r>
          </w:p>
        </w:tc>
        <w:tc>
          <w:tcPr>
            <w:tcW w:w="0" w:type="auto"/>
            <w:vAlign w:val="center"/>
          </w:tcPr>
          <w:p w14:paraId="2A177F34" w14:textId="584DBD51" w:rsidR="000E23C2" w:rsidRPr="00F8461C" w:rsidRDefault="000E23C2" w:rsidP="000E23C2">
            <w:pPr>
              <w:spacing w:line="360" w:lineRule="auto"/>
              <w:jc w:val="center"/>
              <w:rPr>
                <w:color w:val="000000" w:themeColor="text1"/>
                <w:sz w:val="16"/>
                <w:szCs w:val="16"/>
              </w:rPr>
            </w:pPr>
            <w:r w:rsidRPr="00F8461C">
              <w:rPr>
                <w:color w:val="000000" w:themeColor="text1"/>
                <w:sz w:val="16"/>
                <w:szCs w:val="16"/>
              </w:rPr>
              <w:t>30% (93-308)</w:t>
            </w:r>
          </w:p>
        </w:tc>
        <w:tc>
          <w:tcPr>
            <w:tcW w:w="0" w:type="auto"/>
            <w:vAlign w:val="center"/>
          </w:tcPr>
          <w:p w14:paraId="6277B465" w14:textId="3964A571" w:rsidR="000E23C2" w:rsidRPr="00F8461C" w:rsidRDefault="000E23C2" w:rsidP="000E23C2">
            <w:pPr>
              <w:spacing w:line="360" w:lineRule="auto"/>
              <w:jc w:val="center"/>
              <w:rPr>
                <w:color w:val="000000" w:themeColor="text1"/>
                <w:sz w:val="16"/>
                <w:szCs w:val="16"/>
              </w:rPr>
            </w:pPr>
            <w:r w:rsidRPr="00F8461C">
              <w:rPr>
                <w:color w:val="000000" w:themeColor="text1"/>
                <w:sz w:val="16"/>
                <w:szCs w:val="16"/>
              </w:rPr>
              <w:t>9% (29/308)</w:t>
            </w:r>
          </w:p>
        </w:tc>
        <w:tc>
          <w:tcPr>
            <w:tcW w:w="0" w:type="auto"/>
            <w:vAlign w:val="center"/>
          </w:tcPr>
          <w:p w14:paraId="255083F9" w14:textId="652BB1CC" w:rsidR="000E23C2" w:rsidRPr="00F8461C" w:rsidRDefault="000E23C2" w:rsidP="000E23C2">
            <w:pPr>
              <w:spacing w:line="360" w:lineRule="auto"/>
              <w:jc w:val="center"/>
              <w:rPr>
                <w:color w:val="000000" w:themeColor="text1"/>
                <w:sz w:val="16"/>
                <w:szCs w:val="16"/>
              </w:rPr>
            </w:pPr>
            <w:r w:rsidRPr="00F8461C">
              <w:rPr>
                <w:color w:val="000000" w:themeColor="text1"/>
                <w:sz w:val="16"/>
                <w:szCs w:val="16"/>
              </w:rPr>
              <w:t xml:space="preserve">20% (10/53 </w:t>
            </w:r>
            <w:proofErr w:type="spellStart"/>
            <w:r w:rsidRPr="00F8461C">
              <w:rPr>
                <w:color w:val="000000" w:themeColor="text1"/>
                <w:sz w:val="16"/>
                <w:szCs w:val="16"/>
              </w:rPr>
              <w:t>PsA</w:t>
            </w:r>
            <w:proofErr w:type="spellEnd"/>
            <w:r w:rsidRPr="00F8461C">
              <w:rPr>
                <w:color w:val="000000" w:themeColor="text1"/>
                <w:sz w:val="16"/>
                <w:szCs w:val="16"/>
              </w:rPr>
              <w:t xml:space="preserve"> BSI)</w:t>
            </w:r>
          </w:p>
        </w:tc>
        <w:tc>
          <w:tcPr>
            <w:tcW w:w="0" w:type="auto"/>
            <w:vAlign w:val="center"/>
          </w:tcPr>
          <w:p w14:paraId="1CE3B5E9" w14:textId="5850BF77" w:rsidR="000E23C2" w:rsidRPr="00F8461C" w:rsidRDefault="000E23C2" w:rsidP="000E23C2">
            <w:pPr>
              <w:spacing w:line="360" w:lineRule="auto"/>
              <w:jc w:val="center"/>
              <w:rPr>
                <w:color w:val="000000" w:themeColor="text1"/>
                <w:sz w:val="16"/>
                <w:szCs w:val="16"/>
              </w:rPr>
            </w:pPr>
            <w:r w:rsidRPr="00F8461C">
              <w:rPr>
                <w:color w:val="000000" w:themeColor="text1"/>
                <w:sz w:val="16"/>
                <w:szCs w:val="16"/>
              </w:rPr>
              <w:t>N/A</w:t>
            </w:r>
          </w:p>
        </w:tc>
        <w:tc>
          <w:tcPr>
            <w:tcW w:w="0" w:type="auto"/>
            <w:vAlign w:val="center"/>
          </w:tcPr>
          <w:p w14:paraId="66C665F0" w14:textId="2CCE28B3" w:rsidR="000E23C2" w:rsidRPr="00F8461C" w:rsidRDefault="000E23C2" w:rsidP="000E23C2">
            <w:pPr>
              <w:spacing w:line="360" w:lineRule="auto"/>
              <w:jc w:val="center"/>
              <w:rPr>
                <w:color w:val="000000" w:themeColor="text1"/>
                <w:sz w:val="16"/>
                <w:szCs w:val="16"/>
              </w:rPr>
            </w:pPr>
            <w:r w:rsidRPr="00F8461C">
              <w:rPr>
                <w:color w:val="000000" w:themeColor="text1"/>
                <w:sz w:val="16"/>
                <w:szCs w:val="16"/>
              </w:rPr>
              <w:t>N/A</w:t>
            </w:r>
          </w:p>
        </w:tc>
      </w:tr>
      <w:tr w:rsidR="003F32CA" w:rsidRPr="003F32CA" w14:paraId="187D2074" w14:textId="1CB5CC0C" w:rsidTr="007C5F11">
        <w:trPr>
          <w:trHeight w:val="516"/>
        </w:trPr>
        <w:tc>
          <w:tcPr>
            <w:tcW w:w="0" w:type="auto"/>
            <w:vAlign w:val="center"/>
          </w:tcPr>
          <w:p w14:paraId="00B31271" w14:textId="5BB9CFE6" w:rsidR="000E23C2" w:rsidRPr="003F32CA" w:rsidRDefault="000E23C2" w:rsidP="000E23C2">
            <w:pPr>
              <w:spacing w:line="360" w:lineRule="auto"/>
              <w:jc w:val="center"/>
              <w:rPr>
                <w:color w:val="000000" w:themeColor="text1"/>
                <w:sz w:val="16"/>
                <w:szCs w:val="16"/>
              </w:rPr>
            </w:pPr>
            <w:proofErr w:type="spellStart"/>
            <w:r w:rsidRPr="00F8461C">
              <w:rPr>
                <w:sz w:val="16"/>
                <w:szCs w:val="16"/>
              </w:rPr>
              <w:t>Chumbita</w:t>
            </w:r>
            <w:proofErr w:type="spellEnd"/>
            <w:r w:rsidRPr="00F8461C">
              <w:rPr>
                <w:sz w:val="16"/>
                <w:szCs w:val="16"/>
              </w:rPr>
              <w:t xml:space="preserve"> 2023</w:t>
            </w:r>
            <w:r w:rsidR="00F8461C">
              <w:rPr>
                <w:sz w:val="16"/>
                <w:szCs w:val="16"/>
                <w:lang w:val="en-US"/>
              </w:rPr>
              <w:fldChar w:fldCharType="begin" w:fldLock="1"/>
            </w:r>
            <w:r w:rsidR="00F8461C">
              <w:rPr>
                <w:sz w:val="16"/>
                <w:szCs w:val="16"/>
              </w:rPr>
              <w:instrText>ADDIN CSL_CITATION {"citationItems":[{"id":"ITEM-1","itemData":{"DOI":"10.1128/spectrum.00674-23","ISSN":"21650497","PMID":"37367629","abstract":" Bloodstream infection (BSI) caused by P. aeruginosa is related with an elevated morbidity and mortality in neutropenic patients. For this reason, optimal antipseudomonal coverage has been the basis of all historical recommendations in the empirical treatment of febrile neutropenia.  Optimal coverage of Pseudomonas aeruginosa is challenging in febrile neutropenic patients due to a progressive increase in antibiotic resistance worldwide. We aimed to detail current rates of resistance to antibiotics recommended by international guidelines for P. aeruginosa isolated from bloodstream infections (BSI) in patients with hematologic malignancies. Secondarily, we aimed to describe how many patients received inappropriate empirical antibiotic treatment (IEAT) and its impact on mortality. We conducted a retrospective, multicenter cohort study of the last 20 BSI episodes caused by P. aeruginosa in patients with hematologic malignancies from across 14 university hospitals in Spain. Of the 280 patients with hematologic malignancies and BSI caused by P. aeruginosa , 101 (36%) had strains resistant to at least one of the β-lactam antibiotics recommended in international guidelines, namely, cefepime, piperacillin-tazobactam, and meropenem. Additionally, 21.1% and 11.4% of the strains met criteria for MDR and XDR P. aeruginosa , respectively. Even if international guidelines were followed in most cases, 47 (16.8%) patients received IEAT and 66 (23.6%) received inappropriate β-lactam empirical antibiotic treatment. Thirty-day mortality was 27.1%. In the multivariate analysis, pulmonary source (OR 2.22, 95% CI 1.14 to 4.34) and IEAT (OR 2.67, 95% CI 1.37 to 5.23) were factors independently associated with increased mortality. We concluded that P. aeruginosa -causing BSI in patients with hematologic malignancies is commonly resistant to antibiotics recommended in international guidelines, which is associated with frequent IEAT and higher mortality. New therapeutic strategies are needed.  IMPORTANCE Bloodstream infection (BSI) caused by P. aeruginosa is related with an elevated morbidity and mortality in neutropenic patients. For this reason, optimal antipseudomonal coverage has been the basis of all historical recommendations in the empirical treatment of febrile neutropenia. However, in recent years the emergence of multiple types of antibiotic resistances has posed a challenge in treating infections caused by this microorganism. In our study we postulated that P. aerugino…","author":[{"dropping-particle":"","family":"Chumbita","given":"Mariana","non-dropping-particle":"","parse-names":false,"suffix":""},{"dropping-particle":"","family":"Puerta-Alcalde","given":"Pedro","non-dropping-particle":"","parse-names":false,"suffix":""},{"dropping-particle":"","family":"Yáñez","given":"Lucrecia","non-dropping-particle":"","parse-names":false,"suffix":""},{"dropping-particle":"","family":"Angeles Cuesta","given":"Maria","non-dropping-particle":"","parse-names":false,"suffix":""},{"dropping-particle":"","family":"Chinea","given":"Anabelle","non-dropping-particle":"","parse-names":false,"suffix":""},{"dropping-particle":"","family":"Español-Morales","given":"Ignacio","non-dropping-particle":"","parse-names":false,"suffix":""},{"dropping-particle":"","family":"Fernandez-Abellán","given":"Pascual","non-dropping-particle":"","parse-names":false,"suffix":""},{"dropping-particle":"","family":"Gudiol","given":"Carlota","non-dropping-particle":"","parse-names":false,"suffix":""},{"dropping-particle":"","family":"González-Sierra","given":"Pedro","non-dropping-particle":"","parse-names":false,"suffix":""},{"dropping-particle":"","family":"Rojas","given":"Rafael","non-dropping-particle":"","parse-names":false,"suffix":""},{"dropping-particle":"","family":"Sánchez-Pina","given":"José María","non-dropping-particle":"","parse-names":false,"suffix":""},{"dropping-particle":"","family":"Vadillo","given":"Irene Sánchez","non-dropping-particle":"","parse-names":false,"suffix":""},{"dropping-particle":"","family":"Sánchez","given":"Miguel","non-dropping-particle":"","parse-names":false,"suffix":""},{"dropping-particle":"","family":"Varela","given":"Rosario","non-dropping-particle":"","parse-names":false,"suffix":""},{"dropping-particle":"","family":"Vázquez","given":"Lourdes","non-dropping-particle":"","parse-names":false,"suffix":""},{"dropping-particle":"","family":"Guerreiro","given":"Manuel","non-dropping-particle":"","parse-names":false,"suffix":""},{"dropping-particle":"","family":"Monzo","given":"Patricia","non-dropping-particle":"","parse-names":false,"suffix":""},{"dropping-particle":"","family":"Lopera","given":"Carlos","non-dropping-particle":"","parse-names":false,"suffix":""},{"dropping-particle":"","family":"Aiello","given":"Tommaso Francesco","non-dropping-particle":"","parse-names":false,"suffix":""},{"dropping-particle":"","family":"Peyrony","given":"Oliver","non-dropping-particle":"","parse-names":false,"suffix":""},{"dropping-particle":"","family":"Soriano","given":"Alex","non-dropping-particle":"","parse-names":false,"suffix":""},{"dropping-particle":"","family":"Garcia-Vidal","given":"Carolina","non-dropping-particle":"","parse-names":false,"suffix":""}],"container-title":"Microbiology Spectrum","id":"ITEM-1","issue":"4","issued":{"date-parts":[["2023"]]},"page":"1-8","publisher":"American Society for Microbiology","title":"High Rate of Inappropriate Antibiotics in Patients with Hematologic Malignancies and Pseudomonas aeruginosa Bacteremia following International Guideline Recommendations","type":"article-journal","volume":"11"},"uris":["http://www.mendeley.com/documents/?uuid=19ccf6fc-d924-4a9d-83da-8d747bb6a2f5"]}],"mendeley":{"formattedCitation":"&lt;sup&gt;55&lt;/sup&gt;","plainTextFormattedCitation":"55","previouslyFormattedCitation":"&lt;sup&gt;55&lt;/sup&gt;"},"properties":{"noteIndex":0},"schema":"https://github.com/citation-style-language/schema/raw/master/csl-citation.json"}</w:instrText>
            </w:r>
            <w:r w:rsidR="00F8461C">
              <w:rPr>
                <w:sz w:val="16"/>
                <w:szCs w:val="16"/>
                <w:lang w:val="en-US"/>
              </w:rPr>
              <w:fldChar w:fldCharType="separate"/>
            </w:r>
            <w:r w:rsidR="00F8461C" w:rsidRPr="003F32CA">
              <w:rPr>
                <w:noProof/>
                <w:sz w:val="16"/>
                <w:szCs w:val="16"/>
                <w:vertAlign w:val="superscript"/>
              </w:rPr>
              <w:t>55</w:t>
            </w:r>
            <w:r w:rsidR="00F8461C">
              <w:rPr>
                <w:sz w:val="16"/>
                <w:szCs w:val="16"/>
                <w:lang w:val="en-US"/>
              </w:rPr>
              <w:fldChar w:fldCharType="end"/>
            </w:r>
          </w:p>
        </w:tc>
        <w:tc>
          <w:tcPr>
            <w:tcW w:w="0" w:type="auto"/>
            <w:vAlign w:val="center"/>
          </w:tcPr>
          <w:p w14:paraId="3E381720" w14:textId="2B0E44D3" w:rsidR="000E23C2" w:rsidRPr="003F32CA" w:rsidRDefault="000E23C2" w:rsidP="000E23C2">
            <w:pPr>
              <w:spacing w:line="360" w:lineRule="auto"/>
              <w:jc w:val="center"/>
              <w:rPr>
                <w:color w:val="000000" w:themeColor="text1"/>
                <w:sz w:val="16"/>
                <w:szCs w:val="16"/>
              </w:rPr>
            </w:pPr>
            <w:proofErr w:type="spellStart"/>
            <w:r w:rsidRPr="003F32CA">
              <w:rPr>
                <w:color w:val="000000" w:themeColor="text1"/>
                <w:sz w:val="16"/>
                <w:szCs w:val="16"/>
              </w:rPr>
              <w:t>PsA</w:t>
            </w:r>
            <w:proofErr w:type="spellEnd"/>
            <w:r w:rsidRPr="003F32CA">
              <w:rPr>
                <w:color w:val="000000" w:themeColor="text1"/>
                <w:sz w:val="16"/>
                <w:szCs w:val="16"/>
              </w:rPr>
              <w:t xml:space="preserve"> BSI</w:t>
            </w:r>
          </w:p>
          <w:p w14:paraId="70D7372A" w14:textId="06F9F4FC"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 = 280)</w:t>
            </w:r>
          </w:p>
        </w:tc>
        <w:tc>
          <w:tcPr>
            <w:tcW w:w="0" w:type="auto"/>
            <w:vAlign w:val="center"/>
          </w:tcPr>
          <w:p w14:paraId="10B04CAB" w14:textId="7D693EEA"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0B6C365B" w14:textId="6A1BAD3B"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 xml:space="preserve">29% (82/280 </w:t>
            </w:r>
            <w:proofErr w:type="spellStart"/>
            <w:r w:rsidRPr="003F32CA">
              <w:rPr>
                <w:color w:val="000000" w:themeColor="text1"/>
                <w:sz w:val="16"/>
                <w:szCs w:val="16"/>
              </w:rPr>
              <w:t>PsA</w:t>
            </w:r>
            <w:proofErr w:type="spellEnd"/>
            <w:r w:rsidRPr="003F32CA">
              <w:rPr>
                <w:color w:val="000000" w:themeColor="text1"/>
                <w:sz w:val="16"/>
                <w:szCs w:val="16"/>
              </w:rPr>
              <w:t xml:space="preserve"> BSI)</w:t>
            </w:r>
          </w:p>
        </w:tc>
        <w:tc>
          <w:tcPr>
            <w:tcW w:w="0" w:type="auto"/>
            <w:vAlign w:val="center"/>
          </w:tcPr>
          <w:p w14:paraId="516DF5E2" w14:textId="131F3853"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 xml:space="preserve">26% (72/280 </w:t>
            </w:r>
            <w:proofErr w:type="spellStart"/>
            <w:r w:rsidRPr="003F32CA">
              <w:rPr>
                <w:color w:val="000000" w:themeColor="text1"/>
                <w:sz w:val="16"/>
                <w:szCs w:val="16"/>
              </w:rPr>
              <w:t>PsA</w:t>
            </w:r>
            <w:proofErr w:type="spellEnd"/>
            <w:r w:rsidRPr="003F32CA">
              <w:rPr>
                <w:color w:val="000000" w:themeColor="text1"/>
                <w:sz w:val="16"/>
                <w:szCs w:val="16"/>
              </w:rPr>
              <w:t xml:space="preserve"> BSI)</w:t>
            </w:r>
          </w:p>
        </w:tc>
        <w:tc>
          <w:tcPr>
            <w:tcW w:w="0" w:type="auto"/>
            <w:vAlign w:val="center"/>
          </w:tcPr>
          <w:p w14:paraId="027EBB1E" w14:textId="491CFFAD"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 xml:space="preserve">25% (70/280 </w:t>
            </w:r>
            <w:proofErr w:type="spellStart"/>
            <w:r w:rsidRPr="003F32CA">
              <w:rPr>
                <w:color w:val="000000" w:themeColor="text1"/>
                <w:sz w:val="16"/>
                <w:szCs w:val="16"/>
              </w:rPr>
              <w:t>PsA</w:t>
            </w:r>
            <w:proofErr w:type="spellEnd"/>
            <w:r w:rsidRPr="003F32CA">
              <w:rPr>
                <w:color w:val="000000" w:themeColor="text1"/>
                <w:sz w:val="16"/>
                <w:szCs w:val="16"/>
              </w:rPr>
              <w:t xml:space="preserve"> BSI)</w:t>
            </w:r>
          </w:p>
        </w:tc>
        <w:tc>
          <w:tcPr>
            <w:tcW w:w="0" w:type="auto"/>
            <w:vAlign w:val="center"/>
          </w:tcPr>
          <w:p w14:paraId="52DD2379" w14:textId="0CDFA539"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 xml:space="preserve">21% (59/280 </w:t>
            </w:r>
            <w:proofErr w:type="spellStart"/>
            <w:r w:rsidRPr="003F32CA">
              <w:rPr>
                <w:color w:val="000000" w:themeColor="text1"/>
                <w:sz w:val="16"/>
                <w:szCs w:val="16"/>
              </w:rPr>
              <w:t>PsA</w:t>
            </w:r>
            <w:proofErr w:type="spellEnd"/>
            <w:r w:rsidRPr="003F32CA">
              <w:rPr>
                <w:color w:val="000000" w:themeColor="text1"/>
                <w:sz w:val="16"/>
                <w:szCs w:val="16"/>
              </w:rPr>
              <w:t xml:space="preserve"> BSI)</w:t>
            </w:r>
          </w:p>
        </w:tc>
        <w:tc>
          <w:tcPr>
            <w:tcW w:w="0" w:type="auto"/>
            <w:vAlign w:val="center"/>
          </w:tcPr>
          <w:p w14:paraId="08A6ADEF" w14:textId="6F3F20E3"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7D6B4D30" w14:textId="3CB8E3F5"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r>
      <w:tr w:rsidR="003F32CA" w:rsidRPr="00F8461C" w14:paraId="43F431A4" w14:textId="0DBC3463" w:rsidTr="007C5F11">
        <w:trPr>
          <w:trHeight w:val="516"/>
        </w:trPr>
        <w:tc>
          <w:tcPr>
            <w:tcW w:w="0" w:type="auto"/>
            <w:vAlign w:val="center"/>
          </w:tcPr>
          <w:p w14:paraId="2B3BE488" w14:textId="01B660EE" w:rsidR="000E23C2" w:rsidRPr="00A3702B" w:rsidRDefault="000E23C2" w:rsidP="000E23C2">
            <w:pPr>
              <w:spacing w:line="360" w:lineRule="auto"/>
              <w:jc w:val="center"/>
              <w:rPr>
                <w:color w:val="000000" w:themeColor="text1"/>
                <w:sz w:val="16"/>
                <w:szCs w:val="16"/>
                <w:lang w:val="en-US"/>
              </w:rPr>
            </w:pPr>
            <w:r w:rsidRPr="003F32CA">
              <w:rPr>
                <w:color w:val="000000" w:themeColor="text1"/>
                <w:sz w:val="16"/>
                <w:szCs w:val="16"/>
              </w:rPr>
              <w:t>De la Court</w:t>
            </w:r>
            <w:r w:rsidR="007C5F11" w:rsidRPr="003F32CA">
              <w:rPr>
                <w:color w:val="000000" w:themeColor="text1"/>
                <w:sz w:val="16"/>
                <w:szCs w:val="16"/>
              </w:rPr>
              <w:t xml:space="preserve"> </w:t>
            </w:r>
            <w:r w:rsidRPr="003F32CA">
              <w:rPr>
                <w:color w:val="000000" w:themeColor="text1"/>
                <w:sz w:val="16"/>
                <w:szCs w:val="16"/>
              </w:rPr>
              <w:t>2022</w:t>
            </w:r>
            <w:r w:rsidR="00F8461C">
              <w:rPr>
                <w:color w:val="000000" w:themeColor="text1"/>
                <w:sz w:val="16"/>
                <w:szCs w:val="16"/>
                <w:lang w:val="en-US"/>
              </w:rPr>
              <w:fldChar w:fldCharType="begin" w:fldLock="1"/>
            </w:r>
            <w:r w:rsidR="00F8461C" w:rsidRPr="003F32CA">
              <w:rPr>
                <w:color w:val="000000" w:themeColor="text1"/>
                <w:sz w:val="16"/>
                <w:szCs w:val="16"/>
              </w:rPr>
              <w:instrText>ADDIN CSL_CITATION {"citationItems":[{"id":"ITEM-1","itemData":{"DOI":"10.1186/s13756-022-01198-5","ISSN":"20472994","PMID":"36529742","abstract":"Background: In neutropenic patients, bloodstream infections (BSI) significantly contribute to morbidity and mortality. Appropriate empirical antibiotic therapy (EAT) of BSI is essential, at the same time overconsumption of very broad-spectrum antibiotics should be avoided. We investigated: (1) whether surveillance cultures can predict BSI with third-generation cephalosporin –resistant Enterobacterales and Pseudomonas aeruginosa (3GC-R), (2) the effect of inappropriate empirical antimicrobial therapy (IEAT) on clinical outcome and (3) the potential reduction of carbapenem use when using surveillance cultures to guide therapy. Methods: Retrospective study of adult patients with haematological malignancies with febrile episodes during chemotherapy-induced high-risk neutropenia in whom surveillance cultures were collected weekly. IEAT was defined as the absence of in vitro susceptibility of blood-isolates to the administered EAT. Clinical outcome (ICU admission and death) was evaluated within 30 days. Results: A total of 673 febrile episodes occurred among 372 high-risk neutropenic patients. BSI was present in 20.1% (135/673), of which 25.9% (35/135) were due to Enterobacterales and P. aeruginosa. Of t</w:instrText>
            </w:r>
            <w:r w:rsidR="00F8461C">
              <w:rPr>
                <w:color w:val="000000" w:themeColor="text1"/>
                <w:sz w:val="16"/>
                <w:szCs w:val="16"/>
                <w:lang w:val="en-US"/>
              </w:rPr>
              <w:instrText>hese, 17/35 were 3GC-R and 70.6% (12/17) were preceded by 3GC-R colonization. Negative predictive value of surveillance cultures for 3GC-R BSI was 99.1%. IEAT due to (3GC-R) BSI was not significantly associated with clinical outcome. Using surveillance cultures to guide EAT could potentially reduce carbapenem use by 82.8%, when compared to standard EAT with carbapenem. Conclusions: This retrospective analysis shows that in patients with high-risk neutropenia, surveillance cultures can potentially reduce the use of carbapenems with infrequent IEAT for 3GC-R BSI and no negative impact on clinical outcome.","author":[{"dropping-particle":"","family":"la Court","given":"Jara R.","non-dropping-particle":"de","parse-names":false,"suffix":""},{"dropping-particle":"","family":"Heijmans","given":"Jarom","non-dropping-particle":"","parse-names":false,"suffix":""},{"dropping-particle":"","family":"Huynh","given":"Jennifer","non-dropping-particle":"","parse-names":false,"suffix":""},{"dropping-particle":"","family":"Sieswerda","given":"Elske","non-dropping-particle":"","parse-names":false,"suffix":""},{"dropping-particle":"","family":"Jonge","given":"Nick A.","non-dropping-particle":"de","parse-names":false,"suffix":""},{"dropping-particle":"","family":"Dijk","given":"Karin","non-dropping-particle":"van","parse-names":false,"suffix":""},{"dropping-particle":"","family":"Sigaloff","given":"Kim C.E.","non-dropping-particle":"","parse-names":false,"suffix":""},{"dropping-particle":"","family":"Schade","given":"Rogier P.","non-dropping-particle":"","parse-names":false,"suffix":""}],"container-title":"Antimicrobial Resistance and Infection Control","id":"ITEM-1","issue":"1","issued":{"date-parts":[["2022"]]},"page":"1-10","publisher":"BioMed Central","title":"Guidance of empirical antimicrobial therapy by surveillance cultures in high-risk neutropenic patients: a retrospective cohort study","type":"article-journal","volume":"11"},"uris":["http://www.mendeley.com/documents/?uuid=60feeea8-9f16-4a50-ac9b-08f3f1a5dcd2"]}],"mendeley":{"formattedCitation":"&lt;sup&gt;56&lt;/sup&gt;","plainTextFormattedCitation":"56","previouslyFormattedCitation":"&lt;sup&gt;56&lt;/sup&gt;"},"properties":{"noteIndex":0},"schema":"https://github.com/citation-style-language/schema/raw/master/csl-citation.json"}</w:instrText>
            </w:r>
            <w:r w:rsidR="00F8461C">
              <w:rPr>
                <w:color w:val="000000" w:themeColor="text1"/>
                <w:sz w:val="16"/>
                <w:szCs w:val="16"/>
                <w:lang w:val="en-US"/>
              </w:rPr>
              <w:fldChar w:fldCharType="separate"/>
            </w:r>
            <w:r w:rsidR="00F8461C" w:rsidRPr="00F8461C">
              <w:rPr>
                <w:noProof/>
                <w:color w:val="000000" w:themeColor="text1"/>
                <w:sz w:val="16"/>
                <w:szCs w:val="16"/>
                <w:vertAlign w:val="superscript"/>
                <w:lang w:val="en-US"/>
              </w:rPr>
              <w:t>56</w:t>
            </w:r>
            <w:r w:rsidR="00F8461C">
              <w:rPr>
                <w:color w:val="000000" w:themeColor="text1"/>
                <w:sz w:val="16"/>
                <w:szCs w:val="16"/>
                <w:lang w:val="en-US"/>
              </w:rPr>
              <w:fldChar w:fldCharType="end"/>
            </w:r>
          </w:p>
        </w:tc>
        <w:tc>
          <w:tcPr>
            <w:tcW w:w="0" w:type="auto"/>
            <w:vAlign w:val="center"/>
          </w:tcPr>
          <w:p w14:paraId="33BAF000" w14:textId="226D99B0"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FN (n = 372)</w:t>
            </w:r>
          </w:p>
        </w:tc>
        <w:tc>
          <w:tcPr>
            <w:tcW w:w="0" w:type="auto"/>
            <w:vAlign w:val="center"/>
          </w:tcPr>
          <w:p w14:paraId="36BC3DC1" w14:textId="5D73261F"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20%</w:t>
            </w:r>
          </w:p>
        </w:tc>
        <w:tc>
          <w:tcPr>
            <w:tcW w:w="0" w:type="auto"/>
            <w:vAlign w:val="center"/>
          </w:tcPr>
          <w:p w14:paraId="25960B7D" w14:textId="35934D53"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76% (33/48)</w:t>
            </w:r>
          </w:p>
        </w:tc>
        <w:tc>
          <w:tcPr>
            <w:tcW w:w="0" w:type="auto"/>
            <w:vAlign w:val="center"/>
          </w:tcPr>
          <w:p w14:paraId="08438BF0" w14:textId="27C4C5C2"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7% (17/48)</w:t>
            </w:r>
          </w:p>
        </w:tc>
        <w:tc>
          <w:tcPr>
            <w:tcW w:w="0" w:type="auto"/>
            <w:vAlign w:val="center"/>
          </w:tcPr>
          <w:p w14:paraId="225C1B47" w14:textId="3E25D75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12% (5/48)</w:t>
            </w:r>
          </w:p>
        </w:tc>
        <w:tc>
          <w:tcPr>
            <w:tcW w:w="0" w:type="auto"/>
            <w:vAlign w:val="center"/>
          </w:tcPr>
          <w:p w14:paraId="428F4943" w14:textId="16F36C8C"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DFA5A59" w14:textId="7982CB0F"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868B4FD" w14:textId="07300782"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F8461C" w14:paraId="16170CC6" w14:textId="77777777" w:rsidTr="007C5F11">
        <w:trPr>
          <w:trHeight w:val="516"/>
        </w:trPr>
        <w:tc>
          <w:tcPr>
            <w:tcW w:w="0" w:type="auto"/>
            <w:vAlign w:val="center"/>
          </w:tcPr>
          <w:p w14:paraId="21B446B1" w14:textId="74BEA837" w:rsidR="000E23C2" w:rsidRPr="00A3702B" w:rsidRDefault="000E23C2" w:rsidP="000E23C2">
            <w:pPr>
              <w:spacing w:line="360" w:lineRule="auto"/>
              <w:jc w:val="center"/>
              <w:rPr>
                <w:color w:val="000000" w:themeColor="text1"/>
                <w:sz w:val="16"/>
                <w:szCs w:val="16"/>
                <w:lang w:val="en-US"/>
              </w:rPr>
            </w:pPr>
            <w:r w:rsidRPr="00F8461C">
              <w:rPr>
                <w:color w:val="000000" w:themeColor="text1"/>
                <w:sz w:val="16"/>
                <w:szCs w:val="16"/>
                <w:lang w:val="en-US"/>
              </w:rPr>
              <w:t>Kara 2015</w:t>
            </w:r>
            <w:r w:rsidR="00F8461C">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{"citationItems":[{"id":"ITEM-1","itemData":{"DOI":"10.3109/23744235.2015.1051105","ISSN":"23744235","PMID":"26024284","abstract":"Background: The objective of this study was determine the frequency of bloodstream infections (BSIs) and the causative bacteria and their resistance patterns in patients with hematological malignancies (HMs) in a large tertiary care university hospital in Turkey over a 5-year period. Methods: A total of 2098 patients with HMs with 3703 neutropenic episodes were included. Patients were classified as high-risk ( n = 843) and low-risk ( n = 1255) groups and evaluated for frequency of BSIs, causative bacteria, and their resistance patterns. Results: The frequency of BSIs was 14.5%. The frequency of gram-negative BSIs in high-risk and low-risk groups was 10.7% and 5.4% ( p &lt; 0.001), respectively. The frequency of gram-positive BSIs in high-risk and low-risk groups was 7.0% and 3.9% ( p &lt; 0.001), respectively. Gram-negative bacteria predominated (52.6%), with Escherichia coli (17.3%) and Klebsiella spp. (11.0%) as the most frequent organisms. Coagulase-negative staphylococci (10.4%) and Corynebacterium spp. (6.3%) were the most common gram-positive bacteria (35.8%). The rate of extended-spectrum beta-lactamase (ESBL) production was 45% for E. coli and 58% for Klebsiella spp. Quinolone resistance was 58% for E. coli and 11% for Klebsiella spp.. The overall frequency of ceftazidime resistance in Pseudomonas aeruginosa was 28%, and 87% of Acinetobacter spp. were multidrug-resistant. Of Staphylococcus aureus isolates, 24.8% were resistant to methicillin. Conclusion: The dominating causes of BSIs in patients with HMs in our hospital are resistant gramnegative bacteria, which has made empirical antimicrobial choice a highly challenging issue in this patient population.","author":[{"dropping-particle":"","family":"Kara","given":"Özgür","non-dropping-particle":"","parse-names":false,"suffix":""},{"dropping-particle":"","family":"Zarakolu","given":"Pinar","non-dropping-particle":"","parse-names":false,"suffix":""},{"dropping-particle":"","family":"Aşçioʇlu","given":"Sibel","non-dropping-particle":"","parse-names":false,"suffix":""},{"dropping-particle":"","family":"Etgül","given":"Sezgin","non-dropping-particle":"","parse-names":false,"suffix":""},{"dropping-particle":"","family":"Uz","given":"Burak","non-dropping-particle":"","parse-names":false,"suffix":""},{"dropping-particle":"","family":"Büyükaşik","given":"Yahya","non-dropping-particle":"","parse-names":false,"suffix":""},{"dropping-particle":"","family":"Akova","given":"Murat","non-dropping-particle":"","parse-names":false,"suffix":""}],"container-title":"Infectious Diseases","id":"ITEM-1","issue":"10","issued":{"date-parts":[["2015"]]},"page":"686-693","title":"Epidemiology and emerging resistance in bacterial bloodstream infections in patients with hematologic malignancies","type":"article-journal","volume":"47"},"uris":["http://www.mendeley.com/documents/?uuid=645d617c-348e-42da-be9d-1de9086430f6"]}],"mendeley":{"formattedCitation":"&lt;sup&gt;57&lt;/sup&gt;","plainTextFormattedCitation":"57","previouslyFormattedCitation":"&lt;sup&gt;57&lt;/sup&gt;"},"properties":{"noteIndex":0},"schema":"https://github.com/citation-style-language/schema/raw/master/csl-citation.json"}</w:instrText>
            </w:r>
            <w:r w:rsidR="00F8461C">
              <w:rPr>
                <w:color w:val="000000" w:themeColor="text1"/>
                <w:sz w:val="16"/>
                <w:szCs w:val="16"/>
                <w:lang w:val="en-US"/>
              </w:rPr>
              <w:fldChar w:fldCharType="separate"/>
            </w:r>
            <w:r w:rsidR="00F8461C" w:rsidRPr="00F8461C">
              <w:rPr>
                <w:noProof/>
                <w:color w:val="000000" w:themeColor="text1"/>
                <w:sz w:val="16"/>
                <w:szCs w:val="16"/>
                <w:vertAlign w:val="superscript"/>
                <w:lang w:val="en-US"/>
              </w:rPr>
              <w:t>57</w:t>
            </w:r>
            <w:r w:rsidR="00F8461C">
              <w:rPr>
                <w:color w:val="000000" w:themeColor="text1"/>
                <w:sz w:val="16"/>
                <w:szCs w:val="16"/>
                <w:lang w:val="en-US"/>
              </w:rPr>
              <w:fldChar w:fldCharType="end"/>
            </w:r>
          </w:p>
        </w:tc>
        <w:tc>
          <w:tcPr>
            <w:tcW w:w="0" w:type="auto"/>
            <w:vAlign w:val="center"/>
          </w:tcPr>
          <w:p w14:paraId="1C08B5CA" w14:textId="077CA51F"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 xml:space="preserve">Pts </w:t>
            </w:r>
            <w:r w:rsidRPr="00A76DD0">
              <w:rPr>
                <w:color w:val="000000" w:themeColor="text1"/>
                <w:sz w:val="16"/>
                <w:szCs w:val="16"/>
                <w:lang w:val="en-US"/>
              </w:rPr>
              <w:t>(n</w:t>
            </w:r>
            <w:r>
              <w:rPr>
                <w:color w:val="000000" w:themeColor="text1"/>
                <w:sz w:val="16"/>
                <w:szCs w:val="16"/>
                <w:lang w:val="en-US"/>
              </w:rPr>
              <w:t xml:space="preserve"> </w:t>
            </w:r>
            <w:r w:rsidRPr="00A76DD0">
              <w:rPr>
                <w:color w:val="000000" w:themeColor="text1"/>
                <w:sz w:val="16"/>
                <w:szCs w:val="16"/>
                <w:lang w:val="en-US"/>
              </w:rPr>
              <w:t>=</w:t>
            </w:r>
            <w:r>
              <w:rPr>
                <w:color w:val="000000" w:themeColor="text1"/>
                <w:sz w:val="16"/>
                <w:szCs w:val="16"/>
                <w:lang w:val="en-US"/>
              </w:rPr>
              <w:t xml:space="preserve"> </w:t>
            </w:r>
            <w:r w:rsidRPr="00A76DD0">
              <w:rPr>
                <w:color w:val="000000" w:themeColor="text1"/>
                <w:sz w:val="16"/>
                <w:szCs w:val="16"/>
                <w:lang w:val="en-US"/>
              </w:rPr>
              <w:t>3703)</w:t>
            </w:r>
          </w:p>
        </w:tc>
        <w:tc>
          <w:tcPr>
            <w:tcW w:w="0" w:type="auto"/>
            <w:vAlign w:val="center"/>
          </w:tcPr>
          <w:p w14:paraId="1532D6C9" w14:textId="53D73E7F"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15% (536/3703)</w:t>
            </w:r>
          </w:p>
        </w:tc>
        <w:tc>
          <w:tcPr>
            <w:tcW w:w="0" w:type="auto"/>
            <w:vAlign w:val="center"/>
          </w:tcPr>
          <w:p w14:paraId="5A668CAC" w14:textId="03857CBC"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35% (99/282)</w:t>
            </w:r>
          </w:p>
        </w:tc>
        <w:tc>
          <w:tcPr>
            <w:tcW w:w="0" w:type="auto"/>
            <w:vAlign w:val="center"/>
          </w:tcPr>
          <w:p w14:paraId="2B2F9068" w14:textId="330EEFAC"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43% (121/282)</w:t>
            </w:r>
          </w:p>
        </w:tc>
        <w:tc>
          <w:tcPr>
            <w:tcW w:w="0" w:type="auto"/>
            <w:vAlign w:val="center"/>
          </w:tcPr>
          <w:p w14:paraId="5AC3AB2A" w14:textId="5F0D55E0"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12% (34/282)</w:t>
            </w:r>
          </w:p>
        </w:tc>
        <w:tc>
          <w:tcPr>
            <w:tcW w:w="0" w:type="auto"/>
            <w:vAlign w:val="center"/>
          </w:tcPr>
          <w:p w14:paraId="1F8A4BBE" w14:textId="1DA45BA7"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13% (37/282)</w:t>
            </w:r>
          </w:p>
        </w:tc>
        <w:tc>
          <w:tcPr>
            <w:tcW w:w="0" w:type="auto"/>
            <w:vAlign w:val="center"/>
          </w:tcPr>
          <w:p w14:paraId="17887791" w14:textId="455CD103"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1% / 6%</w:t>
            </w:r>
          </w:p>
        </w:tc>
        <w:tc>
          <w:tcPr>
            <w:tcW w:w="0" w:type="auto"/>
            <w:vAlign w:val="center"/>
          </w:tcPr>
          <w:p w14:paraId="695FAA59" w14:textId="14CB3489"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4% / 23%</w:t>
            </w:r>
          </w:p>
        </w:tc>
      </w:tr>
      <w:tr w:rsidR="003F32CA" w:rsidRPr="00F8461C" w14:paraId="7D10A90C" w14:textId="12F64A35" w:rsidTr="007C5F11">
        <w:trPr>
          <w:trHeight w:val="516"/>
        </w:trPr>
        <w:tc>
          <w:tcPr>
            <w:tcW w:w="0" w:type="auto"/>
            <w:vAlign w:val="center"/>
          </w:tcPr>
          <w:p w14:paraId="16852C2F" w14:textId="6ABAF5A7" w:rsidR="000E23C2" w:rsidRPr="00A3702B" w:rsidRDefault="000E23C2" w:rsidP="000E23C2">
            <w:pPr>
              <w:spacing w:line="360" w:lineRule="auto"/>
              <w:jc w:val="center"/>
              <w:rPr>
                <w:color w:val="000000" w:themeColor="text1"/>
                <w:sz w:val="16"/>
                <w:szCs w:val="16"/>
                <w:lang w:val="en-US"/>
              </w:rPr>
            </w:pPr>
            <w:proofErr w:type="spellStart"/>
            <w:r w:rsidRPr="00F8461C">
              <w:rPr>
                <w:color w:val="000000" w:themeColor="text1"/>
                <w:sz w:val="16"/>
                <w:szCs w:val="16"/>
                <w:lang w:val="en-US"/>
              </w:rPr>
              <w:t>Kömürcü</w:t>
            </w:r>
            <w:proofErr w:type="spellEnd"/>
            <w:r w:rsidRPr="00F8461C">
              <w:rPr>
                <w:color w:val="000000" w:themeColor="text1"/>
                <w:sz w:val="16"/>
                <w:szCs w:val="16"/>
                <w:lang w:val="en-US"/>
              </w:rPr>
              <w:t xml:space="preserve"> 2020</w:t>
            </w:r>
            <w:r w:rsidR="002978AE">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{"citationItems":[{"id":"ITEM-1","itemData":{"DOI":"10.1080/17474086.2020.1787145","ISSN":"1747-4094 (Electronic)","PMID":"32574123","abstract":"OBJECTIVES: To investigate the risk factors for rectal colonization with  carbapenem-resistant Enterobacteriaceae (CRE) and extended-spectrum ß-lactamase-producing Enterobacteriaceae (ESBL-E) in hematological malignant patients with febrile neutropenia (FN); rate of rectal colonization and infection/colonization with CRE and ESBL-E; whether empirical treatment can be revised. METHODS: Adult patients receiving chemotherapy were included. Rectal swab cultures of patients were screened for CRE and ESBL-E using selective chromogenic agars. RESULTS: Fifty-seven FN episodes of 57 patients were studied. Rectal colonization rates were 40.4% (23/57) and 8.8% (5/57) for ESBL-E and CRE, respectively. ESBL-E bacteremia was diagnosed in 2 (8.6%) ESBL-E colonized patients, while CRE bacteremia was detected in 1 (20%) CRE colonized patient. Amikacin (100%) and carbapenem (93%) were the most effective antibiotics against gram-negative enteric bacteria. Beta-lactam usage within the last 3 months was a significant risk factor for ESBL-E colonization. CONCLUSIONS: For the treatment of FN patients either colonized with ESBL-E or having significant risk factors for ESBL-E infection, aminoglycoside containing combinations may become an alternative to carbapenems due to their high sensitivity rates. When CRE colonized hematological cancer patients develop FN or if they are hemodynamically unstable, CRE covering empiric antibiotherapy should be preferred due to high mortality rates of CRE bacteremia.","author":[{"dropping-particle":"","family":"Kömürcü","given":"Burak","non-dropping-particle":"","parse-names":false,"suffix":""},{"dropping-particle":"","family":"Tükenmez Tigen","given":"Elif","non-dropping-particle":"","parse-names":false,"suffix":""},{"dropping-particle":"","family":"Toptaş","given":"Tayfur","non-dropping-particle":"","parse-names":false,"suffix":""},{"dropping-particle":"","family":"Fıratlı Tuğlular","given":"Tülin","non-dropping-particle":"","parse-names":false,"suffix":""},{"dropping-particle":"","family":"Korten","given":"Volkan","non-dropping-particle":"","parse-names":false,"suffix":""}],"container-title":"Expert review of hematology","id":"ITEM-1","issue":"8","issued":{"date-parts":[["2020","8"]]},"language":"eng","page":"923-927","publisher-place":"England","title":"Rectal colonization with multidrug-resistant gram-negative bacteria in patients  with hematological malignancies: a prospective study.","type":"article-journal","volume":"13"},"uris":["http://www.mendeley.com/documents/?uuid=f28785cf-484f-4a0f-ba83-13ceab40829e"]}],"mendeley":{"formattedCitation":"&lt;sup&gt;58&lt;/sup&gt;","plainTextFormattedCitation":"58","previouslyFormattedCitation":"&lt;sup&gt;58&lt;/sup&gt;"},"properties":{"noteIndex":0},"schema":"https://github.com/citation-style-language/schema/raw/master/csl-citation.json"}</w:instrText>
            </w:r>
            <w:r w:rsidR="002978AE">
              <w:rPr>
                <w:color w:val="000000" w:themeColor="text1"/>
                <w:sz w:val="16"/>
                <w:szCs w:val="16"/>
                <w:lang w:val="en-US"/>
              </w:rPr>
              <w:fldChar w:fldCharType="separate"/>
            </w:r>
            <w:r w:rsidR="002978AE" w:rsidRPr="002978AE">
              <w:rPr>
                <w:noProof/>
                <w:color w:val="000000" w:themeColor="text1"/>
                <w:sz w:val="16"/>
                <w:szCs w:val="16"/>
                <w:vertAlign w:val="superscript"/>
                <w:lang w:val="en-US"/>
              </w:rPr>
              <w:t>58</w:t>
            </w:r>
            <w:r w:rsidR="002978AE">
              <w:rPr>
                <w:color w:val="000000" w:themeColor="text1"/>
                <w:sz w:val="16"/>
                <w:szCs w:val="16"/>
                <w:lang w:val="en-US"/>
              </w:rPr>
              <w:fldChar w:fldCharType="end"/>
            </w:r>
          </w:p>
        </w:tc>
        <w:tc>
          <w:tcPr>
            <w:tcW w:w="0" w:type="auto"/>
            <w:vAlign w:val="center"/>
          </w:tcPr>
          <w:p w14:paraId="0DFCBD67" w14:textId="0408DF80"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Pts (n = 57)</w:t>
            </w:r>
          </w:p>
        </w:tc>
        <w:tc>
          <w:tcPr>
            <w:tcW w:w="0" w:type="auto"/>
            <w:vAlign w:val="center"/>
          </w:tcPr>
          <w:p w14:paraId="2328D00A" w14:textId="6372D769"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42% (24/57)</w:t>
            </w:r>
          </w:p>
        </w:tc>
        <w:tc>
          <w:tcPr>
            <w:tcW w:w="0" w:type="auto"/>
            <w:vAlign w:val="center"/>
          </w:tcPr>
          <w:p w14:paraId="33FABFFB" w14:textId="47BED3E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37% (6/16)</w:t>
            </w:r>
          </w:p>
        </w:tc>
        <w:tc>
          <w:tcPr>
            <w:tcW w:w="0" w:type="auto"/>
            <w:vAlign w:val="center"/>
          </w:tcPr>
          <w:p w14:paraId="35A3D66D" w14:textId="7ED408F3"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37% (6/16)</w:t>
            </w:r>
          </w:p>
        </w:tc>
        <w:tc>
          <w:tcPr>
            <w:tcW w:w="0" w:type="auto"/>
            <w:vAlign w:val="center"/>
          </w:tcPr>
          <w:p w14:paraId="6965F00F" w14:textId="27684FC9"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6% (1/16)</w:t>
            </w:r>
          </w:p>
        </w:tc>
        <w:tc>
          <w:tcPr>
            <w:tcW w:w="0" w:type="auto"/>
            <w:vAlign w:val="center"/>
          </w:tcPr>
          <w:p w14:paraId="06B74ED6" w14:textId="67C98F1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15823FC" w14:textId="3A831A41"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D6955E2" w14:textId="52931298"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F8461C" w14:paraId="06F120B6" w14:textId="77777777" w:rsidTr="007C5F11">
        <w:trPr>
          <w:trHeight w:val="516"/>
        </w:trPr>
        <w:tc>
          <w:tcPr>
            <w:tcW w:w="0" w:type="auto"/>
            <w:vAlign w:val="center"/>
          </w:tcPr>
          <w:p w14:paraId="600221B5" w14:textId="1EA18DF2" w:rsidR="000E23C2" w:rsidRPr="00F8461C" w:rsidRDefault="000E23C2" w:rsidP="000E23C2">
            <w:pPr>
              <w:spacing w:line="360" w:lineRule="auto"/>
              <w:jc w:val="center"/>
              <w:rPr>
                <w:color w:val="000000" w:themeColor="text1"/>
                <w:sz w:val="16"/>
                <w:szCs w:val="16"/>
                <w:lang w:val="en-US"/>
              </w:rPr>
            </w:pPr>
            <w:proofErr w:type="spellStart"/>
            <w:r w:rsidRPr="00A3702B">
              <w:rPr>
                <w:color w:val="000000" w:themeColor="text1"/>
                <w:sz w:val="16"/>
                <w:szCs w:val="16"/>
                <w:lang w:val="en-US"/>
              </w:rPr>
              <w:t>Girmenia</w:t>
            </w:r>
            <w:proofErr w:type="spellEnd"/>
            <w:r w:rsidRPr="00A3702B">
              <w:rPr>
                <w:color w:val="000000" w:themeColor="text1"/>
                <w:sz w:val="16"/>
                <w:szCs w:val="16"/>
                <w:lang w:val="en-US"/>
              </w:rPr>
              <w:t xml:space="preserve"> 2017</w:t>
            </w:r>
            <w:r w:rsidR="002978AE">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{"citationItems":[{"id":"ITEM-1","itemData":{"DOI":"10.1093/cid/cix690","ISSN":"15376591","PMID":"29020286","abstract":"Background Gram-negative bacteremia (GNB) is a major cause of illness and death after hematopoietic stem cell transplantation (HSCT), and updated epidemiological investigation is advisable. Methods We prospectively evaluated the epidemiology of pre-engraftment GNB in 1118 allogeneic HSCTs (allo-HSCTs) and 1625 autologous HSCTs (auto-HSCTs) among 54 transplant centers during 2014 (SIGNB-GITMO-AMCLI study). Using logistic regression methods. we identified risk factors for GNB and evaluated the impact of GNB on the 4-month overall-survival after transplant. Results The cumulative incidence of pre-engraftment GNB was 17.3% in allo-HSCT and 9% in auto-HSCT. Escherichia coli, Klebsiella pneumoniae, and Pseudomonas aeruginosa were the most common isolates. By multivariate analysis, variables associated with GNB were a diagnosis of acute leukemia, a transplant from a HLA-mismatched donor and from cord blood, older age, and duration of severe neutropenia in allo-HSCT, and a diagnosis of lymphoma, older age, and no antibacterial prophylaxis in auto-HSCT. A pretransplant infection by a resistant pathogen was significantly associated with an increased risk of posttransplant infection by the same microorganism in allo-HSCT. Colonization by resistant gram-negative bacteria was significantly associated with an increased rate of infection by the same pathogen in both transplant procedures. GNB was independently associated with increased mortality at 4 months both in allo-HSCT (hazard ratio, 2.13; 95% confidence interval, 1.45-3.13; P &lt;.001) and auto-HSCT (2.43; 1.22-4.84; P =.01). Conclusions Pre-engraftment GNB is an independent factor associated with increased mortality rate at 4 months after auto-HSCT and allo-HSCT. Previous infectious history and colonization monitoring represent major indicators of GNB. Clinical Trials registration NCT02088840.","author":[{"dropping-particle":"","family":"Girmenia","given":"Corrado","non-dropping-particle":"","parse-names":false,"suffix":""},{"dropping-particle":"","family":"Bertaina","given":"A.","non-dropping-particle":"","parse-names":false,"suffix":""},{"dropping-particle":"","family":"Piciocchi","given":"Alfonso","non-dropping-particle":"","parse-names":false,"suffix":""},{"dropping-particle":"","family":"Perruccio","given":"Katia","non-dropping-particle":"","parse-names":false,"suffix":""},{"dropping-particle":"","family":"Algarotti","given":"Alessandra","non-dropping-particle":"","parse-names":false,"suffix":""},{"dropping-particle":"","family":"Busca","given":"A.","non-dropping-particle":"","parse-names":false,"suffix":""},{"dropping-particle":"","family":"Cattaneo","given":"Chiara","non-dropping-particle":"","parse-names":false,"suffix":""},{"dropping-particle":"","family":"Raiola","given":"Anna Maria","non-dropping-particle":"","parse-names":false,"suffix":""},{"dropping-particle":"","family":"Guidi","given":"Stefano","non-dropping-particle":"","parse-names":false,"suffix":""},{"dropping-particle":"","family":"Iori","given":"Anna Paola","non-dropping-particle":"","parse-names":false,"suffix":""},{"dropping-particle":"","family":"Candoni","given":"Anna","non-dropping-particle":"","parse-names":false,"suffix":""},{"dropping-particle":"","family":"Irrera","given":"Giuseppe","non-dropping-particle":"","parse-names":false,"suffix":""},{"dropping-particle":"","family":"Milone","given":"G.","non-dropping-particle":"","parse-names":false,"suffix":""},{"dropping-particle":"","family":"Marcacci","given":"G.","non-dropping-particle":"","parse-names":false,"suffix":""},{"dropping-particle":"","family":"Scimè","given":"Rosanna","non-dropping-particle":"","parse-names":false,"suffix":""},{"dropping-particle":"","family":"Musso","given":"Maurizio","non-dropping-particle":"","parse-names":false,"suffix":""},{"dropping-particle":"","family":"Cudillo","given":"L.","non-dropping-particle":"","parse-names":false,"suffix":""},{"dropping-particle":"","family":"Sica","given":"S.","non-dropping-particle":"","parse-names":false,"suffix":""},{"dropping-particle":"","family":"Castagna","given":"Luca","non-dropping-particle":"","parse-names":false,"suffix":""},{"dropping-particle":"","family":"Corradini","given":"Paolo","non-dropping-particle":"","parse-names":false,"suffix":""},{"dropping-particle":"","family":"Marchesi","given":"Francesco","non-dropping-particle":"","parse-names":false,"suffix":""},{"dropping-particle":"","family":"Pastore","given":"Domenico","non-dropping-particle":"","parse-names":false,"suffix":""},{"dropping-particle":"","family":"Alessandrino","given":"Emilio Paolo","non-dropping-particle":"","parse-names":false,"suffix":""},{"dropping-particle":"","family":"Annaloro","given":"Claudio","non-dropping-particle":"","parse-names":false,"suffix":""},{"dropping-particle":"","family":"Ciceri","given":"Fabio","non-dropping-particle":"","parse-names":false,"suffix":""},{"dropping-particle":"","family":"Santarone","given":"S.","non-dropping-particle":"","parse-names":false,"suffix":""},{"dropping-particle":"","family":"Nassi","given":"Luca","non-dropping-particle":"","parse-names":false,"suffix":""},{"dropping-particle":"","family":"Farina","given":"Claudio","non-dropping-particle":"","parse-names":false,"suffix":""},{"dropping-particle":"","family":"Viscoli","given":"Claudio","non-dropping-particle":"","parse-names":false,"suffix":""},{"dropping-particle":"","family":"Rossolini","given":"Gian Maria","non-dropping-particle":"","parse-names":false,"suffix":""},{"dropping-particle":"","family":"Bonifazi","given":"Francesca","non-dropping-particle":"","parse-names":false,"suffix":""},{"dropping-particle":"","family":"Rambaldi","given":"Alessandro","non-dropping-particle":"","parse-names":false,"suffix":""},{"dropping-particle":"","family":"Capria","given":"Saveria","non-dropping-particle":"","parse-names":false,"suffix":""},{"dropping-particle":"","family":"Mastronuzzi","given":"Angela","non-dropping-particle":"","parse-names":false,"suffix":""},{"dropping-particle":"","family":"Pagliara","given":"Daria","non-dropping-particle":"","parse-names":false,"suffix":""},{"dropping-particle":"","family":"Bernaschi","given":"Paola","non-dropping-particle":"","parse-names":false,"suffix":""},{"dropping-particle":"","family":"Amico","given":"Lucia","non-dropping-particle":"","parse-names":false,"suffix":""},{"dropping-particle":"","family":"Carotti","given":"Alessandra","non-dropping-particle":"","parse-names":false,"suffix":""},{"dropping-particle":"","family":"Mencacci","given":"Antonella","non-dropping-particle":"","parse-names":false,"suffix":""},{"dropping-particle":"","family":"Bruno","given":"Benedetto","non-dropping-particle":"","parse-names":false,"suffix":""},{"dropping-particle":"","family":"Costa","given":"Cristina","non-dropping-particle":"","parse-names":false,"suffix":""},{"dropping-particle":"","family":"Passi","given":"Angela","non-dropping-particle":"","parse-names":false,"suffix":""},{"dropping-particle":"","family":"Ravizzola","given":"Giuseppe","non-dropping-particle":"","parse-names":false,"suffix":""},{"dropping-particle":"","family":"Angelucci","given":"Emanuele","non-dropping-particle":"","parse-names":false,"suffix":""},{"dropping-particle":"","family":"Marchese","given":"Anna","non-dropping-particle":"","parse-names":false,"suffix":""},{"dropping-particle":"","family":"Pecile","given":"Patrizia","non-dropping-particle":"","parse-names":false,"suffix":""},{"dropping-particle":"","family":"Ventura","given":"Giovanna","non-dropping-particle":"","parse-names":false,"suffix":""},{"dropping-particle":"","family":"Fanin","given":"Renato","non-dropping-particle":"","parse-names":false,"suffix":""},{"dropping-particle":"","family":"Scarparo","given":"Claudio","non-dropping-particle":"","parse-names":false,"suffix":""},{"dropping-particle":"","family":"Barbaro","given":"Angelo","non-dropping-particle":"","parse-names":false,"suffix":""},{"dropping-particle":"","family":"Leotta","given":"Salvatore","non-dropping-particle":"","parse-names":false,"suffix":""},{"dropping-particle":"","family":"Marchese","given":"Anna Elisa","non-dropping-particle":"","parse-names":false,"suffix":""},{"dropping-particle":"","family":"Becchimanzi","given":"Cristina","non-dropping-particle":"","parse-names":false,"suffix":""},{"dropping-particle":"","family":"Donnarumma","given":"Daniela","non-dropping-particle":"","parse-names":false,"suffix":""},{"dropping-particle":"","family":"Tringali","given":"Stefania","non-dropping-particle":"","parse-names":false,"suffix":""},{"dropping-particle":"","family":"Baldi","given":"Maria Teresa","non-dropping-particle":"","parse-names":false,"suffix":""},{"dropping-particle":"","family":"Scalone","given":"Renato","non-dropping-particle":"","parse-names":false,"suffix":""},{"dropping-particle":"","family":"Picardi","given":"Alessandra","non-dropping-particle":"","parse-names":false,"suffix":""},{"dropping-particle":"","family":"Arcese","given":"William","non-dropping-particle":"","parse-names":false,"suffix":""},{"dropping-particle":"","family":"Fontana","given":"Carla","non-dropping-particle":"","parse-names":false,"suffix":""},{"dropping-particle":"","family":"Giammarco","given":"Sabrina","non-dropping-particle":"","parse-names":false,"suffix":""},{"dropping-particle":"","family":"Spanu","given":"Teresa","non-dropping-particle":"","parse-names":false,"suffix":""},{"dropping-particle":"","family":"Crocchiolo","given":"Roberto","non-dropping-particle":"","parse-names":false,"suffix":""},{"dropping-particle":"","family":"Casari","given":"Erminia","non-dropping-particle":"","parse-names":false,"suffix":""},{"dropping-particle":"","family":"Mussetti","given":"Alberto","non-dropping-particle":"","parse-names":false,"suffix":""},{"dropping-particle":"","family":"Conte","given":"Eutilia","non-dropping-particle":"","parse-names":false,"suffix":""},{"dropping-particle":"","family":"Ensoli","given":"Fabrizio","non-dropping-particle":"","parse-names":false,"suffix":""},{"dropping-particle":"","family":"Miragliotta","given":"Giuseppe","non-dropping-particle":"","parse-names":false,"suffix":""},{"dropping-particle":"","family":"Marone","given":"Piero","non-dropping-particle":"","parse-names":false,"suffix":""},{"dropping-particle":"","family":"Arghittu","given":"Milena","non-dropping-particle":"","parse-names":false,"suffix":""},{"dropping-particle":"","family":"Greco","given":"Raffaella","non-dropping-particle":"","parse-names":false,"suffix":""},{"dropping-particle":"","family":"Forcina","given":"Alessandra","non-dropping-particle":"","parse-names":false,"suffix":""},{"dropping-particle":"","family":"Chichero","given":"Paola","non-dropping-particle":"","parse-names":false,"suffix":""},{"dropping-particle":"","family":"Bartolomeo","given":"Paolo","non-dropping-particle":"Di","parse-names":false,"suffix":""},{"dropping-particle":"","family":"Fazii","given":"Paolo","non-dropping-particle":"","parse-names":false,"suffix":""},{"dropping-particle":"","family":"Kroumova","given":"Vesselina","non-dropping-particle":"","parse-names":false,"suffix":""},{"dropping-particle":"","family":"Decembrino","given":"Nunzia","non-dropping-particle":"","parse-names":false,"suffix":""},{"dropping-particle":"","family":"Zecca","given":"Marco","non-dropping-particle":"","parse-names":false,"suffix":""},{"dropping-particle":"","family":"Pisapia","given":"Giovanni","non-dropping-particle":"","parse-names":false,"suffix":""},{"dropping-particle":"","family":"Palazzo","given":"Giulia","non-dropping-particle":"","parse-names":false,"suffix":""},{"dropping-particle":"","family":"Lanino","given":"Edoardo","non-dropping-particle":"","parse-names":false,"suffix":""},{"dropping-particle":"","family":"Faraci","given":"Maura","non-dropping-particle":"","parse-names":false,"suffix":""},{"dropping-particle":"","family":"Castagnola","given":"Elio","non-dropping-particle":"","parse-names":false,"suffix":""},{"dropping-particle":"","family":"Bandettini","given":"Roberto","non-dropping-particle":"","parse-names":false,"suffix":""},{"dropping-particle":"","family":"Pastano","given":"Rocco","non-dropping-particle":"","parse-names":false,"suffix":""},{"dropping-particle":"","family":"Sammassimo","given":"Simona","non-dropping-particle":"","parse-names":false,"suffix":""},{"dropping-particle":"","family":"Passerini","given":"Rita","non-dropping-particle":"","parse-names":false,"suffix":""},{"dropping-particle":"","family":"Stefani","given":"Piero Maria","non-dropping-particle":"","parse-names":false,"suffix":""},{"dropping-particle":"","family":"Gherlinzoni","given":"Filippo","non-dropping-particle":"","parse-names":false,"suffix":""},{"dropping-particle":"","family":"Rigoli","given":"Roberto","non-dropping-particle":"","parse-names":false,"suffix":""},{"dropping-particle":"","family":"Prezioso","given":"Lucia","non-dropping-particle":"","parse-names":false,"suffix":""},{"dropping-particle":"","family":"Cambò","given":"Benedetta","non-dropping-particle":"","parse-names":false,"suffix":""},{"dropping-particle":"","family":"Calderaro","given":"Adriana","non-dropping-particle":"","parse-names":false,"suffix":""},{"dropping-particle":"","family":"Carella","given":"Angelo Michele","non-dropping-particle":"","parse-names":false,"suffix":""},{"dropping-particle":"","family":"Cascavilla","given":"Nicola","non-dropping-particle":"","parse-names":false,"suffix":""},{"dropping-particle":"","family":"Labonia","given":"Maria Teresa","non-dropping-particle":"","parse-names":false,"suffix":""},{"dropping-particle":"","family":"Celeghini","given":"Ivana","non-dropping-particle":"","parse-names":false,"suffix":""},{"dropping-particle":"","family":"Mordini","given":"Nicola","non-dropping-particle":"","parse-names":false,"suffix":""},{"dropping-particle":"","family":"Piana","given":"Federica","non-dropping-particle":"","parse-names":false,"suffix":""},{"dropping-particle":"","family":"Vacca","given":"Adriana","non-dropping-particle":"","parse-names":false,"suffix":""},{"dropping-particle":"","family":"Sanna","given":"Marco","non-dropping-particle":"","parse-names":false,"suffix":""},{"dropping-particle":"","family":"Podda","given":"Giovanni","non-dropping-particle":"","parse-names":false,"suffix":""},{"dropping-particle":"","family":"Corsetti","given":"Maria Teresa","non-dropping-particle":"","parse-names":false,"suffix":""},{"dropping-particle":"","family":"Rocchetti","given":"Andrea","non-dropping-particle":"","parse-names":false,"suffix":""},{"dropping-particle":"","family":"Cilloni","given":"Daniela","non-dropping-particle":"","parse-names":false,"suffix":""},{"dropping-particle":"","family":"Gobbi","given":"Marco","non-dropping-particle":"De","parse-names":false,"suffix":""},{"dropping-particle":"","family":"Bianco","given":"Ornella","non-dropping-particle":"","parse-names":false,"suffix":""},{"dropping-particle":"","family":"Fagioli","given":"Franca","non-dropping-particle":"","parse-names":false,"suffix":""},{"dropping-particle":"","family":"Carraro","given":"Francesca","non-dropping-particle":"","parse-names":false,"suffix":""},{"dropping-particle":"","family":"Intinis","given":"Gianfranco","non-dropping-particle":"De","parse-names":false,"suffix":""},{"dropping-particle":"","family":"Severino","given":"Alessandro","non-dropping-particle":"","parse-names":false,"suffix":""},{"dropping-particle":"","family":"Proia","given":"Anna","non-dropping-particle":"","parse-names":false,"suffix":""},{"dropping-particle":"","family":"Parisi","given":"Gabriella","non-dropping-particle":"","parse-names":false,"suffix":""},{"dropping-particle":"","family":"Vallisa","given":"Daniele","non-dropping-particle":"","parse-names":false,"suffix":""},{"dropping-particle":"","family":"Confalonieri","given":"Massimo","non-dropping-particle":"","parse-names":false,"suffix":""},{"dropping-particle":"","family":"Russo","given":"Domenico","non-dropping-particle":"","parse-names":false,"suffix":""},{"dropping-particle":"","family":"Malagola","given":"Michele","non-dropping-particle":"","parse-names":false,"suffix":""},{"dropping-particle":"","family":"Galieni","given":"Piero","non-dropping-particle":"","parse-names":false,"suffix":""},{"dropping-particle":"","family":"Falcioni","given":"Sadia","non-dropping-particle":"","parse-names":false,"suffix":""},{"dropping-particle":"","family":"Travaglini","given":"Valeria","non-dropping-particle":"","parse-names":false,"suffix":""},{"dropping-particle":"","family":"Raimondi","given":"Roberto","non-dropping-particle":"","parse-names":false,"suffix":""},{"dropping-particle":"","family":"Borghero","given":"Carlo","non-dropping-particle":"","parse-names":false,"suffix":""},{"dropping-particle":"","family":"Pavan","given":"Giacomina","non-dropping-particle":"","parse-names":false,"suffix":""},{"dropping-particle":"","family":"Prete","given":"Arcangelo","non-dropping-particle":"","parse-names":false,"suffix":""},{"dropping-particle":"","family":"Belotti","given":"Tamara","non-dropping-particle":"","parse-names":false,"suffix":""},{"dropping-particle":"","family":"Ambretti","given":"Simone","non-dropping-particle":"","parse-names":false,"suffix":""},{"dropping-particle":"","family":"Imola","given":"Manuela","non-dropping-particle":"","parse-names":false,"suffix":""},{"dropping-particle":"","family":"Mianulli","given":"Anna Maria","non-dropping-particle":"","parse-names":false,"suffix":""},{"dropping-particle":"","family":"Pedna","given":"Maria Federica","non-dropping-particle":"","parse-names":false,"suffix":""},{"dropping-particle":"","family":"Cesaro","given":"Simone","non-dropping-particle":"","parse-names":false,"suffix":""},{"dropping-particle":"","family":"Cascio","given":"Giuliana","non-dropping-particle":"Lo","parse-names":false,"suffix":""},{"dropping-particle":"","family":"Ferrari","given":"Antonella","non-dropping-particle":"","parse-names":false,"suffix":""},{"dropping-particle":"","family":"Piedimonte","given":"Monica","non-dropping-particle":"","parse-names":false,"suffix":""},{"dropping-particle":"","family":"Santino","given":"Iolanda","non-dropping-particle":"","parse-names":false,"suffix":""},{"dropping-particle":"","family":"Calandrelli","given":"Monica","non-dropping-particle":"","parse-names":false,"suffix":""},{"dropping-particle":"","family":"Olivieri","given":"Attilio","non-dropping-particle":"","parse-names":false,"suffix":""},{"dropping-particle":"","family":"Orecchioni","given":"Francesca","non-dropping-particle":"","parse-names":false,"suffix":""},{"dropping-particle":"","family":"Mirabile","given":"Milena","non-dropping-particle":"","parse-names":false,"suffix":""},{"dropping-particle":"","family":"Centurioni","given":"Riccardo","non-dropping-particle":"","parse-names":false,"suffix":""},{"dropping-particle":"","family":"Gironacci","given":"Luciana","non-dropping-particle":"","parse-names":false,"suffix":""},{"dropping-particle":"","family":"Caravelli","given":"Daniela","non-dropping-particle":"","parse-names":false,"suffix":""},{"dropping-particle":"","family":"Gallo","given":"Susanna","non-dropping-particle":"","parse-names":false,"suffix":""},{"dropping-particle":"","family":"Filippi","given":"Marco","non-dropping-particle":"De","parse-names":false,"suffix":""},{"dropping-particle":"","family":"Cupelli","given":"Luca","non-dropping-particle":"","parse-names":false,"suffix":""},{"dropping-particle":"","family":"Dentamaro","given":"Teresa","non-dropping-particle":"","parse-names":false,"suffix":""},{"dropping-particle":"","family":"Falco","given":"Silvana","non-dropping-particle":"","parse-names":false,"suffix":""},{"dropping-particle":"","family":"Eugenio","given":"Ospedale S.","non-dropping-particle":"","parse-names":false,"suffix":""},{"dropping-particle":"","family":"Marotta","given":"Serena","non-dropping-particle":"","parse-names":false,"suffix":""},{"dropping-particle":"","family":"Risitano","given":"Antonio","non-dropping-particle":"","parse-names":false,"suffix":""},{"dropping-particle":"","family":"Lula","given":"Dora","non-dropping-particle":"","parse-names":false,"suffix":""},{"dropping-particle":"","family":"Musto","given":"Pellegrino","non-dropping-particle":"","parse-names":false,"suffix":""},{"dropping-particle":"","family":"Pietrantuono","given":"Giuseppe","non-dropping-particle":"","parse-names":false,"suffix":""},{"dropping-particle":"","family":"Traficante","given":"Antonio","non-dropping-particle":"","parse-names":false,"suffix":""},{"dropping-particle":"","family":"Cerchiara","given":"Elisabetta","non-dropping-particle":"","parse-names":false,"suffix":""},{"dropping-particle":"","family":"Tirindelli","given":"Maria Cristina","non-dropping-particle":"","parse-names":false,"suffix":""},{"dropping-particle":"","family":"Dicuonzo","given":"Giordano","non-dropping-particle":"","parse-names":false,"suffix":""},{"dropping-particle":"","family":"Chierichini","given":"Anna","non-dropping-particle":"","parse-names":false,"suffix":""},{"dropping-particle":"","family":"Anaclerico","given":"Barbara","non-dropping-particle":"","parse-names":false,"suffix":""},{"dropping-particle":"","family":"Placanica","given":"Paola","non-dropping-particle":"","parse-names":false,"suffix":""}],"container-title":"Clinical Infectious Diseases","id":"ITEM-1","issue":"11","issued":{"date-parts":[["2017"]]},"page":"1884-1896","title":"Incidence, Risk Factors and Outcome of Pre-engraftment Gram-Negative Bacteremia after Allogeneic and Autologous Hematopoietic Stem Cell Transplantation: An Italian Prospective Multicenter Survey","type":"article-journal","volume":"65"},"uris":["http://www.mendeley.com/documents/?uuid=536b57e2-6525-4927-94e0-708e2886de32"]}],"mendeley":{"formattedCitation":"&lt;sup&gt;59&lt;/sup&gt;","plainTextFormattedCitation":"59","previouslyFormattedCitation":"&lt;sup&gt;59&lt;/sup&gt;"},"properties":{"noteIndex":0},"schema":"https://github.com/citation-style-language/schema/raw/master/csl-citation.json"}</w:instrText>
            </w:r>
            <w:r w:rsidR="002978AE">
              <w:rPr>
                <w:color w:val="000000" w:themeColor="text1"/>
                <w:sz w:val="16"/>
                <w:szCs w:val="16"/>
                <w:lang w:val="en-US"/>
              </w:rPr>
              <w:fldChar w:fldCharType="separate"/>
            </w:r>
            <w:r w:rsidR="002978AE" w:rsidRPr="002978AE">
              <w:rPr>
                <w:noProof/>
                <w:color w:val="000000" w:themeColor="text1"/>
                <w:sz w:val="16"/>
                <w:szCs w:val="16"/>
                <w:vertAlign w:val="superscript"/>
                <w:lang w:val="en-US"/>
              </w:rPr>
              <w:t>59</w:t>
            </w:r>
            <w:r w:rsidR="002978AE">
              <w:rPr>
                <w:color w:val="000000" w:themeColor="text1"/>
                <w:sz w:val="16"/>
                <w:szCs w:val="16"/>
                <w:lang w:val="en-US"/>
              </w:rPr>
              <w:fldChar w:fldCharType="end"/>
            </w:r>
          </w:p>
        </w:tc>
        <w:tc>
          <w:tcPr>
            <w:tcW w:w="0" w:type="auto"/>
            <w:vAlign w:val="center"/>
          </w:tcPr>
          <w:p w14:paraId="4CD3FE16" w14:textId="281E9B21"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 xml:space="preserve">Pts </w:t>
            </w:r>
            <w:r w:rsidRPr="00A76DD0">
              <w:rPr>
                <w:color w:val="000000" w:themeColor="text1"/>
                <w:sz w:val="16"/>
                <w:szCs w:val="16"/>
                <w:lang w:val="en-US"/>
              </w:rPr>
              <w:t>(n=2743)</w:t>
            </w:r>
          </w:p>
        </w:tc>
        <w:tc>
          <w:tcPr>
            <w:tcW w:w="0" w:type="auto"/>
            <w:vAlign w:val="center"/>
          </w:tcPr>
          <w:p w14:paraId="7BC769F4" w14:textId="393210CA"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C38BF49" w14:textId="50BADA04"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80F20EC" w14:textId="2B4AB3FB"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33% (101/305)</w:t>
            </w:r>
          </w:p>
        </w:tc>
        <w:tc>
          <w:tcPr>
            <w:tcW w:w="0" w:type="auto"/>
            <w:vAlign w:val="center"/>
          </w:tcPr>
          <w:p w14:paraId="176EC991" w14:textId="6BE76691"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6% (18/305)</w:t>
            </w:r>
          </w:p>
        </w:tc>
        <w:tc>
          <w:tcPr>
            <w:tcW w:w="0" w:type="auto"/>
            <w:vAlign w:val="center"/>
          </w:tcPr>
          <w:p w14:paraId="10376C43" w14:textId="2756C655"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5% (15/305)</w:t>
            </w:r>
          </w:p>
        </w:tc>
        <w:tc>
          <w:tcPr>
            <w:tcW w:w="0" w:type="auto"/>
            <w:vAlign w:val="center"/>
          </w:tcPr>
          <w:p w14:paraId="3940FCBD" w14:textId="470375E2"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D2CB38F" w14:textId="6ACE321F"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F8461C" w14:paraId="12CA40D4" w14:textId="70923F23" w:rsidTr="007C5F11">
        <w:trPr>
          <w:trHeight w:val="516"/>
        </w:trPr>
        <w:tc>
          <w:tcPr>
            <w:tcW w:w="0" w:type="auto"/>
            <w:vAlign w:val="center"/>
          </w:tcPr>
          <w:p w14:paraId="7627895C" w14:textId="34E55F1B" w:rsidR="000E23C2" w:rsidRPr="00A3702B" w:rsidRDefault="000E23C2" w:rsidP="000E23C2">
            <w:pPr>
              <w:spacing w:line="360" w:lineRule="auto"/>
              <w:jc w:val="center"/>
              <w:rPr>
                <w:color w:val="000000" w:themeColor="text1"/>
                <w:sz w:val="16"/>
                <w:szCs w:val="16"/>
                <w:lang w:val="en-US"/>
              </w:rPr>
            </w:pPr>
            <w:proofErr w:type="spellStart"/>
            <w:r w:rsidRPr="00A3702B">
              <w:rPr>
                <w:color w:val="000000" w:themeColor="text1"/>
                <w:sz w:val="16"/>
                <w:szCs w:val="16"/>
                <w:lang w:val="en-US"/>
              </w:rPr>
              <w:t>Gudiol</w:t>
            </w:r>
            <w:proofErr w:type="spellEnd"/>
            <w:r w:rsidRPr="00A3702B">
              <w:rPr>
                <w:color w:val="000000" w:themeColor="text1"/>
                <w:sz w:val="16"/>
                <w:szCs w:val="16"/>
                <w:lang w:val="en-US"/>
              </w:rPr>
              <w:t xml:space="preserve"> 2012</w:t>
            </w:r>
            <w:r w:rsidR="002978AE">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{"citationItems":[{"id":"ITEM-1","itemData":{"DOI":"10.1111/j.1469-0691.2012.03879.x","ISSN":"14690691","abstract":"Recent changes in the management of patients with haematological malignancies might have influenced the aetiology, characteristics, antimicrobial resistance and outcomes of bloodstream infection (BSI) during neutropenia. We compared 272 episodes of BSI in adult neutropenic patients with cancer prospectively collected from January 1991 to December 1996 (first period), when quinolone prophylaxis was used, with 283 episodes recorded from January 2006 to March 2010 (second period), when antibacterial prophylaxis was stopped. Patients in the second period were significantly older and were more likely to have graft-versus-host disease and a urinary catheter in place, whereas the presence of a central venous catheter, parenteral nutrition, corticosteroids and antifungal and quinolone prophylaxis, were more frequent in the first period. More patients in the first period had mucositis and soft-tissue infection as the origin of BSI, but an endogenous source was more common during the second. Gram-positive BSI was more frequent in the first period (64% versus 41%; p &lt;0.001), mainly due to coagulase-negative staphylococci and viridans group streptococci. In the second period gram-negative BSI increased (28% versus 49%; p &lt;0.001), quinolone susceptibilities were recovered, but multidrug-resistant gram-negative BSI also increased (1% versus 6%; p &lt;0.001). Although patients in the second period were more likely to need admission to the intensive-care unit, overall case-fatality rate was similar in the two periods (19% versus 15%). The aetiology of BSI in neutropenic patients with cancer has shifted from gram-positive to gram-negative organisms. Multidrug resistance among gram-negative bacilli is emerging as a therapeutic challenge. Overall case-fatality rate remains high. © 2012 The Authors. Clinical Microbiology and Infection © 2012 European Society of Clinical Microbiology and Infectious Diseases.","author":[{"dropping-particle":"","family":"Gudiol","given":"C.","non-dropping-particle":"","parse-names":false,"suffix":""},{"dropping-particle":"","family":"Bodro","given":"M.","non-dropping-particle":"","parse-names":false,"suffix":""},{"dropping-particle":"","family":"Simonetti","given":"A.","non-dropping-particle":"","parse-names":false,"suffix":""},{"dropping-particle":"","family":"Tubau","given":"F.","non-dropping-particle":"","parse-names":false,"suffix":""},{"dropping-particle":"","family":"González-Barca","given":"E.","non-dropping-particle":"","parse-names":false,"suffix":""},{"dropping-particle":"","family":"Cisnal","given":"M.","non-dropping-particle":"","parse-names":false,"suffix":""},{"dropping-particle":"","family":"Domingo-Domenech","given":"E.","non-dropping-particle":"","parse-names":false,"suffix":""},{"dropping-particle":"","family":"Jiménez","given":"L.","non-dropping-particle":"","parse-names":false,"suffix":""},{"dropping-particle":"","family":"Carratalà","given":"J.","non-dropping-particle":"","parse-names":false,"suffix":""}],"container-title":"Clinical Microbiology and Infection","id":"ITEM-1","issue":"5","issued":{"date-parts":[["2013"]]},"page":"474-479","title":"Changing aetiology, clinical features, antimicrobial resistance, and outcomes of bloodstream infection in neutropenic cancer patients","type":"article-journal","volume":"19"},"uris":["http://www.mendeley.com/documents/?uuid=69cf5bcc-06db-4e7a-a301-26519acdeb97"]}],"mendeley":{"formattedCitation":"&lt;sup&gt;60&lt;/sup&gt;","plainTextFormattedCitation":"60","previouslyFormattedCitation":"&lt;sup&gt;60&lt;/sup&gt;"},"properties":{"noteIndex":0},"schema":"https://github.com/citation-style-language/schema/raw/master/csl-citation.json"}</w:instrText>
            </w:r>
            <w:r w:rsidR="002978AE">
              <w:rPr>
                <w:color w:val="000000" w:themeColor="text1"/>
                <w:sz w:val="16"/>
                <w:szCs w:val="16"/>
                <w:lang w:val="en-US"/>
              </w:rPr>
              <w:fldChar w:fldCharType="separate"/>
            </w:r>
            <w:r w:rsidR="002978AE" w:rsidRPr="002978AE">
              <w:rPr>
                <w:noProof/>
                <w:color w:val="000000" w:themeColor="text1"/>
                <w:sz w:val="16"/>
                <w:szCs w:val="16"/>
                <w:vertAlign w:val="superscript"/>
                <w:lang w:val="en-US"/>
              </w:rPr>
              <w:t>60</w:t>
            </w:r>
            <w:r w:rsidR="002978AE">
              <w:rPr>
                <w:color w:val="000000" w:themeColor="text1"/>
                <w:sz w:val="16"/>
                <w:szCs w:val="16"/>
                <w:lang w:val="en-US"/>
              </w:rPr>
              <w:fldChar w:fldCharType="end"/>
            </w:r>
          </w:p>
        </w:tc>
        <w:tc>
          <w:tcPr>
            <w:tcW w:w="0" w:type="auto"/>
            <w:vAlign w:val="center"/>
          </w:tcPr>
          <w:p w14:paraId="65CD773F" w14:textId="5EC38EBA"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 xml:space="preserve">Pts </w:t>
            </w:r>
            <w:r w:rsidRPr="00B62134">
              <w:rPr>
                <w:sz w:val="16"/>
                <w:szCs w:val="16"/>
                <w:lang w:val="en-US"/>
              </w:rPr>
              <w:t>(n</w:t>
            </w:r>
            <w:r>
              <w:rPr>
                <w:sz w:val="16"/>
                <w:szCs w:val="16"/>
                <w:lang w:val="en-US"/>
              </w:rPr>
              <w:t xml:space="preserve"> </w:t>
            </w:r>
            <w:r w:rsidRPr="00B62134">
              <w:rPr>
                <w:sz w:val="16"/>
                <w:szCs w:val="16"/>
                <w:lang w:val="en-US"/>
              </w:rPr>
              <w:t>=</w:t>
            </w:r>
            <w:r>
              <w:rPr>
                <w:sz w:val="16"/>
                <w:szCs w:val="16"/>
                <w:lang w:val="en-US"/>
              </w:rPr>
              <w:t xml:space="preserve"> </w:t>
            </w:r>
            <w:r w:rsidRPr="00B62134">
              <w:rPr>
                <w:sz w:val="16"/>
                <w:szCs w:val="16"/>
                <w:lang w:val="en-US"/>
              </w:rPr>
              <w:t>555)</w:t>
            </w:r>
          </w:p>
        </w:tc>
        <w:tc>
          <w:tcPr>
            <w:tcW w:w="0" w:type="auto"/>
            <w:vAlign w:val="center"/>
          </w:tcPr>
          <w:p w14:paraId="78135315" w14:textId="0F47667E"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6648A39" w14:textId="413398FC"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A177A7C" w14:textId="7380D1A3"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1C2AF5A" w14:textId="2FF74F1B"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4CDF467" w14:textId="3DA28012"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1% (18/213)</w:t>
            </w:r>
          </w:p>
        </w:tc>
        <w:tc>
          <w:tcPr>
            <w:tcW w:w="0" w:type="auto"/>
            <w:vAlign w:val="center"/>
          </w:tcPr>
          <w:p w14:paraId="6C25CBB0" w14:textId="1E18146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1040897" w14:textId="1CD34913"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2% / 21%</w:t>
            </w:r>
          </w:p>
        </w:tc>
      </w:tr>
      <w:tr w:rsidR="003F32CA" w:rsidRPr="003F32CA" w14:paraId="5F7E2700" w14:textId="77777777" w:rsidTr="007C5F11">
        <w:trPr>
          <w:trHeight w:val="516"/>
        </w:trPr>
        <w:tc>
          <w:tcPr>
            <w:tcW w:w="0" w:type="auto"/>
            <w:vAlign w:val="center"/>
          </w:tcPr>
          <w:p w14:paraId="0F03B00F" w14:textId="70BDCFC4" w:rsidR="000E23C2" w:rsidRPr="003F32CA" w:rsidRDefault="000E23C2" w:rsidP="000E23C2">
            <w:pPr>
              <w:spacing w:line="360" w:lineRule="auto"/>
              <w:jc w:val="center"/>
              <w:rPr>
                <w:color w:val="000000" w:themeColor="text1"/>
                <w:sz w:val="16"/>
                <w:szCs w:val="16"/>
              </w:rPr>
            </w:pPr>
            <w:proofErr w:type="spellStart"/>
            <w:r w:rsidRPr="00A3702B">
              <w:rPr>
                <w:color w:val="000000" w:themeColor="text1"/>
                <w:sz w:val="16"/>
                <w:szCs w:val="16"/>
                <w:lang w:val="en-US"/>
              </w:rPr>
              <w:t>Gudiol</w:t>
            </w:r>
            <w:proofErr w:type="spellEnd"/>
            <w:r w:rsidRPr="00A3702B">
              <w:rPr>
                <w:color w:val="000000" w:themeColor="text1"/>
                <w:sz w:val="16"/>
                <w:szCs w:val="16"/>
                <w:lang w:val="en-US"/>
              </w:rPr>
              <w:t xml:space="preserve"> 2020</w:t>
            </w:r>
            <w:r w:rsidR="002978AE">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{"citationItems":[{"id":"ITEM-1","itemData":{"DOI":"10.1128/AAC.02494-19","ISSN":"1098-6596 (Electronic)","PMID":"32015035","abstract":"We aimed to assess the rate and predictive factors of bloodstream infection (BSI)  due to multidrug-resistant (MDR) Pseudomonas aeruginosa in neutropenic cancer patients. We performed a multicenter, retrospective cohort study including oncohematological neutropenic patients with BSI due to P. aeruginosa conducted across 34 centers in 12 countries from January 2006 to May 2018. A mixed logistic regression model was used to estimate a model to predict the multidrug resistance of the causative pathogens. Of a total of 1,217 episodes of BSI due to P. aeruginosa, 309 episodes (25.4%) were caused by MDR strains. The rate of multidrug resistance increased significantly over the study period (P = 0.033). Predictors of MDR P. aeruginosa BSI were prior therapy with piperacillin-tazobactam (odds ratio [OR], 3.48; 95% confidence interval [CI], 2.29 to 5.30), prior antipseudomonal carbapenem use (OR, 2.53; 95% CI, 1.65 to 3.87), fluoroquinolone prophylaxis (OR, 2.99; 95% CI, 1.92 to 4.64), underlying hematological disease (OR, 2.09; 95% CI, 1.26 to 3.44), and the presence of a urinary catheter (OR, 2.54; 95% CI, 1.65 to 3.91), whereas older age (OR, 0.98; 95% CI, 0.97 to 0.99) was found to be protective. Our prediction model achieves good discrimination and calibration, thereby identifying neutropenic patients at higher risk of BSI due to MDR P. aeruginosa The application of this model using a web-based calculator may be a simple strategy to identify high-risk patients who may benefit from the early administration of broad-spectrum antibiotic coverage against MDR strains according to the local susceptibility patterns, thus avoiding the use of broad-spectrum antibiotics in patients at a low risk of resistance development.","author":[{"dropping-particle":"","family":"Gudiol","given":"C","non-dropping-particle":"","parse-names":false,"suffix":""},{"dropping-particle":"","family":"Albasanz-Puig","given":"A","non-dropping-particle":"","parse-names":false,"suffix":""},{"dropping-particle":"","family":"Laporte-Amargós","given":"J","non-dropping-particle":"","parse-names":false,"suffix":""},{"dropping-particle":"","family":"Pallarès","given":"N","non-dropping-particle":"","parse-names":false,"suffix":""},{"dropping-particle":"","family":"Mussetti","given":"A","non-dropping-particle":"","parse-names":false,"suffix":""},{"dropping-particle":"","family":"Ruiz-Camps","given":"I","non-dropping-particle":"","parse-names":false,"suffix":""},{"dropping-particle":"","family":"Puerta-Alcalde","given":"P","non-dropping-particle":"","parse-names":false,"suffix":""},{"dropping-particle":"","family":"Abdala","given":"E","non-dropping-particle":"","parse-names":false,"suffix":""},{"dropping-particle":"","family":"Oltolini","given":"C","non-dropping-particle":"","parse-names":false,"suffix":""},{"dropping-particle":"","family":"Akova","given":"M","non-dropping-particle":"","parse-names":false,"suffix":""},{"dropping-particle":"","family":"Montejo","given":"M","non-dropping-particle":"","parse-names":false,"suffix":""},{"dropping-particle":"","family":"Mikulska","given":"M","non-dropping-particle":"","parse-names":false,"suffix":""},{"dropping-particle":"","family":"Martín-Dávila","given":"P","non-dropping-particle":"","parse-names":false,"suffix":""},{"dropping-particle":"","family":"Herrera","given":"F","non-dropping-particle":"","parse-names":false,"suffix":""},{"dropping-particle":"","family":"Gasch","given":"O","non-dropping-particle":"","parse-names":false,"suffix":""},{"dropping-particle":"","family":"Drgona","given":"L","non-dropping-particle":"","parse-names":false,"suffix":""},{"dropping-particle":"","family":"Paz Morales","given":"H","non-dropping-particle":"","parse-names":false,"suffix":""},{"dropping-particle":"","family":"Brunel","given":"A-S","non-dropping-particle":"","parse-names":false,"suffix":""},{"dropping-particle":"","family":"García","given":"E","non-dropping-particle":"","parse-names":false,"suffix":""},{"dropping-particle":"","family":"Isler","given":"B","non-dropping-particle":"","parse-names":false,"suffix":""},{"dropping-particle":"V","family":"Kern","given":"W","non-dropping-particle":"","parse-names":false,"suffix":""},{"dropping-particle":"","family":"Morales","given":"I","non-dropping-particle":"","parse-names":false,"suffix":""},{"dropping-particle":"","family":"Maestro-de la Calle","given":"G","non-dropping-particle":"","parse-names":false,"suffix":""},{"dropping-particle":"","family":"Montero","given":"M","non-dropping-particle":"","parse-names":false,"suffix":""},{"dropping-particle":"","family":"Kanj","given":"S S","non-dropping-particle":"","parse-names":false,"suffix":""},{"dropping-particle":"","family":"Sipahi","given":"O R","non-dropping-particle":"","parse-names":false,"suffix":""},{"dropping-particle":"","family":"Calik","given":"S","non-dropping-particle":"","parse-names":false,"suffix":""},{"dropping-particle":"","family":"Márquez-Gómez","given":"I","non-dropping-particle":"","parse-names":false,"suffix":""},{"dropping-particle":"","family":"Marin","given":"J I","non-dropping-particle":"","parse-names":false,"suffix":""},{"dropping-particle":"","family":"Gomes","given":"M Z R","non-dropping-particle":"","parse-names":false,"suffix":""},{"dropping-particle":"","family":"Hemmatti","given":"P","non-dropping-particle":"","parse-names":false,"suffix":""},{"dropping-particle":"","family":"Araos","given":"R","non-dropping-particle":"","parse-names":false,"suffix":""},{"dro</w:instrText>
            </w:r>
            <w:r w:rsidR="002978AE" w:rsidRPr="003F32CA">
              <w:rPr>
                <w:color w:val="000000" w:themeColor="text1"/>
                <w:sz w:val="16"/>
                <w:szCs w:val="16"/>
              </w:rPr>
              <w:instrText>pping-particle":"","family":"Peghin","given":"M","non-dropping-particle":"","parse-names":false,"suffix":""},{"dropping-particle":"","family":"Pozo","given":"J L","non-dropping-particle":"Del","parse-names":false,"suffix":""},{"dropping-particle":"","family":"Yáñez","given":"L","non-dropping-particle":"","parse-names":false,"suffix":""},{"dropping-particle":"","family":"Tilley","given":"R","non-dropping-particle":"","parse-names":false,"suffix":""},{"dropping-particle":"","family":"Manzur","given":"A","non-dropping-particle":"","parse-names":false,"suffix":""},{"dropping-particle":"","family":"Novo","given":"A","non-dropping-particle":"","parse-names":false,"suffix":""},{"dropping-particle":"","family":"Carratalà","given":"J","non-dropping-particle":"","parse-names":false,"suffix":""}],"container-title":"Antimicrobial agents and chemotherapy","id":"ITEM-1","issue":"4","issued":{"date-parts":[["2020","3"]]},"language":"eng","publisher-place":"United States","title":"Clinical Predictive Model of Multidrug Resistance in Neutropenic Cancer Patients  with Bloodstream Infection Due to Pseudomonas aeruginosa.","type":"article-journal","volume":"64"},"uris":["http://www.mendeley.com/documents/?uuid=fa716a10-ab14-43b5-b3db-05119aba0619"]}],"mendeley":{"formattedCitation":"&lt;sup&gt;61&lt;/sup&gt;","plainTextFormattedCitation":"61","previouslyFormattedCitation":"&lt;sup&gt;61&lt;/sup&gt;"},"properties":{"noteIndex":0},"schema":"https://github.com/citation-style-language/schema/raw/master/csl-citation.json"}</w:instrText>
            </w:r>
            <w:r w:rsidR="002978AE">
              <w:rPr>
                <w:color w:val="000000" w:themeColor="text1"/>
                <w:sz w:val="16"/>
                <w:szCs w:val="16"/>
                <w:lang w:val="en-US"/>
              </w:rPr>
              <w:fldChar w:fldCharType="separate"/>
            </w:r>
            <w:r w:rsidR="002978AE" w:rsidRPr="003F32CA">
              <w:rPr>
                <w:noProof/>
                <w:color w:val="000000" w:themeColor="text1"/>
                <w:sz w:val="16"/>
                <w:szCs w:val="16"/>
                <w:vertAlign w:val="superscript"/>
              </w:rPr>
              <w:t>61</w:t>
            </w:r>
            <w:r w:rsidR="002978AE">
              <w:rPr>
                <w:color w:val="000000" w:themeColor="text1"/>
                <w:sz w:val="16"/>
                <w:szCs w:val="16"/>
                <w:lang w:val="en-US"/>
              </w:rPr>
              <w:fldChar w:fldCharType="end"/>
            </w:r>
          </w:p>
        </w:tc>
        <w:tc>
          <w:tcPr>
            <w:tcW w:w="0" w:type="auto"/>
            <w:vAlign w:val="center"/>
          </w:tcPr>
          <w:p w14:paraId="1B85DB49" w14:textId="494F4D53" w:rsidR="000E23C2" w:rsidRPr="003F32CA" w:rsidRDefault="000E23C2" w:rsidP="000E23C2">
            <w:pPr>
              <w:spacing w:line="360" w:lineRule="auto"/>
              <w:jc w:val="center"/>
              <w:rPr>
                <w:color w:val="000000" w:themeColor="text1"/>
                <w:sz w:val="16"/>
                <w:szCs w:val="16"/>
              </w:rPr>
            </w:pPr>
            <w:proofErr w:type="spellStart"/>
            <w:r w:rsidRPr="003F32CA">
              <w:rPr>
                <w:color w:val="000000" w:themeColor="text1"/>
                <w:sz w:val="16"/>
                <w:szCs w:val="16"/>
              </w:rPr>
              <w:t>Pts</w:t>
            </w:r>
            <w:proofErr w:type="spellEnd"/>
            <w:r w:rsidRPr="003F32CA">
              <w:rPr>
                <w:color w:val="000000" w:themeColor="text1"/>
                <w:sz w:val="16"/>
                <w:szCs w:val="16"/>
              </w:rPr>
              <w:t xml:space="preserve"> (n = 1217)</w:t>
            </w:r>
          </w:p>
        </w:tc>
        <w:tc>
          <w:tcPr>
            <w:tcW w:w="0" w:type="auto"/>
            <w:vAlign w:val="center"/>
          </w:tcPr>
          <w:p w14:paraId="793A3CF5" w14:textId="02564000"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4A41811C" w14:textId="41E1E11E"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 xml:space="preserve">27% (329/1217 </w:t>
            </w:r>
            <w:proofErr w:type="spellStart"/>
            <w:r w:rsidRPr="003F32CA">
              <w:rPr>
                <w:color w:val="000000" w:themeColor="text1"/>
                <w:sz w:val="16"/>
                <w:szCs w:val="16"/>
              </w:rPr>
              <w:t>PsA</w:t>
            </w:r>
            <w:proofErr w:type="spellEnd"/>
            <w:r w:rsidRPr="003F32CA">
              <w:rPr>
                <w:color w:val="000000" w:themeColor="text1"/>
                <w:sz w:val="16"/>
                <w:szCs w:val="16"/>
              </w:rPr>
              <w:t xml:space="preserve"> BSI)</w:t>
            </w:r>
          </w:p>
        </w:tc>
        <w:tc>
          <w:tcPr>
            <w:tcW w:w="0" w:type="auto"/>
            <w:vAlign w:val="center"/>
          </w:tcPr>
          <w:p w14:paraId="4E02DD9F" w14:textId="118620AF"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 xml:space="preserve">22% (268/1217 </w:t>
            </w:r>
            <w:proofErr w:type="spellStart"/>
            <w:r w:rsidRPr="003F32CA">
              <w:rPr>
                <w:color w:val="000000" w:themeColor="text1"/>
                <w:sz w:val="16"/>
                <w:szCs w:val="16"/>
              </w:rPr>
              <w:t>PsA</w:t>
            </w:r>
            <w:proofErr w:type="spellEnd"/>
            <w:r w:rsidRPr="003F32CA">
              <w:rPr>
                <w:color w:val="000000" w:themeColor="text1"/>
                <w:sz w:val="16"/>
                <w:szCs w:val="16"/>
              </w:rPr>
              <w:t xml:space="preserve"> BSI)</w:t>
            </w:r>
          </w:p>
        </w:tc>
        <w:tc>
          <w:tcPr>
            <w:tcW w:w="0" w:type="auto"/>
            <w:vAlign w:val="center"/>
          </w:tcPr>
          <w:p w14:paraId="5EFCFD6B" w14:textId="61A08974"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 xml:space="preserve">23% </w:t>
            </w:r>
            <w:proofErr w:type="gramStart"/>
            <w:r w:rsidRPr="003F32CA">
              <w:rPr>
                <w:color w:val="000000" w:themeColor="text1"/>
                <w:sz w:val="16"/>
                <w:szCs w:val="16"/>
              </w:rPr>
              <w:t>( 280</w:t>
            </w:r>
            <w:proofErr w:type="gramEnd"/>
            <w:r w:rsidRPr="003F32CA">
              <w:rPr>
                <w:color w:val="000000" w:themeColor="text1"/>
                <w:sz w:val="16"/>
                <w:szCs w:val="16"/>
              </w:rPr>
              <w:t xml:space="preserve">/1217 </w:t>
            </w:r>
            <w:proofErr w:type="spellStart"/>
            <w:r w:rsidRPr="003F32CA">
              <w:rPr>
                <w:color w:val="000000" w:themeColor="text1"/>
                <w:sz w:val="16"/>
                <w:szCs w:val="16"/>
              </w:rPr>
              <w:t>PsA</w:t>
            </w:r>
            <w:proofErr w:type="spellEnd"/>
            <w:r w:rsidRPr="003F32CA">
              <w:rPr>
                <w:color w:val="000000" w:themeColor="text1"/>
                <w:sz w:val="16"/>
                <w:szCs w:val="16"/>
              </w:rPr>
              <w:t xml:space="preserve"> BSI)</w:t>
            </w:r>
          </w:p>
        </w:tc>
        <w:tc>
          <w:tcPr>
            <w:tcW w:w="0" w:type="auto"/>
            <w:vAlign w:val="center"/>
          </w:tcPr>
          <w:p w14:paraId="2A92D7DA" w14:textId="66C6039A"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 xml:space="preserve">25% (309/1217 </w:t>
            </w:r>
            <w:proofErr w:type="spellStart"/>
            <w:r w:rsidRPr="003F32CA">
              <w:rPr>
                <w:color w:val="000000" w:themeColor="text1"/>
                <w:sz w:val="16"/>
                <w:szCs w:val="16"/>
              </w:rPr>
              <w:t>PsA</w:t>
            </w:r>
            <w:proofErr w:type="spellEnd"/>
            <w:r w:rsidRPr="003F32CA">
              <w:rPr>
                <w:color w:val="000000" w:themeColor="text1"/>
                <w:sz w:val="16"/>
                <w:szCs w:val="16"/>
              </w:rPr>
              <w:t xml:space="preserve"> BSI)</w:t>
            </w:r>
          </w:p>
        </w:tc>
        <w:tc>
          <w:tcPr>
            <w:tcW w:w="0" w:type="auto"/>
            <w:vAlign w:val="center"/>
          </w:tcPr>
          <w:p w14:paraId="5E6F81D6" w14:textId="55850A54"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76D4DF0F" w14:textId="6BEA1B1E"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r>
      <w:tr w:rsidR="003F32CA" w:rsidRPr="003F32CA" w14:paraId="7BB743DB" w14:textId="77777777" w:rsidTr="007C5F11">
        <w:trPr>
          <w:trHeight w:val="516"/>
        </w:trPr>
        <w:tc>
          <w:tcPr>
            <w:tcW w:w="0" w:type="auto"/>
            <w:vAlign w:val="center"/>
          </w:tcPr>
          <w:p w14:paraId="09D6BDC8" w14:textId="678C4682" w:rsidR="000E23C2" w:rsidRPr="003F32CA" w:rsidRDefault="000E23C2" w:rsidP="000E23C2">
            <w:pPr>
              <w:spacing w:line="360" w:lineRule="auto"/>
              <w:jc w:val="center"/>
              <w:rPr>
                <w:color w:val="000000" w:themeColor="text1"/>
                <w:sz w:val="16"/>
                <w:szCs w:val="16"/>
              </w:rPr>
            </w:pPr>
            <w:proofErr w:type="spellStart"/>
            <w:r w:rsidRPr="003F32CA">
              <w:rPr>
                <w:color w:val="000000" w:themeColor="text1"/>
                <w:sz w:val="16"/>
                <w:szCs w:val="16"/>
              </w:rPr>
              <w:t>Mahida</w:t>
            </w:r>
            <w:proofErr w:type="spellEnd"/>
            <w:r w:rsidRPr="003F32CA">
              <w:rPr>
                <w:color w:val="000000" w:themeColor="text1"/>
                <w:sz w:val="16"/>
                <w:szCs w:val="16"/>
              </w:rPr>
              <w:t xml:space="preserve"> 2018</w:t>
            </w:r>
            <w:r w:rsidR="002978AE">
              <w:rPr>
                <w:color w:val="000000" w:themeColor="text1"/>
                <w:sz w:val="16"/>
                <w:szCs w:val="16"/>
                <w:lang w:val="en-US"/>
              </w:rPr>
              <w:fldChar w:fldCharType="begin" w:fldLock="1"/>
            </w:r>
            <w:r w:rsidR="002978AE" w:rsidRPr="003F32CA">
              <w:rPr>
                <w:color w:val="000000" w:themeColor="text1"/>
                <w:sz w:val="16"/>
                <w:szCs w:val="16"/>
              </w:rPr>
              <w:instrText>ADDIN CSL_CITATION {"citationItems":[{"id":"ITEM-1","itemData":{"DOI":"10.1016/j.jhin.2017.11.009","ISSN":"15322939","PMID":"29175076","author":[{"dropping-particle":"","family":"Mahida","given":"N.","non-dropping-particle":"","parse-names":false,"suffix":""},{"dropping-particle":"","family":"Boswell","given":"T.","non-dropping-particle":"","parse-names":false,"suffix":""}],"container-title":"Journal of Hospital Infection","id":"ITEM-1","issue":"3","issued":{"date-parts":[["2018"]]},"page":"241-242","publisher":"The Healthcare Infection Society","title":"Fluoroquinolone prophylaxis in haematopoietic bone marrow transplantation: a driver for antimicrobial resistance","type":"article-journal","volume":"98"},"uris":["http://www.mendeley.com/documents/?uuid=87c55340-51c0-471c-b606-1bd2533e975b"]}],"mendeley":{"formattedCitation":"&lt;sup&gt;62&lt;/sup&gt;","plainTextFormattedCitation":"62","previouslyFormattedCitation":"&lt;sup&gt;62&lt;/sup&gt;"},"properties":{"noteIndex":0},"schema":"https://github.com/citation-style-language/schema/raw/master/csl-citation.json"}</w:instrText>
            </w:r>
            <w:r w:rsidR="002978AE">
              <w:rPr>
                <w:color w:val="000000" w:themeColor="text1"/>
                <w:sz w:val="16"/>
                <w:szCs w:val="16"/>
                <w:lang w:val="en-US"/>
              </w:rPr>
              <w:fldChar w:fldCharType="separate"/>
            </w:r>
            <w:r w:rsidR="002978AE" w:rsidRPr="003F32CA">
              <w:rPr>
                <w:noProof/>
                <w:color w:val="000000" w:themeColor="text1"/>
                <w:sz w:val="16"/>
                <w:szCs w:val="16"/>
                <w:vertAlign w:val="superscript"/>
              </w:rPr>
              <w:t>62</w:t>
            </w:r>
            <w:r w:rsidR="002978AE">
              <w:rPr>
                <w:color w:val="000000" w:themeColor="text1"/>
                <w:sz w:val="16"/>
                <w:szCs w:val="16"/>
                <w:lang w:val="en-US"/>
              </w:rPr>
              <w:fldChar w:fldCharType="end"/>
            </w:r>
          </w:p>
        </w:tc>
        <w:tc>
          <w:tcPr>
            <w:tcW w:w="0" w:type="auto"/>
            <w:vAlign w:val="center"/>
          </w:tcPr>
          <w:p w14:paraId="50ECBF84" w14:textId="77777777" w:rsidR="000E23C2" w:rsidRPr="003F32CA" w:rsidRDefault="000E23C2" w:rsidP="000E23C2">
            <w:pPr>
              <w:spacing w:line="360" w:lineRule="auto"/>
              <w:jc w:val="center"/>
              <w:rPr>
                <w:i/>
                <w:iCs/>
                <w:color w:val="000000" w:themeColor="text1"/>
                <w:sz w:val="16"/>
                <w:szCs w:val="16"/>
              </w:rPr>
            </w:pPr>
            <w:proofErr w:type="spellStart"/>
            <w:r w:rsidRPr="003F32CA">
              <w:rPr>
                <w:i/>
                <w:iCs/>
                <w:color w:val="000000" w:themeColor="text1"/>
                <w:sz w:val="16"/>
                <w:szCs w:val="16"/>
              </w:rPr>
              <w:t>Enterobact</w:t>
            </w:r>
            <w:proofErr w:type="spellEnd"/>
          </w:p>
          <w:p w14:paraId="0E3B6086" w14:textId="257C0C23" w:rsidR="000E23C2" w:rsidRPr="003F32CA" w:rsidRDefault="000E23C2" w:rsidP="000E23C2">
            <w:pPr>
              <w:spacing w:line="360" w:lineRule="auto"/>
              <w:jc w:val="center"/>
              <w:rPr>
                <w:color w:val="000000" w:themeColor="text1"/>
                <w:sz w:val="16"/>
                <w:szCs w:val="16"/>
              </w:rPr>
            </w:pPr>
            <w:proofErr w:type="spellStart"/>
            <w:r w:rsidRPr="003F32CA">
              <w:rPr>
                <w:i/>
                <w:iCs/>
                <w:color w:val="000000" w:themeColor="text1"/>
                <w:sz w:val="16"/>
                <w:szCs w:val="16"/>
              </w:rPr>
              <w:t>eriaceae</w:t>
            </w:r>
            <w:proofErr w:type="spellEnd"/>
            <w:r w:rsidRPr="003F32CA">
              <w:rPr>
                <w:color w:val="000000" w:themeColor="text1"/>
                <w:sz w:val="16"/>
                <w:szCs w:val="16"/>
              </w:rPr>
              <w:t xml:space="preserve"> BSI (n = 2040)</w:t>
            </w:r>
          </w:p>
        </w:tc>
        <w:tc>
          <w:tcPr>
            <w:tcW w:w="0" w:type="auto"/>
            <w:vAlign w:val="center"/>
          </w:tcPr>
          <w:p w14:paraId="16F2B75E" w14:textId="22EA64BF"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78715DF2" w14:textId="1527B88C"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 xml:space="preserve">32% (139/484 </w:t>
            </w:r>
            <w:proofErr w:type="spellStart"/>
            <w:r w:rsidRPr="003F32CA">
              <w:rPr>
                <w:i/>
                <w:iCs/>
                <w:color w:val="000000" w:themeColor="text1"/>
                <w:sz w:val="16"/>
                <w:szCs w:val="16"/>
              </w:rPr>
              <w:t>Enterobactriaceae</w:t>
            </w:r>
            <w:proofErr w:type="spellEnd"/>
            <w:r w:rsidRPr="003F32CA">
              <w:rPr>
                <w:color w:val="000000" w:themeColor="text1"/>
                <w:sz w:val="16"/>
                <w:szCs w:val="16"/>
              </w:rPr>
              <w:t xml:space="preserve"> BSI)</w:t>
            </w:r>
          </w:p>
        </w:tc>
        <w:tc>
          <w:tcPr>
            <w:tcW w:w="0" w:type="auto"/>
            <w:vAlign w:val="center"/>
          </w:tcPr>
          <w:p w14:paraId="302E1416" w14:textId="2FDF9F70"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72C55D8A" w14:textId="30F45797"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18A27743" w14:textId="28D115C5"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2BC61032" w14:textId="783CFF34"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c>
          <w:tcPr>
            <w:tcW w:w="0" w:type="auto"/>
            <w:vAlign w:val="center"/>
          </w:tcPr>
          <w:p w14:paraId="6868133F" w14:textId="57176985" w:rsidR="000E23C2" w:rsidRPr="003F32CA" w:rsidRDefault="000E23C2" w:rsidP="000E23C2">
            <w:pPr>
              <w:spacing w:line="360" w:lineRule="auto"/>
              <w:jc w:val="center"/>
              <w:rPr>
                <w:color w:val="000000" w:themeColor="text1"/>
                <w:sz w:val="16"/>
                <w:szCs w:val="16"/>
              </w:rPr>
            </w:pPr>
            <w:r w:rsidRPr="003F32CA">
              <w:rPr>
                <w:color w:val="000000" w:themeColor="text1"/>
                <w:sz w:val="16"/>
                <w:szCs w:val="16"/>
              </w:rPr>
              <w:t>N/A</w:t>
            </w:r>
          </w:p>
        </w:tc>
      </w:tr>
      <w:tr w:rsidR="003F32CA" w:rsidRPr="00F8461C" w14:paraId="505B122E" w14:textId="77777777" w:rsidTr="007C5F11">
        <w:trPr>
          <w:trHeight w:val="516"/>
        </w:trPr>
        <w:tc>
          <w:tcPr>
            <w:tcW w:w="0" w:type="auto"/>
            <w:vAlign w:val="center"/>
          </w:tcPr>
          <w:p w14:paraId="5AD4542B" w14:textId="033D3985" w:rsidR="000E23C2" w:rsidRPr="00A3702B" w:rsidRDefault="000E23C2" w:rsidP="000E23C2">
            <w:pPr>
              <w:spacing w:line="360" w:lineRule="auto"/>
              <w:jc w:val="center"/>
              <w:rPr>
                <w:color w:val="000000" w:themeColor="text1"/>
                <w:sz w:val="16"/>
                <w:szCs w:val="16"/>
                <w:lang w:val="en-US"/>
              </w:rPr>
            </w:pPr>
            <w:r w:rsidRPr="003F32CA">
              <w:rPr>
                <w:color w:val="000000" w:themeColor="text1"/>
                <w:sz w:val="16"/>
                <w:szCs w:val="16"/>
              </w:rPr>
              <w:t>Marin 2014</w:t>
            </w:r>
            <w:r w:rsidR="002978AE">
              <w:rPr>
                <w:color w:val="000000" w:themeColor="text1"/>
                <w:sz w:val="16"/>
                <w:szCs w:val="16"/>
                <w:lang w:val="en-US"/>
              </w:rPr>
              <w:fldChar w:fldCharType="begin" w:fldLock="1"/>
            </w:r>
            <w:r w:rsidR="002978AE" w:rsidRPr="003F32CA">
              <w:rPr>
                <w:color w:val="000000" w:themeColor="text1"/>
                <w:sz w:val="16"/>
                <w:szCs w:val="16"/>
              </w:rPr>
              <w:instrText>ADDIN CSL_CITATION {"citationItems":[{"id":"ITEM-1","itemData":{"DOI":"10.1016/j.jinf.2014.05.018","ISSN":"15322742","PMID":"24960295","abstract":"Objectives: We sought to identify the characteristi</w:instrText>
            </w:r>
            <w:r w:rsidR="002978AE">
              <w:rPr>
                <w:color w:val="000000" w:themeColor="text1"/>
                <w:sz w:val="16"/>
                <w:szCs w:val="16"/>
                <w:lang w:val="en-US"/>
              </w:rPr>
              <w:instrText>cs, aetiology, antibiotic resistance and outcomes of bloodstream infection (BSI) in neutropenic patients with haematological malignancies (HM) and in those with solid tumours (ST) and assess their impact on empirical therapy and outcomes. Methods: All episodes of BSI in neutropenic patients with HM and ST were prospectively recorded and compared. Results: Of 579 episodes of BSI, 493 occurred in patients with HM and 86 in patients with ST. An endogenous source and catheter-related infection were more frequent in patients with HM, whereas pneumonia and urinary tract were more common in the ST group. BSI was mainly due to Gram-negative bacilli. Coagulase-negative staphylococci were more frequent in patients with HM, while Pseudomonas aeruginosa was more common in patients with ST and was the leading cause of pneumonia. Multidrug-resistant Gram-negative bacilli (MDRGNB) were more frequently isolated in haematological patients who more often received inadequate empirical therapy than those with ST. Case-fatality rates were higher in patients with ST. Conclusions: We identified significant differences in BSI in neutropenic patients with HM and ST. MDRGNB were more often isolated in patients with HM. Pneumonia due to P. aeruginosa was particularly frequent among patients with ST. Case-fatality rates were higher in patients with ST.","author":[{"dropping-particle":"","family":"Marin","given":"Mar","non-dropping-particle":"","parse-names":false,"suffix":""},{"dropping-particle":"","family":"Gudiol","given":"Carlota","non-dropping-particle":"","parse-names":false,"suffix":""},{"dropping-particle":"","family":"Ardanuy","given":"Carmen","non-dropping-particle":"","parse-names":false,"suffix":""},{"dropping-particle":"","family":"Garcia-Vidal","given":"Carol","non-dropping-particle":"","parse-names":false,"suffix":""},{"dropping-particle":"","family":"Calvo","given":"Mariona","non-dropping-particle":"","parse-names":false,"suffix":""},{"dropping-particle":"","family":"Arnan","given":"Montserrat","non-dropping-particle":"","parse-names":false,"suffix":""},{"dropping-particle":"","family":"Carratalà","given":"Jordi","non-dropping-particle":"","parse-names":false,"suffix":""}],"container-title":"Journal of Infection","id":"ITEM-1","issue":"5","issued":{"date-parts":[["2014"]]},"page":"417-423","title":"Bloodstream infections in neutropenic patients with cancer: Differences between patients with haematological malignancies and solid tumours","type":"article-journal","volume":"69"},"uris":["http://www.mendeley.com/documents/?uuid=ba00bf8b-390f-48b4-9088-6685ab1d8ac8"]}],"mendeley":{"formattedCitation":"&lt;sup&gt;63&lt;/sup&gt;","plainTextFormattedCitation":"63","previouslyFormattedCitation":"&lt;sup&gt;63&lt;/sup&gt;"},"properties":{"noteIndex":0},"schema":"https://github.com/citation-style-language/schema/raw/master/csl-citation.json"}</w:instrText>
            </w:r>
            <w:r w:rsidR="002978AE">
              <w:rPr>
                <w:color w:val="000000" w:themeColor="text1"/>
                <w:sz w:val="16"/>
                <w:szCs w:val="16"/>
                <w:lang w:val="en-US"/>
              </w:rPr>
              <w:fldChar w:fldCharType="separate"/>
            </w:r>
            <w:r w:rsidR="002978AE" w:rsidRPr="002978AE">
              <w:rPr>
                <w:noProof/>
                <w:color w:val="000000" w:themeColor="text1"/>
                <w:sz w:val="16"/>
                <w:szCs w:val="16"/>
                <w:vertAlign w:val="superscript"/>
                <w:lang w:val="en-US"/>
              </w:rPr>
              <w:t>63</w:t>
            </w:r>
            <w:r w:rsidR="002978AE">
              <w:rPr>
                <w:color w:val="000000" w:themeColor="text1"/>
                <w:sz w:val="16"/>
                <w:szCs w:val="16"/>
                <w:lang w:val="en-US"/>
              </w:rPr>
              <w:fldChar w:fldCharType="end"/>
            </w:r>
          </w:p>
        </w:tc>
        <w:tc>
          <w:tcPr>
            <w:tcW w:w="0" w:type="auto"/>
            <w:vAlign w:val="center"/>
          </w:tcPr>
          <w:p w14:paraId="1EADD30F" w14:textId="10E29422" w:rsidR="000E23C2" w:rsidRPr="00F8461C" w:rsidRDefault="000E23C2" w:rsidP="000E23C2">
            <w:pPr>
              <w:spacing w:line="360" w:lineRule="auto"/>
              <w:jc w:val="center"/>
              <w:rPr>
                <w:i/>
                <w:iCs/>
                <w:color w:val="000000" w:themeColor="text1"/>
                <w:sz w:val="16"/>
                <w:szCs w:val="16"/>
                <w:lang w:val="en-US"/>
              </w:rPr>
            </w:pPr>
            <w:r>
              <w:rPr>
                <w:color w:val="000000" w:themeColor="text1"/>
                <w:sz w:val="16"/>
                <w:szCs w:val="16"/>
                <w:lang w:val="en-US"/>
              </w:rPr>
              <w:t xml:space="preserve">Pts </w:t>
            </w:r>
            <w:r w:rsidRPr="00B62134">
              <w:rPr>
                <w:sz w:val="16"/>
                <w:szCs w:val="16"/>
                <w:lang w:val="en-US"/>
              </w:rPr>
              <w:t>(n</w:t>
            </w:r>
            <w:r>
              <w:rPr>
                <w:sz w:val="16"/>
                <w:szCs w:val="16"/>
                <w:lang w:val="en-US"/>
              </w:rPr>
              <w:t xml:space="preserve"> </w:t>
            </w:r>
            <w:r w:rsidRPr="00B62134">
              <w:rPr>
                <w:sz w:val="16"/>
                <w:szCs w:val="16"/>
                <w:lang w:val="en-US"/>
              </w:rPr>
              <w:t>=</w:t>
            </w:r>
            <w:r>
              <w:rPr>
                <w:sz w:val="16"/>
                <w:szCs w:val="16"/>
                <w:lang w:val="en-US"/>
              </w:rPr>
              <w:t xml:space="preserve"> </w:t>
            </w:r>
            <w:r w:rsidRPr="00B62134">
              <w:rPr>
                <w:sz w:val="16"/>
                <w:szCs w:val="16"/>
                <w:lang w:val="en-US"/>
              </w:rPr>
              <w:t>579)</w:t>
            </w:r>
          </w:p>
        </w:tc>
        <w:tc>
          <w:tcPr>
            <w:tcW w:w="0" w:type="auto"/>
            <w:vAlign w:val="center"/>
          </w:tcPr>
          <w:p w14:paraId="0D86AD56" w14:textId="5F599A3E"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2B46947" w14:textId="0B7F17B7"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E3782A3" w14:textId="25BD7D22"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10% (21/234)</w:t>
            </w:r>
          </w:p>
        </w:tc>
        <w:tc>
          <w:tcPr>
            <w:tcW w:w="0" w:type="auto"/>
            <w:vAlign w:val="center"/>
          </w:tcPr>
          <w:p w14:paraId="129B89C0" w14:textId="717636EC"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4004FC2" w14:textId="5F25F711"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 xml:space="preserve">4% (2/52 </w:t>
            </w:r>
            <w:proofErr w:type="spellStart"/>
            <w:r>
              <w:rPr>
                <w:color w:val="000000" w:themeColor="text1"/>
                <w:sz w:val="16"/>
                <w:szCs w:val="16"/>
                <w:lang w:val="en-US"/>
              </w:rPr>
              <w:t>PsA</w:t>
            </w:r>
            <w:proofErr w:type="spellEnd"/>
            <w:r>
              <w:rPr>
                <w:color w:val="000000" w:themeColor="text1"/>
                <w:sz w:val="16"/>
                <w:szCs w:val="16"/>
                <w:lang w:val="en-US"/>
              </w:rPr>
              <w:t xml:space="preserve"> BSI)</w:t>
            </w:r>
          </w:p>
        </w:tc>
        <w:tc>
          <w:tcPr>
            <w:tcW w:w="0" w:type="auto"/>
            <w:vAlign w:val="center"/>
          </w:tcPr>
          <w:p w14:paraId="4B00AA7B" w14:textId="4E84206A"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39904D3" w14:textId="3DDC6929"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3% / 28%</w:t>
            </w:r>
          </w:p>
        </w:tc>
      </w:tr>
      <w:tr w:rsidR="003F32CA" w:rsidRPr="00F8461C" w14:paraId="2510E5D0" w14:textId="77777777" w:rsidTr="007C5F11">
        <w:trPr>
          <w:trHeight w:val="516"/>
        </w:trPr>
        <w:tc>
          <w:tcPr>
            <w:tcW w:w="0" w:type="auto"/>
            <w:vAlign w:val="center"/>
          </w:tcPr>
          <w:p w14:paraId="0C1C48C9" w14:textId="4865EF07" w:rsidR="000E23C2" w:rsidRPr="00A3702B" w:rsidRDefault="000E23C2" w:rsidP="000E23C2">
            <w:pPr>
              <w:spacing w:line="360" w:lineRule="auto"/>
              <w:jc w:val="center"/>
              <w:rPr>
                <w:color w:val="000000" w:themeColor="text1"/>
                <w:sz w:val="16"/>
                <w:szCs w:val="16"/>
                <w:lang w:val="en-US"/>
              </w:rPr>
            </w:pPr>
            <w:proofErr w:type="spellStart"/>
            <w:r w:rsidRPr="00A3702B">
              <w:rPr>
                <w:color w:val="000000" w:themeColor="text1"/>
                <w:sz w:val="16"/>
                <w:szCs w:val="16"/>
                <w:lang w:val="en-US"/>
              </w:rPr>
              <w:t>Mikulska</w:t>
            </w:r>
            <w:proofErr w:type="spellEnd"/>
            <w:r w:rsidRPr="00A3702B">
              <w:rPr>
                <w:color w:val="000000" w:themeColor="text1"/>
                <w:sz w:val="16"/>
                <w:szCs w:val="16"/>
                <w:lang w:val="en-US"/>
              </w:rPr>
              <w:t xml:space="preserve"> 2018</w:t>
            </w:r>
            <w:r w:rsidR="002978AE">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{"citationItems":[{"id":"ITEM-1","itemData":{"DOI":"10.1016/j.bbmt.2017.08.024","ISSN":"15236536","PMID":"28860000","abstract":"Bloodstream infections (BSIs) are frequent and important infectious complications after hematopoietic cell transplantation (HCT). The aim of this study was to analyze the incidence, risk factors, and outcome of pre-engraftment BSIs after allogeneic HCT. We retrospectively analyzed data from 553 consecutive patients who underwent HCT between 2010 and 2016. Sixty percent of the patients received T cell-replete unmanipulated haploidentical bone marrow with high-dose post-transplantation cyclophosphamide. The BSI rate was 30%; among isolated 213 pathogens, 54% were Gram-positive, 43% were Gram-negative, and 3% were fungi. Independent risk factors for pre-engraftment BSI were transplantation from a haploidentical donor or from cord blood (P &lt;.001), active disease (P =.002), age (P =.04), and myeloproliferative disorders or aplastic anemia (P &lt;.001). Transplantation from a haploidentical donor was an independent risk factor for both Gram-positive and Gram-negative BSI. The 7-day mortality after any BSI was 5% (9 of 178), and in multivariate analysis, BSI etiology was the sole risk factor, with increased mortality in carbapenem-resistant Gram-negative BSI (P &lt;.001). Nonrelapse mortality at day +60 after HCT was 3.8% (21 of 553); independent predictors were active disease (P =.045), year of HCT (P =.027), nonengraftment (P =.001), and pre-engraftment BSI (P &lt;.001), with significantly higher risk in BSI due to Gram-negative pathogens compared with Gram-positive pathogens, and BSI due to carbapenem-resistant Gram-negative pathogens compared with susceptible pathogens. Pre-engraftment BSI is a frequent complication after HCT from a haploidentical donor or cord blood. Because the negative impact of pre-engraftment BSI on 60-day nonrelapse mortality was caused mainly by carbapenem-resistant Gram-negative pathogens, particular attention should be given to appropriate empiric therapy and management of patients at high risk for Gram-negative BSI.","author":[{"dropping-particle":"","family":"Mikulska","given":"Malgorzata","non-dropping-particle":"","parse-names":false,"suffix":""},{"dropping-particle":"","family":"Raiola","given":"Anna Maria","non-dropping-particle":"","parse-names":false,"suffix":""},{"dropping-particle":"","family":"Galaverna","given":"Federica","non-dropping-particle":"","parse-names":false,"suffix":""},{"dropping-particle":"","family":"Balletto","given":"Elisa","non-dropping-particle":"","parse-names":false,"suffix":""},{"dropping-particle":"","family":"Borghesi","given":"Maria Lucia","non-dropping-particle":"","parse-names":false,"suffix":""},{"dropping-particle":"","family":"Varaldo","given":"Riccardo","non-dropping-particle":"","parse-names":false,"suffix":""},{"dropping-particle":"","family":"Gualandi","given":"Francesca","non-dropping-particle":"","parse-names":false,"suffix":""},{"dropping-particle":"","family":"Giannoni","given":"Livia","non-dropping-particle":"","parse-names":false,"suffix":""},{"dropping-particle":"","family":"Pastori","given":"Giordana","non-dropping-particle":"","parse-names":false,"suffix":""},{"dropping-particle":"","family":"Giacobbe","given":"Daniele Roberto","non-dropping-particle":"","parse-names":false,"suffix":""},{"dropping-particle":"","family":"Signori","given":"Alessio","non-dropping-particle":"","parse-names":false,"suffix":""},{"dropping-particle":"","family":"Bono","given":"Valerio","non-dropping-particle":"Del","parse-names":false,"suffix":""},{"dropping-particle":"","family":"Viscoli","given":"Claudio","non-dropping-particle":"","parse-names":false,"suffix":""},{"dropping-particle":"","family":"Bacigalupo","given":"Andrea","non-dropping-particle":"","parse-names":false,"suffix":""},{"dropping-particle":"","family":"Angelucci","given":"Emanuele","non-dropping-particle":"","parse-names":false,"suffix":""}],"container-title":"Biology of Blood and Marrow Transplantation","id":"ITEM-1","issue":"1","issued":{"date-parts":[["2018"]]},"page":"109-118","publisher":"Elsevier Inc.","title":"Pre-Engraftment Bloodstream Infections after Allogeneic Hematopoietic Cell Transplantation: Impact of T Cell-Replete Transplantation from a Haploidentical Donor","type":"article-journal","volume":"24"},"uris":["http://www.mendeley.com/documents/?uuid=f7b38706-cca8-4d84-8c27-91b3566543ce"]}],"mendeley":{"formattedCitation":"&lt;sup&gt;64&lt;/sup&gt;","plainTextFormattedCitation":"64","previouslyFormattedCitation":"&lt;sup&gt;64&lt;/sup&gt;"},"properties":{"noteIndex":0},"schema":"https://github.com/citation-style-language/schema/raw/master/csl-citation.json"}</w:instrText>
            </w:r>
            <w:r w:rsidR="002978AE">
              <w:rPr>
                <w:color w:val="000000" w:themeColor="text1"/>
                <w:sz w:val="16"/>
                <w:szCs w:val="16"/>
                <w:lang w:val="en-US"/>
              </w:rPr>
              <w:fldChar w:fldCharType="separate"/>
            </w:r>
            <w:r w:rsidR="002978AE" w:rsidRPr="002978AE">
              <w:rPr>
                <w:noProof/>
                <w:color w:val="000000" w:themeColor="text1"/>
                <w:sz w:val="16"/>
                <w:szCs w:val="16"/>
                <w:vertAlign w:val="superscript"/>
                <w:lang w:val="en-US"/>
              </w:rPr>
              <w:t>64</w:t>
            </w:r>
            <w:r w:rsidR="002978AE">
              <w:rPr>
                <w:color w:val="000000" w:themeColor="text1"/>
                <w:sz w:val="16"/>
                <w:szCs w:val="16"/>
                <w:lang w:val="en-US"/>
              </w:rPr>
              <w:fldChar w:fldCharType="end"/>
            </w:r>
          </w:p>
        </w:tc>
        <w:tc>
          <w:tcPr>
            <w:tcW w:w="0" w:type="auto"/>
            <w:vAlign w:val="center"/>
          </w:tcPr>
          <w:p w14:paraId="3420FB05" w14:textId="367333F9"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Pts (n = 533)</w:t>
            </w:r>
          </w:p>
        </w:tc>
        <w:tc>
          <w:tcPr>
            <w:tcW w:w="0" w:type="auto"/>
            <w:vAlign w:val="center"/>
          </w:tcPr>
          <w:p w14:paraId="704ACAE7" w14:textId="7C9D9C9D"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30% (166/533)</w:t>
            </w:r>
          </w:p>
        </w:tc>
        <w:tc>
          <w:tcPr>
            <w:tcW w:w="0" w:type="auto"/>
            <w:vAlign w:val="center"/>
          </w:tcPr>
          <w:p w14:paraId="0056E2D4" w14:textId="458E25FA"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89% (81/91)</w:t>
            </w:r>
          </w:p>
        </w:tc>
        <w:tc>
          <w:tcPr>
            <w:tcW w:w="0" w:type="auto"/>
            <w:vAlign w:val="center"/>
          </w:tcPr>
          <w:p w14:paraId="20488981" w14:textId="7953B3DF"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42% (38/91)</w:t>
            </w:r>
          </w:p>
        </w:tc>
        <w:tc>
          <w:tcPr>
            <w:tcW w:w="0" w:type="auto"/>
            <w:vAlign w:val="center"/>
          </w:tcPr>
          <w:p w14:paraId="19CFCCF8" w14:textId="1B2859DD"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12% (11/91)</w:t>
            </w:r>
          </w:p>
        </w:tc>
        <w:tc>
          <w:tcPr>
            <w:tcW w:w="0" w:type="auto"/>
            <w:vAlign w:val="center"/>
          </w:tcPr>
          <w:p w14:paraId="53F7034F" w14:textId="760C43D5"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646D6E6" w14:textId="4F932655"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4% / 16%</w:t>
            </w:r>
          </w:p>
        </w:tc>
        <w:tc>
          <w:tcPr>
            <w:tcW w:w="0" w:type="auto"/>
            <w:vAlign w:val="center"/>
          </w:tcPr>
          <w:p w14:paraId="26AF104B" w14:textId="5B3270B5"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F8461C" w14:paraId="0C281D45" w14:textId="77777777" w:rsidTr="007C5F11">
        <w:trPr>
          <w:trHeight w:val="516"/>
        </w:trPr>
        <w:tc>
          <w:tcPr>
            <w:tcW w:w="0" w:type="auto"/>
            <w:vAlign w:val="center"/>
          </w:tcPr>
          <w:p w14:paraId="2B035D76" w14:textId="1BD9DD76" w:rsidR="000E23C2" w:rsidRPr="00A3702B" w:rsidRDefault="000E23C2" w:rsidP="000E23C2">
            <w:pPr>
              <w:spacing w:line="360" w:lineRule="auto"/>
              <w:jc w:val="center"/>
              <w:rPr>
                <w:color w:val="000000" w:themeColor="text1"/>
                <w:sz w:val="16"/>
                <w:szCs w:val="16"/>
                <w:lang w:val="en-US"/>
              </w:rPr>
            </w:pPr>
            <w:r w:rsidRPr="00A3702B">
              <w:rPr>
                <w:color w:val="000000" w:themeColor="text1"/>
                <w:sz w:val="16"/>
                <w:szCs w:val="16"/>
                <w:lang w:val="en-US"/>
              </w:rPr>
              <w:t>Pagano 2014</w:t>
            </w:r>
            <w:r w:rsidR="002978AE">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{"citationItems":[{"id":"ITEM-1","itemData":{"DOI":"10.3201/eid2007.130094","ISSN":"1080-6059 (Electronic)","PMID":"24960464","author":[{"dropping-particle":"","family":"Pagano","given":"Livio","non-dropping-particle":"","parse-names":false,"suffix":""},{"dropping-particle":"","family":"Caira","given":"Morena","non-dropping-particle":"","parse-names":false,"suffix":""},{"dropping-particle":"","family":"Trecarichi","given":"Enrico Maria","non-dropping-particle":"","parse-names":false,"suffix":""},{"dropping-particle":"","family":"Spanu","given":"Teresa","non-dropping-particle":"","parse-names":false,"suffix":""},{"dropping-particle":"","family":"Blasi","given":"Roberta","non-dropping-particle":"Di","parse-names":false,"suffix":""},{"dropping-particle":"","family":"Sica","given":"Simona","non-dropping-particle":"","parse-names":false,"suffix":""},{"dropping-particle":"","family":"Sanguinetti","given":"Maurizio","non-dropping-particle":"","parse-names":false,"suffix":""},{"dropping-particle":"","family":"Tumbarello","given":"Mario","non-dropping-particle":"","parse-names":false,"suffix":""}],"container-title":"Emerging infectious diseases","id":"ITEM-1","issue":"7","issued":{"date-parts":[["2014","7"]]},"language":"eng","page":"1235-1236","publisher-place":"United States","title":"Carbapenemase-producing Klebsiella pneumoniae and hematologic malignancies.","type":"article","volume":"20"},"uris":["http://www.mendeley.com/documents/?uuid=00e70794-266e-4a66-b243-90bb87f786cb"]}],"mendeley":{"formattedCitation":"&lt;sup&gt;65&lt;/sup&gt;","plainTextFormattedCitation":"65","previouslyFormattedCitation":"&lt;sup&gt;65&lt;/sup&gt;"},"properties":{"noteIndex":0},"schema":"https://github.com/citation-style-language/schema/raw/master/csl-citation.json"}</w:instrText>
            </w:r>
            <w:r w:rsidR="002978AE">
              <w:rPr>
                <w:color w:val="000000" w:themeColor="text1"/>
                <w:sz w:val="16"/>
                <w:szCs w:val="16"/>
                <w:lang w:val="en-US"/>
              </w:rPr>
              <w:fldChar w:fldCharType="separate"/>
            </w:r>
            <w:r w:rsidR="002978AE" w:rsidRPr="002978AE">
              <w:rPr>
                <w:noProof/>
                <w:color w:val="000000" w:themeColor="text1"/>
                <w:sz w:val="16"/>
                <w:szCs w:val="16"/>
                <w:vertAlign w:val="superscript"/>
                <w:lang w:val="en-US"/>
              </w:rPr>
              <w:t>65</w:t>
            </w:r>
            <w:r w:rsidR="002978AE">
              <w:rPr>
                <w:color w:val="000000" w:themeColor="text1"/>
                <w:sz w:val="16"/>
                <w:szCs w:val="16"/>
                <w:lang w:val="en-US"/>
              </w:rPr>
              <w:fldChar w:fldCharType="end"/>
            </w:r>
          </w:p>
        </w:tc>
        <w:tc>
          <w:tcPr>
            <w:tcW w:w="0" w:type="auto"/>
            <w:vAlign w:val="center"/>
          </w:tcPr>
          <w:p w14:paraId="3B25439F" w14:textId="78769E90" w:rsidR="000E23C2" w:rsidRDefault="000E23C2" w:rsidP="000E23C2">
            <w:pPr>
              <w:spacing w:line="360" w:lineRule="auto"/>
              <w:jc w:val="center"/>
              <w:rPr>
                <w:color w:val="000000" w:themeColor="text1"/>
                <w:sz w:val="16"/>
                <w:szCs w:val="16"/>
                <w:lang w:val="en-US"/>
              </w:rPr>
            </w:pPr>
            <w:proofErr w:type="spellStart"/>
            <w:r w:rsidRPr="00B62134">
              <w:rPr>
                <w:sz w:val="16"/>
                <w:szCs w:val="16"/>
                <w:lang w:val="en-US"/>
              </w:rPr>
              <w:t>KPn</w:t>
            </w:r>
            <w:proofErr w:type="spellEnd"/>
            <w:r w:rsidRPr="00B62134">
              <w:rPr>
                <w:sz w:val="16"/>
                <w:szCs w:val="16"/>
                <w:lang w:val="en-US"/>
              </w:rPr>
              <w:t xml:space="preserve"> BSI</w:t>
            </w:r>
            <w:r>
              <w:rPr>
                <w:sz w:val="16"/>
                <w:szCs w:val="16"/>
                <w:lang w:val="en-US"/>
              </w:rPr>
              <w:t xml:space="preserve"> (n = 147)</w:t>
            </w:r>
          </w:p>
        </w:tc>
        <w:tc>
          <w:tcPr>
            <w:tcW w:w="0" w:type="auto"/>
            <w:vAlign w:val="center"/>
          </w:tcPr>
          <w:p w14:paraId="1F9FF6BE" w14:textId="79ADF950"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6C9918B" w14:textId="22426DC5"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DE15605" w14:textId="6979F435"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8ADAD19" w14:textId="069A86B3"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 xml:space="preserve">18% (27/147 </w:t>
            </w:r>
            <w:proofErr w:type="spellStart"/>
            <w:r>
              <w:rPr>
                <w:color w:val="000000" w:themeColor="text1"/>
                <w:sz w:val="16"/>
                <w:szCs w:val="16"/>
                <w:lang w:val="en-US"/>
              </w:rPr>
              <w:t>KPn</w:t>
            </w:r>
            <w:proofErr w:type="spellEnd"/>
            <w:r>
              <w:rPr>
                <w:color w:val="000000" w:themeColor="text1"/>
                <w:sz w:val="16"/>
                <w:szCs w:val="16"/>
                <w:lang w:val="en-US"/>
              </w:rPr>
              <w:t xml:space="preserve"> BSI)</w:t>
            </w:r>
          </w:p>
        </w:tc>
        <w:tc>
          <w:tcPr>
            <w:tcW w:w="0" w:type="auto"/>
            <w:vAlign w:val="center"/>
          </w:tcPr>
          <w:p w14:paraId="59D66329" w14:textId="712E34A6"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0A6F5E3" w14:textId="14A6CA48"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033BEB5" w14:textId="5DAAD6F0"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F8461C" w14:paraId="5CF0F6F4" w14:textId="77777777" w:rsidTr="007C5F11">
        <w:trPr>
          <w:trHeight w:val="516"/>
        </w:trPr>
        <w:tc>
          <w:tcPr>
            <w:tcW w:w="0" w:type="auto"/>
            <w:vAlign w:val="center"/>
          </w:tcPr>
          <w:p w14:paraId="6EF41C1C" w14:textId="26339420" w:rsidR="000E23C2" w:rsidRPr="00A3702B" w:rsidRDefault="000E23C2" w:rsidP="000E23C2">
            <w:pPr>
              <w:spacing w:line="360" w:lineRule="auto"/>
              <w:jc w:val="center"/>
              <w:rPr>
                <w:color w:val="000000" w:themeColor="text1"/>
                <w:sz w:val="16"/>
                <w:szCs w:val="16"/>
                <w:lang w:val="en-US"/>
              </w:rPr>
            </w:pPr>
            <w:proofErr w:type="spellStart"/>
            <w:r w:rsidRPr="00A3702B">
              <w:rPr>
                <w:color w:val="000000" w:themeColor="text1"/>
                <w:sz w:val="16"/>
                <w:szCs w:val="16"/>
                <w:lang w:val="en-US"/>
              </w:rPr>
              <w:lastRenderedPageBreak/>
              <w:t>Patriarca</w:t>
            </w:r>
            <w:proofErr w:type="spellEnd"/>
            <w:r w:rsidRPr="00A3702B">
              <w:rPr>
                <w:color w:val="000000" w:themeColor="text1"/>
                <w:sz w:val="16"/>
                <w:szCs w:val="16"/>
                <w:lang w:val="en-US"/>
              </w:rPr>
              <w:t xml:space="preserve"> 2017</w:t>
            </w:r>
            <w:r w:rsidR="002978AE">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{"citationItems":[{"id":"ITEM-1","itemData":{"DOI":"10.1016/j.bbmt.2016.11.005","ISSN":"15236536","PMID":"27826061","abstract":"The objective of this study was to determine risk factors and outcomes of infections by multidrug-resistant gram-negative (MDR GN) bacteria in 241 recipients of hematopoietic stem cell transplantation (HSCT). The cumulative incidence of infections was 10.5% (95% CI, 12.0% to 25.8%), with 57% of infections occurring during the period of severe neutropenia (neutrophil count &lt; .1 × 106/L). In multivariate analysis, allogeneic transplant and colonization with MDR GN bacteria at admission to the transplant unit were significantly associated with an increased risk of infection. Although we observed neither transplant-related mortality (TRM) nor deaths due to infections by MDR GN bacteria after autologous transplant, in the allogeneic setting a significant difference was reported in terms of overall survival (OS) and TRM between patients who developed infections and those who did not (1-year OS, 39% versus 68%; 1-year TRM, 42% versus 19%). In multivariate analysis, refractory disease and development of grades III to IV graft-versus-host disease (GVHD) were factors that affected both TRM and OS, whereas occurrence of infections by MDR GN pathogens significantly reduced OS. We conclude that eligibility to allogeneic HSCT in MDR GN bacteria carriers should be carefully evaluated together with all other factors that independently influence outcome (disease status, donor, and GVHD risk).","author":[{"dropping-particle":"","family":"Patriarca","given":"Francesca","non-dropping-particle":"","parse-names":false,"suffix":""},{"dropping-particle":"","family":"Cigana","given":"Chiara","non-dropping-particle":"","parse-names":false,"suffix":""},{"dropping-particle":"","family":"Massimo","given":"Dozzo","non-dropping-particle":"","parse-names":false,"suffix":""},{"dropping-particle":"","family":"Lazzarotto","given":"Davide","non-dropping-particle":"","parse-names":false,"suffix":""},{"dropping-particle":"","family":"Geromin","given":"Antonella","non-dropping-particle":"","parse-names":false,"suffix":""},{"dropping-particle":"","family":"Isola","given":"Miriam","non-dropping-particle":"","parse-names":false,"suffix":""},{"dropping-particle":"","family":"Battista","given":"Marta Lisa","non-dropping-particle":"","parse-names":false,"suffix":""},{"dropping-particle":"","family":"Medeot","given":"Marta","non-dropping-particle":"","parse-names":false,"suffix":""},{"dropping-particle":"","family":"Cerno","given":"Michela","non-dropping-particle":"","parse-names":false,"suffix":""},{"dropping-particle":"","family":"Sperotto","given":"Alessandra","non-dropping-particle":"","parse-names":false,"suffix":""},{"dropping-particle":"","family":"Candoni","given":"Anna","non-dropping-particle":"","parse-names":false,"suffix":""},{"dropping-particle":"","family":"Crapis","given":"Massimo","non-dropping-particle":"","parse-names":false,"suffix":""},{"dropping-particle":"","family":"Sartor","given":"Assunta","non-dropping-particle":"","parse-names":false,"suffix":""},{"dropping-particle":"","family":"Scarparo","given":"Claudio","non-dropping-particle":"","parse-names":false,"suffix":""},{"dropping-particle":"","family":"Bassetti","given":"Matteo","non-dropping-particle":"","parse-names":false,"suffix":""},{"dropping-particle":"","family":"Fanin","given":"Renato","non-dropping-particle":"","parse-names":false,"suffix":""}],"container-title":"Biology of Blood and Marrow Transplantation","id":"ITEM-1","issue":"2","issued":{"date-parts":[["2017"]]},"page":"333-339","publisher":"Elsevier Inc.","title":"Risk Factors and Outcomes of Infections by Multidrug-Resistant Gram-Negative Bacteria in Patients Undergoing Hematopoietic Stem Cell Transplantation","type":"article-journal","volume":"23"},"uris":["http://www.mendeley.com/documents/?uuid=2d5bea33-e6ac-48ef-b94f-da7937dba716"]}],"mendeley":{"formattedCitation":"&lt;sup&gt;66&lt;/sup&gt;","plainTextFormattedCitation":"66","previouslyFormattedCitation":"&lt;sup&gt;66&lt;/sup&gt;"},"properties":{"noteIndex":0},"schema":"https://github.com/citation-style-language/schema/raw/master/csl-citation.json"}</w:instrText>
            </w:r>
            <w:r w:rsidR="002978AE">
              <w:rPr>
                <w:color w:val="000000" w:themeColor="text1"/>
                <w:sz w:val="16"/>
                <w:szCs w:val="16"/>
                <w:lang w:val="en-US"/>
              </w:rPr>
              <w:fldChar w:fldCharType="separate"/>
            </w:r>
            <w:r w:rsidR="002978AE" w:rsidRPr="002978AE">
              <w:rPr>
                <w:noProof/>
                <w:color w:val="000000" w:themeColor="text1"/>
                <w:sz w:val="16"/>
                <w:szCs w:val="16"/>
                <w:vertAlign w:val="superscript"/>
                <w:lang w:val="en-US"/>
              </w:rPr>
              <w:t>66</w:t>
            </w:r>
            <w:r w:rsidR="002978AE">
              <w:rPr>
                <w:color w:val="000000" w:themeColor="text1"/>
                <w:sz w:val="16"/>
                <w:szCs w:val="16"/>
                <w:lang w:val="en-US"/>
              </w:rPr>
              <w:fldChar w:fldCharType="end"/>
            </w:r>
          </w:p>
        </w:tc>
        <w:tc>
          <w:tcPr>
            <w:tcW w:w="0" w:type="auto"/>
            <w:vAlign w:val="center"/>
          </w:tcPr>
          <w:p w14:paraId="25E7596E" w14:textId="5868F82F"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 xml:space="preserve">Pts </w:t>
            </w:r>
            <w:r w:rsidRPr="00B62134">
              <w:rPr>
                <w:sz w:val="16"/>
                <w:szCs w:val="16"/>
                <w:lang w:val="en-US"/>
              </w:rPr>
              <w:t>(n=241)</w:t>
            </w:r>
          </w:p>
        </w:tc>
        <w:tc>
          <w:tcPr>
            <w:tcW w:w="0" w:type="auto"/>
            <w:vAlign w:val="center"/>
          </w:tcPr>
          <w:p w14:paraId="375EA328" w14:textId="4E060D6F"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59% (143/241)</w:t>
            </w:r>
          </w:p>
        </w:tc>
        <w:tc>
          <w:tcPr>
            <w:tcW w:w="0" w:type="auto"/>
            <w:vAlign w:val="center"/>
          </w:tcPr>
          <w:p w14:paraId="44A61956" w14:textId="593E4220"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326CFFC" w14:textId="447BA78E"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305C4EB" w14:textId="56D7DBEF"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F606B6D" w14:textId="321D4880"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105F868" w14:textId="287326D3"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D179662" w14:textId="64A53BB3"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F8461C" w14:paraId="29B004C9" w14:textId="00279F78" w:rsidTr="007C5F11">
        <w:trPr>
          <w:trHeight w:val="516"/>
        </w:trPr>
        <w:tc>
          <w:tcPr>
            <w:tcW w:w="0" w:type="auto"/>
            <w:vAlign w:val="center"/>
          </w:tcPr>
          <w:p w14:paraId="15235E82" w14:textId="350807B4" w:rsidR="000E23C2" w:rsidRPr="00A3702B" w:rsidRDefault="000E23C2" w:rsidP="000E23C2">
            <w:pPr>
              <w:spacing w:line="360" w:lineRule="auto"/>
              <w:jc w:val="center"/>
              <w:rPr>
                <w:color w:val="000000" w:themeColor="text1"/>
                <w:sz w:val="16"/>
                <w:szCs w:val="16"/>
                <w:lang w:val="en-US"/>
              </w:rPr>
            </w:pPr>
            <w:r w:rsidRPr="00A3702B">
              <w:rPr>
                <w:color w:val="000000" w:themeColor="text1"/>
                <w:sz w:val="16"/>
                <w:szCs w:val="16"/>
                <w:lang w:val="en-US"/>
              </w:rPr>
              <w:t>Puerta-</w:t>
            </w:r>
            <w:proofErr w:type="spellStart"/>
            <w:r w:rsidRPr="00A3702B">
              <w:rPr>
                <w:color w:val="000000" w:themeColor="text1"/>
                <w:sz w:val="16"/>
                <w:szCs w:val="16"/>
                <w:lang w:val="en-US"/>
              </w:rPr>
              <w:t>Alcade</w:t>
            </w:r>
            <w:proofErr w:type="spellEnd"/>
            <w:r w:rsidRPr="00A3702B">
              <w:rPr>
                <w:color w:val="000000" w:themeColor="text1"/>
                <w:sz w:val="16"/>
                <w:szCs w:val="16"/>
                <w:lang w:val="en-US"/>
              </w:rPr>
              <w:t xml:space="preserve"> 2020</w:t>
            </w:r>
            <w:r w:rsidR="002978AE">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{"citationItems":[{"id":"ITEM-1","itemData":{"DOI":"10.1038/s41409-019-0701-3","ISSN":"14765365","PMID":"31570779","abstract":"We aimed to describe epidemiology changes in bloodstream infections (BSI) episodes in hematopoietic stem cell transplant (HSCT) recipients throughout a 25-year period (1993–2017), comparing five-year time spans, and we evaluate their impact on inappropriate empirical antibiotic treatment (IEAT) and mortality. During the study period, 1164 BSI episodes were documented in patients undergoing HSCT (71.6% allogenic and 29% autologous). A significant decrease in gram-positive cocci (GPC) and increase in gram-negative bacilli (GNB) were observed (p &lt; 0.001). Among GP, coagulase-negative staphylococci (CoNS) significantly decreased whereas rising E. faecium BSI was documented. Among GNB, E. coli, Pseudomonas aeruginosa and K. pneumoniae rates increased. Multidrug-resistant (MDR) GNB, especially ESBL-E. coli and MDR-P. aeruginosa, emerged in 2008 and has gradually increased. IEAT against MDR-P. aeruginosa, but not in other MDR-GNB, augmented throughout the study period. Overall, 30-day and related mortality rates were 12.7% and 7.7% respectively, both increasing over time (p &lt; 0.001 and p = 0.025). In GNB, 30-day and related mortality were 18.5% and 12.8%, respectively, increasing over time (p &lt; 0.001 and p = 0.004). To conclude, important BSI epidemiological changes were described in a 25-year period. Concerning increase in IEAT for P. aeruginosa infections and rising 30-day mortality rate were documented.","author":[{"dropping-particle":"","family":"Puerta-Alcalde","given":"Pedro","non-dropping-particle":"","parse-names":false,"suffix":""},{"dropping-particle":"","family":"Cardozo","given":"Celia","non-dropping-particle":"","parse-names":false,"suffix":""},{"dropping-particle":"","family":"Marco","given":"Francesc","non-dropping-particle":"","parse-names":false,"suffix":""},{"dropping-particle":"","family":"Suárez-Lledó","given":"Maria","non-dropping-particle":"","parse-names":false,"suffix":""},{"dropping-particle":"","family":"Moreno","given":"Estela","non-dropping-particle":"","parse-names":false,"suffix":""},{"dropping-particle":"","family":"Morata","given":"Laura","non-dropping-particle":"","parse-names":false,"suffix":""},{"dropping-particle":"","family":"Fernández-Avilés","given":"Francesc","non-dropping-particle":"","parse-names":false,"suffix":""},{"dropping-particle":"","family":"Gutiérrez-Garcia","given":"Gonzalo","non-dropping-particle":"","parse-names":false,"suffix":""},{"dropping-particle":"","family":"Chumbita","given":"Mariana","non-dropping-particle":"","parse-names":false,"suffix":""},{"dropping-particle":"","family":"Rosiñol","given":"Laura","non-dropping-particle":"","parse-names":false,"suffix":""},{"dropping-particle":"","family":"Martínez","given":"Jose Antonio","non-dropping-particle":"","parse-names":false,"suffix":""},{"dropping-particle":"","family":"Martínez","given":"Carmen","non-dropping-particle":"","parse-names":false,"suffix":""},{"dropping-particle":"","family":"Mensa","given":"Josep","non-dropping-particle":"","parse-names":false,"suffix":""},{"dropping-particle":"","family":"Urbano","given":"Álvaro","non-dropping-particle":"","parse-names":false,"suffix":""},{"dropping-particle":"","family":"Rovira","given":"Montserrat","non-dropping-particle":"","parse-names":false,"suffix":""},{"dropping-particle":"","family":"Soriano","given":"Alex","non-dropping-particle":"","parse-names":false,"suffix":""},{"dropping-particle":"","family":"Garcia-Vidal","given":"Carolina","non-dropping-particle":"","parse-names":false,"suffix":""}],"container-title":"Bone Marrow Transplantation","id":"ITEM-1","issue":"3","issued":{"date-parts":[["2020"]]},"page":"603-612","publisher":"Springer US","title":"Changing epidemiology of bloodstream infection in a 25-years hematopoietic stem cell transplant program: current challenges and pitfalls on empiric antibiotic treatment impacting outcomes","type":"article-journal","volume":"55"},"uris":["http://www.mendeley.com/documents/?uuid=5881d713-9e8c-4d5c-87f7-19b5cec21b30"]}],"mendeley":{"formattedCitation":"&lt;sup&gt;67&lt;/sup&gt;","plainTextFormattedCitation":"67","previouslyFormattedCitation":"&lt;sup&gt;67&lt;/sup&gt;"},"properties":{"noteIndex":0},"schema":"https://github.com/citation-style-language/schema/raw/master/csl-citation.json"}</w:instrText>
            </w:r>
            <w:r w:rsidR="002978AE">
              <w:rPr>
                <w:color w:val="000000" w:themeColor="text1"/>
                <w:sz w:val="16"/>
                <w:szCs w:val="16"/>
                <w:lang w:val="en-US"/>
              </w:rPr>
              <w:fldChar w:fldCharType="separate"/>
            </w:r>
            <w:r w:rsidR="002978AE" w:rsidRPr="002978AE">
              <w:rPr>
                <w:noProof/>
                <w:color w:val="000000" w:themeColor="text1"/>
                <w:sz w:val="16"/>
                <w:szCs w:val="16"/>
                <w:vertAlign w:val="superscript"/>
                <w:lang w:val="en-US"/>
              </w:rPr>
              <w:t>67</w:t>
            </w:r>
            <w:r w:rsidR="002978AE">
              <w:rPr>
                <w:color w:val="000000" w:themeColor="text1"/>
                <w:sz w:val="16"/>
                <w:szCs w:val="16"/>
                <w:lang w:val="en-US"/>
              </w:rPr>
              <w:fldChar w:fldCharType="end"/>
            </w:r>
          </w:p>
        </w:tc>
        <w:tc>
          <w:tcPr>
            <w:tcW w:w="0" w:type="auto"/>
            <w:vAlign w:val="center"/>
          </w:tcPr>
          <w:p w14:paraId="08ED4C50" w14:textId="47CD0BC9"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Pts (n = 1164)</w:t>
            </w:r>
          </w:p>
        </w:tc>
        <w:tc>
          <w:tcPr>
            <w:tcW w:w="0" w:type="auto"/>
            <w:vAlign w:val="center"/>
          </w:tcPr>
          <w:p w14:paraId="4B607721" w14:textId="77A68C24"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2955D8D" w14:textId="370D72DC"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7329E74" w14:textId="43510644"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6% (26/438)</w:t>
            </w:r>
          </w:p>
        </w:tc>
        <w:tc>
          <w:tcPr>
            <w:tcW w:w="0" w:type="auto"/>
            <w:vAlign w:val="center"/>
          </w:tcPr>
          <w:p w14:paraId="3BF56C68" w14:textId="7D575930"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14CA853" w14:textId="755369F9"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16% (65/438)</w:t>
            </w:r>
          </w:p>
        </w:tc>
        <w:tc>
          <w:tcPr>
            <w:tcW w:w="0" w:type="auto"/>
            <w:vAlign w:val="center"/>
          </w:tcPr>
          <w:p w14:paraId="04E24A21" w14:textId="5879D42C"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1% / 3%</w:t>
            </w:r>
          </w:p>
        </w:tc>
        <w:tc>
          <w:tcPr>
            <w:tcW w:w="0" w:type="auto"/>
            <w:vAlign w:val="center"/>
          </w:tcPr>
          <w:p w14:paraId="78427C85" w14:textId="75875AF7"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5% / 31%</w:t>
            </w:r>
          </w:p>
        </w:tc>
      </w:tr>
      <w:tr w:rsidR="003F32CA" w:rsidRPr="00F8461C" w14:paraId="140A639E" w14:textId="04F87F58" w:rsidTr="007C5F11">
        <w:trPr>
          <w:trHeight w:val="516"/>
        </w:trPr>
        <w:tc>
          <w:tcPr>
            <w:tcW w:w="0" w:type="auto"/>
            <w:vAlign w:val="center"/>
          </w:tcPr>
          <w:p w14:paraId="5C0ABCEB" w14:textId="2604F76A" w:rsidR="000E23C2" w:rsidRPr="00A3702B" w:rsidRDefault="000E23C2" w:rsidP="000E23C2">
            <w:pPr>
              <w:spacing w:line="360" w:lineRule="auto"/>
              <w:jc w:val="center"/>
              <w:rPr>
                <w:color w:val="000000" w:themeColor="text1"/>
                <w:sz w:val="16"/>
                <w:szCs w:val="16"/>
                <w:lang w:val="en-US"/>
              </w:rPr>
            </w:pPr>
            <w:r w:rsidRPr="00A3702B">
              <w:rPr>
                <w:color w:val="000000" w:themeColor="text1"/>
                <w:sz w:val="16"/>
                <w:szCs w:val="16"/>
                <w:lang w:val="en-US"/>
              </w:rPr>
              <w:t>Ram 2012</w:t>
            </w:r>
            <w:r w:rsidR="002978AE">
              <w:rPr>
                <w:color w:val="000000" w:themeColor="text1"/>
                <w:sz w:val="16"/>
                <w:szCs w:val="16"/>
                <w:lang w:val="en-US"/>
              </w:rPr>
              <w:fldChar w:fldCharType="begin" w:fldLock="1"/>
            </w:r>
            <w:r w:rsidR="002978AE">
              <w:rPr>
                <w:color w:val="000000" w:themeColor="text1"/>
                <w:sz w:val="16"/>
                <w:szCs w:val="16"/>
                <w:lang w:val="en-US"/>
              </w:rPr>
              <w:instrText>ADDIN CSL_CITATION {"citationItems":[{"id":"ITEM-1","itemData":{"DOI":"10.1016/j.ijantimicag.2012.05.001","ISSN":"09248579","PMID":"22727772","abstract":"Surveys of bacterial infections among neutropenic cancer patients frequently report pooled antibiotic susceptibility data. Management guidelines address initial antibiotic regimens for febrile neutropenia. In this study, rates of bacterial infection and antibiotic susceptibilities among initial and subsequent or breakthrough episodes of fever were analysed. Prospective surveillance of fever of unknown origin (FUO), clinically documented infection and microbiologically documented infection (MDI) was conducted in the haemato-oncology and haematopoietic stem cell transplantation wards in a single cancer centre in Israel. Subsequent infections were defined as those developing during or after broad-spectrum antibiotic treatment. A total of 567 febrile episodes were documented among 271 patients. Bacterial MDIs were documented in 104/162 (64%) initial febrile episodes and 75/405 (19%) subsequent episodes and Gram-negative bacteria predominated (64% and 71%, respectively). Escherichia coli was the most common species isolated. Higher antibiotic susceptibilities were observed for initial compared with subsequent MDIs for Gram-negative bacteria [ceftazidime 80% vs. 45%, piperacillin/tazobactam (TZP) 86% vs. 40% and meropenem 95% vs.76%] and Gram-positive bacteria. TZP monotherapy was the most commonly used antibiotic and its susceptibility decreased to 22.2% following its use. Appropriate empirical antibiotic treatment was administered in 71/97 (73%) initial and 40/74 (54%) subsequent episodes (P = 0.009) and was significantly associated with mortality (adjusted odds ratio = 0.4, 95% confidence interval 0.18-0.87). We conclude that previous antibiotic exposure significantly impacts antibiotic susceptibility and that pooled reporting of all infections can be misleading. Treatment guidelines should address the antibiotic treatment of breakthrough fever. © 2012 Elsevier B.V. and the International Society of Chemotherapy. All rights reserved.","author":[{"dropping-particle":"","family":"Ram","given":"Ron","non-dropping-particle":"","parse-names":false,"suffix":""},{"dropping-particle":"","family":"Farbman","given":"Laura","non-dropping-particle":"","parse-names":false,"suffix":""},{"dropping-particle":"","family":"Leibovici","given":"Leonard","non-dropping-particle":"","parse-names":false,"suffix":""},{"dropping-particle":"","family":"Raanani","given":"Pia","non-dropping-particle":"","parse-names":false,"suffix":""},{"dropping-particle":"","family":"Yeshurun","given":"Moshe","non-dropping-particle":"","parse-names":false,"suffix":""},{"dropping-particle":"","family":"Vidal","given":"Liat","non-dropping-particle":"","parse-names":false,"suffix":""},{"dropping-particle":"","family":"Gafter-Gvili","given":"Anat","non-dropping-particle":"","parse-names":false,"suffix":""},{"dropping-particle":"","family":"Peck","given":"Anat","non-dropping-particle":"","parse-names":false,"suffix":""},{"dropping-particle":"","family":"Shpilberg","given":"Ofer","non-dropping-particle":"","parse-names":false,"suffix":""},{"dropping-particle":"","family":"Paul","given":"Mical","non-dropping-particle":"","parse-names":false,"suffix":""}],"container-title":"International Journal of Antimicrobial Agents","id":"ITEM-1","issue":"2","issued":{"date-parts":[["2012"]]},"page":"123-126","publisher":"Elsevier B.V.","title":"Characteristics of initial compared with subsequent bacterial infections among hospitalised haemato-oncological patients","type":"article-journal","volume":"40"},"uris":["http://www.mendeley.com/documents/?uuid=c44c94b7-c089-4cf2-b553-a96a743e328d"]}],"mendeley":{"formattedCitation":"&lt;sup&gt;68&lt;/sup&gt;","plainTextFormattedCitation":"68","previouslyFormattedCitation":"&lt;sup&gt;68&lt;/sup&gt;"},"properties":{"noteIndex":0},"schema":"https://github.com/citation-style-language/schema/raw/master/csl-citation.json"}</w:instrText>
            </w:r>
            <w:r w:rsidR="002978AE">
              <w:rPr>
                <w:color w:val="000000" w:themeColor="text1"/>
                <w:sz w:val="16"/>
                <w:szCs w:val="16"/>
                <w:lang w:val="en-US"/>
              </w:rPr>
              <w:fldChar w:fldCharType="separate"/>
            </w:r>
            <w:r w:rsidR="002978AE" w:rsidRPr="002978AE">
              <w:rPr>
                <w:noProof/>
                <w:color w:val="000000" w:themeColor="text1"/>
                <w:sz w:val="16"/>
                <w:szCs w:val="16"/>
                <w:vertAlign w:val="superscript"/>
                <w:lang w:val="en-US"/>
              </w:rPr>
              <w:t>68</w:t>
            </w:r>
            <w:r w:rsidR="002978AE">
              <w:rPr>
                <w:color w:val="000000" w:themeColor="text1"/>
                <w:sz w:val="16"/>
                <w:szCs w:val="16"/>
                <w:lang w:val="en-US"/>
              </w:rPr>
              <w:fldChar w:fldCharType="end"/>
            </w:r>
          </w:p>
        </w:tc>
        <w:tc>
          <w:tcPr>
            <w:tcW w:w="0" w:type="auto"/>
            <w:vAlign w:val="center"/>
          </w:tcPr>
          <w:p w14:paraId="22FE78B6" w14:textId="4C55062F"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 xml:space="preserve">Pts </w:t>
            </w:r>
            <w:r w:rsidRPr="00B62134">
              <w:rPr>
                <w:sz w:val="16"/>
                <w:szCs w:val="16"/>
                <w:lang w:val="en-US"/>
              </w:rPr>
              <w:t>(n</w:t>
            </w:r>
            <w:r>
              <w:rPr>
                <w:sz w:val="16"/>
                <w:szCs w:val="16"/>
                <w:lang w:val="en-US"/>
              </w:rPr>
              <w:t xml:space="preserve"> </w:t>
            </w:r>
            <w:r w:rsidRPr="00B62134">
              <w:rPr>
                <w:sz w:val="16"/>
                <w:szCs w:val="16"/>
                <w:lang w:val="en-US"/>
              </w:rPr>
              <w:t>=</w:t>
            </w:r>
            <w:r>
              <w:rPr>
                <w:sz w:val="16"/>
                <w:szCs w:val="16"/>
                <w:lang w:val="en-US"/>
              </w:rPr>
              <w:t xml:space="preserve"> </w:t>
            </w:r>
            <w:r w:rsidRPr="00B62134">
              <w:rPr>
                <w:sz w:val="16"/>
                <w:szCs w:val="16"/>
                <w:lang w:val="en-US"/>
              </w:rPr>
              <w:t>567)</w:t>
            </w:r>
          </w:p>
        </w:tc>
        <w:tc>
          <w:tcPr>
            <w:tcW w:w="0" w:type="auto"/>
            <w:vAlign w:val="center"/>
          </w:tcPr>
          <w:p w14:paraId="44E4DE9C" w14:textId="74DB196E"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32% (162/567)</w:t>
            </w:r>
          </w:p>
        </w:tc>
        <w:tc>
          <w:tcPr>
            <w:tcW w:w="0" w:type="auto"/>
            <w:vAlign w:val="center"/>
          </w:tcPr>
          <w:p w14:paraId="1769A2D4" w14:textId="146B816E"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69% (83/120)</w:t>
            </w:r>
          </w:p>
        </w:tc>
        <w:tc>
          <w:tcPr>
            <w:tcW w:w="0" w:type="auto"/>
            <w:vAlign w:val="center"/>
          </w:tcPr>
          <w:p w14:paraId="4A986825" w14:textId="7B512529"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27% (32/120)</w:t>
            </w:r>
          </w:p>
        </w:tc>
        <w:tc>
          <w:tcPr>
            <w:tcW w:w="0" w:type="auto"/>
            <w:vAlign w:val="center"/>
          </w:tcPr>
          <w:p w14:paraId="53E03812" w14:textId="730B8BAE"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14% (17/120)</w:t>
            </w:r>
          </w:p>
        </w:tc>
        <w:tc>
          <w:tcPr>
            <w:tcW w:w="0" w:type="auto"/>
            <w:vAlign w:val="center"/>
          </w:tcPr>
          <w:p w14:paraId="5BD3E234" w14:textId="1CFA80BC"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A99D2A9" w14:textId="51295CC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A337B35" w14:textId="3AD905C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r w:rsidR="003F32CA" w:rsidRPr="00F8461C" w14:paraId="301E5DEC" w14:textId="69241874" w:rsidTr="007C5F11">
        <w:trPr>
          <w:trHeight w:val="516"/>
        </w:trPr>
        <w:tc>
          <w:tcPr>
            <w:tcW w:w="0" w:type="auto"/>
            <w:vAlign w:val="center"/>
          </w:tcPr>
          <w:p w14:paraId="519563DF" w14:textId="0E7A3BCC" w:rsidR="000E23C2" w:rsidRPr="000F55FD" w:rsidRDefault="000E23C2" w:rsidP="000E23C2">
            <w:pPr>
              <w:spacing w:line="360" w:lineRule="auto"/>
              <w:jc w:val="center"/>
              <w:rPr>
                <w:color w:val="000000" w:themeColor="text1"/>
                <w:sz w:val="16"/>
                <w:szCs w:val="16"/>
              </w:rPr>
            </w:pPr>
            <w:proofErr w:type="spellStart"/>
            <w:r w:rsidRPr="00A3702B">
              <w:rPr>
                <w:color w:val="000000" w:themeColor="text1"/>
                <w:sz w:val="16"/>
                <w:szCs w:val="16"/>
                <w:lang w:val="en-US"/>
              </w:rPr>
              <w:t>Tofas</w:t>
            </w:r>
            <w:proofErr w:type="spellEnd"/>
            <w:r w:rsidRPr="00A3702B">
              <w:rPr>
                <w:color w:val="000000" w:themeColor="text1"/>
                <w:sz w:val="16"/>
                <w:szCs w:val="16"/>
                <w:lang w:val="en-US"/>
              </w:rPr>
              <w:t xml:space="preserve"> 2017</w:t>
            </w:r>
            <w:r w:rsidR="002978AE">
              <w:rPr>
                <w:color w:val="000000" w:themeColor="text1"/>
                <w:sz w:val="16"/>
                <w:szCs w:val="16"/>
                <w:lang w:val="en-US"/>
              </w:rPr>
              <w:fldChar w:fldCharType="begin" w:fldLock="1"/>
            </w:r>
            <w:r w:rsidR="003F32CA">
              <w:rPr>
                <w:color w:val="000000" w:themeColor="text1"/>
                <w:sz w:val="16"/>
                <w:szCs w:val="16"/>
                <w:lang w:val="en-US"/>
              </w:rPr>
              <w:instrText>ADDIN CSL_CITATION {"citationItems":[{"id":"ITEM-1","itemData":{"DOI":"10.1016/j.diagmicrobio.2017.05.003","ISSN":"18790070","PMID":"28529091","abstract":"Our aims were to identify factors associated with Pseudomonas aeruginosa (PA) bloodstream infection (BSI) in patients with hematological malignancies and evaluate the outcome of the affected patients. Consecutive patients with hematological malignancies who developed PA BSI were identified. Subsequently, two case–control studies were performed to evaluate the risk factors (i) for PA BSI and (ii) for carbapenem resistant (CR) PA BSI. Patients' outcome was evaluated at 28 days after the onset of bacteraemia. A total of 64 patients with PA BSI (45 caused by CS and 19 by CR organisms) and 128 without PA BSI were enrolled. Patients with rapidly fatal disease, steroid use, neutropenia or prior surgery were more likely to develop PA BSI, whereas patients with previous hospitalization and prior use of fluoroquinolones were more likely to develop CR PA BSI. The 28-day mortality rate was 35.9%. Severity of sepsis was the only independent predictor of adverse outcome.","author":[{"dropping-particle":"","family":"Tofas","given":"Polydoros","non-dropping-particle":"","parse-names":false,"suffix":""},{"dropping-particle":"","family":"Samarkos","given":"Michael","non-dropping-particle":"","parse-names":false,"suffix":""},{"dropping-particle":"","family":"Piperaki","given":"Evangelia Theophano","non-dropping-particle":"","parse-names":false,"suffix":""},{"dropping-particle":"","family":"Kosmidis","given":"Christos","non-dropping-particle":"","parse-names":false,"suffix":""},{"dropping-particle":"","family":"Triantafyllopoulou",</w:instrText>
            </w:r>
            <w:r w:rsidR="003F32CA" w:rsidRPr="000F55FD">
              <w:rPr>
                <w:color w:val="000000" w:themeColor="text1"/>
                <w:sz w:val="16"/>
                <w:szCs w:val="16"/>
              </w:rPr>
              <w:instrText>"given":"Ioanna Dionysia","non-dropping-particle":"","parse-names":false,"suffix":""},{"dropping-particle":"","family":"Kotsopoulou","given":"Maria","non-dropping-particle":"","parse-names":false,"suffix":""},{"dropping-particle":"","family":"Pantazatou","given":"Aggeliki","non-dropping-particle":"","parse-names":false,"suffix":""},{"dropping-particle":"","family":"Perlorentzou","given":"Stavroula","non-dropping-particle":"","parse-names":false,"suffix":""},{"dropping-particle":"","family":"Poulli","given":"Anastasia","non-dropping-particle":"","parse-names":false,"suffix":""},{"dropping-particle":"","family":"Vagia","given":"Maria","non-dropping-particle":"","parse-names":false,"suffix":""},{"dropping-particle":"","family":"Daikos","given":"George L.","non-dropping-particle":"","parse-names":false,"suffix":""}],"container-title":"Diagnostic Microbiology and Infectious Disease","id":"ITEM-1","issue":"4","issued":{"date-parts":[["2017"]]},"page":"335-341","publisher":"Elsevier Inc.","title":"Pseudomonas aeruginosa bacteraemia in patients with hematologic malignancies: risk factors, treatment and outcome","type":"article-journal","volume":"88"},"uris":["http://www.mendeley.com/documents/?uuid=f5f3e7ea-e579-48e7-9398-d133f3ba4c59"]}],"mendeley":{"formattedCitation":"&lt;sup&gt;41&lt;/sup&gt;","plainTextFormattedCitation":"41","previouslyFormattedCitation":"&lt;sup&gt;41&lt;/sup&gt;"},"properties":{"noteIndex":0},"schema":"https://github.com/citation-style-language/schema/raw/master/csl-citation.json"}</w:instrText>
            </w:r>
            <w:r w:rsidR="002978AE">
              <w:rPr>
                <w:color w:val="000000" w:themeColor="text1"/>
                <w:sz w:val="16"/>
                <w:szCs w:val="16"/>
                <w:lang w:val="en-US"/>
              </w:rPr>
              <w:fldChar w:fldCharType="separate"/>
            </w:r>
            <w:r w:rsidR="002978AE" w:rsidRPr="000F55FD">
              <w:rPr>
                <w:noProof/>
                <w:color w:val="000000" w:themeColor="text1"/>
                <w:sz w:val="16"/>
                <w:szCs w:val="16"/>
                <w:vertAlign w:val="superscript"/>
              </w:rPr>
              <w:t>41</w:t>
            </w:r>
            <w:r w:rsidR="002978AE">
              <w:rPr>
                <w:color w:val="000000" w:themeColor="text1"/>
                <w:sz w:val="16"/>
                <w:szCs w:val="16"/>
                <w:lang w:val="en-US"/>
              </w:rPr>
              <w:fldChar w:fldCharType="end"/>
            </w:r>
          </w:p>
        </w:tc>
        <w:tc>
          <w:tcPr>
            <w:tcW w:w="0" w:type="auto"/>
            <w:vAlign w:val="center"/>
          </w:tcPr>
          <w:p w14:paraId="6B2530E9" w14:textId="3686B16C"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PsA BSI (n = 192)</w:t>
            </w:r>
          </w:p>
        </w:tc>
        <w:tc>
          <w:tcPr>
            <w:tcW w:w="0" w:type="auto"/>
            <w:vAlign w:val="center"/>
          </w:tcPr>
          <w:p w14:paraId="0924B746" w14:textId="68513BEC"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0CD23EC1" w14:textId="0F74B5B6"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36% (33/64 PsA BSI)</w:t>
            </w:r>
          </w:p>
        </w:tc>
        <w:tc>
          <w:tcPr>
            <w:tcW w:w="0" w:type="auto"/>
            <w:vAlign w:val="center"/>
          </w:tcPr>
          <w:p w14:paraId="78BE18FF" w14:textId="0B6BCCF4"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34% (22/64 PsA BSI)</w:t>
            </w:r>
          </w:p>
        </w:tc>
        <w:tc>
          <w:tcPr>
            <w:tcW w:w="0" w:type="auto"/>
            <w:vAlign w:val="center"/>
          </w:tcPr>
          <w:p w14:paraId="2FD1F941" w14:textId="41A26B35"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30% (19/64 PsA BSI)</w:t>
            </w:r>
          </w:p>
        </w:tc>
        <w:tc>
          <w:tcPr>
            <w:tcW w:w="0" w:type="auto"/>
            <w:vAlign w:val="center"/>
          </w:tcPr>
          <w:p w14:paraId="25540DF4" w14:textId="0EF79D6F"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37% (24/64 PsA BSI)</w:t>
            </w:r>
          </w:p>
        </w:tc>
        <w:tc>
          <w:tcPr>
            <w:tcW w:w="0" w:type="auto"/>
            <w:vAlign w:val="center"/>
          </w:tcPr>
          <w:p w14:paraId="24A80D3A" w14:textId="4C5F623F"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5E103DC4" w14:textId="0248EA33"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r>
      <w:tr w:rsidR="003F32CA" w:rsidRPr="002978AE" w14:paraId="45425E41" w14:textId="77777777" w:rsidTr="007C5F11">
        <w:trPr>
          <w:trHeight w:val="516"/>
        </w:trPr>
        <w:tc>
          <w:tcPr>
            <w:tcW w:w="0" w:type="auto"/>
            <w:vAlign w:val="center"/>
          </w:tcPr>
          <w:p w14:paraId="1060F1CD" w14:textId="26626716" w:rsidR="000E23C2" w:rsidRPr="00A3702B" w:rsidRDefault="000E23C2" w:rsidP="000E23C2">
            <w:pPr>
              <w:spacing w:line="360" w:lineRule="auto"/>
              <w:jc w:val="center"/>
              <w:rPr>
                <w:color w:val="000000" w:themeColor="text1"/>
                <w:sz w:val="16"/>
                <w:szCs w:val="16"/>
                <w:lang w:val="en-US"/>
              </w:rPr>
            </w:pPr>
            <w:r w:rsidRPr="000F55FD">
              <w:rPr>
                <w:sz w:val="16"/>
                <w:szCs w:val="16"/>
              </w:rPr>
              <w:t>Trecarichi 2015</w:t>
            </w:r>
            <w:r w:rsidR="003F32CA">
              <w:rPr>
                <w:sz w:val="16"/>
                <w:szCs w:val="16"/>
                <w:lang w:val="en-US"/>
              </w:rPr>
              <w:fldChar w:fldCharType="begin" w:fldLock="1"/>
            </w:r>
            <w:r w:rsidR="003F32CA" w:rsidRPr="000F55FD">
              <w:rPr>
                <w:sz w:val="16"/>
                <w:szCs w:val="16"/>
              </w:rPr>
              <w:instrText>ADDIN CSL_CITATION {"citationItems":[{"id":"ITEM-1","itemData":{"DOI":"10.1016/j.cmi.2014.11.022","ISSN":"14690691","PMID":"25595706","abstract":"A prospective cohort study was conducted in nine hematology wards at tertiary care centres or at university hospitals located throughout Italy from January 2009 to December 2012. All of the cases of bacterial bloodstream infection (BBSI) occurring in adult patients with hematologic malignancies were included. A total of 668 bacterial isolates were recovered in 575 BBSI episodes. Overall, the susceptibility rates of Gram-negative bacteria were 59.1% to ceftazidime, 20.1% to ciprofloxacin, 79.1% to meropenem, 85.2% to amikacin, 69.2% to gentamicin and 69.8% to piperacillin/tazobactam. Resistance to third-generation cephalosporins was found in 98/265 (36.9%) of Enterobacteriaceae isolates. Among Klebsiella pneumoniae strains, 15/43 (34.9%) were resistant to carbapenems. Of 66 Pseudomonas aeruginosa isolates, 46 (69.7%) were multidrug resistant. Overall, the susceptibility rates of Gram-positive bacteria were 97.4% to vancomycin and 94.2% to teicoplanin. Among the monomicrobial cases of BBSI, the 21-day mortality rate was significantly higher for those caused by Gram-negative bacteria compared to those caused by Gram-positive bacteria (47/278, 16.9% vs. 12/212, 5.6%; p&lt;0.001). Among Gram-negative bacteria, t</w:instrText>
            </w:r>
            <w:r w:rsidR="003F32CA">
              <w:rPr>
                <w:sz w:val="16"/>
                <w:szCs w:val="16"/>
                <w:lang w:val="en-US"/>
              </w:rPr>
              <w:instrText>he mortality rate was significantly higher for BBSI caused by K.pneumoniae, P. aeruginosa, and Acinetobacter baumannii. Our results confirm the recently reported shift of prevalence from Gram-positive to Gram-negative bacteria as causative agents of BBSIs among patients with hematologic malignancies and highlight a worrisome increasing frequency in antimicrobial resistance among Gram-negative bacteria.","author":[{"dropping-particle":"","family":"Trecarichi","given":"E. M.","non-dropping-particle":"","parse-names":false,"suffix":""},{"dropping-particle":"","family":"Pagano","given":"L.","non-dropping-particle":"","parse-names":false,"suffix":""},{"dropping-particle":"","family":"Candoni","given":"A.","non-dropping-particle":"","parse-names":false,"suffix":""},{"dropping-particle":"","family":"Pastore","given":"D.","non-dropping-particle":"","parse-names":false,"suffix":""},{"dropping-particle":"","family":"Cattaneo","given":"C.","non-dropping-particle":"","parse-names":false,"suffix":""},{"dropping-particle":"","family":"Fanci","given":"R.","non-dropping-particle":"","parse-names":false,"suffix":""},{"dropping-particle":"","family":"Nosari","given":"A.","non-dropping-particle":"","parse-names":false,"suffix":""},{"dropping-particle":"","family":"Caira","given":"M.","non-dropping-particle":"","parse-names":false,"suffix":""},{"dropping-particle":"","family":"Spadea","given":"A.","non-dropping-particle":"","parse-names":false,"suffix":""},{"dropping-particle":"","family":"Busca","given":"A.","non-dropping-particle":"","parse-names":false,"suffix":""},{"dropping-particle":"","family":"Vianelli","given":"N.","non-dropping-particle":"","parse-names":false,"suffix":""},{"dropping-particle":"","family":"Tumbarello","given":"M.","non-dropping-particle":"","parse-names":false,"suffix":""}],"container-title":"Clinical Microbiology and Infection","id":"ITEM-1","issue":"4","issued":{"date-parts":[["2015"]]},"page":"337-343","publisher":"Elsevier","title":"Current epidemiology and antimicrobial resistance data for bacterial bloodstream infections in patients with hematologic malignancies: An Italian multicentre prospective survey","type":"article-journal","volume":"21"},"uris":["http://www.mendeley.com/documents/?uuid=d0ebbde7-e683-4446-9651-24f43c958d57"]}],"mendeley":{"formattedCitation":"&lt;sup&gt;69&lt;/sup&gt;","plainTextFormattedCitation":"69","previouslyFormattedCitation":"&lt;sup&gt;69&lt;/sup&gt;"},"properties":{"noteIndex":0},"schema":"https://github.com/citation-style-language/schema/raw/master/csl-citation.json"}</w:instrText>
            </w:r>
            <w:r w:rsidR="003F32CA">
              <w:rPr>
                <w:sz w:val="16"/>
                <w:szCs w:val="16"/>
                <w:lang w:val="en-US"/>
              </w:rPr>
              <w:fldChar w:fldCharType="separate"/>
            </w:r>
            <w:r w:rsidR="003F32CA" w:rsidRPr="003F32CA">
              <w:rPr>
                <w:noProof/>
                <w:sz w:val="16"/>
                <w:szCs w:val="16"/>
                <w:vertAlign w:val="superscript"/>
                <w:lang w:val="en-US"/>
              </w:rPr>
              <w:t>69</w:t>
            </w:r>
            <w:r w:rsidR="003F32CA">
              <w:rPr>
                <w:sz w:val="16"/>
                <w:szCs w:val="16"/>
                <w:lang w:val="en-US"/>
              </w:rPr>
              <w:fldChar w:fldCharType="end"/>
            </w:r>
          </w:p>
        </w:tc>
        <w:tc>
          <w:tcPr>
            <w:tcW w:w="0" w:type="auto"/>
            <w:vAlign w:val="center"/>
          </w:tcPr>
          <w:p w14:paraId="7228EE4E" w14:textId="669D5A4F" w:rsidR="000E23C2" w:rsidRPr="00AB0CDA" w:rsidRDefault="000E23C2" w:rsidP="000E23C2">
            <w:pPr>
              <w:spacing w:line="360" w:lineRule="auto"/>
              <w:jc w:val="center"/>
              <w:rPr>
                <w:i/>
                <w:color w:val="000000" w:themeColor="text1"/>
                <w:sz w:val="16"/>
                <w:lang w:val="en-US"/>
              </w:rPr>
            </w:pPr>
            <w:r>
              <w:rPr>
                <w:color w:val="000000" w:themeColor="text1"/>
                <w:sz w:val="16"/>
                <w:szCs w:val="16"/>
                <w:lang w:val="en-US"/>
              </w:rPr>
              <w:t xml:space="preserve">BSI </w:t>
            </w:r>
            <w:r w:rsidRPr="00A76DD0">
              <w:rPr>
                <w:color w:val="000000" w:themeColor="text1"/>
                <w:sz w:val="16"/>
                <w:szCs w:val="16"/>
                <w:lang w:val="en-US"/>
              </w:rPr>
              <w:t>(n</w:t>
            </w:r>
            <w:r>
              <w:rPr>
                <w:color w:val="000000" w:themeColor="text1"/>
                <w:sz w:val="16"/>
                <w:szCs w:val="16"/>
                <w:lang w:val="en-US"/>
              </w:rPr>
              <w:t xml:space="preserve"> </w:t>
            </w:r>
            <w:r w:rsidRPr="00A76DD0">
              <w:rPr>
                <w:color w:val="000000" w:themeColor="text1"/>
                <w:sz w:val="16"/>
                <w:szCs w:val="16"/>
                <w:lang w:val="en-US"/>
              </w:rPr>
              <w:t>=</w:t>
            </w:r>
            <w:r>
              <w:rPr>
                <w:color w:val="000000" w:themeColor="text1"/>
                <w:sz w:val="16"/>
                <w:szCs w:val="16"/>
                <w:lang w:val="en-US"/>
              </w:rPr>
              <w:t xml:space="preserve"> </w:t>
            </w:r>
            <w:r w:rsidRPr="00A76DD0">
              <w:rPr>
                <w:color w:val="000000" w:themeColor="text1"/>
                <w:sz w:val="16"/>
                <w:szCs w:val="16"/>
                <w:lang w:val="en-US"/>
              </w:rPr>
              <w:t>575)</w:t>
            </w:r>
          </w:p>
        </w:tc>
        <w:tc>
          <w:tcPr>
            <w:tcW w:w="0" w:type="auto"/>
            <w:vAlign w:val="center"/>
          </w:tcPr>
          <w:p w14:paraId="274B2651" w14:textId="3D9E6DA1"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909AE32" w14:textId="01E086AB"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80% (282/353)</w:t>
            </w:r>
          </w:p>
        </w:tc>
        <w:tc>
          <w:tcPr>
            <w:tcW w:w="0" w:type="auto"/>
            <w:vAlign w:val="center"/>
          </w:tcPr>
          <w:p w14:paraId="536C738D" w14:textId="1D9B050C"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41% (145/353)</w:t>
            </w:r>
          </w:p>
        </w:tc>
        <w:tc>
          <w:tcPr>
            <w:tcW w:w="0" w:type="auto"/>
            <w:vAlign w:val="center"/>
          </w:tcPr>
          <w:p w14:paraId="0299DBB1" w14:textId="5F1D564E"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21% (74/353)</w:t>
            </w:r>
          </w:p>
        </w:tc>
        <w:tc>
          <w:tcPr>
            <w:tcW w:w="0" w:type="auto"/>
            <w:vAlign w:val="center"/>
          </w:tcPr>
          <w:p w14:paraId="638DC541" w14:textId="0384E0FB"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0D5320B" w14:textId="1BB7AD37"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1% / 8%</w:t>
            </w:r>
          </w:p>
        </w:tc>
        <w:tc>
          <w:tcPr>
            <w:tcW w:w="0" w:type="auto"/>
            <w:vAlign w:val="center"/>
          </w:tcPr>
          <w:p w14:paraId="1DEDC244" w14:textId="707CDB03" w:rsidR="000E23C2" w:rsidRDefault="000E23C2" w:rsidP="000E23C2">
            <w:pPr>
              <w:spacing w:line="360" w:lineRule="auto"/>
              <w:jc w:val="center"/>
              <w:rPr>
                <w:color w:val="000000" w:themeColor="text1"/>
                <w:sz w:val="16"/>
                <w:szCs w:val="16"/>
                <w:lang w:val="en-US"/>
              </w:rPr>
            </w:pPr>
            <w:r>
              <w:rPr>
                <w:color w:val="000000" w:themeColor="text1"/>
                <w:sz w:val="16"/>
                <w:szCs w:val="16"/>
                <w:lang w:val="en-US"/>
              </w:rPr>
              <w:t>1% / 24%</w:t>
            </w:r>
          </w:p>
        </w:tc>
      </w:tr>
      <w:tr w:rsidR="003F32CA" w:rsidRPr="002978AE" w14:paraId="34680B11" w14:textId="77777777" w:rsidTr="007C5F11">
        <w:trPr>
          <w:trHeight w:val="516"/>
        </w:trPr>
        <w:tc>
          <w:tcPr>
            <w:tcW w:w="0" w:type="auto"/>
            <w:vAlign w:val="center"/>
          </w:tcPr>
          <w:p w14:paraId="79BE22B4" w14:textId="56E06F77" w:rsidR="000E23C2" w:rsidRPr="000F55FD" w:rsidRDefault="000E23C2" w:rsidP="000E23C2">
            <w:pPr>
              <w:spacing w:line="360" w:lineRule="auto"/>
              <w:jc w:val="center"/>
              <w:rPr>
                <w:color w:val="000000" w:themeColor="text1"/>
                <w:sz w:val="16"/>
                <w:szCs w:val="16"/>
              </w:rPr>
            </w:pPr>
            <w:proofErr w:type="spellStart"/>
            <w:r w:rsidRPr="00A3702B">
              <w:rPr>
                <w:sz w:val="16"/>
                <w:szCs w:val="16"/>
                <w:lang w:val="en-US"/>
              </w:rPr>
              <w:t>Trecarichi</w:t>
            </w:r>
            <w:proofErr w:type="spellEnd"/>
            <w:r w:rsidRPr="00A3702B">
              <w:rPr>
                <w:sz w:val="16"/>
                <w:szCs w:val="16"/>
                <w:lang w:val="en-US"/>
              </w:rPr>
              <w:t xml:space="preserve"> 2016</w:t>
            </w:r>
            <w:r w:rsidR="003F32CA">
              <w:rPr>
                <w:sz w:val="16"/>
                <w:szCs w:val="16"/>
                <w:lang w:val="en-US"/>
              </w:rPr>
              <w:fldChar w:fldCharType="begin" w:fldLock="1"/>
            </w:r>
            <w:r w:rsidR="003F32CA">
              <w:rPr>
                <w:sz w:val="16"/>
                <w:szCs w:val="16"/>
                <w:lang w:val="en-US"/>
              </w:rPr>
              <w:instrText>ADDIN CSL_CITATION {"citationItems":[{"id":"ITEM-1","itemData":{"DOI":"10.1002/ajh.24489","ISSN":"10968652","PMID":"27428072","abstract":"The aim of this study was to identify risk factors for mortality in patients suffering from hematological malignancies (HMs) with bloodstream infections (BSIs) caused by Klebsiella pneumoniae (KP). We conducted a prospective cohort study on KP BSI in 13 Italian hematological units participating in the HEMABIS registry–SEIFEM group. The outcome measured was death within 21 days of BSI onset. Survivor and non-survivor subgroups were compared and Cox regression analysis was conducted to identify independent predictors of mortality. A total of 278 episodes of KP BSI were included in the study between January 2010 and June 2014. We found that 161 (57.9%) KP isolates were carbapenem resistant (CRKP). The overall 21-day mortality rate was 36.3%. It was significantly higher for patients with CRKP BSI (84/161, 52.2%) than for those with BSI caused by carbapenem susceptible KP (CSKP) (17/117, 14.5%; P &lt; 0.001). Septic shock (HR 3.86), acute respiratory failure (HR 2.32), inadequate initial antimicrobial therapy (HR 1.87) and carbapenem resistance by KP isolates (HR 1.85) were independently associated with mortality. A subanalysis was conducted in only 149 patients with CRKP BSI who had received ≥48 hr of adequate antibiotic therapy, and combination therapy was independently associated with survival (HR 0.32). Our study shows that in recent years carbapenem resistance has dramatically increased in HM patients with KP BSI in Italy and is associated with a worse outcome. The optimal management of such infections and the definition of new empirical/targeted antimicrobial strategies in HM patients can still be considered unmet clinical needs. Am. J. Hematol. 91:1076–1081, 2016. © 2016 Wiley Periodicals, Inc.","author":[{"dropping-particle":"","family":"Trecarichi","given":"Enrico Maria","non-dropping-particle":"","parse-names":false,"suffix":""},{"dropping-particle":"","family":"Pagano","given":"Livio","non-dropping-particle":"","parse-names":false,"suffix":""},{"dropping-particle":"","family":"Martino","given":"Bruno","non-dropping-particle":"","parse-names":false,"suffix":""},{"dropping-particle":"","family":"Candoni","given":"Anna","non-dropping-particle":"","parse-names":false,"suffix":""},{"dropping-particle":"","family":"Blasi","given":"Roberta","non-dropping-particle":"Di","parse-names":false,"suffix":""},{"dropping-particle":"","family":"Nadali","given":"Gianpaolo","non-dropping-particle":"","parse-names":false,"suffix":""},{"dropping-particle":"","family":"Fianchi","given":"Luana","non-dropping-particle":"","parse-names":false,"suffix":""},{"dropping-particle":"","family":"Delia","given":"Mario","non-dropping-particle":"","parse-names":false,"suffix":""},{"dropping-particle":"","family":"Sica","given":"Simona","non-dropping-particle":"","parse-names":false,"suffix":""},{"dropping-particle":"","family":"Perriello","given":"Vincenzo","non-dropping-particle":"","parse-names":false,"suffix":""},{"dropping-particle":"","family":"Busca","given":"Alessandro","non-dropping-particle":"","parse-names":false,"suffix":""},{"dropping-particle":"","family":"A</w:instrText>
            </w:r>
            <w:r w:rsidR="003F32CA" w:rsidRPr="000F55FD">
              <w:rPr>
                <w:sz w:val="16"/>
                <w:szCs w:val="16"/>
              </w:rPr>
              <w:instrText>versa","given":"Franco","non-dropping-particle":"","parse-names":false,"suffix":""},{"dropping-particle":"","family":"Fanci","given":"Rosa","non-dropping-particle":"","parse-names":false,"suffix":""},{"dropping-particle":"","family":"Melillo","given":"Lorella","non-dropping-particle":"","parse-names":false,"suffix":""},{"dropping-particle":"","family":"Lessi","given":"Federica","non-dropping-particle":"","parse-names":false,"suffix":""},{"dropping-particle":"","family":"Principe","given":"Maria Ilaria","non-dropping-particle":"Del","parse-names":false,"suffix":""},{"dropping-particle":"","family":"Cattaneo","given":"Chiara","non-dropping-particle":"","parse-names":false,"suffix":""},{"dropping-particle":"","family":"Tumbarello","given":"Mario","non-dropping-particle":"","parse-names":false,"suffix":""}],"container-title":"American Journal of Hematology","id":"ITEM-1","issue":"11","issued":{"date-parts":[["2016"]]},"page":"1076-1081","title":"Bloodstream infections caused by Klebsiella pneumoniae in onco-hematological patients: clinical impact of carbapenem resistance in a multicentre prospective survey","type":"article-journal","volume":"91"},"uris":["http://www.mendeley.com/documents/?uuid=fd7f487e-c436-46e6-8a87-c0692ae9deb9"]}],"mendeley":{"formattedCitation":"&lt;sup&gt;70&lt;/sup&gt;","plainTextFormattedCitation":"70","previouslyFormattedCitation":"&lt;sup&gt;70&lt;/sup&gt;"},"properties":{"noteIndex":0},"schema":"https://github.com/citation-style-language/schema/raw/master/csl-citation.json"}</w:instrText>
            </w:r>
            <w:r w:rsidR="003F32CA">
              <w:rPr>
                <w:sz w:val="16"/>
                <w:szCs w:val="16"/>
                <w:lang w:val="en-US"/>
              </w:rPr>
              <w:fldChar w:fldCharType="separate"/>
            </w:r>
            <w:r w:rsidR="003F32CA" w:rsidRPr="000F55FD">
              <w:rPr>
                <w:noProof/>
                <w:sz w:val="16"/>
                <w:szCs w:val="16"/>
                <w:vertAlign w:val="superscript"/>
              </w:rPr>
              <w:t>70</w:t>
            </w:r>
            <w:r w:rsidR="003F32CA">
              <w:rPr>
                <w:sz w:val="16"/>
                <w:szCs w:val="16"/>
                <w:lang w:val="en-US"/>
              </w:rPr>
              <w:fldChar w:fldCharType="end"/>
            </w:r>
          </w:p>
        </w:tc>
        <w:tc>
          <w:tcPr>
            <w:tcW w:w="0" w:type="auto"/>
            <w:vAlign w:val="center"/>
          </w:tcPr>
          <w:p w14:paraId="0E465385" w14:textId="525C4DA6" w:rsidR="000E23C2" w:rsidRPr="000F55FD" w:rsidRDefault="000E23C2" w:rsidP="000E23C2">
            <w:pPr>
              <w:spacing w:line="360" w:lineRule="auto"/>
              <w:jc w:val="center"/>
              <w:rPr>
                <w:i/>
                <w:color w:val="000000" w:themeColor="text1"/>
                <w:sz w:val="16"/>
              </w:rPr>
            </w:pPr>
            <w:r w:rsidRPr="000F55FD">
              <w:rPr>
                <w:color w:val="000000" w:themeColor="text1"/>
                <w:sz w:val="16"/>
                <w:szCs w:val="16"/>
              </w:rPr>
              <w:t>KPn BSI (n = 278)</w:t>
            </w:r>
          </w:p>
        </w:tc>
        <w:tc>
          <w:tcPr>
            <w:tcW w:w="0" w:type="auto"/>
            <w:vAlign w:val="center"/>
          </w:tcPr>
          <w:p w14:paraId="3AFEE02C" w14:textId="3A1BB492"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5EEABD11" w14:textId="53EB0D1F"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6E642125" w14:textId="7B632E0F"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12587ED5" w14:textId="26EAE073"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58% (161/278 KPn BSI)</w:t>
            </w:r>
          </w:p>
        </w:tc>
        <w:tc>
          <w:tcPr>
            <w:tcW w:w="0" w:type="auto"/>
            <w:vAlign w:val="center"/>
          </w:tcPr>
          <w:p w14:paraId="6806648E" w14:textId="1BB15DF1"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584C77BF" w14:textId="7E6DA8EF"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089AC444" w14:textId="4FF6D67A"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r>
      <w:tr w:rsidR="003F32CA" w:rsidRPr="002978AE" w14:paraId="61C01044" w14:textId="1062CECD" w:rsidTr="007C5F11">
        <w:trPr>
          <w:trHeight w:val="516"/>
        </w:trPr>
        <w:tc>
          <w:tcPr>
            <w:tcW w:w="0" w:type="auto"/>
            <w:vAlign w:val="center"/>
          </w:tcPr>
          <w:p w14:paraId="34AACDE6" w14:textId="1B2EFE61"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Trecarichi 2019</w:t>
            </w:r>
            <w:r w:rsidR="003F32CA">
              <w:rPr>
                <w:color w:val="000000" w:themeColor="text1"/>
                <w:sz w:val="16"/>
                <w:szCs w:val="16"/>
                <w:lang w:val="en-US"/>
              </w:rPr>
              <w:fldChar w:fldCharType="begin" w:fldLock="1"/>
            </w:r>
            <w:r w:rsidR="003F32CA" w:rsidRPr="000F55FD">
              <w:rPr>
                <w:color w:val="000000" w:themeColor="text1"/>
                <w:sz w:val="16"/>
                <w:szCs w:val="16"/>
              </w:rPr>
              <w:instrText>ADDIN CSL_CITATION {"citationItems":[{"id":"ITEM-1","itemData":{"DOI":"10.1371/journal.pone.0224465","ISBN":"1111111111","ISSN":"19326203","PMID":"31661507","abstract":"Bloodstream infections (BSIs) remain life-threatening complications in the clinical course of patients with haematological malignancies (HM) and Escherichia coli represent one of the most frequent cause of such infections. In this study, we aimed to describe risk factors for resistance to third generation cephalosporins and prognostic factors, including the impact of third generation cephalosporins resistance, in patients with HM and BSIs caused by E. coli. Three hundred forty-two cases of E. coli BSIs were collected during the study period (from January 2016 to December 2017). The percentage of resistance to third generation cephalosporins was 25.7%. In multivariate analysis, the variables recent endoscopic procedures, culture-positive surveillance rectal swabs for multidrug-resistant bacteria, antibiotic prophylaxis with fluoroquinolones, and prolonged neutropenia were independently associated with bloodstream infections caused by a third generation cephalosporins resistant E. coli. The overall 30-day mortality rate was 7.1%. Cox regression revealed that significant predictors of mortality were acute hepatic failure, septic shock, male sex, refractory/relapsed HM, and third generation cephalosporins resistance by E. coli iso</w:instrText>
            </w:r>
            <w:r w:rsidR="003F32CA">
              <w:rPr>
                <w:color w:val="000000" w:themeColor="text1"/>
                <w:sz w:val="16"/>
                <w:szCs w:val="16"/>
                <w:lang w:val="en-US"/>
              </w:rPr>
              <w:instrText>late. In conclusion, resistance to third generation cephalosporins adversely affected the outcomes of bloodstream infections caused by E. coli in our cohort of HM patients. We also found a significant correlation between prophylaxis with fluoroquinolones and resistance to third generation cephalosporins by E. coli isolates.","author":[{"dropping-particle":"","family":"Trecarichi","given":"Enrico Maria","non-dropping-particle":"","parse-names":false,"suffix":""},{"dropping-particle":"","family":"Giuliano","given":"Gabriele","non-dropping-particle":"","parse-names":false,"suffix":""},{"dropping-particle":"","family":"Cattaneo","given":"Chiara","non-dropping-particle":"","parse-names":false,"suffix":""},{"dropping-particle":"","family":"Ballanti","given":"Stelvio","non-dropping-particle":"","parse-names":false,"suffix":""},{"dropping-particle":"","family":"Criscuolo","given":"Marianna","non-dropping-particle":"","parse-names":false,"suffix":""},{"dropping-particle":"","family":"Candoni","given":"Anna","non-dropping-particle":"","parse-names":false,"suffix":""},{"dropping-particle":"","family":"Marchesi","given":"Francesco","non-dropping-particle":"","parse-names":false,"suffix":""},{"dropping-particle":"","family":"Laurino","given":"Marica","non-dropping-particle":"","parse-names":false,"suffix":""},{"dropping-particle":"","family":"Dargenio","given":"Michelina","non-dropping-particle":"","parse-names":false,"suffix":""},{"dropping-particle":"","family":"Fanci","given":"Rosa","non-dropping-particle":"","parse-names":false,"suffix":""},{"dropping-particle":"","family":"Cefalo","given":"Mariagiovanna","non-dropping-particle":"","parse-names":false,"suffix":""},{"dropping-particle":"","family":"Delia","given":"Mario","non-dropping-particle":"","parse-names":false,"suffix":""},{"dropping-particle":"","family":"Spolzino","given":"Angelica","non-dropping-particle":"","parse-names":false,"suffix":""},{"dropping-particle":"","family":"Maracci","given":"Laura","non-dropping-particle":"","parse-names":false,"suffix":""},{"dropping-particle":"","family":"Nadali","given":"Gianpaolo","non-dropping-particle":"","parse-names":false,"suffix":""},{"dropping-particle":"","family":"Busca","given":"Alessandro","non-dropping-particle":"","parse-names":false,"suffix":"</w:instrText>
            </w:r>
            <w:r w:rsidR="003F32CA" w:rsidRPr="000F55FD">
              <w:rPr>
                <w:color w:val="000000" w:themeColor="text1"/>
                <w:sz w:val="16"/>
                <w:szCs w:val="16"/>
              </w:rPr>
              <w:instrText>"},{"dropping-particle":"","family":"Principe","given":"Maria Ilaria","non-dropping-particle":"Del","parse-names":false,"suffix":""},{"dropping-particle":"","family":"Daffini","given":"Rosa","non-dropping-particle":"","parse-names":false,"suffix":""},{"dropping-particle":"","family":"Simonetti","given":"Edoardo","non-dropping-particle":"","parse-names":false,"suffix":""},{"dropping-particle":"","family":"Dragonetti","given":"Giulia","non-dropping-particle":"","parse-names":false,"suffix":""},{"dropping-particle":"","family":"Zannier","given":"Maria Elena","non-dropping-particle":"","parse-names":false,"suffix":""},{"dropping-particle":"","family":"Pagano","given":"Livio","non-dropping-particle":"","parse-names":false,"suffix":""},{"dropping-particle":"","family":"Tumbarello","given":"Mario","non-dropping-particle":"","parse-names":false,"suffix":""}],"container-title":"PLoS ONE","id":"ITEM-1","issue":"10","issued":{"date-parts":[["2019"]]},"page":"1-12","title":"Bloodstream infections caused by Escherichia coli in onco-haematological patients: Risk factors and mortality in an Italian prospective survey","type":"article-journal","volume":"14"},"uris":["http://www.mendeley.com/documents/?uuid=adbae636-14e8-4ea0-924c-998120605a9c"]}],"mendeley":{"formattedCitation":"&lt;sup&gt;14&lt;/sup&gt;","plainTextFormattedCitation":"14","previouslyFormattedCitation":"&lt;sup&gt;14&lt;/sup&gt;"},"properties":{"noteIndex":0},"schema":"https://github.com/citation-style-language/schema/raw/master/csl-citation.json"}</w:instrText>
            </w:r>
            <w:r w:rsidR="003F32CA">
              <w:rPr>
                <w:color w:val="000000" w:themeColor="text1"/>
                <w:sz w:val="16"/>
                <w:szCs w:val="16"/>
                <w:lang w:val="en-US"/>
              </w:rPr>
              <w:fldChar w:fldCharType="separate"/>
            </w:r>
            <w:r w:rsidR="003F32CA" w:rsidRPr="000F55FD">
              <w:rPr>
                <w:noProof/>
                <w:color w:val="000000" w:themeColor="text1"/>
                <w:sz w:val="16"/>
                <w:szCs w:val="16"/>
                <w:vertAlign w:val="superscript"/>
              </w:rPr>
              <w:t>14</w:t>
            </w:r>
            <w:r w:rsidR="003F32CA">
              <w:rPr>
                <w:color w:val="000000" w:themeColor="text1"/>
                <w:sz w:val="16"/>
                <w:szCs w:val="16"/>
                <w:lang w:val="en-US"/>
              </w:rPr>
              <w:fldChar w:fldCharType="end"/>
            </w:r>
          </w:p>
        </w:tc>
        <w:tc>
          <w:tcPr>
            <w:tcW w:w="0" w:type="auto"/>
            <w:vAlign w:val="center"/>
          </w:tcPr>
          <w:p w14:paraId="17A9D304" w14:textId="3E9F3E33" w:rsidR="000E23C2" w:rsidRPr="000F55FD" w:rsidRDefault="000E23C2" w:rsidP="000E23C2">
            <w:pPr>
              <w:spacing w:line="360" w:lineRule="auto"/>
              <w:jc w:val="center"/>
              <w:rPr>
                <w:color w:val="000000" w:themeColor="text1"/>
                <w:sz w:val="16"/>
                <w:szCs w:val="16"/>
              </w:rPr>
            </w:pPr>
            <w:r w:rsidRPr="000F55FD">
              <w:rPr>
                <w:i/>
                <w:color w:val="000000" w:themeColor="text1"/>
                <w:sz w:val="16"/>
              </w:rPr>
              <w:t>E. coli</w:t>
            </w:r>
            <w:r w:rsidRPr="000F55FD">
              <w:rPr>
                <w:color w:val="000000" w:themeColor="text1"/>
                <w:sz w:val="16"/>
                <w:szCs w:val="16"/>
              </w:rPr>
              <w:t xml:space="preserve"> (n = 342)</w:t>
            </w:r>
          </w:p>
        </w:tc>
        <w:tc>
          <w:tcPr>
            <w:tcW w:w="0" w:type="auto"/>
            <w:vAlign w:val="center"/>
          </w:tcPr>
          <w:p w14:paraId="377F3FE0" w14:textId="6C951C26"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6910FE7E" w14:textId="3DD2D40C"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 xml:space="preserve">70% (241/342 </w:t>
            </w:r>
            <w:r w:rsidRPr="000F55FD">
              <w:rPr>
                <w:i/>
                <w:color w:val="000000" w:themeColor="text1"/>
                <w:sz w:val="16"/>
              </w:rPr>
              <w:t>E. coli</w:t>
            </w:r>
            <w:r w:rsidRPr="000F55FD">
              <w:rPr>
                <w:color w:val="000000" w:themeColor="text1"/>
                <w:sz w:val="16"/>
                <w:szCs w:val="16"/>
              </w:rPr>
              <w:t xml:space="preserve"> BSI)</w:t>
            </w:r>
          </w:p>
        </w:tc>
        <w:tc>
          <w:tcPr>
            <w:tcW w:w="0" w:type="auto"/>
            <w:vAlign w:val="center"/>
          </w:tcPr>
          <w:p w14:paraId="4C0010E6" w14:textId="258A5A71"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 xml:space="preserve">26% (88/342 </w:t>
            </w:r>
            <w:r w:rsidRPr="000F55FD">
              <w:rPr>
                <w:i/>
                <w:color w:val="000000" w:themeColor="text1"/>
                <w:sz w:val="16"/>
              </w:rPr>
              <w:t>E. coli</w:t>
            </w:r>
            <w:r w:rsidRPr="000F55FD">
              <w:rPr>
                <w:color w:val="000000" w:themeColor="text1"/>
                <w:sz w:val="16"/>
                <w:szCs w:val="16"/>
              </w:rPr>
              <w:t xml:space="preserve"> BSI)</w:t>
            </w:r>
          </w:p>
        </w:tc>
        <w:tc>
          <w:tcPr>
            <w:tcW w:w="0" w:type="auto"/>
            <w:vAlign w:val="center"/>
          </w:tcPr>
          <w:p w14:paraId="39951B53" w14:textId="1EA9E5A7"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 xml:space="preserve">1% (2/342 </w:t>
            </w:r>
            <w:r w:rsidRPr="000F55FD">
              <w:rPr>
                <w:i/>
                <w:color w:val="000000" w:themeColor="text1"/>
                <w:sz w:val="16"/>
              </w:rPr>
              <w:t>E. coli</w:t>
            </w:r>
            <w:r w:rsidRPr="000F55FD">
              <w:rPr>
                <w:color w:val="000000" w:themeColor="text1"/>
                <w:sz w:val="16"/>
                <w:szCs w:val="16"/>
              </w:rPr>
              <w:t xml:space="preserve"> BSI)</w:t>
            </w:r>
          </w:p>
        </w:tc>
        <w:tc>
          <w:tcPr>
            <w:tcW w:w="0" w:type="auto"/>
            <w:vAlign w:val="center"/>
          </w:tcPr>
          <w:p w14:paraId="28461BD7" w14:textId="50DF53F5"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24A6D508" w14:textId="2890EE57"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c>
          <w:tcPr>
            <w:tcW w:w="0" w:type="auto"/>
            <w:vAlign w:val="center"/>
          </w:tcPr>
          <w:p w14:paraId="2F476A26" w14:textId="75980D31" w:rsidR="000E23C2" w:rsidRPr="000F55FD" w:rsidRDefault="000E23C2" w:rsidP="000E23C2">
            <w:pPr>
              <w:spacing w:line="360" w:lineRule="auto"/>
              <w:jc w:val="center"/>
              <w:rPr>
                <w:color w:val="000000" w:themeColor="text1"/>
                <w:sz w:val="16"/>
                <w:szCs w:val="16"/>
              </w:rPr>
            </w:pPr>
            <w:r w:rsidRPr="000F55FD">
              <w:rPr>
                <w:color w:val="000000" w:themeColor="text1"/>
                <w:sz w:val="16"/>
                <w:szCs w:val="16"/>
              </w:rPr>
              <w:t>N/A</w:t>
            </w:r>
          </w:p>
        </w:tc>
      </w:tr>
      <w:tr w:rsidR="003F32CA" w:rsidRPr="00F20444" w14:paraId="59998A57" w14:textId="70A7B4BC" w:rsidTr="007C5F11">
        <w:trPr>
          <w:trHeight w:val="516"/>
        </w:trPr>
        <w:tc>
          <w:tcPr>
            <w:tcW w:w="0" w:type="auto"/>
            <w:vAlign w:val="center"/>
          </w:tcPr>
          <w:p w14:paraId="66E2EAE1" w14:textId="4ECF1D7D" w:rsidR="000E23C2" w:rsidRPr="00A3702B" w:rsidRDefault="000E23C2" w:rsidP="000E23C2">
            <w:pPr>
              <w:spacing w:line="360" w:lineRule="auto"/>
              <w:jc w:val="center"/>
              <w:rPr>
                <w:color w:val="000000" w:themeColor="text1"/>
                <w:sz w:val="16"/>
                <w:szCs w:val="16"/>
                <w:lang w:val="en-US"/>
              </w:rPr>
            </w:pPr>
            <w:r w:rsidRPr="000F55FD">
              <w:rPr>
                <w:color w:val="000000" w:themeColor="text1"/>
                <w:sz w:val="16"/>
                <w:szCs w:val="16"/>
              </w:rPr>
              <w:t>Zavrelova 2019</w:t>
            </w:r>
            <w:r w:rsidR="003F32CA">
              <w:rPr>
                <w:color w:val="000000" w:themeColor="text1"/>
                <w:sz w:val="16"/>
                <w:szCs w:val="16"/>
                <w:lang w:val="en-US"/>
              </w:rPr>
              <w:fldChar w:fldCharType="begin" w:fldLock="1"/>
            </w:r>
            <w:r w:rsidR="00AB5244" w:rsidRPr="000F55FD">
              <w:rPr>
                <w:color w:val="000000" w:themeColor="text1"/>
                <w:sz w:val="16"/>
                <w:szCs w:val="16"/>
              </w:rPr>
              <w:instrText>ADDIN CSL_CITATION {"citationItems":[{"id":"ITEM-1","itemData":{"DOI":"10.5507/bp.2018.047","ISSN":"18047521","PMID":"30198521","abstract":"Background. Ciprofloxacin prophylaxis used to be a standard precaution during autologous stem cell transplantation. Its benefit, with a high prevalence of fluoroqinolone resistance in the population, has recently been under scrutiny. Objective. To evaluate the impact of cessation of ciprofloxacin prophylaxis during stem cell transplantation for multiple myeloma. Patients and Methods. Data from 104 patients with multiple myeloma transplanted during the period from January 2013 to April 2015 were retrospectively reviewed. 67 received standard ciprofloxacin prophylaxis (group A) and 37 received no antibacterial prophylaxis (group B). Results. Febrile episodes during neutropenia, bloodstream infection (BSI) and mortality in these two cohorts were evaluated. Gram negative BSI was assessed for the colonization of quinolone-resistant gram-negative pathogens. Secondary Clostridium difficile enterocolitis presence was determined in both cohorts. There were 42 (63%), 7 (10%), and 0 febrile episodes, BSI and gram-negative BSI respectively in group A, and 34 (92%), 12 (32%), and 4 (11%) respectively in group B. The differences in the number of febrile episodes (P=0.0011) and deaths (P=0.0427) were statistically significance.</w:instrText>
            </w:r>
            <w:r w:rsidR="00AB5244">
              <w:rPr>
                <w:color w:val="000000" w:themeColor="text1"/>
                <w:sz w:val="16"/>
                <w:szCs w:val="16"/>
                <w:lang w:val="en-US"/>
              </w:rPr>
              <w:instrText xml:space="preserve"> Mortality was 0 and 3 (8%) in group A and group B, respectively. There was no significant difference in colonization with quinolone-resistant gram negative pathogens (25 (37%) versus 11 (30%)) between groups. The occurrence of Clostridium difficile colitis was the same in both groups. Conclusion. We resumed ciprofloxacin prophylaxis for the following reasons. There was a significant reduction in febrile episodes, and consequently a sparing effect of antibiotics used for treatment of this condition. No difference in Clostridium difficile colitis occurred and the mortality rate of 8% in group B was unacceptably high.","author":[{"dropping-particle":"","family":"Zavrelova","given":"Alzbeta","non-dropping-particle":"","parse-names":false,"suffix":""},{"dropping-particle":"","family":"Paterova","given":"Pavla","non-dropping-particle":"","parse-names":false,"suffix":""},{"dropping-particle":"","family":"Gabalec","given":"Filip","non-dropping-particle":"","parse-names":false,"suffix":""},{"dropping-particle":"","family":"Zak","given":"Pavel","non-dropping-particle":"","parse-names":false,"suffix":""},{"dropping-particle":"","family":"Radocha","given":"Jakub","non-dropping-particle":"","parse-names":false,"suffix":""}],"container-title":"Biomedical Papers","id":"ITEM-1","issue":"2","issued":{"date-parts":[["2019"]]},"page":"161-165","publisher":"Biomedical Papers","title":"Ciprofloxacin prophylaxis during autologous stem cell transplantation for multiple myeloma in patients with a high rate of fluoroquinolone-resistant gram-negative bacteria colonization","type":"article-journal","volume":"163"},"uris":["http://www.mendeley.com/documents/?uuid=3469bbdb-84b8-463c-9ce9-e97c47c87d75"]}],"mendeley":{"formattedCitation":"&lt;sup&gt;71&lt;/sup&gt;","plainTextFormattedCitation":"71","previouslyFormattedCitation":"&lt;sup&gt;71&lt;/sup&gt;"},"properties":{"noteIndex":0},"schema":"https://github.com/citation-style-language/schema/raw/master/csl-citation.json"}</w:instrText>
            </w:r>
            <w:r w:rsidR="003F32CA">
              <w:rPr>
                <w:color w:val="000000" w:themeColor="text1"/>
                <w:sz w:val="16"/>
                <w:szCs w:val="16"/>
                <w:lang w:val="en-US"/>
              </w:rPr>
              <w:fldChar w:fldCharType="separate"/>
            </w:r>
            <w:r w:rsidR="003F32CA" w:rsidRPr="003F32CA">
              <w:rPr>
                <w:noProof/>
                <w:color w:val="000000" w:themeColor="text1"/>
                <w:sz w:val="16"/>
                <w:szCs w:val="16"/>
                <w:vertAlign w:val="superscript"/>
                <w:lang w:val="en-US"/>
              </w:rPr>
              <w:t>71</w:t>
            </w:r>
            <w:r w:rsidR="003F32CA">
              <w:rPr>
                <w:color w:val="000000" w:themeColor="text1"/>
                <w:sz w:val="16"/>
                <w:szCs w:val="16"/>
                <w:lang w:val="en-US"/>
              </w:rPr>
              <w:fldChar w:fldCharType="end"/>
            </w:r>
          </w:p>
        </w:tc>
        <w:tc>
          <w:tcPr>
            <w:tcW w:w="0" w:type="auto"/>
            <w:vAlign w:val="center"/>
          </w:tcPr>
          <w:p w14:paraId="2A59ADBB" w14:textId="56941471"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Pts (n = 104)</w:t>
            </w:r>
          </w:p>
        </w:tc>
        <w:tc>
          <w:tcPr>
            <w:tcW w:w="0" w:type="auto"/>
            <w:vAlign w:val="center"/>
          </w:tcPr>
          <w:p w14:paraId="613FE82E" w14:textId="5ECFDE90"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18% (19/104)</w:t>
            </w:r>
          </w:p>
        </w:tc>
        <w:tc>
          <w:tcPr>
            <w:tcW w:w="0" w:type="auto"/>
            <w:vAlign w:val="center"/>
          </w:tcPr>
          <w:p w14:paraId="4D6AA4C4" w14:textId="43CE605F"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F3FD823" w14:textId="6B2DEFF1"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F535D88" w14:textId="6365CBE6"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C37E154" w14:textId="2BE8F953"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6CC32D3" w14:textId="5B143C72"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2C6A44A" w14:textId="3741E26C" w:rsidR="000E23C2" w:rsidRPr="00A3702B" w:rsidRDefault="000E23C2" w:rsidP="000E23C2">
            <w:pPr>
              <w:spacing w:line="360" w:lineRule="auto"/>
              <w:jc w:val="center"/>
              <w:rPr>
                <w:color w:val="000000" w:themeColor="text1"/>
                <w:sz w:val="16"/>
                <w:szCs w:val="16"/>
                <w:lang w:val="en-US"/>
              </w:rPr>
            </w:pPr>
            <w:r>
              <w:rPr>
                <w:color w:val="000000" w:themeColor="text1"/>
                <w:sz w:val="16"/>
                <w:szCs w:val="16"/>
                <w:lang w:val="en-US"/>
              </w:rPr>
              <w:t>N/A</w:t>
            </w:r>
          </w:p>
        </w:tc>
      </w:tr>
    </w:tbl>
    <w:p w14:paraId="1D6E1BA4" w14:textId="408C2022" w:rsidR="00FB1162" w:rsidRPr="002978AE" w:rsidRDefault="00FB1162" w:rsidP="007C5F11">
      <w:pPr>
        <w:jc w:val="both"/>
        <w:rPr>
          <w:b/>
          <w:bCs/>
          <w:color w:val="000000" w:themeColor="text1"/>
          <w:sz w:val="20"/>
          <w:szCs w:val="20"/>
          <w:lang w:val="en-US"/>
        </w:rPr>
      </w:pPr>
      <w:r w:rsidRPr="002978AE">
        <w:rPr>
          <w:color w:val="000000" w:themeColor="text1"/>
          <w:sz w:val="20"/>
          <w:szCs w:val="20"/>
          <w:lang w:val="en-US"/>
        </w:rPr>
        <w:t xml:space="preserve">HM, hematological malignancies; HCT, hematopoietic cell transplantation; auto, autologous; </w:t>
      </w:r>
      <w:proofErr w:type="spellStart"/>
      <w:r w:rsidRPr="002978AE">
        <w:rPr>
          <w:color w:val="000000" w:themeColor="text1"/>
          <w:sz w:val="20"/>
          <w:szCs w:val="20"/>
          <w:lang w:val="en-US"/>
        </w:rPr>
        <w:t>allo</w:t>
      </w:r>
      <w:proofErr w:type="spellEnd"/>
      <w:r w:rsidRPr="002978AE">
        <w:rPr>
          <w:color w:val="000000" w:themeColor="text1"/>
          <w:sz w:val="20"/>
          <w:szCs w:val="20"/>
          <w:lang w:val="en-US"/>
        </w:rPr>
        <w:t xml:space="preserve">, allogenic; BSI, bloodstream infections; R-BSI, resistant BSI; </w:t>
      </w:r>
      <w:proofErr w:type="spellStart"/>
      <w:r w:rsidRPr="002978AE">
        <w:rPr>
          <w:color w:val="000000" w:themeColor="text1"/>
          <w:sz w:val="20"/>
          <w:szCs w:val="20"/>
          <w:lang w:val="en-US"/>
        </w:rPr>
        <w:t>PsA</w:t>
      </w:r>
      <w:proofErr w:type="spellEnd"/>
      <w:r w:rsidRPr="002978AE">
        <w:rPr>
          <w:color w:val="000000" w:themeColor="text1"/>
          <w:sz w:val="20"/>
          <w:szCs w:val="20"/>
          <w:lang w:val="en-US"/>
        </w:rPr>
        <w:t xml:space="preserve">, </w:t>
      </w:r>
      <w:r w:rsidRPr="002978AE">
        <w:rPr>
          <w:i/>
          <w:iCs/>
          <w:color w:val="000000" w:themeColor="text1"/>
          <w:sz w:val="20"/>
          <w:szCs w:val="20"/>
          <w:lang w:val="en-US"/>
        </w:rPr>
        <w:t>Pseudomonas aeruginosa</w:t>
      </w:r>
      <w:r w:rsidRPr="002978AE">
        <w:rPr>
          <w:color w:val="000000" w:themeColor="text1"/>
          <w:sz w:val="20"/>
          <w:szCs w:val="20"/>
          <w:lang w:val="en-US"/>
        </w:rPr>
        <w:t>; pts, patients; GN, gram-negative; ESBL/3GCR, Extended-Spectrum Beta-Lactamases-producing / 3</w:t>
      </w:r>
      <w:r w:rsidRPr="002978AE">
        <w:rPr>
          <w:color w:val="000000" w:themeColor="text1"/>
          <w:sz w:val="20"/>
          <w:szCs w:val="20"/>
          <w:vertAlign w:val="superscript"/>
          <w:lang w:val="en-US"/>
        </w:rPr>
        <w:t>rd</w:t>
      </w:r>
      <w:r w:rsidRPr="002978AE">
        <w:rPr>
          <w:color w:val="000000" w:themeColor="text1"/>
          <w:sz w:val="20"/>
          <w:szCs w:val="20"/>
          <w:lang w:val="en-US"/>
        </w:rPr>
        <w:t xml:space="preserve"> generation cephalosporin-resistant; FQ-R, fluoroquinolone-resistant; CR, carbapenem-resistant; MDR, multidrug resistant; SA,</w:t>
      </w:r>
      <w:r w:rsidRPr="002978AE">
        <w:rPr>
          <w:i/>
          <w:iCs/>
          <w:color w:val="000000" w:themeColor="text1"/>
          <w:sz w:val="20"/>
          <w:szCs w:val="20"/>
          <w:lang w:val="en-US"/>
        </w:rPr>
        <w:t xml:space="preserve"> Staphylococcus aureus</w:t>
      </w:r>
      <w:r w:rsidRPr="002978AE">
        <w:rPr>
          <w:color w:val="000000" w:themeColor="text1"/>
          <w:sz w:val="20"/>
          <w:szCs w:val="20"/>
          <w:lang w:val="en-US"/>
        </w:rPr>
        <w:t xml:space="preserve">; MRSA, methicillin-resistant </w:t>
      </w:r>
      <w:r w:rsidRPr="002978AE">
        <w:rPr>
          <w:i/>
          <w:iCs/>
          <w:color w:val="000000" w:themeColor="text1"/>
          <w:sz w:val="20"/>
          <w:szCs w:val="20"/>
          <w:lang w:val="en-US"/>
        </w:rPr>
        <w:t>Staphylococcus aureus</w:t>
      </w:r>
      <w:r w:rsidRPr="002978AE">
        <w:rPr>
          <w:color w:val="000000" w:themeColor="text1"/>
          <w:sz w:val="20"/>
          <w:szCs w:val="20"/>
          <w:lang w:val="en-US"/>
        </w:rPr>
        <w:t xml:space="preserve">; VRE, vancomycin-resistant enterococci; retro, retrospective; pro, prospective; </w:t>
      </w:r>
      <w:proofErr w:type="spellStart"/>
      <w:r w:rsidRPr="002978AE">
        <w:rPr>
          <w:color w:val="000000" w:themeColor="text1"/>
          <w:sz w:val="20"/>
          <w:szCs w:val="20"/>
          <w:lang w:val="en-US"/>
        </w:rPr>
        <w:t>Enterob</w:t>
      </w:r>
      <w:proofErr w:type="spellEnd"/>
      <w:r w:rsidRPr="002978AE">
        <w:rPr>
          <w:color w:val="000000" w:themeColor="text1"/>
          <w:sz w:val="20"/>
          <w:szCs w:val="20"/>
          <w:lang w:val="en-US"/>
        </w:rPr>
        <w:t xml:space="preserve">., </w:t>
      </w:r>
      <w:proofErr w:type="spellStart"/>
      <w:r w:rsidRPr="002978AE">
        <w:rPr>
          <w:color w:val="000000" w:themeColor="text1"/>
          <w:sz w:val="20"/>
          <w:szCs w:val="20"/>
          <w:lang w:val="en-US"/>
        </w:rPr>
        <w:t>Enterobacterales</w:t>
      </w:r>
      <w:proofErr w:type="spellEnd"/>
      <w:r w:rsidRPr="002978AE">
        <w:rPr>
          <w:color w:val="000000" w:themeColor="text1"/>
          <w:sz w:val="20"/>
          <w:szCs w:val="20"/>
          <w:lang w:val="en-US"/>
        </w:rPr>
        <w:t xml:space="preserve">; SM, </w:t>
      </w:r>
      <w:r w:rsidRPr="002978AE">
        <w:rPr>
          <w:i/>
          <w:iCs/>
          <w:color w:val="000000" w:themeColor="text1"/>
          <w:sz w:val="20"/>
          <w:szCs w:val="20"/>
          <w:lang w:val="en-US"/>
        </w:rPr>
        <w:t xml:space="preserve">Stenotrophomonas </w:t>
      </w:r>
      <w:proofErr w:type="spellStart"/>
      <w:r w:rsidRPr="002978AE">
        <w:rPr>
          <w:i/>
          <w:iCs/>
          <w:color w:val="000000" w:themeColor="text1"/>
          <w:sz w:val="20"/>
          <w:szCs w:val="20"/>
          <w:lang w:val="en-US"/>
        </w:rPr>
        <w:t>maltophilia</w:t>
      </w:r>
      <w:proofErr w:type="spellEnd"/>
      <w:r w:rsidRPr="002978AE">
        <w:rPr>
          <w:color w:val="000000" w:themeColor="text1"/>
          <w:sz w:val="20"/>
          <w:szCs w:val="20"/>
          <w:lang w:val="en-US"/>
        </w:rPr>
        <w:t xml:space="preserve">; AB, </w:t>
      </w:r>
      <w:r w:rsidRPr="002978AE">
        <w:rPr>
          <w:i/>
          <w:iCs/>
          <w:color w:val="000000" w:themeColor="text1"/>
          <w:sz w:val="20"/>
          <w:szCs w:val="20"/>
          <w:lang w:val="en-US"/>
        </w:rPr>
        <w:t xml:space="preserve">Acinetobacter </w:t>
      </w:r>
      <w:proofErr w:type="spellStart"/>
      <w:r w:rsidRPr="002978AE">
        <w:rPr>
          <w:i/>
          <w:iCs/>
          <w:color w:val="000000" w:themeColor="text1"/>
          <w:sz w:val="20"/>
          <w:szCs w:val="20"/>
          <w:lang w:val="en-US"/>
        </w:rPr>
        <w:t>baumannii</w:t>
      </w:r>
      <w:proofErr w:type="spellEnd"/>
      <w:r w:rsidRPr="002978AE">
        <w:rPr>
          <w:color w:val="000000" w:themeColor="text1"/>
          <w:sz w:val="20"/>
          <w:szCs w:val="20"/>
          <w:lang w:val="en-US"/>
        </w:rPr>
        <w:t>; N/A, not addressed; FN: febrile neutropenia</w:t>
      </w:r>
      <w:r w:rsidRPr="002978AE">
        <w:rPr>
          <w:b/>
          <w:bCs/>
          <w:color w:val="000000" w:themeColor="text1"/>
          <w:sz w:val="20"/>
          <w:szCs w:val="20"/>
          <w:lang w:val="en-US"/>
        </w:rPr>
        <w:br w:type="page"/>
      </w:r>
    </w:p>
    <w:p w14:paraId="68DAC528" w14:textId="50BD7DFB" w:rsidR="00F74FE8" w:rsidRDefault="005C0021" w:rsidP="005C0021">
      <w:pPr>
        <w:spacing w:line="360" w:lineRule="auto"/>
        <w:jc w:val="both"/>
        <w:rPr>
          <w:color w:val="000000" w:themeColor="text1"/>
          <w:sz w:val="20"/>
          <w:szCs w:val="20"/>
          <w:lang w:val="en-US"/>
        </w:rPr>
      </w:pPr>
      <w:r w:rsidRPr="00F74FE8">
        <w:rPr>
          <w:b/>
          <w:bCs/>
          <w:color w:val="000000" w:themeColor="text1"/>
          <w:sz w:val="20"/>
          <w:szCs w:val="20"/>
          <w:lang w:val="en-US"/>
        </w:rPr>
        <w:lastRenderedPageBreak/>
        <w:t>Supplementary Table S</w:t>
      </w:r>
      <w:r w:rsidR="000E23C2">
        <w:rPr>
          <w:b/>
          <w:bCs/>
          <w:color w:val="000000" w:themeColor="text1"/>
          <w:sz w:val="20"/>
          <w:szCs w:val="20"/>
          <w:lang w:val="en-US"/>
        </w:rPr>
        <w:t>6</w:t>
      </w:r>
      <w:r w:rsidRPr="00F74FE8">
        <w:rPr>
          <w:color w:val="000000" w:themeColor="text1"/>
          <w:sz w:val="20"/>
          <w:szCs w:val="20"/>
          <w:lang w:val="en-US"/>
        </w:rPr>
        <w:t xml:space="preserve">. </w:t>
      </w:r>
      <w:r w:rsidR="00D27B51">
        <w:rPr>
          <w:color w:val="000000" w:themeColor="text1"/>
          <w:sz w:val="20"/>
          <w:szCs w:val="20"/>
          <w:lang w:val="en-US"/>
        </w:rPr>
        <w:t xml:space="preserve">Characteristics and </w:t>
      </w:r>
      <w:r w:rsidRPr="00F74FE8">
        <w:rPr>
          <w:color w:val="000000" w:themeColor="text1"/>
          <w:sz w:val="20"/>
          <w:szCs w:val="20"/>
          <w:lang w:val="en-US"/>
        </w:rPr>
        <w:t xml:space="preserve">main findings of studies </w:t>
      </w:r>
      <w:r w:rsidR="00F36CA3">
        <w:rPr>
          <w:color w:val="000000" w:themeColor="text1"/>
          <w:sz w:val="20"/>
          <w:szCs w:val="20"/>
          <w:lang w:val="en-US"/>
        </w:rPr>
        <w:t>examining</w:t>
      </w:r>
      <w:r w:rsidRPr="00F74FE8">
        <w:rPr>
          <w:color w:val="000000" w:themeColor="text1"/>
          <w:sz w:val="20"/>
          <w:szCs w:val="20"/>
          <w:lang w:val="en-US"/>
        </w:rPr>
        <w:t xml:space="preserve"> the rate of colonization by resistant bacteria. </w:t>
      </w:r>
    </w:p>
    <w:tbl>
      <w:tblPr>
        <w:tblStyle w:val="Grigliatabella"/>
        <w:tblW w:w="0" w:type="auto"/>
        <w:tblLook w:val="04A0" w:firstRow="1" w:lastRow="0" w:firstColumn="1" w:lastColumn="0" w:noHBand="0" w:noVBand="1"/>
      </w:tblPr>
      <w:tblGrid>
        <w:gridCol w:w="1034"/>
        <w:gridCol w:w="845"/>
        <w:gridCol w:w="1042"/>
        <w:gridCol w:w="795"/>
        <w:gridCol w:w="1156"/>
        <w:gridCol w:w="871"/>
        <w:gridCol w:w="829"/>
        <w:gridCol w:w="801"/>
        <w:gridCol w:w="738"/>
        <w:gridCol w:w="793"/>
        <w:gridCol w:w="718"/>
      </w:tblGrid>
      <w:tr w:rsidR="003E4C95" w:rsidRPr="00F20444" w14:paraId="76B11E40" w14:textId="091DDE47" w:rsidTr="002E1DAD">
        <w:trPr>
          <w:trHeight w:val="590"/>
        </w:trPr>
        <w:tc>
          <w:tcPr>
            <w:tcW w:w="0" w:type="auto"/>
            <w:vAlign w:val="center"/>
          </w:tcPr>
          <w:p w14:paraId="6A9B723F" w14:textId="77777777" w:rsidR="0019677A" w:rsidRPr="00A3702B" w:rsidRDefault="0019677A" w:rsidP="00AB0CDA">
            <w:pPr>
              <w:spacing w:line="360" w:lineRule="auto"/>
              <w:jc w:val="both"/>
              <w:rPr>
                <w:b/>
                <w:bCs/>
                <w:color w:val="000000" w:themeColor="text1"/>
                <w:sz w:val="16"/>
                <w:szCs w:val="16"/>
                <w:lang w:val="en-US"/>
              </w:rPr>
            </w:pPr>
            <w:r w:rsidRPr="00A3702B">
              <w:rPr>
                <w:b/>
                <w:bCs/>
                <w:color w:val="000000" w:themeColor="text1"/>
                <w:sz w:val="16"/>
                <w:szCs w:val="16"/>
                <w:lang w:val="en-US"/>
              </w:rPr>
              <w:t>First author, Year</w:t>
            </w:r>
          </w:p>
        </w:tc>
        <w:tc>
          <w:tcPr>
            <w:tcW w:w="0" w:type="auto"/>
            <w:vAlign w:val="center"/>
          </w:tcPr>
          <w:p w14:paraId="687ADC70" w14:textId="6E5221B1" w:rsidR="0019677A" w:rsidRPr="00A3702B" w:rsidRDefault="00F36CA3" w:rsidP="00AB0CDA">
            <w:pPr>
              <w:spacing w:line="360" w:lineRule="auto"/>
              <w:jc w:val="both"/>
              <w:rPr>
                <w:b/>
                <w:bCs/>
                <w:color w:val="000000" w:themeColor="text1"/>
                <w:sz w:val="16"/>
                <w:szCs w:val="16"/>
                <w:lang w:val="en-US"/>
              </w:rPr>
            </w:pPr>
            <w:r>
              <w:rPr>
                <w:b/>
                <w:bCs/>
                <w:color w:val="000000" w:themeColor="text1"/>
                <w:sz w:val="16"/>
                <w:szCs w:val="16"/>
                <w:lang w:val="en-US"/>
              </w:rPr>
              <w:t>Number of patients</w:t>
            </w:r>
          </w:p>
        </w:tc>
        <w:tc>
          <w:tcPr>
            <w:tcW w:w="0" w:type="auto"/>
            <w:vAlign w:val="center"/>
          </w:tcPr>
          <w:p w14:paraId="4C6790B3" w14:textId="343BF494" w:rsidR="0019677A" w:rsidRPr="00A3702B" w:rsidRDefault="00F36CA3" w:rsidP="00AB0CDA">
            <w:pPr>
              <w:spacing w:line="360" w:lineRule="auto"/>
              <w:jc w:val="both"/>
              <w:rPr>
                <w:b/>
                <w:bCs/>
                <w:color w:val="000000" w:themeColor="text1"/>
                <w:sz w:val="16"/>
                <w:szCs w:val="16"/>
                <w:lang w:val="en-US"/>
              </w:rPr>
            </w:pPr>
            <w:r>
              <w:rPr>
                <w:b/>
                <w:bCs/>
                <w:color w:val="000000" w:themeColor="text1"/>
                <w:sz w:val="16"/>
                <w:szCs w:val="16"/>
                <w:lang w:val="en-US"/>
              </w:rPr>
              <w:t>Specimen type</w:t>
            </w:r>
          </w:p>
        </w:tc>
        <w:tc>
          <w:tcPr>
            <w:tcW w:w="0" w:type="auto"/>
            <w:vAlign w:val="center"/>
          </w:tcPr>
          <w:p w14:paraId="63727338" w14:textId="77777777" w:rsidR="00F36CA3" w:rsidRDefault="0019677A" w:rsidP="00F36CA3">
            <w:pPr>
              <w:spacing w:line="360" w:lineRule="auto"/>
              <w:jc w:val="center"/>
              <w:rPr>
                <w:b/>
                <w:bCs/>
                <w:color w:val="000000" w:themeColor="text1"/>
                <w:sz w:val="16"/>
                <w:szCs w:val="16"/>
                <w:lang w:val="en-US"/>
              </w:rPr>
            </w:pPr>
            <w:r w:rsidRPr="00A3702B">
              <w:rPr>
                <w:b/>
                <w:bCs/>
                <w:color w:val="000000" w:themeColor="text1"/>
                <w:sz w:val="16"/>
                <w:szCs w:val="16"/>
                <w:lang w:val="en-US"/>
              </w:rPr>
              <w:t xml:space="preserve">FQ-R </w:t>
            </w:r>
          </w:p>
          <w:p w14:paraId="3C26FEF7" w14:textId="7B229340" w:rsidR="0019677A" w:rsidRPr="00A3702B" w:rsidRDefault="0019677A" w:rsidP="00AB0CDA">
            <w:pPr>
              <w:spacing w:line="360" w:lineRule="auto"/>
              <w:jc w:val="both"/>
              <w:rPr>
                <w:b/>
                <w:bCs/>
                <w:color w:val="000000" w:themeColor="text1"/>
                <w:sz w:val="16"/>
                <w:szCs w:val="16"/>
                <w:lang w:val="en-US"/>
              </w:rPr>
            </w:pPr>
            <w:r w:rsidRPr="00A3702B">
              <w:rPr>
                <w:b/>
                <w:bCs/>
                <w:color w:val="000000" w:themeColor="text1"/>
                <w:sz w:val="16"/>
                <w:szCs w:val="16"/>
                <w:lang w:val="en-US"/>
              </w:rPr>
              <w:t>(%; n/n)</w:t>
            </w:r>
          </w:p>
        </w:tc>
        <w:tc>
          <w:tcPr>
            <w:tcW w:w="0" w:type="auto"/>
            <w:vAlign w:val="center"/>
          </w:tcPr>
          <w:p w14:paraId="3F101EB3" w14:textId="70284F0D" w:rsidR="0019677A" w:rsidRPr="00A3702B" w:rsidRDefault="0019677A" w:rsidP="00AB0CDA">
            <w:pPr>
              <w:spacing w:line="360" w:lineRule="auto"/>
              <w:jc w:val="both"/>
              <w:rPr>
                <w:b/>
                <w:bCs/>
                <w:color w:val="000000" w:themeColor="text1"/>
                <w:sz w:val="16"/>
                <w:szCs w:val="16"/>
                <w:lang w:val="en-US"/>
              </w:rPr>
            </w:pPr>
            <w:r w:rsidRPr="00A3702B">
              <w:rPr>
                <w:b/>
                <w:bCs/>
                <w:color w:val="000000" w:themeColor="text1"/>
                <w:sz w:val="16"/>
                <w:szCs w:val="16"/>
                <w:lang w:val="en-US"/>
              </w:rPr>
              <w:t>ESBL/3GCR (%; n/n)</w:t>
            </w:r>
          </w:p>
        </w:tc>
        <w:tc>
          <w:tcPr>
            <w:tcW w:w="0" w:type="auto"/>
            <w:vAlign w:val="center"/>
          </w:tcPr>
          <w:p w14:paraId="07DDE26C" w14:textId="77777777" w:rsidR="00F36CA3" w:rsidRDefault="0019677A" w:rsidP="00F36CA3">
            <w:pPr>
              <w:spacing w:line="360" w:lineRule="auto"/>
              <w:jc w:val="center"/>
              <w:rPr>
                <w:b/>
                <w:bCs/>
                <w:color w:val="000000" w:themeColor="text1"/>
                <w:sz w:val="16"/>
                <w:szCs w:val="16"/>
                <w:lang w:val="en-US"/>
              </w:rPr>
            </w:pPr>
            <w:r w:rsidRPr="00A3702B">
              <w:rPr>
                <w:b/>
                <w:bCs/>
                <w:color w:val="000000" w:themeColor="text1"/>
                <w:sz w:val="16"/>
                <w:szCs w:val="16"/>
                <w:lang w:val="en-US"/>
              </w:rPr>
              <w:t xml:space="preserve">CR </w:t>
            </w:r>
          </w:p>
          <w:p w14:paraId="6876921D" w14:textId="6B40FE4E" w:rsidR="0019677A" w:rsidRPr="00A3702B" w:rsidRDefault="0019677A" w:rsidP="00AB0CDA">
            <w:pPr>
              <w:spacing w:line="360" w:lineRule="auto"/>
              <w:jc w:val="both"/>
              <w:rPr>
                <w:b/>
                <w:bCs/>
                <w:color w:val="000000" w:themeColor="text1"/>
                <w:sz w:val="16"/>
                <w:szCs w:val="16"/>
                <w:lang w:val="en-US"/>
              </w:rPr>
            </w:pPr>
            <w:r w:rsidRPr="00A3702B">
              <w:rPr>
                <w:b/>
                <w:bCs/>
                <w:color w:val="000000" w:themeColor="text1"/>
                <w:sz w:val="16"/>
                <w:szCs w:val="16"/>
                <w:lang w:val="en-US"/>
              </w:rPr>
              <w:t>(%; n/n)</w:t>
            </w:r>
          </w:p>
        </w:tc>
        <w:tc>
          <w:tcPr>
            <w:tcW w:w="0" w:type="auto"/>
            <w:vAlign w:val="center"/>
          </w:tcPr>
          <w:p w14:paraId="27D0619E" w14:textId="2E39997E" w:rsidR="0019677A" w:rsidRPr="00A3702B" w:rsidRDefault="0019677A" w:rsidP="00AB0CDA">
            <w:pPr>
              <w:spacing w:line="360" w:lineRule="auto"/>
              <w:jc w:val="both"/>
              <w:rPr>
                <w:b/>
                <w:bCs/>
                <w:color w:val="000000" w:themeColor="text1"/>
                <w:sz w:val="16"/>
                <w:szCs w:val="16"/>
                <w:lang w:val="en-US"/>
              </w:rPr>
            </w:pPr>
            <w:r w:rsidRPr="00A3702B">
              <w:rPr>
                <w:b/>
                <w:bCs/>
                <w:color w:val="000000" w:themeColor="text1"/>
                <w:sz w:val="16"/>
                <w:szCs w:val="16"/>
                <w:lang w:val="en-US"/>
              </w:rPr>
              <w:t xml:space="preserve">MDR </w:t>
            </w:r>
            <w:proofErr w:type="spellStart"/>
            <w:r>
              <w:rPr>
                <w:b/>
                <w:bCs/>
                <w:color w:val="000000" w:themeColor="text1"/>
                <w:sz w:val="16"/>
                <w:szCs w:val="16"/>
                <w:lang w:val="en-US"/>
              </w:rPr>
              <w:t>PsA</w:t>
            </w:r>
            <w:proofErr w:type="spellEnd"/>
            <w:r>
              <w:rPr>
                <w:b/>
                <w:bCs/>
                <w:color w:val="000000" w:themeColor="text1"/>
                <w:sz w:val="16"/>
                <w:szCs w:val="16"/>
                <w:lang w:val="en-US"/>
              </w:rPr>
              <w:t xml:space="preserve"> </w:t>
            </w:r>
            <w:r w:rsidRPr="00A3702B">
              <w:rPr>
                <w:b/>
                <w:bCs/>
                <w:color w:val="000000" w:themeColor="text1"/>
                <w:sz w:val="16"/>
                <w:szCs w:val="16"/>
                <w:lang w:val="en-US"/>
              </w:rPr>
              <w:t>(%; n/n)</w:t>
            </w:r>
          </w:p>
        </w:tc>
        <w:tc>
          <w:tcPr>
            <w:tcW w:w="0" w:type="auto"/>
            <w:vAlign w:val="center"/>
          </w:tcPr>
          <w:p w14:paraId="003DA047" w14:textId="2168020F" w:rsidR="0019677A" w:rsidRPr="00A3702B" w:rsidRDefault="0019677A" w:rsidP="00AB0CDA">
            <w:pPr>
              <w:spacing w:line="360" w:lineRule="auto"/>
              <w:jc w:val="both"/>
              <w:rPr>
                <w:b/>
                <w:bCs/>
                <w:color w:val="000000" w:themeColor="text1"/>
                <w:sz w:val="16"/>
                <w:szCs w:val="16"/>
                <w:lang w:val="en-US"/>
              </w:rPr>
            </w:pPr>
            <w:r w:rsidRPr="00A3702B">
              <w:rPr>
                <w:b/>
                <w:bCs/>
                <w:color w:val="000000" w:themeColor="text1"/>
                <w:sz w:val="16"/>
                <w:szCs w:val="16"/>
                <w:lang w:val="en-US"/>
              </w:rPr>
              <w:t>VRE (%; n/n)</w:t>
            </w:r>
          </w:p>
        </w:tc>
        <w:tc>
          <w:tcPr>
            <w:tcW w:w="0" w:type="auto"/>
            <w:vAlign w:val="center"/>
          </w:tcPr>
          <w:p w14:paraId="573A67E8" w14:textId="29F2CEAB" w:rsidR="0019677A" w:rsidRPr="00A3702B" w:rsidRDefault="0019677A" w:rsidP="00AB0CDA">
            <w:pPr>
              <w:spacing w:line="360" w:lineRule="auto"/>
              <w:jc w:val="both"/>
              <w:rPr>
                <w:b/>
                <w:bCs/>
                <w:color w:val="000000" w:themeColor="text1"/>
                <w:sz w:val="16"/>
                <w:szCs w:val="16"/>
                <w:lang w:val="en-US"/>
              </w:rPr>
            </w:pPr>
            <w:r w:rsidRPr="00A3702B">
              <w:rPr>
                <w:b/>
                <w:bCs/>
                <w:color w:val="000000" w:themeColor="text1"/>
                <w:sz w:val="16"/>
                <w:szCs w:val="16"/>
                <w:lang w:val="en-US"/>
              </w:rPr>
              <w:t>MRSA (%; n/n)</w:t>
            </w:r>
          </w:p>
        </w:tc>
        <w:tc>
          <w:tcPr>
            <w:tcW w:w="0" w:type="auto"/>
            <w:vAlign w:val="center"/>
          </w:tcPr>
          <w:p w14:paraId="1A32B601" w14:textId="001C00F3" w:rsidR="0019677A" w:rsidRPr="00A3702B" w:rsidRDefault="0019677A" w:rsidP="00AB0CDA">
            <w:pPr>
              <w:spacing w:line="360" w:lineRule="auto"/>
              <w:jc w:val="both"/>
              <w:rPr>
                <w:b/>
                <w:bCs/>
                <w:color w:val="000000" w:themeColor="text1"/>
                <w:sz w:val="16"/>
                <w:szCs w:val="16"/>
                <w:lang w:val="en-US"/>
              </w:rPr>
            </w:pPr>
            <w:r>
              <w:rPr>
                <w:b/>
                <w:bCs/>
                <w:color w:val="000000" w:themeColor="text1"/>
                <w:sz w:val="16"/>
                <w:szCs w:val="16"/>
                <w:lang w:val="en-US"/>
              </w:rPr>
              <w:t>SM (%; n/n)</w:t>
            </w:r>
          </w:p>
        </w:tc>
        <w:tc>
          <w:tcPr>
            <w:tcW w:w="0" w:type="auto"/>
            <w:vAlign w:val="center"/>
          </w:tcPr>
          <w:p w14:paraId="59E4F433" w14:textId="12BF8568" w:rsidR="0019677A" w:rsidRPr="00A3702B" w:rsidRDefault="0019677A" w:rsidP="00AB0CDA">
            <w:pPr>
              <w:spacing w:line="360" w:lineRule="auto"/>
              <w:jc w:val="both"/>
              <w:rPr>
                <w:b/>
                <w:bCs/>
                <w:color w:val="000000" w:themeColor="text1"/>
                <w:sz w:val="16"/>
                <w:szCs w:val="16"/>
                <w:lang w:val="en-US"/>
              </w:rPr>
            </w:pPr>
            <w:r>
              <w:rPr>
                <w:b/>
                <w:bCs/>
                <w:color w:val="000000" w:themeColor="text1"/>
                <w:sz w:val="16"/>
                <w:szCs w:val="16"/>
                <w:lang w:val="en-US"/>
              </w:rPr>
              <w:t>AB (%; n/n)</w:t>
            </w:r>
          </w:p>
        </w:tc>
      </w:tr>
      <w:tr w:rsidR="003E4C95" w:rsidRPr="00F5199C" w14:paraId="5BA96D5D" w14:textId="3F794163" w:rsidTr="002E1DAD">
        <w:trPr>
          <w:trHeight w:val="590"/>
        </w:trPr>
        <w:tc>
          <w:tcPr>
            <w:tcW w:w="0" w:type="auto"/>
            <w:vAlign w:val="center"/>
          </w:tcPr>
          <w:p w14:paraId="3DC234F8" w14:textId="4D7BD7F8" w:rsidR="00FD59F9" w:rsidRPr="000D377C" w:rsidRDefault="00FD59F9" w:rsidP="00AB0CDA">
            <w:pPr>
              <w:spacing w:line="360" w:lineRule="auto"/>
              <w:jc w:val="center"/>
              <w:rPr>
                <w:color w:val="000000" w:themeColor="text1"/>
                <w:sz w:val="16"/>
                <w:szCs w:val="16"/>
                <w:lang w:val="en-US"/>
              </w:rPr>
            </w:pPr>
            <w:proofErr w:type="spellStart"/>
            <w:r>
              <w:rPr>
                <w:color w:val="000000" w:themeColor="text1"/>
                <w:sz w:val="16"/>
                <w:szCs w:val="16"/>
                <w:lang w:val="en-US"/>
              </w:rPr>
              <w:t>Akhmedov</w:t>
            </w:r>
            <w:proofErr w:type="spellEnd"/>
            <w:r>
              <w:rPr>
                <w:color w:val="000000" w:themeColor="text1"/>
                <w:sz w:val="16"/>
                <w:szCs w:val="16"/>
                <w:lang w:val="en-US"/>
              </w:rPr>
              <w:t xml:space="preserve"> 2023</w:t>
            </w:r>
            <w:r w:rsidR="00AB5244">
              <w:rPr>
                <w:color w:val="000000" w:themeColor="text1"/>
                <w:sz w:val="16"/>
                <w:szCs w:val="16"/>
                <w:lang w:val="en-US"/>
              </w:rPr>
              <w:fldChar w:fldCharType="begin" w:fldLock="1"/>
            </w:r>
            <w:r w:rsidR="00AB5244">
              <w:rPr>
                <w:color w:val="000000" w:themeColor="text1"/>
                <w:sz w:val="16"/>
                <w:szCs w:val="16"/>
                <w:lang w:val="en-US"/>
              </w:rPr>
              <w:instrText>ADDIN CSL_CITATION {"citationItems":[{"id":"ITEM-1","itemData":{"DOI":"10.1080/10428194.2023.2197532","ISSN":"1029-2403 (Electronic)","PMID":"37086466","abstract":"Fluoroquinolones (FQ) has been used after allogeneic hematopoietic stem cell  transplantation (allo-HCT) for decades. This study on 284 allo-HCT recipients aimed to analyze the impact of FQ on pre-engraftment BSI. A total of 154 patients were colonized with resistant gram-negative bacteria, and 130 patients were not. Colonized patients did not receive FQ (n = 147) except 7 who received FQ as sequential therapy; 98 non-colonized patients received FQ, whereas 32 did not. Gram-negative (p &lt; 0.0001), and ESBL-E BSI (p &lt; 0.0001) were higher in colonized patients receiving FQ. No difference was found in gram-positive BSI (p = 0.452). In multivariate analysis colonized patients with (p &lt; 0.0001) or without FQ (p = 0.007), omission of FQ in non-colonized patients (p = 0.038), and active disease (p = 0.042) were associated with gram-negative BSI, whereas mismatched unrelated donor transplantations - with gram-positive BSI (p = 0.009). Colonized patients with FQ have a higher risk of gram-negative BSI. In non-colonized patients, FQ prophylaxis is effective approach significantly reducing gram-negative BSI risk.","author":[{"dropping-particle":"","family":"Akhmedov","given":"Mobil","non-dropping-particle":"","parse-names":false,"suffix":""},{"dropping-particle":"","family":"Klyasova","given":"Galina","non-dropping-particle":"","parse-names":false,"suffix":""},{"dropping-particle":"","family":"Kuzmina","given":"Larisa","non-dropping-particle":"","parse-names":false,"suffix":""},{"dropping-particle":"","family":"Fedorova","given":"Anastasia","non-dropping-particle":"","parse-names":false,"suffix":""},{"dropping-particle":"","family":"Drokov","given":"Mikhail","non-dropping-particle":"","parse-names":false,"suffix":""},{"dropping-particle":"","family":"Parovichnikova","given":"Elena","non-dropping-particle":"","parse-names":false,"suffix":""}],"container-title":"Leukemia &amp; lymphoma","id":"ITEM-1","issue":"6","issued":{"date-parts":[["2023","6"]]},"language":"eng","page":"1102-1111","publisher-place":"United States","title":"Impact of fluoroquinolone administration and gut mucosal colonization on the risk  of pre-engraftment bloodstream infections after allogeneic hematopoietic cell transplantation.","type":"article-journal","volume":"64"},"uris":["http://www.mendeley.com/documents/?uuid=0b78f442-f7cc-4017-9f77-b0c349f1aa72"]}],"mendeley":{"formattedCitation":"&lt;sup&gt;16&lt;/sup&gt;","plainTextFormattedCitation":"16","previouslyFormattedCitation":"&lt;sup&gt;16&lt;/sup&gt;"},"properties":{"noteIndex":0},"schema":"https://github.com/citation-style-language/schema/raw/master/csl-citation.json"}</w:instrText>
            </w:r>
            <w:r w:rsidR="00AB5244">
              <w:rPr>
                <w:color w:val="000000" w:themeColor="text1"/>
                <w:sz w:val="16"/>
                <w:szCs w:val="16"/>
                <w:lang w:val="en-US"/>
              </w:rPr>
              <w:fldChar w:fldCharType="separate"/>
            </w:r>
            <w:r w:rsidR="00AB5244" w:rsidRPr="00AB5244">
              <w:rPr>
                <w:noProof/>
                <w:color w:val="000000" w:themeColor="text1"/>
                <w:sz w:val="16"/>
                <w:szCs w:val="16"/>
                <w:vertAlign w:val="superscript"/>
                <w:lang w:val="en-US"/>
              </w:rPr>
              <w:t>16</w:t>
            </w:r>
            <w:r w:rsidR="00AB5244">
              <w:rPr>
                <w:color w:val="000000" w:themeColor="text1"/>
                <w:sz w:val="16"/>
                <w:szCs w:val="16"/>
                <w:lang w:val="en-US"/>
              </w:rPr>
              <w:fldChar w:fldCharType="end"/>
            </w:r>
          </w:p>
        </w:tc>
        <w:tc>
          <w:tcPr>
            <w:tcW w:w="0" w:type="auto"/>
            <w:vAlign w:val="center"/>
          </w:tcPr>
          <w:p w14:paraId="5E76D067" w14:textId="61AE00D8" w:rsidR="00FD59F9" w:rsidRPr="000D377C" w:rsidRDefault="00FD59F9" w:rsidP="00AB0CDA">
            <w:pPr>
              <w:spacing w:line="360" w:lineRule="auto"/>
              <w:jc w:val="center"/>
              <w:rPr>
                <w:color w:val="000000" w:themeColor="text1"/>
                <w:sz w:val="16"/>
                <w:szCs w:val="16"/>
                <w:lang w:val="en-US"/>
              </w:rPr>
            </w:pPr>
            <w:r>
              <w:rPr>
                <w:color w:val="000000" w:themeColor="text1"/>
                <w:sz w:val="16"/>
                <w:szCs w:val="16"/>
                <w:lang w:val="en-US"/>
              </w:rPr>
              <w:t>284</w:t>
            </w:r>
          </w:p>
        </w:tc>
        <w:tc>
          <w:tcPr>
            <w:tcW w:w="0" w:type="auto"/>
            <w:vAlign w:val="center"/>
          </w:tcPr>
          <w:p w14:paraId="0F25F61C" w14:textId="072018E0" w:rsidR="00FD59F9" w:rsidRPr="00FD59F9" w:rsidRDefault="00A754C0" w:rsidP="00AB0CDA">
            <w:pPr>
              <w:spacing w:line="360" w:lineRule="auto"/>
              <w:jc w:val="center"/>
              <w:rPr>
                <w:sz w:val="16"/>
                <w:szCs w:val="16"/>
                <w:lang w:val="en-US"/>
              </w:rPr>
            </w:pPr>
            <w:proofErr w:type="spellStart"/>
            <w:r>
              <w:rPr>
                <w:sz w:val="16"/>
                <w:szCs w:val="16"/>
              </w:rPr>
              <w:t>R</w:t>
            </w:r>
            <w:r w:rsidR="00FD59F9" w:rsidRPr="00FD59F9">
              <w:rPr>
                <w:sz w:val="16"/>
                <w:szCs w:val="16"/>
              </w:rPr>
              <w:t>ectal</w:t>
            </w:r>
            <w:proofErr w:type="spellEnd"/>
            <w:r w:rsidR="00FD59F9" w:rsidRPr="00FD59F9">
              <w:rPr>
                <w:sz w:val="16"/>
                <w:szCs w:val="16"/>
              </w:rPr>
              <w:t xml:space="preserve"> </w:t>
            </w:r>
            <w:proofErr w:type="spellStart"/>
            <w:r w:rsidR="00FD59F9" w:rsidRPr="00FD59F9">
              <w:rPr>
                <w:sz w:val="16"/>
                <w:szCs w:val="16"/>
              </w:rPr>
              <w:t>swab</w:t>
            </w:r>
            <w:proofErr w:type="spellEnd"/>
          </w:p>
        </w:tc>
        <w:tc>
          <w:tcPr>
            <w:tcW w:w="0" w:type="auto"/>
            <w:vAlign w:val="center"/>
          </w:tcPr>
          <w:p w14:paraId="3E5F38DC" w14:textId="252BDA82" w:rsidR="00FD59F9" w:rsidRPr="000D377C" w:rsidRDefault="00A754C0" w:rsidP="00AB0CD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6151B99" w14:textId="3E190FE4" w:rsidR="00FD59F9" w:rsidRPr="000D377C" w:rsidRDefault="00A754C0" w:rsidP="00AB0CDA">
            <w:pPr>
              <w:spacing w:line="360" w:lineRule="auto"/>
              <w:jc w:val="center"/>
              <w:rPr>
                <w:color w:val="000000" w:themeColor="text1"/>
                <w:sz w:val="16"/>
                <w:szCs w:val="16"/>
                <w:lang w:val="en-US"/>
              </w:rPr>
            </w:pPr>
            <w:r>
              <w:rPr>
                <w:color w:val="000000" w:themeColor="text1"/>
                <w:sz w:val="16"/>
                <w:szCs w:val="16"/>
                <w:lang w:val="en-US"/>
              </w:rPr>
              <w:t>50% (144/284)</w:t>
            </w:r>
          </w:p>
        </w:tc>
        <w:tc>
          <w:tcPr>
            <w:tcW w:w="0" w:type="auto"/>
            <w:vAlign w:val="center"/>
          </w:tcPr>
          <w:p w14:paraId="52D0A7F4" w14:textId="07532AEA" w:rsidR="00FD59F9" w:rsidRPr="000D377C" w:rsidRDefault="00A754C0" w:rsidP="00AB0CDA">
            <w:pPr>
              <w:spacing w:line="360" w:lineRule="auto"/>
              <w:jc w:val="center"/>
              <w:rPr>
                <w:color w:val="000000" w:themeColor="text1"/>
                <w:sz w:val="16"/>
                <w:szCs w:val="16"/>
                <w:lang w:val="en-US"/>
              </w:rPr>
            </w:pPr>
            <w:r>
              <w:rPr>
                <w:color w:val="000000" w:themeColor="text1"/>
                <w:sz w:val="16"/>
                <w:szCs w:val="16"/>
                <w:lang w:val="en-US"/>
              </w:rPr>
              <w:t>6% (17/284)</w:t>
            </w:r>
          </w:p>
        </w:tc>
        <w:tc>
          <w:tcPr>
            <w:tcW w:w="0" w:type="auto"/>
            <w:vAlign w:val="center"/>
          </w:tcPr>
          <w:p w14:paraId="29C820A5" w14:textId="144F59D0" w:rsidR="00FD59F9" w:rsidRPr="000D377C" w:rsidRDefault="00A754C0" w:rsidP="00AB0CD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D992E15" w14:textId="7CC29C9C" w:rsidR="00FD59F9" w:rsidRPr="000D377C" w:rsidRDefault="00A754C0" w:rsidP="00AB0CD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889DB27" w14:textId="7E08E38E" w:rsidR="00FD59F9" w:rsidRPr="000D377C" w:rsidRDefault="00A754C0" w:rsidP="00AB0CD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5C0A7CF" w14:textId="78F455BC" w:rsidR="00FD59F9" w:rsidRPr="000D377C" w:rsidRDefault="00A754C0" w:rsidP="00AB0CDA">
            <w:pPr>
              <w:spacing w:line="360" w:lineRule="auto"/>
              <w:jc w:val="center"/>
              <w:rPr>
                <w:color w:val="000000" w:themeColor="text1"/>
                <w:sz w:val="16"/>
                <w:szCs w:val="16"/>
                <w:lang w:val="en-US"/>
              </w:rPr>
            </w:pPr>
            <w:r>
              <w:rPr>
                <w:color w:val="000000" w:themeColor="text1"/>
                <w:sz w:val="16"/>
                <w:szCs w:val="16"/>
                <w:lang w:val="en-US"/>
              </w:rPr>
              <w:t>1% (2/284)</w:t>
            </w:r>
          </w:p>
        </w:tc>
        <w:tc>
          <w:tcPr>
            <w:tcW w:w="0" w:type="auto"/>
            <w:vAlign w:val="center"/>
          </w:tcPr>
          <w:p w14:paraId="29CE4C48" w14:textId="23D493F8" w:rsidR="00FD59F9" w:rsidRPr="000D377C" w:rsidRDefault="00A754C0" w:rsidP="00AB0CDA">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5199C" w14:paraId="0F8856AB" w14:textId="77777777" w:rsidTr="002E1DAD">
        <w:trPr>
          <w:trHeight w:val="590"/>
        </w:trPr>
        <w:tc>
          <w:tcPr>
            <w:tcW w:w="0" w:type="auto"/>
            <w:vAlign w:val="center"/>
          </w:tcPr>
          <w:p w14:paraId="77FA5CD8" w14:textId="66E2CCE1" w:rsidR="009D592A" w:rsidRDefault="009D592A" w:rsidP="009D592A">
            <w:pPr>
              <w:spacing w:line="360" w:lineRule="auto"/>
              <w:jc w:val="center"/>
              <w:rPr>
                <w:color w:val="000000" w:themeColor="text1"/>
                <w:sz w:val="16"/>
                <w:szCs w:val="16"/>
                <w:lang w:val="en-US"/>
              </w:rPr>
            </w:pPr>
            <w:proofErr w:type="spellStart"/>
            <w:r>
              <w:rPr>
                <w:color w:val="000000" w:themeColor="text1"/>
                <w:sz w:val="16"/>
                <w:szCs w:val="16"/>
                <w:lang w:val="en-US"/>
              </w:rPr>
              <w:t>Ballo</w:t>
            </w:r>
            <w:proofErr w:type="spellEnd"/>
            <w:r>
              <w:rPr>
                <w:color w:val="000000" w:themeColor="text1"/>
                <w:sz w:val="16"/>
                <w:szCs w:val="16"/>
                <w:lang w:val="en-US"/>
              </w:rPr>
              <w:t xml:space="preserve"> 2019</w:t>
            </w:r>
            <w:r w:rsidR="00AB5244">
              <w:rPr>
                <w:color w:val="000000" w:themeColor="text1"/>
                <w:sz w:val="16"/>
                <w:szCs w:val="16"/>
                <w:lang w:val="en-US"/>
              </w:rPr>
              <w:fldChar w:fldCharType="begin" w:fldLock="1"/>
            </w:r>
            <w:r w:rsidR="00AB5244">
              <w:rPr>
                <w:color w:val="000000" w:themeColor="text1"/>
                <w:sz w:val="16"/>
                <w:szCs w:val="16"/>
                <w:lang w:val="en-US"/>
              </w:rPr>
              <w:instrText>ADDIN CSL_CITATION {"citationItems":[{"id":"ITEM-1","itemData":{"DOI":"10.1371/journal.pone.0210991","ISBN":"1111111111","ISSN":"19326203","PMID":"30673776","abstract":"Introduction The global spread of multidrug-resistant organisms (MDRO) complicates treatment and isolation measures in hospitals and has shown to increase mortality. Patients with disease- or therapy-related immunodeficiency are especially at risk for fatal infections caused by MDRO. The impact of MDRO colonization on the clinical course of AML patients undergoing intensive induction chemotherapy—a potentially curative but highly toxic treatment option—has not been systematically studied. Materials &amp; methods 312 AML patients undergoing intensive induction chemotherapy between 2007 and 2015 were examined for MDRO colonization. Patients with evidence for MDRO before or during the hospital stay of induction chemotherapy were defined as colonized, patients who never had a positive swab for MDRO were defined as noncolonized. Results Of 312 AML patients 90 were colonized and 130 were noncolonized. Colonized patients suffered from significantly more days with fever, spent more days on the intensive care unit and had a higher median C-reactive protein value during the hospital stay. These findings did not result in a prolonged length of hospital stay or an increased mortality rate for colonized patients. However, in a subgroup analysis, patients colonized with carbapenem-resistant enterobacteriaceae (CRE) had a significantly reduced 60- and 90-day, as well as 1- and 2-year survival rates when compared to noncolonized patients. Conclusion Our analysis highlights the importance of intensive MDRO screening especially in patients with febrile neutropenia since persisting fever can be a sign of MDRO-colonization. CRE-colonized patients require special surveillance, since they seem to be at risk for death.","author":[{"dropping-particle":"","family":"Ballo","given":"Olivier","non-dropping-particle":"","parse-names":false,"suffix":""},{"dropping-particle":"","family":"Tarazzit","given":"Ikram","non-dropping-particle":"","parse-names":false,"suffix":""},{"dropping-particle":"","family":"Stratmann","given":"Jan","non-dropping-particle":"","parse-names":false,"suffix":""},{"dropping-particle":"","family":"Reinheimer","given":"Claudia","non-dropping-particle":"","parse-names":false,"suffix":""},{"dropping-particle":"","family":"Hogardt","given":"Michael","non-dropping-particle":"","parse-names":false,"suffix":""},{"dropping-particle":"","family":"Wichelhaus","given":"Thomas A.","non-dropping-particle":"","parse-names":false,"suffix":""},{"dropping-particle":"","family":"Kempf","given":"Volkhard","non-dropping-particle":"","parse-names":false,"suffix":""},{"dropping-particle":"","family":"Serve","given":"Hubert","non-dropping-particle":"","parse-names":false,"suffix":""},{"dropping-particle":"","family":"Finkelmeier","given":"Fabian","non-dropping-particle":"","parse-names":false,"suffix":""},{"dropping-particle":"","family":"Brandts","given":"Christian","non-dropping-particle":"","parse-names":false,"suffix":""}],"container-title":"PLoS ONE","id":"ITEM-1","issue":"1","issued":{"date-parts":[["2019"]]},"page":"1-12","title":"Colonization with multidrug resistant organisms determines the clinical course of patients with acute myeloid leukemia undergoing intensive induction chemotherapy","type":"article-journal","volume":"14"},"uris":["http://www.mendeley.com/documents/?uuid=537b33ca-a5c0-4dbc-8785-14cc088abcde"]}],"mendeley":{"formattedCitation":"&lt;sup&gt;72&lt;/sup&gt;","plainTextFormattedCitation":"72","previouslyFormattedCitation":"&lt;sup&gt;72&lt;/sup&gt;"},"properties":{"noteIndex":0},"schema":"https://github.com/citation-style-language/schema/raw/master/csl-citation.json"}</w:instrText>
            </w:r>
            <w:r w:rsidR="00AB5244">
              <w:rPr>
                <w:color w:val="000000" w:themeColor="text1"/>
                <w:sz w:val="16"/>
                <w:szCs w:val="16"/>
                <w:lang w:val="en-US"/>
              </w:rPr>
              <w:fldChar w:fldCharType="separate"/>
            </w:r>
            <w:r w:rsidR="00AB5244" w:rsidRPr="00AB5244">
              <w:rPr>
                <w:noProof/>
                <w:color w:val="000000" w:themeColor="text1"/>
                <w:sz w:val="16"/>
                <w:szCs w:val="16"/>
                <w:vertAlign w:val="superscript"/>
                <w:lang w:val="en-US"/>
              </w:rPr>
              <w:t>72</w:t>
            </w:r>
            <w:r w:rsidR="00AB5244">
              <w:rPr>
                <w:color w:val="000000" w:themeColor="text1"/>
                <w:sz w:val="16"/>
                <w:szCs w:val="16"/>
                <w:lang w:val="en-US"/>
              </w:rPr>
              <w:fldChar w:fldCharType="end"/>
            </w:r>
          </w:p>
        </w:tc>
        <w:tc>
          <w:tcPr>
            <w:tcW w:w="0" w:type="auto"/>
            <w:vAlign w:val="center"/>
          </w:tcPr>
          <w:p w14:paraId="5AC8C3C7" w14:textId="6873578A"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312</w:t>
            </w:r>
          </w:p>
        </w:tc>
        <w:tc>
          <w:tcPr>
            <w:tcW w:w="0" w:type="auto"/>
            <w:vAlign w:val="center"/>
          </w:tcPr>
          <w:p w14:paraId="630B8621" w14:textId="2BF22A2B" w:rsidR="009D592A" w:rsidRDefault="009D592A" w:rsidP="009D592A">
            <w:pPr>
              <w:spacing w:line="360" w:lineRule="auto"/>
              <w:jc w:val="center"/>
              <w:rPr>
                <w:sz w:val="16"/>
                <w:szCs w:val="16"/>
              </w:rPr>
            </w:pPr>
            <w:proofErr w:type="spellStart"/>
            <w:r>
              <w:rPr>
                <w:sz w:val="16"/>
                <w:szCs w:val="16"/>
              </w:rPr>
              <w:t>R</w:t>
            </w:r>
            <w:r w:rsidRPr="00FD59F9">
              <w:rPr>
                <w:sz w:val="16"/>
                <w:szCs w:val="16"/>
              </w:rPr>
              <w:t>ectal</w:t>
            </w:r>
            <w:proofErr w:type="spellEnd"/>
            <w:r w:rsidRPr="00FD59F9">
              <w:rPr>
                <w:sz w:val="16"/>
                <w:szCs w:val="16"/>
              </w:rPr>
              <w:t xml:space="preserve"> </w:t>
            </w:r>
            <w:proofErr w:type="spellStart"/>
            <w:r w:rsidRPr="00FD59F9">
              <w:rPr>
                <w:sz w:val="16"/>
                <w:szCs w:val="16"/>
              </w:rPr>
              <w:t>swab</w:t>
            </w:r>
            <w:proofErr w:type="spellEnd"/>
          </w:p>
        </w:tc>
        <w:tc>
          <w:tcPr>
            <w:tcW w:w="0" w:type="auto"/>
            <w:vAlign w:val="center"/>
          </w:tcPr>
          <w:p w14:paraId="4C257BDA" w14:textId="04486FB8"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50D2832" w14:textId="69F28CE1"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8% (18/220)</w:t>
            </w:r>
          </w:p>
        </w:tc>
        <w:tc>
          <w:tcPr>
            <w:tcW w:w="0" w:type="auto"/>
            <w:vAlign w:val="center"/>
          </w:tcPr>
          <w:p w14:paraId="74CBE35F" w14:textId="191385EF"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5% (12/220)</w:t>
            </w:r>
          </w:p>
        </w:tc>
        <w:tc>
          <w:tcPr>
            <w:tcW w:w="0" w:type="auto"/>
            <w:vAlign w:val="center"/>
          </w:tcPr>
          <w:p w14:paraId="4CDEB237" w14:textId="1D05CE69"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667C7D1" w14:textId="02CC488C"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30% (67/220)</w:t>
            </w:r>
          </w:p>
        </w:tc>
        <w:tc>
          <w:tcPr>
            <w:tcW w:w="0" w:type="auto"/>
            <w:vAlign w:val="center"/>
          </w:tcPr>
          <w:p w14:paraId="26695C9E" w14:textId="7207D163"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1% (2/220)</w:t>
            </w:r>
          </w:p>
        </w:tc>
        <w:tc>
          <w:tcPr>
            <w:tcW w:w="0" w:type="auto"/>
            <w:vAlign w:val="center"/>
          </w:tcPr>
          <w:p w14:paraId="3312DC03" w14:textId="30F8BB74"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58F24EC" w14:textId="513C1EB1"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5199C" w14:paraId="53777545" w14:textId="77777777" w:rsidTr="002E1DAD">
        <w:trPr>
          <w:trHeight w:val="590"/>
        </w:trPr>
        <w:tc>
          <w:tcPr>
            <w:tcW w:w="0" w:type="auto"/>
            <w:vAlign w:val="center"/>
          </w:tcPr>
          <w:p w14:paraId="21B63214" w14:textId="0CB4AA7A" w:rsidR="009D592A" w:rsidRDefault="009D592A" w:rsidP="009D592A">
            <w:pPr>
              <w:spacing w:line="360" w:lineRule="auto"/>
              <w:jc w:val="center"/>
              <w:rPr>
                <w:color w:val="000000" w:themeColor="text1"/>
                <w:sz w:val="16"/>
                <w:szCs w:val="16"/>
                <w:lang w:val="en-US"/>
              </w:rPr>
            </w:pPr>
            <w:proofErr w:type="spellStart"/>
            <w:r>
              <w:rPr>
                <w:color w:val="000000" w:themeColor="text1"/>
                <w:sz w:val="16"/>
                <w:szCs w:val="16"/>
                <w:lang w:val="en-US"/>
              </w:rPr>
              <w:t>Bilinski</w:t>
            </w:r>
            <w:proofErr w:type="spellEnd"/>
            <w:r>
              <w:rPr>
                <w:color w:val="000000" w:themeColor="text1"/>
                <w:sz w:val="16"/>
                <w:szCs w:val="16"/>
                <w:lang w:val="en-US"/>
              </w:rPr>
              <w:t xml:space="preserve"> 2016</w:t>
            </w:r>
            <w:r w:rsidR="00AB5244">
              <w:rPr>
                <w:color w:val="000000" w:themeColor="text1"/>
                <w:sz w:val="16"/>
                <w:szCs w:val="16"/>
                <w:lang w:val="en-US"/>
              </w:rPr>
              <w:fldChar w:fldCharType="begin" w:fldLock="1"/>
            </w:r>
            <w:r w:rsidR="00AB5244">
              <w:rPr>
                <w:color w:val="000000" w:themeColor="text1"/>
                <w:sz w:val="16"/>
                <w:szCs w:val="16"/>
                <w:lang w:val="en-US"/>
              </w:rPr>
              <w:instrText>ADDIN CSL_CITATION {"citationItems":[{"id":"ITEM-1","itemData":{"DOI":"10.1016/j.bbmt.2016.02.009","ISSN":"15236536","PMID":"26900084","abstract":"Gut colonization by antibiotic-resistant bacteria may underlie hard-to-treat systemic infections. There is also accumulating evidence on the immunomodulatory function of gut microbiota after allogeneic stem cell transplantation (alloSCT) and its impact on graft-versus-host disease (GVHD). We investigated the epidemiology and clinical impact of gut colonization after alloSCT and retrospectively analyzed data on 107 alloSCTs performed at a single transplant center. Pretransplant microbiology screening identified colonization in 31% of cases. Colonization had a negative impact on overall survival after alloSCT in univariate (34% versus 74% at 24 months, P &lt; .001) and multivariate (hazard ratio, 3.53; 95% confidence interval, 1.71 to 7.28; P &lt; .001) analyses. Nonrelapse mortality was significantly higher in colonized than in noncolonized patients (42% versus 11% at 24 months, P = .001). Colonized patients more frequently experienced bacteremia (48% versus 24%, P = .01), and more deaths were attributable to infectious causes in the colonized group (42% versus 11% of patients and 67% versus 29% of deaths, P &lt; .05). We observed a significantly higher incidence of grades II to IV acute GVHD in colonized than in noncolonized patients (42% versus 23%, P &lt; .05), especially involving the gastrointestinal system (33% versus 13.5%, P = .07). In summary, we determined that gut colonization by antibiotic-resistant bacteria decreases the overall survival of patients undergoing alloSCT by increasing nonrelapse mortality and the incidences of systemic infection and acute GVHD.","author":[{"dropping-particle":"","family":"Bilinski","given":"Jaroslaw","non-dropping-particle":"","parse-names":false,"suffix":""},{"dropping-particle":"","family":"Robak","given":"Katarzyna","non-dropping-particle":"","parse-names":false,"suffix":""},{"dropping-particle":"","family":"Peric","given":"Zinaida","non-dropping-particle":"","parse-names":false,"suffix":""},{"dropping-particle":"","family":"Marchel","given":"Halina","non-dropping-particle":"","parse-names":false,"suffix":""},{"dropping-particle":"","family":"Karakulska-Prystupiuk","given":"Ewa","non-dropping-particle":"","parse-names":false,"suffix":""},{"dropping-particle":"","family":"Halaburda","given":"Kazimierz","non-dropping-particle":"","parse-names":false,"suffix":""},{"dropping-particle":"","family":"Rusicka","given":"Patrycja","non-dropping-particle":"","parse-names":false,"suffix":""},{"dropping-particle":"","family":"Swoboda-Kopec","given":"Ewa","non-dropping-particle":"","parse-names":false,"suffix":""},{"dropping-particle":"","family":"Wroblewska","given":"Marta","non-dropping-particle":"","parse-names":false,"suffix":""},{"dropping-particle":"","family":"Wiktor-Jedrzejczak","given":"Wieslaw","non-dropping-particle":"","parse-names":false,"suffix":""},{"dropping-particle":"","family":"Basak","given":"Grzegorz W.","non-dropping-particle":"","parse-names":false,"suffix":""}],"container-title":"Biology of Blood and Marrow Transplantation","id":"ITEM-1","issue":"6","issued":{"date-parts":[["2016"]]},"page":"1087-1093","publisher":"Elsevier Inc","title":"Impact of Gut Colonization by Antibiotic-Resistant Bacteria on the Outcomes of Allogeneic Hematopoietic Stem Cell Transplantation: A Retrospective, Single-Center Study","type":"article-journal","volume":"22"},"uris":["http://www.mendeley.com/documents/?uuid=9a1eb6dc-1826-4ef0-9f0f-94434da626d7"]}],"mendeley":{"formattedCitation":"&lt;sup&gt;52&lt;/sup&gt;","plainTextFormattedCitation":"52","previouslyFormattedCitation":"&lt;sup&gt;52&lt;/sup&gt;"},"properties":{"noteIndex":0},"schema":"https://github.com/citation-style-language/schema/raw/master/csl-citation.json"}</w:instrText>
            </w:r>
            <w:r w:rsidR="00AB5244">
              <w:rPr>
                <w:color w:val="000000" w:themeColor="text1"/>
                <w:sz w:val="16"/>
                <w:szCs w:val="16"/>
                <w:lang w:val="en-US"/>
              </w:rPr>
              <w:fldChar w:fldCharType="separate"/>
            </w:r>
            <w:r w:rsidR="00AB5244" w:rsidRPr="00AB5244">
              <w:rPr>
                <w:noProof/>
                <w:color w:val="000000" w:themeColor="text1"/>
                <w:sz w:val="16"/>
                <w:szCs w:val="16"/>
                <w:vertAlign w:val="superscript"/>
                <w:lang w:val="en-US"/>
              </w:rPr>
              <w:t>52</w:t>
            </w:r>
            <w:r w:rsidR="00AB5244">
              <w:rPr>
                <w:color w:val="000000" w:themeColor="text1"/>
                <w:sz w:val="16"/>
                <w:szCs w:val="16"/>
                <w:lang w:val="en-US"/>
              </w:rPr>
              <w:fldChar w:fldCharType="end"/>
            </w:r>
          </w:p>
        </w:tc>
        <w:tc>
          <w:tcPr>
            <w:tcW w:w="0" w:type="auto"/>
            <w:vAlign w:val="center"/>
          </w:tcPr>
          <w:p w14:paraId="65ABF64A" w14:textId="2D4EC5B2"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107</w:t>
            </w:r>
          </w:p>
        </w:tc>
        <w:tc>
          <w:tcPr>
            <w:tcW w:w="0" w:type="auto"/>
            <w:vAlign w:val="center"/>
          </w:tcPr>
          <w:p w14:paraId="11146A99" w14:textId="4203096B" w:rsidR="009D592A" w:rsidRDefault="009D592A" w:rsidP="009D592A">
            <w:pPr>
              <w:spacing w:line="360" w:lineRule="auto"/>
              <w:jc w:val="center"/>
              <w:rPr>
                <w:sz w:val="16"/>
                <w:szCs w:val="16"/>
              </w:rPr>
            </w:pPr>
            <w:proofErr w:type="spellStart"/>
            <w:r>
              <w:rPr>
                <w:sz w:val="16"/>
                <w:szCs w:val="16"/>
              </w:rPr>
              <w:t>R</w:t>
            </w:r>
            <w:r w:rsidRPr="00FD59F9">
              <w:rPr>
                <w:sz w:val="16"/>
                <w:szCs w:val="16"/>
              </w:rPr>
              <w:t>ectal</w:t>
            </w:r>
            <w:proofErr w:type="spellEnd"/>
            <w:r w:rsidRPr="00FD59F9">
              <w:rPr>
                <w:sz w:val="16"/>
                <w:szCs w:val="16"/>
              </w:rPr>
              <w:t xml:space="preserve"> </w:t>
            </w:r>
            <w:proofErr w:type="spellStart"/>
            <w:r w:rsidRPr="00FD59F9">
              <w:rPr>
                <w:sz w:val="16"/>
                <w:szCs w:val="16"/>
              </w:rPr>
              <w:t>swab</w:t>
            </w:r>
            <w:proofErr w:type="spellEnd"/>
          </w:p>
        </w:tc>
        <w:tc>
          <w:tcPr>
            <w:tcW w:w="0" w:type="auto"/>
            <w:vAlign w:val="center"/>
          </w:tcPr>
          <w:p w14:paraId="574A30C5" w14:textId="098D19DA"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43DD074" w14:textId="05257AB8"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20% (21/107)</w:t>
            </w:r>
          </w:p>
        </w:tc>
        <w:tc>
          <w:tcPr>
            <w:tcW w:w="0" w:type="auto"/>
            <w:vAlign w:val="center"/>
          </w:tcPr>
          <w:p w14:paraId="6272D8A4" w14:textId="09E19301"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2% (2/107)</w:t>
            </w:r>
          </w:p>
        </w:tc>
        <w:tc>
          <w:tcPr>
            <w:tcW w:w="0" w:type="auto"/>
            <w:vAlign w:val="center"/>
          </w:tcPr>
          <w:p w14:paraId="6AEDF7FF" w14:textId="2DD13CA5"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4% (4/107)</w:t>
            </w:r>
          </w:p>
        </w:tc>
        <w:tc>
          <w:tcPr>
            <w:tcW w:w="0" w:type="auto"/>
            <w:vAlign w:val="center"/>
          </w:tcPr>
          <w:p w14:paraId="464FEB78" w14:textId="4F105105"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21% (22/107)</w:t>
            </w:r>
          </w:p>
        </w:tc>
        <w:tc>
          <w:tcPr>
            <w:tcW w:w="0" w:type="auto"/>
            <w:vAlign w:val="center"/>
          </w:tcPr>
          <w:p w14:paraId="030941ED" w14:textId="400106CE"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532C0B8" w14:textId="026EEC73"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7181F59" w14:textId="7471A28F"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20444" w14:paraId="062798F5" w14:textId="6A512D69" w:rsidTr="002E1DAD">
        <w:trPr>
          <w:trHeight w:val="590"/>
        </w:trPr>
        <w:tc>
          <w:tcPr>
            <w:tcW w:w="0" w:type="auto"/>
            <w:vAlign w:val="center"/>
          </w:tcPr>
          <w:p w14:paraId="6F8D7AC4" w14:textId="3CBF0879"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De la Court 2022</w:t>
            </w:r>
            <w:r w:rsidR="00AB5244">
              <w:rPr>
                <w:color w:val="000000" w:themeColor="text1"/>
                <w:sz w:val="16"/>
                <w:szCs w:val="16"/>
                <w:lang w:val="en-US"/>
              </w:rPr>
              <w:fldChar w:fldCharType="begin" w:fldLock="1"/>
            </w:r>
            <w:r w:rsidR="00AB5244">
              <w:rPr>
                <w:color w:val="000000" w:themeColor="text1"/>
                <w:sz w:val="16"/>
                <w:szCs w:val="16"/>
                <w:lang w:val="en-US"/>
              </w:rPr>
              <w:instrText>ADDIN CSL_CITATION {"citationItems":[{"id":"ITEM-1","itemData":{"DOI":"10.1186/s13756-022-01198-5","ISSN":"20472994","PMID":"36529742","abstract":"Background: In neutropenic patients, bloodstream infections (BSI) significantly contribute to morbidity and mortality. Appropriate empirical antibiotic therapy (EAT) of BSI is essential, at the same time overconsumption of very broad-spectrum antibiotics should be avoided. We investigated: (1) whether surveillance cultures can predict BSI with third-generation cephalosporin –resistant Enterobacterales and Pseudomonas aeruginosa (3GC-R), (2) the effect of inappropriate empirical antimicrobial therapy (IEAT) on clinical outcome and (3) the potential reduction of carbapenem use when using surveillance cultures to guide therapy. Methods: Retrospective study of adult patients with haematological malignancies with febrile episodes during chemotherapy-induced high-risk neutropenia in whom surveillance cultures were collected weekly. IEAT was defined as the absence of in vitro susceptibility of blood-isolates to the administered EAT. Clinical outcome (ICU admission and death) was evaluated within 30 days. Results: A total of 673 febrile episodes occurred among 372 high-risk neutropenic patients. BSI was present in 20.1% (135/673), of which 25.9% (35/135) were due to Enterobacterales and P. aeruginosa. Of these, 17/35 were 3GC-R and 70.6% (12/17) were preceded by 3GC-R colonization. Negative predictive value of surveillance cultures for 3GC-R BSI was 99.1%. IEAT due to (3GC-R) BSI was not significantly associated with clinical outcome. Using surveillance cultures to guide EAT could potentially reduce carbapenem use by 82.8%, when compared to standard EAT with carbapenem. Conclusions: This retrospective analysis shows that in patients with high-risk neutropenia, surveillance cultures can potentially reduce the use of carbapenems with infrequent IEAT for 3GC-R BSI and no negative impact on clinical outcome.","author":[{"dropping-particle":"","family":"la Court","given":"Jara R.","non-dropping-particle":"de","parse-names":false,"suffix":""},{"dropping-particle":"","family":"Heijmans","given":"Jarom","non-dropping-particle":"","parse-names":false,"suffix":""},{"dropping-particle":"","family":"Huynh","given":"Jennifer","non-dropping-particle":"","parse-names":false,"suffix":""},{"dropping-particle":"","family":"Sieswerda","given":"Elske","non-dropping-particle":"","parse-names":false,"suffix":""},{"dropping-particle":"","family":"Jonge","given":"Nick A.","non-dropping-particle":"de","parse-names":false,"suffix":""},{"dropping-particle":"","family":"Dijk","given":"Karin","non-dropping-particle":"van","parse-names":false,"suffix":""},{"dropping-particle":"","family":"Sigaloff","given":"Kim C.E.","non-dropping-particle":"","parse-names":false,"suffix":""},{"dropping-particle":"","family":"Schade","given":"Rogier P.","non-dropping-particle":"","parse-names":false,"suffix":""}],"container-title":"Antimicrobial Resistance and Infection Control","id":"ITEM-1","issue":"1","issued":{"date-parts":[["2022"]]},"page":"1-10","publisher":"BioMed Central","title":"Guidance of empirical antimicrobial therapy by surveillance cultures in high-risk neutropenic patients: a retrospective cohort study","type":"article-journal","volume":"11"},"uris":["http://www.mendeley.com/documents/?uuid=60feeea8-9f16-4a50-ac9b-08f3f1a5dcd2"]}],"mendeley":{"formattedCitation":"&lt;sup&gt;56&lt;/sup&gt;","plainTextFormattedCitation":"56","previouslyFormattedCitation":"&lt;sup&gt;56&lt;/sup&gt;"},"properties":{"noteIndex":0},"schema":"https://github.com/citation-style-language/schema/raw/master/csl-citation.json"}</w:instrText>
            </w:r>
            <w:r w:rsidR="00AB5244">
              <w:rPr>
                <w:color w:val="000000" w:themeColor="text1"/>
                <w:sz w:val="16"/>
                <w:szCs w:val="16"/>
                <w:lang w:val="en-US"/>
              </w:rPr>
              <w:fldChar w:fldCharType="separate"/>
            </w:r>
            <w:r w:rsidR="00AB5244" w:rsidRPr="00AB5244">
              <w:rPr>
                <w:noProof/>
                <w:color w:val="000000" w:themeColor="text1"/>
                <w:sz w:val="16"/>
                <w:szCs w:val="16"/>
                <w:vertAlign w:val="superscript"/>
                <w:lang w:val="en-US"/>
              </w:rPr>
              <w:t>56</w:t>
            </w:r>
            <w:r w:rsidR="00AB5244">
              <w:rPr>
                <w:color w:val="000000" w:themeColor="text1"/>
                <w:sz w:val="16"/>
                <w:szCs w:val="16"/>
                <w:lang w:val="en-US"/>
              </w:rPr>
              <w:fldChar w:fldCharType="end"/>
            </w:r>
          </w:p>
        </w:tc>
        <w:tc>
          <w:tcPr>
            <w:tcW w:w="0" w:type="auto"/>
            <w:vAlign w:val="center"/>
          </w:tcPr>
          <w:p w14:paraId="21ABA39F" w14:textId="3983DBA2"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372</w:t>
            </w:r>
          </w:p>
        </w:tc>
        <w:tc>
          <w:tcPr>
            <w:tcW w:w="0" w:type="auto"/>
            <w:vAlign w:val="center"/>
          </w:tcPr>
          <w:p w14:paraId="50B0CC53" w14:textId="0AE24A2A" w:rsidR="009D592A" w:rsidRPr="00FD59F9" w:rsidRDefault="009D592A" w:rsidP="009D592A">
            <w:pPr>
              <w:spacing w:line="360" w:lineRule="auto"/>
              <w:jc w:val="center"/>
              <w:rPr>
                <w:sz w:val="16"/>
                <w:szCs w:val="16"/>
                <w:lang w:val="en-US"/>
              </w:rPr>
            </w:pPr>
            <w:r w:rsidRPr="003E4C95">
              <w:rPr>
                <w:sz w:val="16"/>
                <w:szCs w:val="16"/>
                <w:lang w:val="en-US"/>
              </w:rPr>
              <w:t>Rectal swab</w:t>
            </w:r>
          </w:p>
        </w:tc>
        <w:tc>
          <w:tcPr>
            <w:tcW w:w="0" w:type="auto"/>
            <w:vAlign w:val="center"/>
          </w:tcPr>
          <w:p w14:paraId="299B6385" w14:textId="7639FAF3"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945B736" w14:textId="634E498C"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23% (87/372)</w:t>
            </w:r>
          </w:p>
        </w:tc>
        <w:tc>
          <w:tcPr>
            <w:tcW w:w="0" w:type="auto"/>
            <w:vAlign w:val="center"/>
          </w:tcPr>
          <w:p w14:paraId="129280EA" w14:textId="6541B72D"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96852DF" w14:textId="1AA28BE3"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24001E3" w14:textId="695D1E34"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C95493D" w14:textId="7353B17E"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5393837" w14:textId="2F2636A3"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2% (2/135)</w:t>
            </w:r>
          </w:p>
        </w:tc>
        <w:tc>
          <w:tcPr>
            <w:tcW w:w="0" w:type="auto"/>
            <w:vAlign w:val="center"/>
          </w:tcPr>
          <w:p w14:paraId="47480B62" w14:textId="721D1C0D" w:rsidR="009D592A" w:rsidRPr="000D377C"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5199C" w14:paraId="7260D76D" w14:textId="77777777" w:rsidTr="002E1DAD">
        <w:trPr>
          <w:trHeight w:val="590"/>
        </w:trPr>
        <w:tc>
          <w:tcPr>
            <w:tcW w:w="0" w:type="auto"/>
            <w:vAlign w:val="center"/>
          </w:tcPr>
          <w:p w14:paraId="2E7DC859" w14:textId="1D102FF1" w:rsidR="009D592A" w:rsidRDefault="009D592A" w:rsidP="009D592A">
            <w:pPr>
              <w:spacing w:line="360" w:lineRule="auto"/>
              <w:jc w:val="center"/>
              <w:rPr>
                <w:color w:val="000000" w:themeColor="text1"/>
                <w:sz w:val="16"/>
                <w:szCs w:val="16"/>
                <w:lang w:val="en-US"/>
              </w:rPr>
            </w:pPr>
            <w:proofErr w:type="spellStart"/>
            <w:r>
              <w:rPr>
                <w:color w:val="000000" w:themeColor="text1"/>
                <w:sz w:val="16"/>
                <w:szCs w:val="16"/>
                <w:lang w:val="en-US"/>
              </w:rPr>
              <w:t>Demiraslan</w:t>
            </w:r>
            <w:proofErr w:type="spellEnd"/>
            <w:r>
              <w:rPr>
                <w:color w:val="000000" w:themeColor="text1"/>
                <w:sz w:val="16"/>
                <w:szCs w:val="16"/>
                <w:lang w:val="en-US"/>
              </w:rPr>
              <w:t xml:space="preserve"> 2017</w:t>
            </w:r>
            <w:r w:rsidR="00AB5244">
              <w:rPr>
                <w:color w:val="000000" w:themeColor="text1"/>
                <w:sz w:val="16"/>
                <w:szCs w:val="16"/>
                <w:lang w:val="en-US"/>
              </w:rPr>
              <w:fldChar w:fldCharType="begin" w:fldLock="1"/>
            </w:r>
            <w:r w:rsidR="00AB5244">
              <w:rPr>
                <w:color w:val="000000" w:themeColor="text1"/>
                <w:sz w:val="16"/>
                <w:szCs w:val="16"/>
                <w:lang w:val="en-US"/>
              </w:rPr>
              <w:instrText>ADDIN CSL_CITATION {"citationItems":[{"id":"ITEM-1","itemData":{"DOI":"10.1016/j.ajic.2017.01.006","ISSN":"15273296","PMID":"28214159","abstract":"Background The aim of this study was to investigate the rate of carbapenem-resistant gram-negative bacilli (CRGNB) colonization and to analyze the risk factors associated with CRGNB colonization. Methods This prospective study was conducted in adult patients hospitalized in hematopoietic stem cell transplantation (HSCT) units over a period of 8 months. Rectal swab samples were obtained from each participant every Monday, and patients CRGNB positive on admission were excluded. Results Of 185 participants, the median age was 47 years, and 59.5% were men. CRGNB colonization was detected in 21 (11.4%) patients. The most commonly isolated CRGNB were Escherichia coli, Klebsiella pneumoniae, and Pseudomonas aeruginosa. Multivariate analysis revealed that busulfan use (11.9 times), fludarabine use (6.4 times), transfer from another hospital (7.8 times), transfer between units (9.3 times), and central venous catheterization (5.1 times) were risk factors for CRGNB colonization. During the study period, febrile neutropenia (FN) developed in 9 (56.2%) of the 21 colonized patients, and 1 patient died. Conclusions Screening of patients for CRGNB colonization may have a role in preventing the spread of CRGNB. However, the empirical antimicrobial treatment for FN in patients with CRGNB colonization did not change, and their mortality rates were similar.","author":[{"dropping-particle":"","family":"Demiraslan","given":"Hayati","non-dropping-particle":"","parse-names":false,"suffix":""},{"dropping-particle":"","family":"Cevahir","given":"Fatma","non-dropping-particle":"","parse-names":false,"suffix":""},{"dropping-particle":"","family":"Berk","given":"Elife","non-dropping-particle":"","parse-names":false,"suffix":""},{"dropping-particle":"","family":"Metan","given":"Gokhan","non-dropping-particle":"","parse-names":false,"suffix":""},{"dropping-particle":"","family":"Cetin","given":"Mustafa","non-dropping-particle":"","parse-names":false,"suffix":""},{"dropping-particle":"","family":"Alp","given":"Emine","non-dropping-particle":"","parse-names":false,"suffix":""}],"container-title":"American Journal of Infection Control","id":"ITEM-1","issue":"7","issued":{"date-parts":[["2017"]]},"page":"735-739","publisher":"Elsevier Inc.","title":"Is surveillance for colonization of carbapenem-resistant gram-negative bacteria important in adult bone marrow transplantation units?","type":"article-journal","volume":"45"},"uris":["http://www.mendeley.com/documents/?uuid=a47ac5c4-23b7-45e9-ad00-ad7e0f788092"]}],"mendeley":{"formattedCitation":"&lt;sup&gt;73&lt;/sup&gt;","plainTextFormattedCitation":"73","previouslyFormattedCitation":"&lt;sup&gt;73&lt;/sup&gt;"},"properties":{"noteIndex":0},"schema":"https://github.com/citation-style-language/schema/raw/master/csl-citation.json"}</w:instrText>
            </w:r>
            <w:r w:rsidR="00AB5244">
              <w:rPr>
                <w:color w:val="000000" w:themeColor="text1"/>
                <w:sz w:val="16"/>
                <w:szCs w:val="16"/>
                <w:lang w:val="en-US"/>
              </w:rPr>
              <w:fldChar w:fldCharType="separate"/>
            </w:r>
            <w:r w:rsidR="00AB5244" w:rsidRPr="00AB5244">
              <w:rPr>
                <w:noProof/>
                <w:color w:val="000000" w:themeColor="text1"/>
                <w:sz w:val="16"/>
                <w:szCs w:val="16"/>
                <w:vertAlign w:val="superscript"/>
                <w:lang w:val="en-US"/>
              </w:rPr>
              <w:t>73</w:t>
            </w:r>
            <w:r w:rsidR="00AB5244">
              <w:rPr>
                <w:color w:val="000000" w:themeColor="text1"/>
                <w:sz w:val="16"/>
                <w:szCs w:val="16"/>
                <w:lang w:val="en-US"/>
              </w:rPr>
              <w:fldChar w:fldCharType="end"/>
            </w:r>
          </w:p>
        </w:tc>
        <w:tc>
          <w:tcPr>
            <w:tcW w:w="0" w:type="auto"/>
            <w:vAlign w:val="center"/>
          </w:tcPr>
          <w:p w14:paraId="2A7BD387" w14:textId="7426EA9D"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185</w:t>
            </w:r>
          </w:p>
        </w:tc>
        <w:tc>
          <w:tcPr>
            <w:tcW w:w="0" w:type="auto"/>
            <w:vAlign w:val="center"/>
          </w:tcPr>
          <w:p w14:paraId="6B6EA9AC" w14:textId="14036FEA" w:rsidR="009D592A" w:rsidRDefault="009D592A" w:rsidP="009D592A">
            <w:pPr>
              <w:spacing w:line="360" w:lineRule="auto"/>
              <w:jc w:val="center"/>
              <w:rPr>
                <w:sz w:val="16"/>
                <w:szCs w:val="16"/>
              </w:rPr>
            </w:pPr>
            <w:proofErr w:type="spellStart"/>
            <w:r>
              <w:rPr>
                <w:sz w:val="16"/>
                <w:szCs w:val="16"/>
              </w:rPr>
              <w:t>Re</w:t>
            </w:r>
            <w:r w:rsidRPr="00FD59F9">
              <w:rPr>
                <w:sz w:val="16"/>
                <w:szCs w:val="16"/>
              </w:rPr>
              <w:t>ctal</w:t>
            </w:r>
            <w:proofErr w:type="spellEnd"/>
            <w:r>
              <w:rPr>
                <w:sz w:val="16"/>
                <w:szCs w:val="16"/>
              </w:rPr>
              <w:t xml:space="preserve"> </w:t>
            </w:r>
            <w:r w:rsidRPr="00FD59F9">
              <w:rPr>
                <w:sz w:val="16"/>
                <w:szCs w:val="16"/>
              </w:rPr>
              <w:t>+</w:t>
            </w:r>
            <w:r>
              <w:rPr>
                <w:sz w:val="16"/>
                <w:szCs w:val="16"/>
              </w:rPr>
              <w:t xml:space="preserve"> </w:t>
            </w:r>
            <w:proofErr w:type="spellStart"/>
            <w:r w:rsidRPr="00FD59F9">
              <w:rPr>
                <w:sz w:val="16"/>
                <w:szCs w:val="16"/>
              </w:rPr>
              <w:t>pharyngeal</w:t>
            </w:r>
            <w:proofErr w:type="spellEnd"/>
            <w:r w:rsidRPr="00FD59F9">
              <w:rPr>
                <w:sz w:val="16"/>
                <w:szCs w:val="16"/>
              </w:rPr>
              <w:t xml:space="preserve"> </w:t>
            </w:r>
            <w:proofErr w:type="spellStart"/>
            <w:r w:rsidRPr="00FD59F9">
              <w:rPr>
                <w:sz w:val="16"/>
                <w:szCs w:val="16"/>
              </w:rPr>
              <w:t>swab</w:t>
            </w:r>
            <w:proofErr w:type="spellEnd"/>
          </w:p>
        </w:tc>
        <w:tc>
          <w:tcPr>
            <w:tcW w:w="0" w:type="auto"/>
            <w:vAlign w:val="center"/>
          </w:tcPr>
          <w:p w14:paraId="0F701E34" w14:textId="62E9269E"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B4367F6" w14:textId="257B6799"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3F8359D" w14:textId="0A421727"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11% (21/185)</w:t>
            </w:r>
          </w:p>
        </w:tc>
        <w:tc>
          <w:tcPr>
            <w:tcW w:w="0" w:type="auto"/>
            <w:vAlign w:val="center"/>
          </w:tcPr>
          <w:p w14:paraId="242D9B6F" w14:textId="247ED9FC"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4B0AB2C" w14:textId="317D4F78"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8A37328" w14:textId="2F5E8DE7"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185738B" w14:textId="5976B28E"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7AE3CD6" w14:textId="39ACD10C"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5199C" w14:paraId="029D0543" w14:textId="77777777" w:rsidTr="002E1DAD">
        <w:trPr>
          <w:trHeight w:val="590"/>
        </w:trPr>
        <w:tc>
          <w:tcPr>
            <w:tcW w:w="0" w:type="auto"/>
            <w:vAlign w:val="center"/>
          </w:tcPr>
          <w:p w14:paraId="444837AF" w14:textId="529B6D79" w:rsidR="002E1DAD"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t>Gedik</w:t>
            </w:r>
            <w:proofErr w:type="spellEnd"/>
            <w:r>
              <w:rPr>
                <w:color w:val="000000" w:themeColor="text1"/>
                <w:sz w:val="16"/>
                <w:szCs w:val="16"/>
                <w:lang w:val="en-US"/>
              </w:rPr>
              <w:t xml:space="preserve"> 2014</w:t>
            </w:r>
            <w:r w:rsidR="00AB5244">
              <w:rPr>
                <w:color w:val="000000" w:themeColor="text1"/>
                <w:sz w:val="16"/>
                <w:szCs w:val="16"/>
                <w:lang w:val="en-US"/>
              </w:rPr>
              <w:fldChar w:fldCharType="begin" w:fldLock="1"/>
            </w:r>
            <w:r w:rsidR="00AB5244">
              <w:rPr>
                <w:color w:val="000000" w:themeColor="text1"/>
                <w:sz w:val="16"/>
                <w:szCs w:val="16"/>
                <w:lang w:val="en-US"/>
              </w:rPr>
              <w:instrText>ADDIN CSL_CITATION {"citationItems":[{"id":"ITEM-1","itemData":{"DOI":"10.4314/ahs.v14i4.18","ISSN":"16806905","PMID":"25834499","abstract":"Background and objective: We evaluated the rates of vancomycin-resistant enterococci (VRE) colonization and VRErelated bacteremia in patients with hematological malignancies in terms of routine screening culture and its cost-effectiveness. Materials and Methods: All patients of the hematology department who were older than 14 years of age and who developed at least one febrile neutropenia episode during chemotherapy for hematological cancers between November 2010 and November 2012 were evaluated retrospectively.\nResults: We retrospectively analyzed 282 febrile episodes in 126 neutropenic patients during a two-year study period. The study included 65 cases in the first study-year and 78 cases in the second study-year. The numbers of colonization days and colonized patient were748 days of colonization in 29 patients (44%) in the first study-year and 547 colonization days in 21 patients (26%) in the second study-year, respectively. Routine screening culture for VRE cost $4516,4 (427 cultures) in the first study-year, $5082,7 (504 cultures) in the second study-year depending on the number of patients and their length of stay.\nConclusion: In line with our study results, routine screening of hematological patients for VRE colonization is not costeffective. Routine surveillance culture for VRE should be considered with respect to the conditions of health care setting.","author":[{"dropping-particle":"","family":"Habip","given":"Gedik","non-dropping-particle":"","parse-names":false,"suffix":""},{"dropping-particle":"","family":"Funda","given":"Şimşek","non-dropping-particle":"","parse-names":false,"suffix":""},{"dropping-particle":"","family":"Arzu","given":"Kantürk","non-dropping-particle":"","parse-names":false,"suffix":""},{"dropping-particle":"","family":"Taner","given":"Yıldırmak","non-dropping-particle":"","parse-names":false,"suffix":""},{"dropping-particle":"","family":"Deniz","given":"Arıca","non-dropping-particle":"","parse-names":false,"suffix":""},{"dropping-particle":"","family":"Demet","given":"Aydın","non-dropping-particle":"","parse-names":false,"suffix":""},{"dropping-particle":"","family":"Osman","given":"Yokuş","non-dropping-particle":"","parse-names":false,"suffix":""},{"dropping-particle":"","family":"Naciye","given":"Demirel","non-dropping-particle":"","parse-names":false,"suffix":""}],"container-title":"African Health Sciences","id":"ITEM-1","issue":"4","issued":{"date-parts":[["2014"]]},"page":"899-905","title":"Vancomycin-resistant enterococci colonization in patients with hematological malignancies: Screening and its cost-effectiveness","type":"article-journal","volume":"14"},"uris":["http://www.mendeley.com/documents/?uuid=3ec68d77-5f73-4273-99b2-55e51b53a1cd"]}],"mendeley":{"formattedCitation":"&lt;sup&gt;74&lt;/sup&gt;","plainTextFormattedCitation":"74","previouslyFormattedCitation":"&lt;sup&gt;74&lt;/sup&gt;"},"properties":{"noteIndex":0},"schema":"https://github.com/citation-style-language/schema/raw/master/csl-citation.json"}</w:instrText>
            </w:r>
            <w:r w:rsidR="00AB5244">
              <w:rPr>
                <w:color w:val="000000" w:themeColor="text1"/>
                <w:sz w:val="16"/>
                <w:szCs w:val="16"/>
                <w:lang w:val="en-US"/>
              </w:rPr>
              <w:fldChar w:fldCharType="separate"/>
            </w:r>
            <w:r w:rsidR="00AB5244" w:rsidRPr="00AB5244">
              <w:rPr>
                <w:noProof/>
                <w:color w:val="000000" w:themeColor="text1"/>
                <w:sz w:val="16"/>
                <w:szCs w:val="16"/>
                <w:vertAlign w:val="superscript"/>
                <w:lang w:val="en-US"/>
              </w:rPr>
              <w:t>74</w:t>
            </w:r>
            <w:r w:rsidR="00AB5244">
              <w:rPr>
                <w:color w:val="000000" w:themeColor="text1"/>
                <w:sz w:val="16"/>
                <w:szCs w:val="16"/>
                <w:lang w:val="en-US"/>
              </w:rPr>
              <w:fldChar w:fldCharType="end"/>
            </w:r>
          </w:p>
        </w:tc>
        <w:tc>
          <w:tcPr>
            <w:tcW w:w="0" w:type="auto"/>
            <w:vAlign w:val="center"/>
          </w:tcPr>
          <w:p w14:paraId="218D0187" w14:textId="2BA77733"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282</w:t>
            </w:r>
          </w:p>
        </w:tc>
        <w:tc>
          <w:tcPr>
            <w:tcW w:w="0" w:type="auto"/>
            <w:vAlign w:val="center"/>
          </w:tcPr>
          <w:p w14:paraId="3980606D" w14:textId="52949AB8" w:rsidR="002E1DAD" w:rsidRDefault="002E1DAD" w:rsidP="002E1DAD">
            <w:pPr>
              <w:spacing w:line="360" w:lineRule="auto"/>
              <w:jc w:val="center"/>
              <w:rPr>
                <w:sz w:val="16"/>
                <w:szCs w:val="16"/>
              </w:rPr>
            </w:pPr>
            <w:proofErr w:type="spellStart"/>
            <w:r>
              <w:rPr>
                <w:sz w:val="16"/>
                <w:szCs w:val="16"/>
              </w:rPr>
              <w:t>R</w:t>
            </w:r>
            <w:r w:rsidRPr="00FD59F9">
              <w:rPr>
                <w:sz w:val="16"/>
                <w:szCs w:val="16"/>
              </w:rPr>
              <w:t>ectal</w:t>
            </w:r>
            <w:proofErr w:type="spellEnd"/>
            <w:r w:rsidRPr="00FD59F9">
              <w:rPr>
                <w:sz w:val="16"/>
                <w:szCs w:val="16"/>
              </w:rPr>
              <w:t xml:space="preserve"> </w:t>
            </w:r>
            <w:proofErr w:type="spellStart"/>
            <w:r w:rsidRPr="00FD59F9">
              <w:rPr>
                <w:sz w:val="16"/>
                <w:szCs w:val="16"/>
              </w:rPr>
              <w:t>swab</w:t>
            </w:r>
            <w:proofErr w:type="spellEnd"/>
          </w:p>
        </w:tc>
        <w:tc>
          <w:tcPr>
            <w:tcW w:w="0" w:type="auto"/>
            <w:vAlign w:val="center"/>
          </w:tcPr>
          <w:p w14:paraId="0CFFFAE9" w14:textId="2A0071B7"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34970CB" w14:textId="6E175065"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37905C5" w14:textId="0F742782"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4DF313C" w14:textId="761C6098"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1707608" w14:textId="39B2942A"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40% (50/126)</w:t>
            </w:r>
          </w:p>
        </w:tc>
        <w:tc>
          <w:tcPr>
            <w:tcW w:w="0" w:type="auto"/>
            <w:vAlign w:val="center"/>
          </w:tcPr>
          <w:p w14:paraId="626CE353" w14:textId="12EAED4C"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659DFDE" w14:textId="599E2E83"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0EDECAA" w14:textId="246B3062"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20444" w14:paraId="55992296" w14:textId="77777777" w:rsidTr="002E1DAD">
        <w:trPr>
          <w:trHeight w:val="590"/>
        </w:trPr>
        <w:tc>
          <w:tcPr>
            <w:tcW w:w="0" w:type="auto"/>
            <w:vAlign w:val="center"/>
          </w:tcPr>
          <w:p w14:paraId="66B0F234" w14:textId="6F4078AC" w:rsidR="002E1DAD"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t>Girmenia</w:t>
            </w:r>
            <w:proofErr w:type="spellEnd"/>
            <w:r>
              <w:rPr>
                <w:color w:val="000000" w:themeColor="text1"/>
                <w:sz w:val="16"/>
                <w:szCs w:val="16"/>
                <w:lang w:val="en-US"/>
              </w:rPr>
              <w:t xml:space="preserve"> 2015</w:t>
            </w:r>
            <w:r w:rsidR="00AB5244">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{"citationItems":[{"id":"ITEM-1","itemData":{"DOI":"10.1038/bmt.2014.231","ISSN":"14765365","PMID":"25310302","abstract":"Infections by carbapenem-resistant Klebsiella pneumoniae (CRKp) represent a challenging problem after SCT. A retrospective survey (January 2010 to July 2013) involving 52 Italian centers was performed to assess the epidemiology and the prognostic factors of CRKp infections in auto- and allo-SCT. Cases of CRKp infection were reported in 53.4% of centers. CRKp infections were documented in 25 auto-SCTs and 87 allo-SCTs, with an incidence of 0.4% (from 0.1% in 2010 to 0.7% in 2013) and 2% (from 0.4% in 2010 to 2.9% in 2013), respectively. A CRKp colonization documented before or after transplant was followed by an infection in 25.8% of auto-SCT and 39.2% of allo-SCT patients. The infection-related mortality rates were 16% and 64.4%, respectively. A pre-transplant CRKp infection (hazard ratio (HR) 0.33, 95% confidence intervals (CIs) 0.15-0.74; P=0.007) and a not CRKp-targeted first-line treatment (HR 2.67, 95% CI 1.43-4.99; P=0.002) were independent factors associated with an increased mortality in allo-SCT patients who developed a CRKp infection. Our study shows challenging findings of CRKp infections in SCT patients in Italy particularly after allo-SCT. The detection of carriers and the definition of early therapeutic strategies represent critical aspects of the management of CRKp infections after SCT.","author":[{"dropping-particle":"","family":"Girmenia","given":"C.","non-dropping-particle":"","parse-names":false,"suffix":""},{"dropping-particle":"","family":"Rossolini","given":"G. M.","non-dropping-particle":"","parse-names":false,"suffix":""},{"dropping-particle":"","family":"Piciocchi","given":"A.","non-dropping-particle":"","parse-names":false,"suffix":""},{"dropping-particle":"","family":"Bertaina","given":"Alice","non-dropping-particle":"","parse-names":false,"suffix":""},{"dropping-particle":"","family":"Pisapia","given":"Giovanni","non-dropping-particle":"","parse-names":false,"suffix":""},{"dropping-particle":"","family":"Pastore","given":"D.","non-dropping-particle":"","parse-names":false,"suffix":""},{"dropping-particle":"","family":"Sica","given":"Simona","non-dropping-particle":"","parse-names":false,"suffix":""},{"dropping-particle":"","family":"Severino","given":"Alessandro","non-dropping-particle":"","parse-names":false,"suffix":""},{"dropping-particle":"","family":"Cudillo","given":"Laura","non-dropping-particle":"","parse-names":false,"suffix":""},{"dropping-particle":"","family":"Ciceri","given":"Fabio","non-dropping-particle":"","parse-names":false,"suffix":""},{"dropping-particle":"","family":"Scimè","given":"Rosanna","non-dropping-particle":"","parse-names":false,"suffix":""},{"dropping-particle":"","family":"Lombardini","given":"L.","non-dropping-particle":"","parse-names":false,"suffix":""},{"dropping-particle":"","family":"Viscoli","given":"C.","non-dropping-particle":"","parse-names":false,"suffix":""},{"dropping-particle":"","family":"Rambaldi","given":"Alessandro","non-dropping-particle":"","parse-names":false,"suffix":""},{"dropping-particle":"","family":"Frigeni","given":"Marco","non-dropping-particle":"","parse-names":false,"suffix":""},{"dropping-particle":"","family":"Corti","given":"Consuelo","non-dropping-particle":"","parse-names":false,"suffix":""},{"dropping-particle":"","family":"Mometto","given":"Gabriella","non-dropping-particle":"","parse-names":false,"suffix":""},{"dropping-particle":"","family":"Annaloro","given":"Claudio","non-dropping-particle":"","parse-names":false,"suffix":""},{"dropping-particle":"","family":"Casari","given":"Erminia","non-dropping-particle":"","parse-names":false,"suffix":""},{"dropping-particle":"","family":"Castagna","given":"Luca","non-dropping-particle":"","parse-names":false,"suffix":""},{"dropping-particle":"","family":"Rossi","given":"Giuseppe","non-dropping-particle":"","parse-names":false,"suffix":""},{"dropping-particle":"","family":"Cattaneo","given":"Chiara","non-dropping-particle":"","parse-names":false,"suffix":""},{"dropping-particle":"","family":"Russo","given":"Domenico","non-dropping-particle":"","parse-names":false,"suffix":""},{"dropping-particle":"","family":"Cancelli","given":"Valeria","non-dropping-particle":"","parse-names":false,"suffix":""},{"dropping-particle":"","family":"Alessandrino","given":"Emilio Paolo","non-dropping-particle":"","parse-names":false,"suffix":""},{"dropping-particle":"","family":"Ripamonti","given":"Francesco","non-dropping-particle":"","parse-names":false,"suffix":""},{"dropping-particle":"","family":"Pavan","given":"Fabio","non-dropping-particle":"","parse-names":false,"suffix":""},{"dropping-particle":"","family":"Rovelli","given":"Attilio","non-dropping-particle":"","parse-names":false,"suffix":""},{"dropping-particle":"","family":"Pecoraro","given":"Clara","non-dropping-particle":"","parse-names":false,"suffix":""},{"dropping-particle":"","family":"Busca","given":"Alessandro","non-dropping-particle":"","parse-names":false,"suffix":""},{"dropping-particle":"","family":"Carraro","given":"Francesca","non-dropping-particle":"","parse-names":false,"suffix":""},{"dropping-particle":"","family":"Fagioli","given":"Franca","non-dropping-particle":"","parse-names":false,"suffix":""},{"dropping-particle":"","family":"Gallo","given":"Susanna","non-dropping-particle":"","parse-names":false,"suffix":""},{"dropping-particle":"","family":"Caravelli","given":"Daniele","non-dropping-particle":"","parse-names":false,"suffix":""},{"dropping-particle":"","family":"Gobbi","given":"Marco","non-dropping-particle":"De","parse-names":false,"suffix":""},{"dropping-particle":"","family":"Saglio","given":"Giuseppe","non-dropping-particle":"","parse-names":false,"suffix":""},{"dropping-particle":"","family":"Castellino","given":"Claudia","non-dropping-particle":"","parse-names":false,"suffix":""},{"dropping-particle":"","family":"Mordini","given":"Nicola","non-dropping-particle":"","parse-names":false,"suffix":""},{"dropping-particle":"","family":"Gaidano","given":"Gianluca","non-dropping-particle":"","parse-names":false,"suffix":""},{"dropping-particle":"","family":"Nassi","given":"Luca","non-dropping-particle":"","parse-names":false,"suffix":""},{"dropping-particle":"","family":"Raimondi","given":"Roberto","non-dropping-particle":"","parse-names":false,"suffix":""},{"dropping-particle":"","family":"Vespignani","given":"Michele","non-dropping-particle":"","parse-names":false,"suffix":""},{"dropping-particle":"","family":"Scattolin","given":"Anna Maria","non-dropping-particle":"","parse-names":false,"suffix":""},{"dropping-particle":"","family":"Panizzolo","given":"Irene Sara","non-dropping-particle":"","parse-names":false,"suffix":""},{"dropping-particle":"","family":"Cesaro","given":"Simone","non-dropping-particle":"","parse-names":false,"suffix":""},{"dropping-particle":"","family":"Candoni","given":"Anna","non-dropping-particle":"","parse-names":false,"suffix":""},{"dropping-particle":"","family":"Patriarca","given":"Francesca","non-dropping-particle":"","parse-names":false,"suffix":""},{"dropping-particle":"","family":"Bacigalupo","given":"Andrea","non-dropping-particle":"","parse-names":false,"suffix":""},{"dropping-particle":"","family":"Raiola","given":"Annamaria","non-dropping-particle":"","parse-names":false,"suffix":""},{"dropping-particle":"","family":"Castagnola","given":"Elio","non-dropping-particle":"","parse-names":false,"suffix":""},{"dropping-particle":"","family":"Lanino","given":"Edoardo","non-dropping-particle":"","parse-names":false,"suffix":""},{"dropping-particle":"","family":"Stanzani","given":"Marta","non-dropping-particle":"","parse-names":false,"suffix":""},{"dropping-particle":"","family":"Bandini","given":"Giuseppe","non-dropping-particle":"","parse-names":false,"suffix":""},{"dropping-particle":"","family":"Massaccesi","given":"Erika","non-dropping-particle":"","parse-names":false,"suffix":""},{"dropping-particle":"","family":"Prete","given":"Arcangelo","non-dropping-particle":"","parse-names":false,"suffix":""},{"dropping-particle":"","family":"Bassi","given":"Simona","non-dropping-particle":"","parse-names":false,"suffix":""},{"dropping-particle":"","family":"Vallisa","given":"Daniele","non-dropping-particle":"","parse-names":false,"suffix":""},{"dropping-particle":"","family":"Caramatti","given":"Cecilia","non-dropping-particle":"","parse-names":false,"suffix":""},{"dropping-particle":"","family":"Aversa","given":"Franco","non-dropping-particle":"","parse-names":false,"suffix":""},{"dropping-particle":"","family":"Zuffa","given":"Eliana","non-dropping-particle":"","parse-names":false,"suffix":""},{"dropping-particle":"","family":"Guidi","given":"Stefano","non-dropping-particle":"","parse-names":false,"suffix":""},{"dropping-particle":"","family":"Bosi","given":"Alberto","non-dropping-particle":"","parse-names":false,"suffix":""},{"dropping-particle":"","family":"Tintori","given":"Veronica","non-dropping-particle":"","parse-names":false,"suffix":""},{"dropping-particle":"","family":"Iori","given":"Anna Paola","non-dropping-particle":"","parse-names":false,"suffix":""},{"dropping-particle":"","family":"Capria","given":"Saveria","non-dropping-particle":"","parse-names":false,"suffix":""},{"dropping-particle":"","family":"Arcese","given":"William","non-dropping-particle":"","parse-names":false,"suffix":""},{"dropping-particle":"","family":"Dentamaro","given":"Teresa","non-dropping-particle":"","parse-names":false,"suffix":""},{"dropping-particle":"","family":"Fabritiis","given":"Paolo","non-dropping-particle":"De","parse-names":false,"suffix":""},{"dropping-particle":"","family":"Anaclerico","given":"Barbara","non-dropping-particle":"","parse-names":false,"suffix":""},{"dropping-particle":"","family":"Chierichini","given":"Anna","non-dropping-particle":"","parse-names":false,"suffix":""},{"dropping-particle":"","family":"Piedimonte","given":"Monica","non-dropping-particle":"","parse-names":false,"suffix":""},{"dropping-particle":"","family":"Ferrari","given":"Antonella","non-dropping-particle":"","parse-names":false,"suffix":""},{"dropping-particle":"","family":"Marchesi","given":"Francesco","non-dropping-particle":"","parse-names":false,"suffix":""},{"dropping-particle":"","family":"Mengarelli","given":"Andrea","non-dropping-particle":"","parse-names":false,"suffix":""},{"dropping-particle":"","family":"Cerchiara","given":"Elisabetta","non-dropping-particle":"","parse-names":false,"suffix":""},{"dropping-particle":"","family":"Tirindelli","given":"Maria Cristina","non-dropping-particle":"","parse-names":false,"suffix":""},{"dropping-particle":"","family":"Gaziev","given":"Javid","non-dropping-particle":"","parse-names":false,"suffix":""},{"dropping-particle":"","family":"Majolino","given":"Ignazio","non-dropping-particle":"","parse-names":false,"suffix":""},{"dropping-particle":"","family":"Chiusolo","given":"Patrizia","non-dropping-particle":"","parse-names":false,"suffix":""},{"dropping-particle":"","family":"Lucarelli","given":"Barbarella","non-dropping-particle":"","parse-names":false,"suffix":""},{"dropping-particle":"","family":"Massei","given":"Maria Speranza","non-dropping-particle":"","parse-names":false,"suffix":""},{"dropping-particle":"","family":"Carotti","given":"Alessandra","non-dropping-particle":"","parse-names":false,"suffix":""},{"dropping-particle":"","family":"Perruccio","given":"Katia","non-dropping-particle":"","parse-names":false,"suffix":""},{"dropping-particle":"","family":"Caniglia","given":"Maurizio","non-dropping-particle":"","parse-names":false,"suffix":""},{"dropping-particle":"","family":"Santarone","given":"Stella","non-dropping-particle":"","parse-names":false,"suffix":""},{"dropping-particle":"","family":"Bartolomeo","given":"Paolo","non-dropping-particle":"Di","parse-names":false,"suffix":""},{"dropping-particle":"","family":"Mazzotta","given":"Serena","non-dropping-particle":"","parse-names":false,"suffix":""},{"dropping-particle":"","family":"Galieni","given":"Piero","non-dropping-particle":"","parse-names":false,"suffix":""},{"dropping-particle":"","family":"Olivieri","given":"Attilio","non-dropping-particle":"","parse-names":false,"suffix":""},{"dropping-particle":"","family":"Rosa","given":"Gennaro","non-dropping-particle":"De","parse-names":false,"suffix":""},{"dropping-particle":"","family":"Risitano","given":"Antonio","non-dropping-particle":"","parse-names":false,"suffix":""},{"dropping-particle":"","family":"Delia","given":"Mario","non-dropping-particle":"","parse-names":false,"suffix":""},{"dropping-particle":"","family":"Specchia","given":"Giorgina","non-dropping-particle":"","parse-names":false,"suffix":""},{"dropping-particle":"","family":"Palazzo","given":"Giulia","non-dropping-particle":"","parse-names":false,"suffix":""},{"dropping-particle":"","family":"Messina","given":"Giuseppe","non-dropping-particle":"","parse-names":false,"suffix":""},{"dropping-particle":"","family":"Irrera","given":"Giuseppe","non-dropping-particle":"","parse-names":false,"suffix":""},{"dropping-particle":"","family":"Angelucci","given":"Emanuele","non-dropping-particle":"","parse-names":false,"suffix":""},{"dropping-particle":"","family":"Baronciani","given":"Donatella","non-dropping-particle":"","parse-names":false,"suffix":""},{"dropping-particle":"","family":"Vacca","given":"Adriana","non-dropping-particle":"","parse-names":false,"suffix":""},{"dropping-particle":"","family":"Crescimanno","given":"Alessandra","non-dropping-particle":"","parse-names":false,"suffix":""},{"dropping-particle":"","family":"Musso","given":"Maurizio","non-dropping-particle":"","parse-names":false,"suffix":""},{"dropping-particle":"","family":"Imbriani","given":"Alida","non-dropping-particle":"","parse-names":false,"suffix":""},{"dropping-particle":"","family":"Milone","given":"Giuseppe","non-dropping-particle":"","parse-names":false,"suffix":""}],"container-title":"Bone Marrow Transplantation","id":"ITEM-1","issue":"2","issued":{"date-parts":[["2015"]]},"page":"282-288","title":"Infections by carbapenem-resistant Klebsiella pneumoniae in SCT recipients: A nationwide retrospective survey from Italy","type":"article-journal","volume":"50"},"uris":["http://www.mendeley.com/documents/?uuid=26d7b123-b5a1-4a5c-86a2-06a5655d0563"]}],"mendeley":{"formattedCitation":"&lt;sup&gt;75&lt;/sup&gt;","plainTextFormattedCitation":"75","previouslyFormattedCitation":"&lt;sup&gt;75&lt;/sup&gt;"},"properties":{"noteIndex":0},"schema":"https://github.com/citation-style-language/schema/raw/master/csl-citation.json"}</w:instrText>
            </w:r>
            <w:r w:rsidR="00AB5244">
              <w:rPr>
                <w:color w:val="000000" w:themeColor="text1"/>
                <w:sz w:val="16"/>
                <w:szCs w:val="16"/>
                <w:lang w:val="en-US"/>
              </w:rPr>
              <w:fldChar w:fldCharType="separate"/>
            </w:r>
            <w:r w:rsidR="00AB5244" w:rsidRPr="00AB5244">
              <w:rPr>
                <w:noProof/>
                <w:color w:val="000000" w:themeColor="text1"/>
                <w:sz w:val="16"/>
                <w:szCs w:val="16"/>
                <w:vertAlign w:val="superscript"/>
                <w:lang w:val="en-US"/>
              </w:rPr>
              <w:t>75</w:t>
            </w:r>
            <w:r w:rsidR="00AB5244">
              <w:rPr>
                <w:color w:val="000000" w:themeColor="text1"/>
                <w:sz w:val="16"/>
                <w:szCs w:val="16"/>
                <w:lang w:val="en-US"/>
              </w:rPr>
              <w:fldChar w:fldCharType="end"/>
            </w:r>
          </w:p>
        </w:tc>
        <w:tc>
          <w:tcPr>
            <w:tcW w:w="0" w:type="auto"/>
            <w:vAlign w:val="center"/>
          </w:tcPr>
          <w:p w14:paraId="2D48B3F8" w14:textId="79FCBBE5"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5111</w:t>
            </w:r>
          </w:p>
        </w:tc>
        <w:tc>
          <w:tcPr>
            <w:tcW w:w="0" w:type="auto"/>
            <w:vAlign w:val="center"/>
          </w:tcPr>
          <w:p w14:paraId="592D0D54" w14:textId="4786AB49" w:rsidR="002E1DAD" w:rsidRPr="00AB5244" w:rsidRDefault="002E1DAD" w:rsidP="002E1DAD">
            <w:pPr>
              <w:spacing w:line="360" w:lineRule="auto"/>
              <w:jc w:val="center"/>
              <w:rPr>
                <w:sz w:val="16"/>
                <w:szCs w:val="16"/>
                <w:lang w:val="en-US"/>
              </w:rPr>
            </w:pPr>
            <w:r w:rsidRPr="00AB5244">
              <w:rPr>
                <w:sz w:val="16"/>
                <w:szCs w:val="16"/>
                <w:lang w:val="en-US"/>
              </w:rPr>
              <w:t>Rectal + pharyngeal + urine swab</w:t>
            </w:r>
          </w:p>
        </w:tc>
        <w:tc>
          <w:tcPr>
            <w:tcW w:w="0" w:type="auto"/>
            <w:vAlign w:val="center"/>
          </w:tcPr>
          <w:p w14:paraId="3065405C" w14:textId="1465E2D8"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762D207" w14:textId="23BC2B59"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52030C1" w14:textId="04D7B5A0"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 xml:space="preserve">2% </w:t>
            </w:r>
            <w:proofErr w:type="gramStart"/>
            <w:r>
              <w:rPr>
                <w:color w:val="000000" w:themeColor="text1"/>
                <w:sz w:val="16"/>
                <w:szCs w:val="16"/>
                <w:lang w:val="en-US"/>
              </w:rPr>
              <w:t>( 82</w:t>
            </w:r>
            <w:proofErr w:type="gramEnd"/>
            <w:r>
              <w:rPr>
                <w:color w:val="000000" w:themeColor="text1"/>
                <w:sz w:val="16"/>
                <w:szCs w:val="16"/>
                <w:lang w:val="en-US"/>
              </w:rPr>
              <w:t>/5411)</w:t>
            </w:r>
          </w:p>
        </w:tc>
        <w:tc>
          <w:tcPr>
            <w:tcW w:w="0" w:type="auto"/>
            <w:vAlign w:val="center"/>
          </w:tcPr>
          <w:p w14:paraId="1EFB50A1" w14:textId="625F68C1"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A50F546" w14:textId="0142A5B5"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EDE4E86" w14:textId="74DBD250"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177718D" w14:textId="302044CB"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E4C0643" w14:textId="60FBFD2E"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20444" w14:paraId="068424C7" w14:textId="77777777" w:rsidTr="002E1DAD">
        <w:trPr>
          <w:trHeight w:val="590"/>
        </w:trPr>
        <w:tc>
          <w:tcPr>
            <w:tcW w:w="0" w:type="auto"/>
            <w:vAlign w:val="center"/>
          </w:tcPr>
          <w:p w14:paraId="4E578F67" w14:textId="768F43B2" w:rsidR="002E1DAD"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t>Girmenia</w:t>
            </w:r>
            <w:proofErr w:type="spellEnd"/>
            <w:r>
              <w:rPr>
                <w:color w:val="000000" w:themeColor="text1"/>
                <w:sz w:val="16"/>
                <w:szCs w:val="16"/>
                <w:lang w:val="en-US"/>
              </w:rPr>
              <w:t xml:space="preserve"> 2017</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{"citationItems":[{"id":"ITEM-1","itemData":{"DOI":"10.1093/cid/cix690","ISSN":"15376591","PMID":"29020286","abstract":"Background Gram-negative bacteremia (GNB) is a major cause of illness and death after hematopoietic stem cell transplantation (HSCT), and updated epidemiological investigation is advisable. Methods We prospectively evaluated the epidemiology of pre-engraftment GNB in 1118 allogeneic HSCTs (allo-HSCTs) and 1625 autologous HSCTs (auto-HSCTs) among 54 transplant centers during 2014 (SIGNB-GITMO-AMCLI study). Using logistic regression methods. we identified risk factors for GNB and evaluated the impact of GNB on the 4-month overall-survival after transplant. Results The cumulative incidence of pre-engraftment GNB was 17.3% in allo-HSCT and 9% in auto-HSCT. Escherichia coli, Klebsiella pneumoniae, and Pseudomonas aeruginosa were the most common isolates. By multivariate analysis, variables associated with GNB were a diagnosis of acute leukemia, a transplant from a HLA-mismatched donor and from cord blood, older age, and duration of severe neutropenia in allo-HSCT, and a diagnosis of lymphoma, older age, and no antibacterial prophylaxis in auto-HSCT. A pretransplant infection by a resistant pathogen was significantly associated with an increased risk of posttransplant infection by the same microorganism in allo-HSCT. Colonization by resistant gram-negative bacteria was significantly associated with an increased rate of infection by the same pathogen in both transplant procedures. GNB was independently associated with increased mortality at 4 months both in allo-HSCT (hazard ratio, 2.13; 95% confidence interval, 1.45-3.13; P &lt;.001) and auto-HSCT (2.43; 1.22-4.84; P =.01). Conclusions Pre-engraftment GNB is an independent factor associated with increased mortality rate at 4 months after auto-HSCT and allo-HSCT. Previous infectious history and colonization monitoring represent major indicators of GNB. Clinical Trials registration NCT02088840.","author":[{"dropping-particle":"","family":"Girmenia","given":"Corrado","non-dropping-particle":"","parse-names":false,"suffix":""},{"dropping-particle":"","family":"Bertaina","given":"A.","non-dropping-particle":"","parse-names":false,"suffix":""},{"dropping-particle":"","family":"Piciocchi","given":"Alfonso","non-dropping-particle":"","parse-names":false,"suffix":""},{"dropping-particle":"","family":"Perruccio","given":"Katia","non-dropping-particle":"","parse-names":false,"suffix":""},{"dropping-particle":"","family":"Algarotti","given":"Alessandra","non-dropping-particle":"","parse-names":false,"suffix":""},{"dropping-particle":"","family":"Busca","given":"A.","non-dropping-particle":"","parse-names":false,"suffix":""},{"dropping-particle":"","family":"Cattaneo","given":"Chiara","non-dropping-particle":"","parse-names":false,"suffix":""},{"dropping-particle":"","family":"Raiola","given":"Anna Maria","non-dropping-particle":"","parse-names":false,"suffix":""},{"dropping-particle":"","family":"Guidi","given":"Stefano","non-dropping-particle":"","parse-names":false,"suffix":""},{"dropping-particle":"","family":"Iori","given":"Anna Paola","non-dropping-particle":"","parse-names":false,"suffix":""},{"dropping-particle":"","family":"Candoni","given":"Anna","non-dropping-particle":"","parse-names":false,"suffix":""},{"dropping-particle":"","family":"Irrera","given":"Giuseppe","non-dropping-particle":"","parse-names":false,"suffix":""},{"dropping-particle":"","family":"Milone","given":"G.","non-dropping-particle":"","parse-names":false,"suffix":""},{"dropping-particle":"","family":"Marcacci","given":"G.","non-dropping-particle":"","parse-names":false,"suffix":""},{"dropping-particle":"","family":"Scimè","given":"Rosanna","non-dropping-particle":"","parse-names":false,"suffix":""},{"dropping-particle":"","family":"Musso","given":"Maurizio","non-dropping-particle":"","parse-names":false,"suffix":""},{"dropping-particle":"","family":"Cudillo","given":"L.","non-dropping-particle":"","parse-names":false,"suffix":""},{"dropping-particle":"","family":"Sica","given":"S.","non-dropping-particle":"","parse-names":false,"suffix":""},{"dropping-particle":"","family":"Castagna","given":"Luca","non-dropping-particle":"","parse-names":false,"suffix":""},{"dropping-particle":"","family":"Corradini","given":"Paolo","non-dropping-particle":"","parse-names":false,"suffix":""},{"dropping-particle":"","family":"Marchesi","given":"Francesco","non-dropping-particle":"","parse-names":false,"suffix":""},{"dropping-particle":"","family":"Pastore","given":"Domenico","non-dropping-particle":"","parse-names":false,"suffix":""},{"dropping-particle":"","family":"Alessandrino","given":"Emilio Paolo","non-dropping-particle":"","parse-names":false,"suffix":""},{"dropping-particle":"","family":"Annaloro","given":"Claudio","non-dropping-particle":"","parse-names":false,"suffix":""},{"dropping-particle":"","family":"Ciceri","given":"Fabio","non-dropping-particle":"","parse-names":false,"suffix":""},{"dropping-particle":"","family":"Santarone","given":"S.","non-dropping-particle":"","parse-names":false,"suffix":""},{"dropping-particle":"","family":"Nassi","given":"Luca","non-dropping-particle":"","parse-names":false,"suffix":""},{"dropping-particle":"","family":"Farina","given":"Claudio","non-dropping-particle":"","parse-names":false,"suffix":""},{"dropping-particle":"","family":"Viscoli","given":"Claudio","non-dropping-particle":"","parse-names":false,"suffix":""},{"dropping-particle":"","family":"Rossolini","given":"Gian Maria","non-dropping-particle":"","parse-names":false,"suffix":""},{"dropping-particle":"","family":"Bonifazi","given":"Francesca","non-dropping-particle":"","parse-names":false,"suffix":""},{"dropping-particle":"","family":"Rambaldi","given":"Alessandro","non-dropping-particle":"","parse-names":false,"suffix":""},{"dropping-particle":"","family":"Capria","given":"Saveria","non-dropping-particle":"","parse-names":false,"suffix":""},{"dropping-particle":"","family":"Mastronuzzi","given":"Angela","non-dropping-particle":"","parse-names":false,"suffix":""},{"dropping-particle":"","family":"Pagliara","given":"Daria","non-dropping-particle":"","parse-names":false,"suffix":""},{"dropping-particle":"","family":"Bernaschi","given":"Paola","non-dropping-particle":"","parse-names":false,"suffix":""},{"dropping-particle":"","family":"Amico","given":"Lucia","non-dropping-particle":"","parse-names":false,"suffix":""},{"dropping-particle":"","family":"Carotti","given":"Alessandra","non-dropping-particle":"","parse-names":false,"suffix":""},{"dropping-particle":"","family":"Mencacci","given":"Antonella","non-dropping-particle":"","parse-names":false,"suffix":""},{"dropping-particle":"","family":"Bruno","given":"Benedetto","non-dropping-particle":"","parse-names":false,"suffix":""},{"dropping-particle":"","family":"Costa","given":"Cristina","non-dropping-particle":"","parse-names":false,"suffix":""},{"dropping-particle":"","family":"Passi","given":"Angela","non-dropping-particle":"","parse-names":false,"suffix":""},{"dropping-particle":"","family":"Ravizzola","given":"Giuseppe","non-dropping-particle":"","parse-names":false,"suffix":""},{"dropping-particle":"","family":"Angelucci","given":"Emanuele","non-dropping-particle":"","parse-names":false,"suffix":""},{"dropping-particle":"","family":"Marchese","given":"Anna","non-dropping-particle":"","parse-names":false,"suffix":""},{"dropping-particle":"","family":"Pecile","given":"Patrizia","non-dropping-particle":"","parse-names":false,"suffix":""},{"dropping-particle":"","family":"Ventura","given":"Giovanna","non-dropping-particle":"","parse-names":false,"suffix":""},{"dropping-particle":"","family":"Fanin","given":"Renato","non-dropping-particle":"","parse-names":false,"suffix":""},{"dropping-particle":"","family":"Scarparo","given":"Claudio","non-dropping-particle":"","parse-names":false,"suffix":""},{"dropping-particle":"","family":"Barbaro","given":"Angelo","non-dropping-particle":"","parse-names":false,"suffix":""},{"dropping-particle":"","family":"Leotta","given":"Salvatore","non-dropping-particle":"","parse-names":false,"suffix":""},{"dropping-particle":"","family":"Marchese","given":"Anna Elisa","non-dropping-particle":"","parse-names":false,"suffix":""},{"dropping-particle":"","family":"Becchimanzi","given":"Cristina","non-dropping-particle":"","parse-names":false,"suffix":""},{"dropping-particle":"","family":"Donnarumma","given":"Daniela","non-dropping-particle":"","parse-names":false,"suffix":""},{"dropping-particle":"","family":"Tringali","given":"Stefania","non-dropping-particle":"","parse-names":false,"suffix":""},{"dropping-particle":"","family":"Baldi","given":"Maria Teresa","non-dropping-particle":"","parse-names":false,"suffix":""},{"dropping-particle":"","family":"Scalone","given":"Renato","non-dropping-particle":"","parse-names":false,"suffix":""},{"dropping-particle":"","family":"Picardi","given":"Alessandra","non-dropping-particle":"","parse-names":false,"suffix":""},{"dropping-particle":"","family":"Arcese","given":"William","non-dropping-particle":"","parse-names":false,"suffix":""},{"dropping-particle":"","family":"Fontana","given":"Carla","non-dropping-particle":"","parse-names":false,"suffix":""},{"dropping-particle":"","family":"Giammarco","given":"Sabrina","non-dropping-particle":"","parse-names":false,"suffix":""},{"dropping-particle":"","family":"Spanu","given":"Teresa","non-dropping-particle":"","parse-names":false,"suffix":""},{"dropping-particle":"","family":"Crocchiolo","given":"Roberto","non-dropping-particle":"","parse-names":false,"suffix":""},{"dropping-particle":"","family":"Casari","given":"Erminia","non-dropping-particle":"","parse-names":false,"suffix":""},{"dropping-particle":"","family":"Mussetti","given":"Alberto","non-dropping-particle":"","parse-names":false,"suffix":""},{"dropping-particle":"","family":"Conte","given":"Eutilia","non-dropping-particle":"","parse-names":false,"suffix":""},{"dropping-particle":"","family":"Ensoli","given":"Fabrizio","non-dropping-particle":"","parse-names":false,"suffix":""},{"dropping-particle":"","family":"Miragliotta","given":"Giuseppe","non-dropping-particle":"","parse-names":false,"suffix":""},{"dropping-particle":"","family":"Marone","given":"Piero","non-dropping-particle":"","parse-names":false,"suffix":""},{"dropping-particle":"","family":"Arghittu","given":"Milena","non-dropping-particle":"","parse-names":false,"suffix":""},{"dropping-particle":"","family":"Greco","given":"Raffaella","non-dropping-particle":"","parse-names":false,"suffix":""},{"dropping-particle":"","family":"Forcina","given":"Alessandra","non-dropping-particle":"","parse-names":false,"suffix":""},{"dropping-particle":"","family":"Chichero","given":"Paola","non-dropping-particle":"","parse-names":false,"suffix":""},{"dropping-particle":"","family":"Bartolomeo","given":"Paolo","non-dropping-particle":"Di","parse-names":false,"suffix":""},{"dropping-particle":"","family":"Fazii","given":"Paolo","non-dropping-particle":"","parse-names":false,"suffix":""},{"dropping-particle":"","family":"Kroumova","given":"Vesselina","non-dropping-particle":"","parse-names":false,"suffix":""},{"dropping-particle":"","family":"Decembrino","given":"Nunzia","non-dropping-particle":"","parse-names":false,"suffix":""},{"dropping-particle":"","family":"Zecca","given":"Marco","non-dropping-particle":"","parse-names":false,"suffix":""},{"dropping-particle":"","family":"Pisapia","given":"Giovanni","non-dropping-particle":"","parse-names":false,"suffix":""},{"dropping-particle":"","family":"Palazzo","given":"Giulia","non-dropping-particle":"","parse-names":false,"suffix":""},{"dropping-particle":"","family":"Lanino","given":"Edoardo","non-dropping-particle":"","parse-names":false,"suffix":""},{"dropping-particle":"","family":"Faraci","given":"Maura","non-dropping-particle":"","parse-names":false,"suffix":""},{"dropping-particle":"","family":"Castagnola","given":"Elio","non-dropping-particle":"","parse-names":false,"suffix":""},{"dropping-particle":"","family":"Bandettini","given":"Roberto","non-dropping-particle":"","parse-names":false,"suffix":""},{"dropping-particle":"","family":"Pastano","given":"Rocco","non-dropping-particle":"","parse-names":false,"suffix":""},{"dropping-particle":"","family":"Sammassimo","given":"Simona","non-dropping-particle":"","parse-names":false,"suffix":""},{"dropping-particle":"","family":"Passerini","given":"Rita","non-dropping-particle":"","parse-names":false,"suffix":""},{"dropping-particle":"","family":"Stefani","given":"Piero Maria","non-dropping-particle":"","parse-names":false,"suffix":""},{"dropping-particle":"","family":"Gherlinzoni","given":"Filippo","non-dropping-particle":"","parse-names":false,"suffix":""},{"dropping-particle":"","family":"Rigoli","given":"Roberto","non-dropping-particle":"","parse-names":false,"suffix":""},{"dropping-particle":"","family":"Prezioso","given":"Lucia","non-dropping-particle":"","parse-names":false,"suffix":""},{"dropping-particle":"","family":"Cambò","given":"Benedetta","non-dropping-particle":"","parse-names":false,"suffix":""},{"dropping-particle":"","family":"Calderaro","given":"Adriana","non-dropping-particle":"","parse-names":false,"suffix":""},{"dropping-particle":"","family":"Carella","given":"Angelo Michele","non-dropping-particle":"","parse-names":false,"suffix":""},{"dropping-particle":"","family":"Cascavilla","given":"Nicola","non-dropping-particle":"","parse-names":false,"suffix":""},{"dropping-particle":"","family":"Labonia","given":"Maria Teresa","non-dropping-particle":"","parse-names":false,"suffix":""},{"dropping-particle":"","family":"Celeghini","given":"Ivana","non-dropping-particle":"","parse-names":false,"suffix":""},{"dropping-particle":"","family":"Mordini","given":"Nicola","non-dropping-particle":"","parse-names":false,"suffix":""},{"dropping-particle":"","family":"Piana","given":"Federica","non-dropping-particle":"","parse-names":false,"suffix":""},{"dropping-particle":"","family":"Vacca","given":"Adriana","non-dropping-particle":"","parse-names":false,"suffix":""},{"dropping-particle":"","family":"Sanna","given":"Marco","non-dropping-particle":"","parse-names":false,"suffix":""},{"dropping-particle":"","family":"Podda","given":"Giovanni","non-dropping-particle":"","parse-names":false,"suffix":""},{"dropping-particle":"","family":"Corsetti","given":"Maria Teresa","non-dropping-particle":"","parse-names":false,"suffix":""},{"dropping-particle":"","family":"Rocchetti","given":"Andrea","non-dropping-particle":"","parse-names":false,"suffix":""},{"dropping-particle":"","family":"Cilloni","given":"Daniela","non-dropping-particle":"","parse-names":false,"suffix":""},{"dropping-particle":"","family":"Gobbi","given":"Marco","non-dropping-particle":"De","parse-names":false,"suffix":""},{"dropping-particle":"","family":"Bianco","given":"Ornella","non-dropping-particle":"","parse-names":false,"suffix":""},{"dropping-particle":"","family":"Fagioli","given":"Franca","non-dropping-particle":"","parse-names":false,"suffix":""},{"dropping-particle":"","family":"Carraro","given":"Francesca","non-dropping-particle":"","parse-names":false,"suffix":""},{"dropping-particle":"","family":"Intinis","given":"Gianfranco","non-dropping-particle":"De","parse-names":false,"suffix":""},{"dropping-particle":"","family":"Severino","given":"Alessandro","non-dropping-particle":"","parse-names":false,"suffix":""},{"dropping-particle":"","family":"Proia","given":"Anna","non-dropping-particle":"","parse-names":false,"suffix":""},{"dropping-particle":"","family":"Parisi","given":"Gabriella","non-dropping-particle":"","parse-names":false,"suffix":""},{"dropping-particle":"","family":"Vallisa","given":"Daniele","non-dropping-particle":"","parse-names":false,"suffix":""},{"dropping-particle":"","family":"Confalonieri","given":"Massimo","non-dropping-particle":"","parse-names":false,"suffix":""},{"dropping-particle":"","family":"Russo","given":"Domenico","non-dropping-particle":"","parse-names":false,"suffix":""},{"dropping-particle":"","family":"Malagola","given":"Michele","non-dropping-particle":"","parse-names":false,"suffix":""},{"dropping-particle":"","family":"Galieni","given":"Piero","non-dropping-particle":"","parse-names":false,"suffix":""},{"dropping-particle":"","family":"Falcioni","given":"Sadia","non-dropping-particle":"","parse-names":false,"suffix":""},{"dropping-particle":"","family":"Travaglini","given":"Valeria","non-dropping-particle":"","parse-names":false,"suffix":""},{"dropping-particle":"","family":"Raimondi","given":"Roberto","non-dropping-particle":"","parse-names":false,"suffix":""},{"dropping-particle":"","family":"Borghero","given":"Carlo","non-dropping-particle":"","parse-names":false,"suffix":""},{"dropping-particle":"","family":"Pavan","given":"Giacomina","non-dropping-particle":"","parse-names":false,"suffix":""},{"dropping-particle":"","family":"Prete","given":"Arcangelo","non-dropping-particle":"","parse-names":false,"suffix":""},{"dropping-particle":"","family":"Belotti","given":"Tamara","non-dropping-particle":"","parse-names":false,"suffix":""},{"dropping-particle":"","family":"Ambretti","given":"Simone","non-dropping-particle":"","parse-names":false,"suffix":""},{"dropping-particle":"","family":"Imola","given":"Manuela","non-dropping-particle":"","parse-names":false,"suffix":""},{"dropping-particle":"","family":"Mianulli","given":"Anna Maria","non-dropping-particle":"","parse-names":false,"suffix":""},{"dropping-particle":"","family":"Pedna","given":"Maria Federica","non-dropping-particle":"","parse-names":false,"suffix":""},{"dropping-particle":"","family":"Cesaro","given":"Simone","non-dropping-particle":"","parse-names":false,"suffix":""},{"dropping-particle":"","family":"Cascio","given":"Giuliana","non-dropping-particle":"Lo","parse-names":false,"suffix":""},{"dropping-particle":"","family":"Ferrari","given":"Antonella","non-dropping-particle":"","parse-names":false,"suffix":""},{"dropping-particle":"","family":"Piedimonte","given":"Monica","non-dropping-particle":"","parse-names":false,"suffix":""},{"dropping-particle":"","family":"Santino","given":"Iolanda","non-dropping-particle":"","parse-names":false,"suffix":""},{"dropping-particle":"","family":"Calandrelli","given":"Monica","non-dropping-particle":"","parse-names":false,"suffix":""},{"dropping-particle":"","family":"Olivieri","given":"Attilio","non-dropping-particle":"","parse-names":false,"suffix":""},{"dropping-particle":"","family":"Orecchioni","given":"Francesca","non-dropping-particle":"","parse-names":false,"suffix":""},{"dropping-particle":"","family":"Mirabile","given":"Milena","non-dropping-particle":"","parse-names":false,"suffix":""},{"dropping-particle":"","family":"Centurioni","given":"Riccardo","non-dropping-particle":"","parse-names":false,"suffix":""},{"dropping-particle":"","family":"Gironacci","given":"Luciana","non-dropping-particle":"","parse-names":false,"suffix":""},{"dropping-particle":"","family":"Caravelli","given":"Daniela","non-dropping-particle":"","parse-names":false,"suffix":""},{"dropping-particle":"","family":"Gallo","given":"Susanna","non-dropping-particle":"","parse-names":false,"suffix":""},{"dropping-particle":"","family":"Filippi","given":"Marco","non-dropping-particle":"De","parse-names":false,"suffix":""},{"dropping-particle":"","family":"Cupelli","given":"Luca","non-dropping-particle":"","parse-names":false,"suffix":""},{"dropping-particle":"","family":"Dentamaro","given":"Teresa","non-dropping-particle":"","parse-names":false,"suffix":""},{"dropping-particle":"","family":"Falco","given":"Silvana","non-dropping-particle":"","parse-names":false,"suffix":""},{"dropping-particle":"","family":"Eugenio","given":"Ospedale S.","non-dropping-particle":"","parse-names":false,"suffix":""},{"dropping-particle":"","family":"Marotta","given":"Serena","non-dropping-particle":"","parse-names":false,"suffix":""},{"dropping-particle":"","family":"Risitano","given":"Antonio","non-dropping-particle":"","parse-names":false,"suffix":""},{"dropping-particle":"","family":"Lula","given":"Dora","non-dropping-particle":"","parse-names":false,"suffix":""},{"dropping-particle":"","family":"Musto","given":"Pellegrino","non-dropping-particle":"","parse-names":false,"suffix":""},{"dropping-particle":"","family":"Pietrantuono","given":"Giuseppe","non-dropping-particle":"","parse-names":false,"suffix":""},{"dropping-particle":"","family":"Traficante","given":"Antonio","non-dropping-particle":"","parse-names":false,"suffix":""},{"dropping-particle":"","family":"Cerchiara","given":"Elisabetta","non-dropping-particle":"","parse-names":false,"suffix":""},{"dropping-particle":"","family":"Tirindelli","given":"Maria Cristina","non-dropping-particle":"","parse-names":false,"suffix":""},{"dropping-particle":"","family":"Dicuonzo","given":"Giordano","non-dropping-particle":"","parse-names":false,"suffix":""},{"dropping-particle":"","family":"Chierichini","given":"Anna","non-dropping-particle":"","parse-names":false,"suffix":""},{"dropping-particle":"","family":"Anaclerico","given":"Barbara","non-dropping-particle":"","parse-names":false,"suffix":""},{"dropping-particle":"","family":"Placanica","given":"Paola","non-dropping-particle":"","parse-names":false,"suffix":""}],"container-title":"Clinical Infectious Diseases","id":"ITEM-1","issue":"11","issued":{"date-parts":[["2017"]]},"page":"1884-1896","title":"Incidence, Risk Factors and Outcome of Pre-engraftment Gram-Negative Bacteremia after Allogeneic and Autologous Hematopoietic Stem Cell Transplantation: An Italian Prospective Multicenter Survey","type":"article-journal","volume":"65"},"uris":["http://www.mendeley.com/documents/?uuid=536b57e2-6525-4927-94e0-708e2886de32"]}],"mendeley":{"formattedCitation":"&lt;sup&gt;59&lt;/sup&gt;","plainTextFormattedCitation":"59","previouslyFormattedCitation":"&lt;sup&gt;59&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59</w:t>
            </w:r>
            <w:r w:rsidR="003E4C95">
              <w:rPr>
                <w:color w:val="000000" w:themeColor="text1"/>
                <w:sz w:val="16"/>
                <w:szCs w:val="16"/>
                <w:lang w:val="en-US"/>
              </w:rPr>
              <w:fldChar w:fldCharType="end"/>
            </w:r>
          </w:p>
        </w:tc>
        <w:tc>
          <w:tcPr>
            <w:tcW w:w="0" w:type="auto"/>
            <w:vAlign w:val="center"/>
          </w:tcPr>
          <w:p w14:paraId="10254DF1" w14:textId="5FBBB629"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2743</w:t>
            </w:r>
          </w:p>
        </w:tc>
        <w:tc>
          <w:tcPr>
            <w:tcW w:w="0" w:type="auto"/>
            <w:vAlign w:val="center"/>
          </w:tcPr>
          <w:p w14:paraId="022BE322" w14:textId="3F48341D" w:rsidR="002E1DAD" w:rsidRPr="00AB5244" w:rsidRDefault="002E1DAD" w:rsidP="002E1DAD">
            <w:pPr>
              <w:spacing w:line="360" w:lineRule="auto"/>
              <w:jc w:val="center"/>
              <w:rPr>
                <w:sz w:val="16"/>
                <w:szCs w:val="16"/>
                <w:lang w:val="en-US"/>
              </w:rPr>
            </w:pPr>
            <w:r w:rsidRPr="00AB5244">
              <w:rPr>
                <w:sz w:val="16"/>
                <w:szCs w:val="16"/>
                <w:lang w:val="en-US"/>
              </w:rPr>
              <w:t>Rectal + pharyngeal + urine swab</w:t>
            </w:r>
          </w:p>
        </w:tc>
        <w:tc>
          <w:tcPr>
            <w:tcW w:w="0" w:type="auto"/>
            <w:vAlign w:val="center"/>
          </w:tcPr>
          <w:p w14:paraId="68B534E3" w14:textId="5004019E"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ABAE8BF" w14:textId="44BEF65F"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9% (193/2216)</w:t>
            </w:r>
          </w:p>
        </w:tc>
        <w:tc>
          <w:tcPr>
            <w:tcW w:w="0" w:type="auto"/>
            <w:vAlign w:val="center"/>
          </w:tcPr>
          <w:p w14:paraId="3F7FB0AB" w14:textId="6CFE6A88"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2% (64/2490)</w:t>
            </w:r>
          </w:p>
        </w:tc>
        <w:tc>
          <w:tcPr>
            <w:tcW w:w="0" w:type="auto"/>
            <w:vAlign w:val="center"/>
          </w:tcPr>
          <w:p w14:paraId="20A95C53" w14:textId="7749E34E"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1% (9/2204)</w:t>
            </w:r>
          </w:p>
        </w:tc>
        <w:tc>
          <w:tcPr>
            <w:tcW w:w="0" w:type="auto"/>
            <w:vAlign w:val="center"/>
          </w:tcPr>
          <w:p w14:paraId="1C47AB94" w14:textId="68A229EF"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48E14ED" w14:textId="302FA6BE"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9C57880" w14:textId="2F1C9699"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1% (1/2200)</w:t>
            </w:r>
          </w:p>
        </w:tc>
        <w:tc>
          <w:tcPr>
            <w:tcW w:w="0" w:type="auto"/>
            <w:vAlign w:val="center"/>
          </w:tcPr>
          <w:p w14:paraId="07ACAD61" w14:textId="76CA41AC"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2% (3/220)</w:t>
            </w:r>
          </w:p>
        </w:tc>
      </w:tr>
      <w:tr w:rsidR="003E4C95" w:rsidRPr="00F20444" w14:paraId="225BF458" w14:textId="77777777" w:rsidTr="002E1DAD">
        <w:trPr>
          <w:trHeight w:val="590"/>
        </w:trPr>
        <w:tc>
          <w:tcPr>
            <w:tcW w:w="0" w:type="auto"/>
            <w:vAlign w:val="center"/>
          </w:tcPr>
          <w:p w14:paraId="01BD9814" w14:textId="2784940D"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Heidenreich 2018</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{"citationItems":[{"id":"ITEM-1","itemData":{"DOI":"10.1007/s00277-018-3475-6","ISSN":"14320584","PMID":"30121845","abstract":"Multidrug-resistant organisms (MDRO) have been developing as an emerging problem in allogeneic hematopoietic cell transplantation (HCT). Since no data are available on the course of MDRO colonization after HCT, we investigated in this retrospective, single-center study, persistence and clearance of MDRO after HCT. From June 2010 to December 2015, 121 consecutive HCT patients were included. Patients received a MDRO screening before conditioning as well as surveillance cultures after HCT. In MDRO-colonized patients, surveillance specimens were taken until MDRO were no longer detectable. Thirty-three patients (27%) were found to be colonized by at least one MDRO at any time point until day 100 post HCT. Day 100 (2-year) non-relapse mortality (NRM) and overall survival (OS) of MDRO-colonized (MDRO+) versus non-colonized (MDRO−) patients were essentially the same. NRM is 15% (21%) versus 15% (24%). Two-year OS is 60 versus 55% for MDRO+ versus MDRO− patients. Out of the 33 MDRO+ patients, 21 cleared the MDRO. Median time to non-detectability of MDRO was 6 months. In 12 patients, the MDRO persisted. There was a significant (p &lt; 0.0001) survival difference between patients who cleared the MDRO versus those with MDRO persistence (2-year OS 80 vs 40%). Except for the length of antibiotic therapy as a potential risk factor for MDRO persistence after HCT, no other conventional factors could be identified. (a) colonization by MDRO per se had no negative impact on the outcome, (b) MDRO can be cleared by the majority of patients after allogeneic HCT, and (c) to increase the probability to clear MDRO, the use of antibiotics in MDRO+ patients should be reviewed critically.","author":[{"dropping-particle":"","family":"Heidenreich","given":"D.","non-dropping-particle":"","parse-names":false,"suffix":""},{"dropping-particle":"","family":"Kreil","given":"S.","non-dropping-particle":"","parse-names":false,"suffix":""},{"dropping-particle":"","family":"Jawhar","given":"M.","non-dropping-particle":"","parse-names":false,"suffix":""},{"dropping-particle":"","family":"Müller","given":"N.","non-dropping-particle":"","parse-names":false,"suffix":""},{"dropping-particle":"","family":"Nolte","given":"F.","non-dropping-particle":"","parse-names":false,"suffix":""},{"dropping-particle":"","family":"Becker","given":"K. P.","non-dropping-particle":"","parse-names":false,"suffix":""},{"dropping-particle":"","family":"Miethke","given":"T.","non-dropping-particle":"","parse-names":false,"suffix":""},{"dropping-particle":"","family":"Hofmann","given":"W. K.","non-dropping-particle":"","parse-names":false,"suffix":""},{"dropping-particle":"","family":"Klein","given":"Stefan A.","non-dropping-particle":"","parse-names":false,"suffix":""}],"container-title":"Annals of Hematology","id":"ITEM-1","issue":"12","issued":{"date-parts":[["2018"]]},"page":"2501-2508","publisher":"Annals of Hematology","title":"Course of colonization by multidrug-resistant organisms after allogeneic hematopoietic cell transplantation","type":"article-journal","volume":"97"},"uris":["http://www.mendeley.com/documents/?uuid=c92d50fe-4535-4346-9976-d2d99ff31293"]}],"mendeley":{"formattedCitation":"&lt;sup&gt;76&lt;/sup&gt;","plainTextFormattedCitation":"76","previouslyFormattedCitation":"&lt;sup&gt;76&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76</w:t>
            </w:r>
            <w:r w:rsidR="003E4C95">
              <w:rPr>
                <w:color w:val="000000" w:themeColor="text1"/>
                <w:sz w:val="16"/>
                <w:szCs w:val="16"/>
                <w:lang w:val="en-US"/>
              </w:rPr>
              <w:fldChar w:fldCharType="end"/>
            </w:r>
          </w:p>
        </w:tc>
        <w:tc>
          <w:tcPr>
            <w:tcW w:w="0" w:type="auto"/>
            <w:vAlign w:val="center"/>
          </w:tcPr>
          <w:p w14:paraId="617FF05C" w14:textId="45458BCE"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121</w:t>
            </w:r>
          </w:p>
        </w:tc>
        <w:tc>
          <w:tcPr>
            <w:tcW w:w="0" w:type="auto"/>
            <w:vAlign w:val="center"/>
          </w:tcPr>
          <w:p w14:paraId="0434E301" w14:textId="181141F1" w:rsidR="002E1DAD" w:rsidRPr="00AB5244" w:rsidRDefault="002E1DAD" w:rsidP="002E1DAD">
            <w:pPr>
              <w:spacing w:line="360" w:lineRule="auto"/>
              <w:jc w:val="center"/>
              <w:rPr>
                <w:sz w:val="16"/>
                <w:szCs w:val="16"/>
                <w:lang w:val="en-US"/>
              </w:rPr>
            </w:pPr>
            <w:r w:rsidRPr="00AB5244">
              <w:rPr>
                <w:sz w:val="16"/>
                <w:szCs w:val="16"/>
                <w:lang w:val="en-US"/>
              </w:rPr>
              <w:t>Rectal + pharyngeal + urine swab</w:t>
            </w:r>
          </w:p>
        </w:tc>
        <w:tc>
          <w:tcPr>
            <w:tcW w:w="0" w:type="auto"/>
            <w:vAlign w:val="center"/>
          </w:tcPr>
          <w:p w14:paraId="7BF53EDA" w14:textId="691B87CD"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A7938D2" w14:textId="6035A7BA"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7857B12" w14:textId="057065C3"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6CF56E1" w14:textId="43FC9F7D"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B44BA72" w14:textId="4D7F5A59"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7% (8/121)</w:t>
            </w:r>
          </w:p>
        </w:tc>
        <w:tc>
          <w:tcPr>
            <w:tcW w:w="0" w:type="auto"/>
            <w:vAlign w:val="center"/>
          </w:tcPr>
          <w:p w14:paraId="76B196E8" w14:textId="29B9DD4D"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1% (1/121)</w:t>
            </w:r>
          </w:p>
        </w:tc>
        <w:tc>
          <w:tcPr>
            <w:tcW w:w="0" w:type="auto"/>
            <w:vAlign w:val="center"/>
          </w:tcPr>
          <w:p w14:paraId="15F726EA" w14:textId="5A6BAC10"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1% (1/121)</w:t>
            </w:r>
          </w:p>
        </w:tc>
        <w:tc>
          <w:tcPr>
            <w:tcW w:w="0" w:type="auto"/>
            <w:vAlign w:val="center"/>
          </w:tcPr>
          <w:p w14:paraId="459C9063" w14:textId="6FB4BA86"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1% (1/121)</w:t>
            </w:r>
          </w:p>
        </w:tc>
      </w:tr>
      <w:tr w:rsidR="003E4C95" w:rsidRPr="00AB5244" w14:paraId="0E9CA79D" w14:textId="77777777" w:rsidTr="002E1DAD">
        <w:trPr>
          <w:trHeight w:val="590"/>
        </w:trPr>
        <w:tc>
          <w:tcPr>
            <w:tcW w:w="0" w:type="auto"/>
            <w:vAlign w:val="center"/>
          </w:tcPr>
          <w:p w14:paraId="0683BDE5" w14:textId="6A9997D8"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Kolar 2015</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{"citationItems":[{"id":"ITEM-1","itemData":{"DOI":"10.5507/bp.2014.042","ISSN":"18047521","PMID":"25270106","abstract":"Aim. Given the steadily increasing numbers of resistant bacteria, the frequency and severity of infections are on the rise. In patients with hematological malignancies, the treatment itself increases the risk of complicating bacterial infections. One important mechanisms of resistance is production of broad-spectrum beta-lactamases, increasingly detected not only in bacterial pathogens but also in bacteria contained in the normal microflora of the human body. The objectives of this study were determination and analysis of the prevalence of multiresistant ESBL- and AmpC-positive Enterobacteriaceae in the gastrointestinal tract (GIT) of patients with hematological malignancies. Methods. For 3 months, rectal swabs were taken from patients with hematological malignancies and analyzed using chromogenic screening plates to isolate ESBL- and AmpC-producing Enterobacteriaceae. Beta-lactamase production was determined by phenotype tests and confirmed by detecting genes encoding ESBL and AmpC types. At the same time, ESBL- and AmpC-positive Enterobacteriaceae were isolated from clinical samples collected from patients with bacterial infection. Results. Over the study period, fifteen patients (21%) of all patients treated at the Department of Hemato-Oncology were shown to have ESBL- or AmpC-positive Enterobacteriaceae in their GIT. Most frequently identified were ESBL- positive strains of Klebsiella pneumoniae and AmpC-positive strains of Citrobacter freundii. The ESBL enzymes were mainly of the CTX-M type. Isolates producing AmpC were found to contain genes for enzymes mainly from the CIT and DHA groups. Conclusion. The study identified patients diagnosed with urinary tract and bloodstream infections caused by ESBL- positive strain of Klebsiella pneumoniae and AmpC-positive strain of Enterobacter cloacae contained in the GIT microflora.","author":[{"dropping-particle":"","family":"Kolar","given":"Milan","non-dropping-particle":"","parse-names":false,"suffix":""},{"dropping-particle":"","family":"Sedlakova","given":"Miroslava Htoutou","non-dropping-particle":"","parse-names":false,"suffix":""},{"dropping-particle":"","family":"Pudova","given":"Vendula","non-dropping-particle":"","parse-names":false,"suffix":""},{"dropping-particle":"","family":"Roderova","given":"Magdalena","non-dropping-particle":"","parse-names":false,"suffix":""},{"dropping-particle":"","family":"Novosad","given":"Jiri","non-dropping-particle":"","parse-names":false,"suffix":""},{"dropping-particle":"","family":"Senkyrikova","given":"Marketa","non-dropping-particle":"","parse-names":false,"suffix":""},{"dropping-particle":"","family":"Szotkowska","given":"Romana","non-dropping-particle":"","parse-names":false,"suffix":""},{"dropping-particle":"","family":"Indrak","given":"Karel","non-dropping-particle":"","parse-names":false,"suffix":""}],"container-title":"Biomedical Papers","id":"ITEM-1","issue":"1","issued":{"date-parts":[["2015"]]},"page":"100-103","title":"Incidence of fecal enterobacteriaceae producing broad-spectrum beta-lactamases in patients with hematological malignancies","type":"article-journal","volume":"159"},"uris":["http://www.mendeley.com/documents/?uuid=90581c7f-ae11-49b2-abde-6f118e7a6888"]}],"mendeley":{"formattedCitation":"&lt;sup&gt;77&lt;/sup&gt;","plainTextFormattedCitation":"77","previouslyFormattedCitation":"&lt;sup&gt;77&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77</w:t>
            </w:r>
            <w:r w:rsidR="003E4C95">
              <w:rPr>
                <w:color w:val="000000" w:themeColor="text1"/>
                <w:sz w:val="16"/>
                <w:szCs w:val="16"/>
                <w:lang w:val="en-US"/>
              </w:rPr>
              <w:fldChar w:fldCharType="end"/>
            </w:r>
          </w:p>
        </w:tc>
        <w:tc>
          <w:tcPr>
            <w:tcW w:w="0" w:type="auto"/>
            <w:vAlign w:val="center"/>
          </w:tcPr>
          <w:p w14:paraId="07189D09" w14:textId="6F43460A"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71</w:t>
            </w:r>
          </w:p>
        </w:tc>
        <w:tc>
          <w:tcPr>
            <w:tcW w:w="0" w:type="auto"/>
            <w:vAlign w:val="center"/>
          </w:tcPr>
          <w:p w14:paraId="564D2781" w14:textId="02E2EAB1" w:rsidR="002E1DAD" w:rsidRPr="00AB5244" w:rsidRDefault="002E1DAD" w:rsidP="002E1DAD">
            <w:pPr>
              <w:spacing w:line="360" w:lineRule="auto"/>
              <w:jc w:val="center"/>
              <w:rPr>
                <w:sz w:val="16"/>
                <w:szCs w:val="16"/>
                <w:lang w:val="en-US"/>
              </w:rPr>
            </w:pPr>
            <w:r w:rsidRPr="00AB5244">
              <w:rPr>
                <w:sz w:val="16"/>
                <w:szCs w:val="16"/>
                <w:lang w:val="en-US"/>
              </w:rPr>
              <w:t>Rectal swab</w:t>
            </w:r>
          </w:p>
        </w:tc>
        <w:tc>
          <w:tcPr>
            <w:tcW w:w="0" w:type="auto"/>
            <w:vAlign w:val="center"/>
          </w:tcPr>
          <w:p w14:paraId="68F15368" w14:textId="565241EB"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D19AAEE" w14:textId="2CB7C85D"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21% (15/71)</w:t>
            </w:r>
          </w:p>
        </w:tc>
        <w:tc>
          <w:tcPr>
            <w:tcW w:w="0" w:type="auto"/>
            <w:vAlign w:val="center"/>
          </w:tcPr>
          <w:p w14:paraId="2CBF2063" w14:textId="218E6929"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B4A4B16" w14:textId="6F650768"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C2F4BA8" w14:textId="11DA25DB"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D763C81" w14:textId="78EB0CCF"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BFBFDDA" w14:textId="6C5761A0"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D4657A1" w14:textId="6F491DD9"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20444" w14:paraId="3F5C3346" w14:textId="77777777" w:rsidTr="002E1DAD">
        <w:trPr>
          <w:trHeight w:val="590"/>
        </w:trPr>
        <w:tc>
          <w:tcPr>
            <w:tcW w:w="0" w:type="auto"/>
            <w:vAlign w:val="center"/>
          </w:tcPr>
          <w:p w14:paraId="1D34CDA8" w14:textId="66736913" w:rsidR="002E1DAD"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t>Komurcu</w:t>
            </w:r>
            <w:proofErr w:type="spellEnd"/>
            <w:r>
              <w:rPr>
                <w:color w:val="000000" w:themeColor="text1"/>
                <w:sz w:val="16"/>
                <w:szCs w:val="16"/>
                <w:lang w:val="en-US"/>
              </w:rPr>
              <w:t xml:space="preserve"> 2020</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{"citationItems":[{"id":"ITEM-1","itemData":{"DOI":"10.1080/17474086.2020.1787145","ISSN":"1747-4094 (Electronic)","PMID":"32574123","abstract":"OBJECTIVES: To investigate the risk factors for rectal colonization with  carbapenem-resistant Enterobacteriaceae (CRE) and extended-spectrum ß-lactamase-producing Enterobacteriaceae (ESBL-E) in hematological malignant patients with febrile neutropenia (FN); rate of rectal colonization and infection/colonization with CRE and ESBL-E; whether empirical treatment can be revised. METHODS: Adult patients receiving chemotherapy were included. Rectal swab cultures of patients were screened for CRE and ESBL-E using selective chromogenic agars. RESULTS: Fifty-seven FN episodes of 57 patients were studied. Rectal colonization rates were 40.4% (23/57) and 8.8% (5/57) for ESBL-E and CRE, respectively. ESBL-E bacteremia was diagnosed in 2 (8.6%) ESBL-E colonized patients, while CRE bacteremia was detected in 1 (20%) CRE colonized patient. Amikacin (100%) and carbapenem (93%) were the most effective antibiotics against gram-negative enteric bacteria. Beta-lactam usage within the last 3 months was a significant risk factor for ESBL-E colonization. CONCLUSIONS: For the treatment of FN patients either colonized with ESBL-E or having significant risk factors for ESBL-E infection, aminoglycoside containing combinations may become an alternative to carbapenems due to their high sensitivity rates. When CRE colonized hematological cancer patients develop FN or if they are hemodynamically unstable, CRE covering empiric antibiotherapy should be preferred due to high mortality rates of CRE bacteremia.","author":[{"dropping-particle":"","family":"Kömürcü","given":"Burak","non-dropping-particle":"","parse-names":false,"suffix":""},{"dropping-particle":"","family":"Tükenmez Tigen","given":"Elif","non-dropping-particle":"","parse-names":false,"suffix":""},{"dropping-particle":"","family":"Toptaş","given":"Tayfur","non-dropping-particle":"","parse-names":false,"suffix":""},{"dropping-particle":"","family":"Fıratlı Tuğlular","given":"Tülin","non-dropping-particle":"","parse-names":false,"suffix":""},{"dropping-particle":"","family":"Korten","given":"Volkan","non-dropping-particle":"","parse-names":false,"suffix":""}],"container-title":"Expert review of hematology","id":"ITEM-1","issue":"8","issued":{"date-parts":[["2020","8"]]},"language":"eng","page":"923-927","publisher-place":"England","title":"Rectal colonization with multidrug-resistant gram-negative bacteria in patients  with hematological malignancies: a prospective study.","type":"article-journal","volume":"13"},"uris":["http://www.mendeley.com/documents/?uuid=f28785cf-484f-4a0f-ba83-13ceab40829e"]}],"mendeley":{"formattedCitation":"&lt;sup&gt;58&lt;/sup&gt;","plainTextFormattedCitation":"58","previouslyFormattedCitation":"&lt;sup&gt;58&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58</w:t>
            </w:r>
            <w:r w:rsidR="003E4C95">
              <w:rPr>
                <w:color w:val="000000" w:themeColor="text1"/>
                <w:sz w:val="16"/>
                <w:szCs w:val="16"/>
                <w:lang w:val="en-US"/>
              </w:rPr>
              <w:fldChar w:fldCharType="end"/>
            </w:r>
          </w:p>
        </w:tc>
        <w:tc>
          <w:tcPr>
            <w:tcW w:w="0" w:type="auto"/>
            <w:vAlign w:val="center"/>
          </w:tcPr>
          <w:p w14:paraId="0DC26965" w14:textId="5273F5B5"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57</w:t>
            </w:r>
          </w:p>
        </w:tc>
        <w:tc>
          <w:tcPr>
            <w:tcW w:w="0" w:type="auto"/>
            <w:vAlign w:val="center"/>
          </w:tcPr>
          <w:p w14:paraId="7652067A" w14:textId="45A5FCD7" w:rsidR="002E1DAD" w:rsidRPr="00AB5244" w:rsidRDefault="002E1DAD" w:rsidP="002E1DAD">
            <w:pPr>
              <w:spacing w:line="360" w:lineRule="auto"/>
              <w:jc w:val="center"/>
              <w:rPr>
                <w:sz w:val="16"/>
                <w:szCs w:val="16"/>
                <w:lang w:val="en-US"/>
              </w:rPr>
            </w:pPr>
            <w:r w:rsidRPr="00AB5244">
              <w:rPr>
                <w:sz w:val="16"/>
                <w:szCs w:val="16"/>
                <w:lang w:val="en-US"/>
              </w:rPr>
              <w:t>Rectal + pharyngeal swab</w:t>
            </w:r>
          </w:p>
        </w:tc>
        <w:tc>
          <w:tcPr>
            <w:tcW w:w="0" w:type="auto"/>
            <w:vAlign w:val="center"/>
          </w:tcPr>
          <w:p w14:paraId="43CF7EC4" w14:textId="0BE1A704"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A3EF634" w14:textId="6AD0EEEF"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40% (23/57)</w:t>
            </w:r>
          </w:p>
        </w:tc>
        <w:tc>
          <w:tcPr>
            <w:tcW w:w="0" w:type="auto"/>
            <w:vAlign w:val="center"/>
          </w:tcPr>
          <w:p w14:paraId="2C77E9EE" w14:textId="6C6B46A6"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9% (5/57)</w:t>
            </w:r>
          </w:p>
        </w:tc>
        <w:tc>
          <w:tcPr>
            <w:tcW w:w="0" w:type="auto"/>
            <w:vAlign w:val="center"/>
          </w:tcPr>
          <w:p w14:paraId="0F561C6A" w14:textId="6A824A02"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58CD6E3" w14:textId="235E2ABC"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71CAE23" w14:textId="6E9A395F"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2514F4D" w14:textId="2D97F1DE"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45C2DF6" w14:textId="39268AF8"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20444" w14:paraId="122C0934" w14:textId="77777777" w:rsidTr="002E1DAD">
        <w:trPr>
          <w:trHeight w:val="590"/>
        </w:trPr>
        <w:tc>
          <w:tcPr>
            <w:tcW w:w="0" w:type="auto"/>
            <w:vAlign w:val="center"/>
          </w:tcPr>
          <w:p w14:paraId="7C2A44E7" w14:textId="4DAC3DBD" w:rsidR="009D592A" w:rsidRDefault="009D592A" w:rsidP="009D592A">
            <w:pPr>
              <w:spacing w:line="360" w:lineRule="auto"/>
              <w:jc w:val="center"/>
              <w:rPr>
                <w:color w:val="000000" w:themeColor="text1"/>
                <w:sz w:val="16"/>
                <w:szCs w:val="16"/>
                <w:lang w:val="en-US"/>
              </w:rPr>
            </w:pPr>
            <w:proofErr w:type="spellStart"/>
            <w:r>
              <w:rPr>
                <w:color w:val="000000" w:themeColor="text1"/>
                <w:sz w:val="16"/>
                <w:szCs w:val="16"/>
                <w:lang w:val="en-US"/>
              </w:rPr>
              <w:t>Kossow</w:t>
            </w:r>
            <w:proofErr w:type="spellEnd"/>
            <w:r>
              <w:rPr>
                <w:color w:val="000000" w:themeColor="text1"/>
                <w:sz w:val="16"/>
                <w:szCs w:val="16"/>
                <w:lang w:val="en-US"/>
              </w:rPr>
              <w:t xml:space="preserve"> 2017</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{"citationItems":[{"id":"ITEM-1","itemData":{"DOI":"10.1093/cid/cix465","ISSN":"15376591","PMID":"28520856","abstract":"Background. Infections by multidrug-resistant Pseudomonas aeruginosa (MDRPa) are an important cause of morbidity and mortality in patients after allogeneic hematopoietic stem cell transplantation (HSCT). Humid environments can serve as a reservoir and source of infection by this pathogen. To minimize the risk of infection from these reservoirs, we performed extensive remodeling of sanitation and water installations as the focus of our hygiene bundle. Methods. During the reconstruction of our transplantation unit (April 2011-April 2014) we implemented several technical modifications to reduce environmental contamination by and subsequent spreading of MDRPa, including a newly designed shower drain, disinfecting siphons underneath the sinks, and rimless toilets. During a 3-year study period (2012-2014), we tracked the number of patients affected by MDRPa (colonized and/or infected) and the outcome of infected patients, and monitored the environmental occurrence of this pathogen. We further performed whole-genome sequencing of nosocomial MDRPa strains to evaluate genotypic relationships between isolates. Results. Whereas 31 (9.2%; 18 colonized, 13 infected) patients were affected in 2012 and 2013, the number decreased to 3 in 2014 (17%; 3 colonized, 0 infected). Lethality by MDRPa similarly decreased from 3.6% to 0%. Environmental detection of MDRPa decreased in toilets from 18.9% in 2012-2013 to 6.1% in the following year and from 8.1% to 3.0%, respectively, in shower outlets. Whole-genome sequencing showed close relationships between environmental and patient-derived isolates. Conclusions. Hospital construction measures aimed at controlling environmental contamination by and spread of MDRPa are effective at minimizing the risk of highly lethal MDRPa infections.","author":[{"dropping-particle":"","family":"Kossow","given":"Annelene","non-dropping-particle":"","parse-names":false,"suffix":""},{"dropping-particle":"","family":"Kampmeier","given":"Stefanie","non-dropping-particle":"","parse-names":false,"suffix":""},{"dropping-particle":"","family":"Willems","given":"Stefanie","non-dropping-particle":"","parse-names":false,"suffix":""},{"dropping-particle":"","family":"Berdel","given":"Wolfgang E.","non-dropping-particle":"","parse-names":false,"suffix":""},{"dropping-particle":"","family":"Groll","given":"Andreas H.","non-dropping-particle":"","parse-names":false,"suffix":""},{"dropping-particle":"","family":"Burckhardt","given":"Birgit","non-dropping-particle":"","parse-names":false,"suffix":""},{"dropping-particle":"","family":"Rossig","given":"Claudia","non-dropping-particle":"","parse-names":false,"suffix":""},{"dropping-particle":"","family":"Groth","given":"Christoph","non-dropping-particle":"","parse-names":false,"suffix":""},{"dropping-particle":"","family":"Idelevich","given":"Evgeny A.","non-dropping-particle":"","parse-names":false,"suffix":""},{"dropping-particle":"","family":"Kipp","given":"Frank","non-dropping-particle":"","parse-names":false,"suffix":""},{"dropping-particle":"","family":"Mellmann","given":"Alexander","non-dropping-particle":"","parse-names":false,"suffix":""},{"dropping-particle":"","family":"Stelljes","given":"Matthias","non-dropping-particle":"","parse-names":false,"suffix":""}],"container-title":"Clinical Infectious Diseases","id":"ITEM-1","issue":"6","issued":{"date-parts":[["2017"]]},"page":"935-942","title":"Control of multidrug-resistant pseudomonas aeruginosa in allogeneic hematopoietic stem cell transplant recipients by a novel bundle including remodeling of sanitary and water supply systems","type":"article-journal","volume":"65"},"uris":["http://www.mendeley.com/documents/?uuid=6fe229ce-5fab-4d96-9f4a-36020c0a40ca"]}],"mendeley":{"formattedCitation":"&lt;sup&gt;78&lt;/sup&gt;","plainTextFormattedCitation":"78","previouslyFormattedCitation":"&lt;sup&gt;78&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78</w:t>
            </w:r>
            <w:r w:rsidR="003E4C95">
              <w:rPr>
                <w:color w:val="000000" w:themeColor="text1"/>
                <w:sz w:val="16"/>
                <w:szCs w:val="16"/>
                <w:lang w:val="en-US"/>
              </w:rPr>
              <w:fldChar w:fldCharType="end"/>
            </w:r>
          </w:p>
        </w:tc>
        <w:tc>
          <w:tcPr>
            <w:tcW w:w="0" w:type="auto"/>
            <w:vAlign w:val="center"/>
          </w:tcPr>
          <w:p w14:paraId="7CA256EA" w14:textId="0D324343"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893</w:t>
            </w:r>
          </w:p>
        </w:tc>
        <w:tc>
          <w:tcPr>
            <w:tcW w:w="0" w:type="auto"/>
            <w:vAlign w:val="center"/>
          </w:tcPr>
          <w:p w14:paraId="7AED38BA" w14:textId="5C4B2453" w:rsidR="009D592A" w:rsidRPr="00AB5244" w:rsidRDefault="009D592A" w:rsidP="009D592A">
            <w:pPr>
              <w:spacing w:line="360" w:lineRule="auto"/>
              <w:jc w:val="center"/>
              <w:rPr>
                <w:sz w:val="16"/>
                <w:szCs w:val="16"/>
                <w:lang w:val="en-US"/>
              </w:rPr>
            </w:pPr>
            <w:r w:rsidRPr="00AB5244">
              <w:rPr>
                <w:sz w:val="16"/>
                <w:szCs w:val="16"/>
                <w:lang w:val="en-US"/>
              </w:rPr>
              <w:t>Rectal + pharyngeal + urine swab</w:t>
            </w:r>
          </w:p>
        </w:tc>
        <w:tc>
          <w:tcPr>
            <w:tcW w:w="0" w:type="auto"/>
            <w:vAlign w:val="center"/>
          </w:tcPr>
          <w:p w14:paraId="79A64329" w14:textId="49BD6CD4"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A6B6504" w14:textId="0304D158"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50F44AA" w14:textId="6ADFC5A7"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5C9EB20" w14:textId="25AE89B7"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3% (24/893)</w:t>
            </w:r>
          </w:p>
        </w:tc>
        <w:tc>
          <w:tcPr>
            <w:tcW w:w="0" w:type="auto"/>
            <w:vAlign w:val="center"/>
          </w:tcPr>
          <w:p w14:paraId="1E4DFB66" w14:textId="33E5E735"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30B24A8D" w14:textId="15E398CD"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2E2DC8A" w14:textId="57699AF5"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4336165" w14:textId="096A8279" w:rsidR="009D592A" w:rsidRDefault="009D592A" w:rsidP="009D592A">
            <w:pPr>
              <w:spacing w:line="360" w:lineRule="auto"/>
              <w:jc w:val="center"/>
              <w:rPr>
                <w:color w:val="000000" w:themeColor="text1"/>
                <w:sz w:val="16"/>
                <w:szCs w:val="16"/>
                <w:lang w:val="en-US"/>
              </w:rPr>
            </w:pPr>
            <w:r>
              <w:rPr>
                <w:color w:val="000000" w:themeColor="text1"/>
                <w:sz w:val="16"/>
                <w:szCs w:val="16"/>
                <w:lang w:val="en-US"/>
              </w:rPr>
              <w:t>N/A</w:t>
            </w:r>
          </w:p>
        </w:tc>
      </w:tr>
      <w:tr w:rsidR="003E4C95" w:rsidRPr="00AB5244" w14:paraId="2A9A3816" w14:textId="77777777" w:rsidTr="002E1DAD">
        <w:trPr>
          <w:trHeight w:val="590"/>
        </w:trPr>
        <w:tc>
          <w:tcPr>
            <w:tcW w:w="0" w:type="auto"/>
            <w:vAlign w:val="center"/>
          </w:tcPr>
          <w:p w14:paraId="77C42818" w14:textId="2C3B49A9" w:rsidR="002E1DAD"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t>Micozzi</w:t>
            </w:r>
            <w:proofErr w:type="spellEnd"/>
            <w:r>
              <w:rPr>
                <w:color w:val="000000" w:themeColor="text1"/>
                <w:sz w:val="16"/>
                <w:szCs w:val="16"/>
                <w:lang w:val="en-US"/>
              </w:rPr>
              <w:t xml:space="preserve"> 2017</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{"citationItems":[{"id":"ITEM-1","itemData":{"DOI":"10.1186/s12879-017-2297-9","ISSN":"1471-2334 (Electronic)","PMID":"28283020","abstract":"BACKGROUND: Carbapenem-resistant Klebsiella pneumoniae (CRKP) spread and  infections in patients with haematological malignancies are a serious concern especially in endemic areas. Treatment failures and delay in appropriate therapy for CRKP infections are frequent and the mortality rate associated with CRKP bacteremia in neutropenic haematological patients is reported about 60%. METHODS: Haematological patients harboring CRKP hospitalized between February 2012 and May 2013 in an Italian Teaching hospital were examined. Conditions favouring CRKP spread in a haematological unit, risk factors for bacteremia in CRKP-carriers and for CRKP bacteremia-related death were evaluated in this observational retrospective study. RESULTS: CRKP was isolated in 22 patients, 14 (64%) had bacteremia. Control measures implementation, particularly the weekly rectal screening for CRKP performed in all hospitalized patients and contact precautions for CRKP-carriers and newly admitted patients until proved CRKP-negative, reduced significantly the CRKP spread (14 new carriers identified of 131 screened patients vs 5 of 242 after the intervention, p = 0.001). Fifty-eight percent of carriers developed CRKP bacteremia, and acute myeloid leukemia (AML) resulted independently associated with the bacteremia occurrence (p = 0.02). CRKP bacteremias developed mainly during neutropenia (86%) and in CRKP-carriers (79%). CRKP bacteremias were breakthrough in 10 cases (71%). Ten of 14 patient with CRKP bacteremias died (71%) and all had AML. The 70% of fatal bacteremias occurred in patients not yet recognized as CRKP-carriers and 80% were breakthrough. Initial adequate antibiotic therapy resulted the only independent factor able to protect against death (p = 0.02). CONCLUSIONS: The identification of CRKP-carriers is confirmed critical to prevent CRKP spread. AML patients colonized by CRKP resulted at high risk of CRKP-bacteremia and poor outcome and the adequacy of the initial antibiotic therapy may be effective to improve survival. To limit the increase of resistance, the extensive use of antibiotics active against CRKP should be avoided, but in the setting of high CRKP pressure and high-risk CRKP-colonized haematological patients, timely empiric antibiotic combinations active against CRKP could be suggested as treatment of febrile neutropenia.","author":[{"dropping-particle":"","family":"Micozzi","given":"Alessandra","non-dropping-particle":"","parse-names":false,"suffix":""},{"dropping-particle":"","family":"Gentile","given":"Giuseppe","non-dropping-particle":"","parse-names":false,"suffix":""},{"dropping-particle":"","family":"Minotti","given":"Clara","non-dropping-particle":"","parse-names":false,"suffix":""},{"dropping-particle":"","family":"Cartoni","given":"Claudio","non-dropping-particle":"","parse-names":false,"suffix":""},{"dropping-particle":"","family":"Capria","given":"Saveria","non-dropping-particle":"","parse-names":false,"suffix":""},{"dropping-particle":"","family":"Ballarò","given":"Daniele","non-dropping-particle":"","parse-names":false,"suffix":""},{"dropping-particle":"","family":"Santilli","given":"Stefania","non-dropping-particle":"","parse-names":false,"suffix":""},{"dropping-particle":"","family":"Pacetti","given":"Emanuele","non-dropping-particle":"","parse-names":false,"suffix":""},{"dropping-particle":"","family":"Grammatico","given":"Sara","non-dropping-particle":"","parse-names":false,"suffix":""},{"dropping-particle":"","family":"Bucaneve","given":"Giampaolo","non-dropping-particle":"","parse-names":false,"suffix":""},{"dropping-particle":"","family":"Foà","given":"Robin","non-dropping-particle":"","parse-names":false,"suffix":""}],"container-title":"BMC infectious diseases","id":"ITEM-1","issue":"1","issued":{"date-parts":[["2017","3"]]},"language":"eng","page":"203","publisher-place":"England","title":"Carbapenem-resistant Klebsiella pneumoniae in high-risk haematological patients:  factors favouring spread, risk factors and outcome of carbapenem-resistant Klebsiella pneumoniae bacteremias.","type":"article-journal","volume":"17"},"uris":["http://www.mendeley.com/documents/?uuid=f20474b8-8091-49a5-8419-bcba33b23a81"]}],"mendeley":{"formattedCitation":"&lt;sup&gt;79&lt;/sup&gt;","plainTextFormattedCitation":"79","previouslyFormattedCitation":"&lt;sup&gt;79&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79</w:t>
            </w:r>
            <w:r w:rsidR="003E4C95">
              <w:rPr>
                <w:color w:val="000000" w:themeColor="text1"/>
                <w:sz w:val="16"/>
                <w:szCs w:val="16"/>
                <w:lang w:val="en-US"/>
              </w:rPr>
              <w:fldChar w:fldCharType="end"/>
            </w:r>
          </w:p>
        </w:tc>
        <w:tc>
          <w:tcPr>
            <w:tcW w:w="0" w:type="auto"/>
            <w:vAlign w:val="center"/>
          </w:tcPr>
          <w:p w14:paraId="3B43209F" w14:textId="4B1986EA"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373</w:t>
            </w:r>
          </w:p>
        </w:tc>
        <w:tc>
          <w:tcPr>
            <w:tcW w:w="0" w:type="auto"/>
            <w:vAlign w:val="center"/>
          </w:tcPr>
          <w:p w14:paraId="19475000" w14:textId="2D598DC2" w:rsidR="002E1DAD" w:rsidRPr="00AB5244" w:rsidRDefault="002E1DAD" w:rsidP="002E1DAD">
            <w:pPr>
              <w:spacing w:line="360" w:lineRule="auto"/>
              <w:jc w:val="center"/>
              <w:rPr>
                <w:sz w:val="16"/>
                <w:szCs w:val="16"/>
                <w:lang w:val="en-US"/>
              </w:rPr>
            </w:pPr>
            <w:r w:rsidRPr="00AB5244">
              <w:rPr>
                <w:sz w:val="16"/>
                <w:szCs w:val="16"/>
                <w:lang w:val="en-US"/>
              </w:rPr>
              <w:t>Rectal swab</w:t>
            </w:r>
          </w:p>
        </w:tc>
        <w:tc>
          <w:tcPr>
            <w:tcW w:w="0" w:type="auto"/>
            <w:vAlign w:val="center"/>
          </w:tcPr>
          <w:p w14:paraId="5FD4DA7A" w14:textId="5FA021A4"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3CE694B" w14:textId="1D378C70"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0AA1619" w14:textId="771361D3"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5% (19/373)</w:t>
            </w:r>
          </w:p>
        </w:tc>
        <w:tc>
          <w:tcPr>
            <w:tcW w:w="0" w:type="auto"/>
            <w:vAlign w:val="center"/>
          </w:tcPr>
          <w:p w14:paraId="381E8B3C" w14:textId="3D9CE43F"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6D04196" w14:textId="46ED23D2"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E70C139" w14:textId="12840E73"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6B1AE94" w14:textId="6F2B1F7A"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9833BCF" w14:textId="64637305"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20444" w14:paraId="16DCAC5E" w14:textId="77777777" w:rsidTr="002E1DAD">
        <w:trPr>
          <w:trHeight w:val="590"/>
        </w:trPr>
        <w:tc>
          <w:tcPr>
            <w:tcW w:w="0" w:type="auto"/>
            <w:vAlign w:val="center"/>
          </w:tcPr>
          <w:p w14:paraId="12BA7DC8" w14:textId="54F263A3" w:rsidR="002E1DAD"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t>Patriarca</w:t>
            </w:r>
            <w:proofErr w:type="spellEnd"/>
            <w:r>
              <w:rPr>
                <w:color w:val="000000" w:themeColor="text1"/>
                <w:sz w:val="16"/>
                <w:szCs w:val="16"/>
                <w:lang w:val="en-US"/>
              </w:rPr>
              <w:t xml:space="preserve"> 2017</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{"citationItems":[{"id":"ITEM-1","itemData":{"DOI":"10.1016/j.bbmt.2016.11.005","ISSN":"15236536","PMID":"27826061","abstract":"The objective of this study was to determine risk factors and outcomes of infections by multidrug-resistant gram-negative (MDR GN) bacteria in 241 recipients of hematopoietic stem cell transplantation (HSCT). The cumulative incidence of infections was 10.5% (95% CI, 12.0% to 25.8%), with 57% of infections occurring during the period of severe neutropenia (neutrophil count &lt; .1 × 106/L). In multivariate analysis, allogeneic transplant and colonization with MDR GN bacteria at admission to the transplant unit were significantly associated with an increased risk of infection. Although we observed neither transplant-related mortality (TRM) nor deaths due to infections by MDR GN bacteria after autologous transplant, in the allogeneic setting a significant difference was reported in terms of overall survival (OS) and TRM between patients who developed infections and those who did not (1-year OS, 39% versus 68%; 1-year TRM, 42% versus 19%). In multivariate analysis, refractory disease and development of grades III to IV graft-versus-host disease (GVHD) were factors that affected both TRM and OS, whereas occurrence of infections by MDR GN pathogens significantly reduced OS. We conclude that eligibility to allogeneic HSCT in MDR GN bacteria carriers should be carefully evaluated together with all other factors that independently influence outcome (disease status, donor, and GVHD risk).","author":[{"dropping-particle":"","family":"Patriarca","given":"Francesca","non-dropping-particle":"","parse-names":false,"suffix":""},{"dropping-particle":"","family":"Cigana","given":"Chiara","non-dropping-particle":"","parse-names":false,"suffix":""},{"dropping-particle":"","family":"Massimo","given":"Dozzo","non-dropping-particle":"","parse-names":false,"suffix":""},{"dropping-particle":"","family":"Lazzarotto","given":"Davide","non-dropping-particle":"","parse-names":false,"suffix":""},{"dropping-particle":"","family":"Geromin","given":"Antonella","non-dropping-particle":"","parse-names":false,"suffix":""},{"dropping-particle":"","family":"Isola","given":"Miriam","non-dropping-particle":"","parse-names":false,"suffix":""},{"dropping-particle":"","family":"Battista","given":"Marta Lisa","non-dropping-particle":"","parse-names":false,"suffix":""},{"dropping-particle":"","family":"Medeot","given":"Marta","non-dropping-particle":"","parse-names":false,"suffix":""},{"dropping-particle":"","family":"Cerno","given":"Michela","non-dropping-particle":"","parse-names":false,"suffix":""},{"dropping-particle":"","family":"Sperotto","given":"Alessandra","non-dropping-particle":"","parse-names":false,"suffix":""},{"dropping-particle":"","family":"Candoni","given":"Anna","non-dropping-particle":"","parse-names":false,"suffix":""},{"dropping-particle":"","family":"Crapis","given":"Massimo","non-dropping-particle":"","parse-names":false,"suffix":""},{"dropping-particle":"","family":"Sartor","given":"Assunta","non-dropping-particle":"","parse-names":false,"suffix":""},{"dropping-particle":"","family":"Scarparo","given":"Claudio","non-dropping-particle":"","parse-names":false,"suffix":""},{"dropping-particle":"","family":"Bassetti","given":"Matteo","non-dropping-particle":"","parse-names":false,"suffix":""},{"dropping-particle":"","family":"Fanin","given":"Renato","non-dropping-particle":"","parse-names":false,"suffix":""}],"container-title":"Biology of Blood and Marrow Transplantation","id":"ITEM-1","issue":"2","issued":{"date-parts":[["2017"]]},"page":"333-339","publisher":"Elsevier Inc.","title":"Risk Factors and Outcomes of Infections by Multidrug-Resistant Gram-Negative Bacteria in Patients Undergoing Hematopoietic Stem Cell Transplantation","type":"article-journal","volume":"23"},"uris":["http://www.mendeley.com/documents/?uuid=2d5bea33-e6ac-48ef-b94f-da7937dba716"]}],"mendeley":{"formattedCitation":"&lt;sup&gt;66&lt;/sup&gt;","plainTextFormattedCitation":"66","previouslyFormattedCitation":"&lt;sup&gt;66&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66</w:t>
            </w:r>
            <w:r w:rsidR="003E4C95">
              <w:rPr>
                <w:color w:val="000000" w:themeColor="text1"/>
                <w:sz w:val="16"/>
                <w:szCs w:val="16"/>
                <w:lang w:val="en-US"/>
              </w:rPr>
              <w:fldChar w:fldCharType="end"/>
            </w:r>
          </w:p>
        </w:tc>
        <w:tc>
          <w:tcPr>
            <w:tcW w:w="0" w:type="auto"/>
            <w:vAlign w:val="center"/>
          </w:tcPr>
          <w:p w14:paraId="177813A3" w14:textId="78C8B44D"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241</w:t>
            </w:r>
          </w:p>
        </w:tc>
        <w:tc>
          <w:tcPr>
            <w:tcW w:w="0" w:type="auto"/>
            <w:vAlign w:val="center"/>
          </w:tcPr>
          <w:p w14:paraId="74960D9B" w14:textId="46B9DD2B" w:rsidR="002E1DAD" w:rsidRPr="00AB5244" w:rsidRDefault="002E1DAD" w:rsidP="002E1DAD">
            <w:pPr>
              <w:spacing w:line="360" w:lineRule="auto"/>
              <w:jc w:val="center"/>
              <w:rPr>
                <w:sz w:val="16"/>
                <w:szCs w:val="16"/>
                <w:lang w:val="en-US"/>
              </w:rPr>
            </w:pPr>
            <w:r w:rsidRPr="00AB5244">
              <w:rPr>
                <w:sz w:val="16"/>
                <w:szCs w:val="16"/>
                <w:lang w:val="en-US"/>
              </w:rPr>
              <w:t>Rectal swab</w:t>
            </w:r>
          </w:p>
        </w:tc>
        <w:tc>
          <w:tcPr>
            <w:tcW w:w="0" w:type="auto"/>
            <w:vAlign w:val="center"/>
          </w:tcPr>
          <w:p w14:paraId="3B94F8C2" w14:textId="63668360"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D17F148" w14:textId="6ECAE206"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A9049F1" w14:textId="784DEC73"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C71AD3F" w14:textId="6074E3BF"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2% (4/241)</w:t>
            </w:r>
          </w:p>
        </w:tc>
        <w:tc>
          <w:tcPr>
            <w:tcW w:w="0" w:type="auto"/>
            <w:vAlign w:val="center"/>
          </w:tcPr>
          <w:p w14:paraId="001005C2" w14:textId="7F520CD8"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1B99BFA" w14:textId="09C3C158"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8A177A6" w14:textId="35DCFEA6"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577FAC7" w14:textId="7A21EA30"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20444" w14:paraId="34C85768" w14:textId="77777777" w:rsidTr="002E1DAD">
        <w:trPr>
          <w:trHeight w:val="590"/>
        </w:trPr>
        <w:tc>
          <w:tcPr>
            <w:tcW w:w="0" w:type="auto"/>
            <w:vAlign w:val="center"/>
          </w:tcPr>
          <w:p w14:paraId="1CFAA4CA" w14:textId="69145A9C" w:rsidR="002E1DAD"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t>Scheich</w:t>
            </w:r>
            <w:proofErr w:type="spellEnd"/>
            <w:r>
              <w:rPr>
                <w:color w:val="000000" w:themeColor="text1"/>
                <w:sz w:val="16"/>
                <w:szCs w:val="16"/>
                <w:lang w:val="en-US"/>
              </w:rPr>
              <w:t xml:space="preserve"> 2017</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{"citationItems":[{"id":"ITEM-1","itemData":{"DOI":"10.1016/j.bbmt.2017.05.016","ISSN":"15236536","PMID":"28528711","abstract":"A significant increase in infections caused by multidrug-resistant organisms (MDRO) has been observed in recent years, resulting in an increase of mortality in all fields of health care. Hematological patients are particularly affected by MDRO infections because of disease- and therapy-related immunosuppression. To determine the impact of colonization with MDRO on overall survival, we retrospectively analyzed data from patients undergoing autologous hematopoietic stem cell transplantation at our institution. In total, 184 patients were identified, mainly patients with lymphomas (n = 98, 53.3%), multiple myelomas (n = 80, 43.5%), germ cell cancers (n = 5, 2.7%), or acute myeloid leukemia (n = 1,.5%). Forty patients (21.7%) tested positive for MDRO colonization. At a median follow-up time of 21.5 months, the main causes of death were infection in colonized and disease progression in noncolonized patients. Nonrelapse mortality (NRM) was higher in patients who tested positive for MDRO than in the noncolonized group (25.4% versus 3%, P &lt;.001). Interestingly, NRM in neutropenia after autologous transplantation did not differ between colonized and noncolonized patients. Colonized patients, however, had inferior overall survival after autologous transplantation in univariate (61.7% versus 73.3%, P =.005) as well as in multivariate analysis (hazard ratio, 2.463; 95% confidence interval, 1.311 to 4.626; P =.005). We conclude that the period after discharge from hospital after autologous transplantation seems critical and patients with MDRO colonization should be observed closely for infections in the post-transplantation period in outpatient care.","author":[{"dropping-particle":"","family":"Scheich","given":"Sebastian","non-dropping-particle":"","parse-names":false,"suffix":""},{"dropping-particle":"","family":"Reinheimer","given":"Claudia","non-dropping-particle":"","parse-names":false,"suffix":""},{"dropping-particle":"","family":"Brandt","given":"Christian","non-dropping-particle":"","parse-names":false,"suffix":""},{"dropping-particle":"","family":"Wichelhaus","given":"Thomas A.","non-dropping-particle":"","parse-names":false,"suffix":""},{"dropping-particle":"","family":"Hogardt","given":"Michael","non-dropping-particle":"","parse-names":false,"suffix":""},{"dropping-particle":"","family":"Kempf","given":"Volkhard A.J.","non-dropping-particle":"","parse-names":false,"suffix":""},{"dropping-particle":"","family":"Brunnberg","given":"Uta","non-dropping-particle":"","parse-names":false,"suffix":""},{"dropping-particle":"","family":"Brandts","given":"Christian","non-dropping-particle":"","parse-names":false,"suffix":""},{"dropping-particle":"","family":"Ballo","given":"Olivier","non-dropping-particle":"","parse-names":false,"suffix":""},{"dropping-particle":"","family":"Metzler","given":"Ivana","non-dropping-particle":"von","parse-names":false,"suffix":""},{"dropping-particle":"","family":"Kessel","given":"Johanna","non-dropping-particle":"","parse-names":false,"suffix":""},{"dropping-particle":"","family":"Serve","given":"Hubert","non-dropping-particle":"","parse-names":false,"suffix":""},{"dropping-particle":"","family":"Steffen","given":"Björn","non-dropping-particle":"","parse-names":false,"suffix":""}],"container-title":"Biology of Blood and Marrow Transplantation","id":"ITEM-1","issue":"9","issued":{"date-parts":[["2017"]]},"page":"1455-1462","publisher":"Elsevier Inc.","title":"Clinical Impact of Colonization with Multidrug-Resistant Organisms on Outcome after Autologous Stem Cell Transplantation: A Retrospective Single-Center Study","type":"article-journal","volume":"23"},"uris":["http://www.mendeley.com/documents/?uuid=4e347122-f5b8-40a5-bbb3-63438928907c"]}],"mendeley":{"formattedCitation":"&lt;sup&gt;80&lt;/sup&gt;","plainTextFormattedCitation":"80","previouslyFormattedCitation":"&lt;sup&gt;80&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80</w:t>
            </w:r>
            <w:r w:rsidR="003E4C95">
              <w:rPr>
                <w:color w:val="000000" w:themeColor="text1"/>
                <w:sz w:val="16"/>
                <w:szCs w:val="16"/>
                <w:lang w:val="en-US"/>
              </w:rPr>
              <w:fldChar w:fldCharType="end"/>
            </w:r>
          </w:p>
        </w:tc>
        <w:tc>
          <w:tcPr>
            <w:tcW w:w="0" w:type="auto"/>
            <w:vAlign w:val="center"/>
          </w:tcPr>
          <w:p w14:paraId="56909D1E" w14:textId="09AA0EBA"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184</w:t>
            </w:r>
          </w:p>
        </w:tc>
        <w:tc>
          <w:tcPr>
            <w:tcW w:w="0" w:type="auto"/>
            <w:vAlign w:val="center"/>
          </w:tcPr>
          <w:p w14:paraId="04E86989" w14:textId="5C03B4A9" w:rsidR="002E1DAD" w:rsidRPr="00AB5244" w:rsidRDefault="002E1DAD" w:rsidP="002E1DAD">
            <w:pPr>
              <w:spacing w:line="360" w:lineRule="auto"/>
              <w:jc w:val="center"/>
              <w:rPr>
                <w:sz w:val="16"/>
                <w:szCs w:val="16"/>
                <w:lang w:val="en-US"/>
              </w:rPr>
            </w:pPr>
            <w:r w:rsidRPr="00AB5244">
              <w:rPr>
                <w:sz w:val="16"/>
                <w:szCs w:val="16"/>
                <w:lang w:val="en-US"/>
              </w:rPr>
              <w:t>Rectal swab</w:t>
            </w:r>
          </w:p>
        </w:tc>
        <w:tc>
          <w:tcPr>
            <w:tcW w:w="0" w:type="auto"/>
            <w:vAlign w:val="center"/>
          </w:tcPr>
          <w:p w14:paraId="632553E1" w14:textId="15368EFD"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A0FD7E6" w14:textId="69184059"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13% (23/184)</w:t>
            </w:r>
          </w:p>
        </w:tc>
        <w:tc>
          <w:tcPr>
            <w:tcW w:w="0" w:type="auto"/>
            <w:vAlign w:val="center"/>
          </w:tcPr>
          <w:p w14:paraId="3CDA6161" w14:textId="62697843"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0D6A360" w14:textId="03378BB1"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3% (6/184)</w:t>
            </w:r>
          </w:p>
        </w:tc>
        <w:tc>
          <w:tcPr>
            <w:tcW w:w="0" w:type="auto"/>
            <w:vAlign w:val="center"/>
          </w:tcPr>
          <w:p w14:paraId="65466B3F" w14:textId="04F6C79E"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13% (24/184)</w:t>
            </w:r>
          </w:p>
        </w:tc>
        <w:tc>
          <w:tcPr>
            <w:tcW w:w="0" w:type="auto"/>
            <w:vAlign w:val="center"/>
          </w:tcPr>
          <w:p w14:paraId="598D33C4" w14:textId="0A54A25D"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907C4EA" w14:textId="6BE58976"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A1A0F43" w14:textId="5FD773F2" w:rsidR="002E1DAD"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20444" w14:paraId="173CC241" w14:textId="31E97A35" w:rsidTr="002E1DAD">
        <w:trPr>
          <w:trHeight w:val="590"/>
        </w:trPr>
        <w:tc>
          <w:tcPr>
            <w:tcW w:w="0" w:type="auto"/>
            <w:vAlign w:val="center"/>
          </w:tcPr>
          <w:p w14:paraId="01C66318" w14:textId="4D235BDC" w:rsidR="002E1DAD" w:rsidRPr="000D377C"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t>Scheich</w:t>
            </w:r>
            <w:proofErr w:type="spellEnd"/>
            <w:r>
              <w:rPr>
                <w:color w:val="000000" w:themeColor="text1"/>
                <w:sz w:val="16"/>
                <w:szCs w:val="16"/>
                <w:lang w:val="en-US"/>
              </w:rPr>
              <w:t xml:space="preserve"> 2018</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{"citationItems":[{"id":"ITEM-1","itemData":{"DOI":"10.1371/journal.pone.0201169","ISBN":"1111111111","ISSN":"19326203","PMID":"30024969","abstract":"Allogeneic hematopoietic stem cell transplantation (allo-HSCT) offers potential cure to acute myeloid leukemia (AML) patients. However, infections with commensal bacteria are an important cause for non-relapse mortality (NRM). We have previously described the impact of multidrug-resistant organism (MDRO) colonization on the survival of allo-HSCT patients. In the aforementioned publication, according to consensus, we there did not consider the opportunistic gram-negative bacterium Stenotrophomonas maltophilia (S. maltophilia) to be an MDRO. Since rate of S. maltophilia colonization is increasing, and it is not known whether this poses a risk for allo-HSCT patients, we here analyzed here its effect on the previously described and now extended patient cohort. We report on 291 AML patients undergoing allo-HSCT. Twenty of 291 patients (6.9%) were colonized with S. maltophilia. Colonized patients did not differ from non-colonized patients with respect to their age, remission status before allo-HSCT, donor type and HSCT-comorbidity index. S. maltophilia colonized patients had a worse overall survival (OS) from 6 months up to 60 months (85% vs. 88.1% and 24.7% vs. 59.7%; p = 0.007) due to a higher NRM after allo-HSCT (6 months: 15% vs. 4.8% and 60 months: 40.1% vs. 16.2% p = 0.003). The main cause of mortality in colonized patients was infection (46.2% of all deaths) and in non-colonized patients relapse (58.8% of all deaths). 5/20 colonized patients developed an invasive infection with S. maltophilia. The worse OS after allo-HSCT due to higher infection related mortality might implicate the screening of allo-HSCT patients for S. maltophilia and a closer observation of colonized patients as outpatients.","author":[{"dropping-particle":"","family":"Scheich","given":"Sebastian","non-dropping-particle":"","parse-names":false,"suffix":""},{"dropping-particle":"","family":"Koenig","given":"Rosalie","non-dropping-particle":"","parse-names":false,"suffix":""},{"dropping-particle":"","family":"Wilke","given":"Anne C.","non-dropping-particle":"","parse-names":false,"suffix":""},{"dropping-particle":"","family":"Lindner","given":"Sarah","non-dropping-particle":"","parse-names":false,"suffix":""},{"dropping-particle":"","family":"Reinheimer","given":"Claudia","non-dropping-particle":"","parse-names":false,"suffix":""},{"dropping-particle":"","family":"Wichelhaus","given":"Thomas A.","non-dropping-particle":"","parse-names":false,"suffix":""},{"dropping-particle":"","family":"Hogardt","given":"Michael","non-dropping-particle":"","parse-names":false,"suffix":""},{"dropping-particle":"","family":"Kempf","given":"Volkhard A.J.","non-dropping-particle":"","parse-names":false,"suffix":""},{"dropping-particle":"","family":"Kessel","given":"Johanna","non-dropping-particle":"","parse-names":false,"suffix":""},{"dropping-particle":"","family":"Weber","given":"Sarah","non-dropping-particle":"","parse-names":false,"suffix":""},{"dropping-particle":"","family":"Martin","given":"Hans","non-dropping-particle":"","parse-names":false,"suffix":""},{"dropping-particle":"","family":"Bug","given":"Gesine","non-dropping-particle":"","parse-names":false,"suffix":""},{"dropping-particle":"","family":"Serve","given":"Hubert","non-dropping-particle":"","parse-names":false,"suffix":""},{"dropping-particle":"","family":"Steffen","given":"Björn","non-dropping-particle":"","parse-names":false,"suffix":""}],"container-title":"PLoS ONE","id":"ITEM-1","issue":"7","issued":{"date-parts":[["2018"]]},"page":"1-14","title":"Stenotrophomonas maltophilia colonization during allogeneic hematopoietic stem cell transplantation is associated with impaired survival","type":"article-journal","volume":"13"},"uris":["http://www.mendeley.com/documents/?uuid=9ca673e0-724e-4440-bdc3-fa01b20790c1"]}],"mendeley":{"formattedCitation":"&lt;sup&gt;81&lt;/sup&gt;","plainTextFormattedCitation":"81","previouslyFormattedCitation":"&lt;sup&gt;81&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81</w:t>
            </w:r>
            <w:r w:rsidR="003E4C95">
              <w:rPr>
                <w:color w:val="000000" w:themeColor="text1"/>
                <w:sz w:val="16"/>
                <w:szCs w:val="16"/>
                <w:lang w:val="en-US"/>
              </w:rPr>
              <w:fldChar w:fldCharType="end"/>
            </w:r>
          </w:p>
        </w:tc>
        <w:tc>
          <w:tcPr>
            <w:tcW w:w="0" w:type="auto"/>
            <w:vAlign w:val="center"/>
          </w:tcPr>
          <w:p w14:paraId="32D431F6" w14:textId="5AED79EF"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291</w:t>
            </w:r>
          </w:p>
        </w:tc>
        <w:tc>
          <w:tcPr>
            <w:tcW w:w="0" w:type="auto"/>
            <w:vAlign w:val="center"/>
          </w:tcPr>
          <w:p w14:paraId="118D8496" w14:textId="636BB325" w:rsidR="002E1DAD" w:rsidRPr="00FD59F9" w:rsidRDefault="002E1DAD" w:rsidP="002E1DAD">
            <w:pPr>
              <w:spacing w:line="360" w:lineRule="auto"/>
              <w:jc w:val="center"/>
              <w:rPr>
                <w:sz w:val="16"/>
                <w:szCs w:val="16"/>
                <w:lang w:val="en-US"/>
              </w:rPr>
            </w:pPr>
            <w:r w:rsidRPr="00AB5244">
              <w:rPr>
                <w:sz w:val="16"/>
                <w:szCs w:val="16"/>
                <w:lang w:val="en-US"/>
              </w:rPr>
              <w:t>Rectal + pharyngeal + urine swab</w:t>
            </w:r>
          </w:p>
        </w:tc>
        <w:tc>
          <w:tcPr>
            <w:tcW w:w="0" w:type="auto"/>
            <w:vAlign w:val="center"/>
          </w:tcPr>
          <w:p w14:paraId="7D242D47" w14:textId="35C46CCE"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FEA053C" w14:textId="4B8EF6EC"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FD7C627" w14:textId="46A39EA4"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3D9D403" w14:textId="0E09CA6E"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10% (12/121)</w:t>
            </w:r>
          </w:p>
        </w:tc>
        <w:tc>
          <w:tcPr>
            <w:tcW w:w="0" w:type="auto"/>
            <w:vAlign w:val="center"/>
          </w:tcPr>
          <w:p w14:paraId="26A724B9" w14:textId="28A79110"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538986F" w14:textId="3F74E802"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9ABD62B" w14:textId="02F55C5D"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7% (20/291)</w:t>
            </w:r>
          </w:p>
        </w:tc>
        <w:tc>
          <w:tcPr>
            <w:tcW w:w="0" w:type="auto"/>
            <w:vAlign w:val="center"/>
          </w:tcPr>
          <w:p w14:paraId="6502014B" w14:textId="19E501C7"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r w:rsidR="003E4C95" w:rsidRPr="00AB5244" w14:paraId="02C5A9F7" w14:textId="18F88360" w:rsidTr="002E1DAD">
        <w:trPr>
          <w:trHeight w:val="590"/>
        </w:trPr>
        <w:tc>
          <w:tcPr>
            <w:tcW w:w="0" w:type="auto"/>
            <w:vAlign w:val="center"/>
          </w:tcPr>
          <w:p w14:paraId="7866DB46" w14:textId="4F8EC557" w:rsidR="002E1DAD" w:rsidRPr="000D377C"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lastRenderedPageBreak/>
              <w:t>Vehreschild</w:t>
            </w:r>
            <w:proofErr w:type="spellEnd"/>
            <w:r>
              <w:rPr>
                <w:color w:val="000000" w:themeColor="text1"/>
                <w:sz w:val="16"/>
                <w:szCs w:val="16"/>
                <w:lang w:val="en-US"/>
              </w:rPr>
              <w:t xml:space="preserve"> 2014</w:t>
            </w:r>
            <w:r w:rsidR="003E4C95">
              <w:rPr>
                <w:color w:val="000000" w:themeColor="text1"/>
                <w:sz w:val="16"/>
                <w:szCs w:val="16"/>
                <w:lang w:val="en-US"/>
              </w:rPr>
              <w:fldChar w:fldCharType="begin" w:fldLock="1"/>
            </w:r>
            <w:r w:rsidR="003E4C95">
              <w:rPr>
                <w:color w:val="000000" w:themeColor="text1"/>
                <w:sz w:val="16"/>
                <w:szCs w:val="16"/>
                <w:lang w:val="en-US"/>
              </w:rPr>
              <w:instrText>ADDIN CSL_CITATION {"citationItems":[{"id":"ITEM-1","itemData":{"DOI":"10.1093/jac/dku305","ISSN":"14602091","PMID":"25103492","abstract":"Background: Bloodstream infections (BSIs) caused by enterobacteria remain a leading cause of mortality in patients with chemotherapy-induced neutropenia. The rate and type of colonization and infection with ESBLproducing Enterobacteriaceae (ESBL-E) and their mode of transmission in German cancer centres is largely unknown. Methods: We performed a prospective, observational study at five German university-based haematology departments. Participating sites screened for intestinal ESBL-E colonization within 72 h of admission, every 10±2 days thereafter and before discharge. Three of the five centres performed contact isolation for patients colonized or infected with ESBL-E. Molecular characterization of resistance mechanisms and epidemiological typing of isolates by repetitive extragenic palindromic PCR (rep-PCR) and PFGE was performed to assess strain transmission between patients. Results: Between October 2011 and December 2012, 719 hospitalizations of 497 haematological high-risk patients comprising 20143 patient-days were analysed. Mean duration of in-hospital stay was 36.6 days (range: 2-159 days). ESBL-E were identified from screening samples (82.8% Escherichia coli and 14.6% Klebsiella pneumoniae) in 55/497 patients (11.1%; range by centre: 5.8%-23.1%). PFGE and rep-PCR revealed only a single case of potential cross-transmission among two patients colonized with K. pneumoniae. Six episodes of BSI with ESBL-E were observed. Multivariate analysis revealed previous colonization with ESBL-E as the most important risk factor for BSI with ESBL-E (OR 52.00; 95% CI 5.71-473.89). Conclusions: Even though BSI with ESBL-E is still rare in this high-risk population, colonization rates are substantial and vary considerably between centres. In-hospital transmission of ESBL-E as assessed by molecular typing was the exception.","author":[{"dropping-particle":"","family":"Vehreschild","given":"Maria J.G.T.","non-dropping-particle":"","parse-names":false,"suffix":""},{"dropping-particle":"","family":"Hamprecht","given":"Axel","non-dropping-particle":"","parse-names":false,"suffix":""},{"dropping-particle":"","family":"Peterson","given":"Lisa","non-dropping-particle":"","parse-names":false,"suffix":""},{"dropping-particle":"","family":"Schubert","given":"Sören","non-dropping-particle":"","parse-names":false,"suffix":""},{"dropping-particle":"","family":"Häntschel","given":"Maik","non-dropping-particle":"","parse-names":false,"suffix":""},{"dropping-particle":"","family":"Peter","given":"Silke","non-dropping-particle":"","parse-names":false,"suffix":""},{"dropping-particle":"","family":"Schafhausen","given":"Philippe","non-dropping-particle":"","parse-names":false,"suffix":""},{"dropping-particle":"","family":"Rohde","given":"Holger","non-dropping-particle":"","parse-names":false,"suffix":""},{"dropping-particle":"V.","family":"Lilienfeld-Toal","given":"Marie","non-dropping-particle":"","parse-names":false,"suffix":""},{"dropping-particle":"","family":"Bekeredjian-Ding","given":"Isabelle","non-dropping-particle":"","parse-names":false,"suffix":""},{"dropping-particle":"","family":"Libam","given":"Johannes","non-dropping-particle":"","parse-names":false,"suffix":""},{"dropping-particle":"","family":"Hellmich","given":"Martin","non-dropping-particle":"","parse-names":false,"suffix":""},{"dropping-particle":"","family":"Vehreschild","given":"Jörg J.","non-dropping-particle":"","parse-names":false,"suffix":""},{"dropping-particle":"","family":"Cornely","given":"Oliver A.","non-dropping-particle":"","parse-names":false,"suffix":""},{"dropping-particle":"","family":"Seifert","given":"Harald","non-dropping-particle":"","parse-names":false,"suffix":""}],"container-title":"Journal of Antimicrobial Chemotherapy","id":"ITEM-1","issue":"12","issued":{"date-parts":[["2014"]]},"page":"3387-3392","title":"A multicentre cohort study on colonization and infection with ESBL-producing Enterobacteriaceae in high-risk patients with haematological malignancies","type":"article-journal","volume":"69"},"uris":["http://www.mendeley.com/documents/?uuid=222c8d70-d00b-495b-ae8e-21718bf56409"]}],"mendeley":{"formattedCitation":"&lt;sup&gt;82&lt;/sup&gt;","plainTextFormattedCitation":"82","previouslyFormattedCitation":"&lt;sup&gt;82&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82</w:t>
            </w:r>
            <w:r w:rsidR="003E4C95">
              <w:rPr>
                <w:color w:val="000000" w:themeColor="text1"/>
                <w:sz w:val="16"/>
                <w:szCs w:val="16"/>
                <w:lang w:val="en-US"/>
              </w:rPr>
              <w:fldChar w:fldCharType="end"/>
            </w:r>
          </w:p>
        </w:tc>
        <w:tc>
          <w:tcPr>
            <w:tcW w:w="0" w:type="auto"/>
            <w:vAlign w:val="center"/>
          </w:tcPr>
          <w:p w14:paraId="1CF6F841" w14:textId="77EBABB1"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497</w:t>
            </w:r>
          </w:p>
        </w:tc>
        <w:tc>
          <w:tcPr>
            <w:tcW w:w="0" w:type="auto"/>
            <w:vAlign w:val="center"/>
          </w:tcPr>
          <w:p w14:paraId="499E97C6" w14:textId="2726A3DB" w:rsidR="002E1DAD" w:rsidRPr="00FD59F9" w:rsidRDefault="002E1DAD" w:rsidP="002E1DAD">
            <w:pPr>
              <w:spacing w:line="360" w:lineRule="auto"/>
              <w:jc w:val="center"/>
              <w:rPr>
                <w:sz w:val="16"/>
                <w:szCs w:val="16"/>
                <w:lang w:val="en-US"/>
              </w:rPr>
            </w:pPr>
            <w:r w:rsidRPr="00AB5244">
              <w:rPr>
                <w:sz w:val="16"/>
                <w:szCs w:val="16"/>
                <w:lang w:val="en-US"/>
              </w:rPr>
              <w:t>Rectal swab</w:t>
            </w:r>
          </w:p>
        </w:tc>
        <w:tc>
          <w:tcPr>
            <w:tcW w:w="0" w:type="auto"/>
            <w:vAlign w:val="center"/>
          </w:tcPr>
          <w:p w14:paraId="64316FAD" w14:textId="1068DA75"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7963D80" w14:textId="21918270"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11% (55/497)</w:t>
            </w:r>
          </w:p>
        </w:tc>
        <w:tc>
          <w:tcPr>
            <w:tcW w:w="0" w:type="auto"/>
            <w:vAlign w:val="center"/>
          </w:tcPr>
          <w:p w14:paraId="39C248CB" w14:textId="6645C48C"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D6F5FCC" w14:textId="1D92221A"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64BAFCF5" w14:textId="0A3300DC"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48739EA" w14:textId="61B4C15A"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92993B6" w14:textId="6E6A73D5"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10D4A749" w14:textId="04EA9FEE"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r w:rsidR="003E4C95" w:rsidRPr="00F20444" w14:paraId="5DD94877" w14:textId="492251D8" w:rsidTr="002E1DAD">
        <w:trPr>
          <w:trHeight w:val="590"/>
        </w:trPr>
        <w:tc>
          <w:tcPr>
            <w:tcW w:w="0" w:type="auto"/>
            <w:vAlign w:val="center"/>
          </w:tcPr>
          <w:p w14:paraId="4F32D4D4" w14:textId="1601B0BA" w:rsidR="002E1DAD" w:rsidRPr="000D377C" w:rsidRDefault="002E1DAD" w:rsidP="002E1DAD">
            <w:pPr>
              <w:spacing w:line="360" w:lineRule="auto"/>
              <w:jc w:val="center"/>
              <w:rPr>
                <w:color w:val="000000" w:themeColor="text1"/>
                <w:sz w:val="16"/>
                <w:szCs w:val="16"/>
                <w:lang w:val="en-US"/>
              </w:rPr>
            </w:pPr>
            <w:proofErr w:type="spellStart"/>
            <w:r>
              <w:rPr>
                <w:color w:val="000000" w:themeColor="text1"/>
                <w:sz w:val="16"/>
                <w:szCs w:val="16"/>
                <w:lang w:val="en-US"/>
              </w:rPr>
              <w:t>Zavrelova</w:t>
            </w:r>
            <w:proofErr w:type="spellEnd"/>
            <w:r>
              <w:rPr>
                <w:color w:val="000000" w:themeColor="text1"/>
                <w:sz w:val="16"/>
                <w:szCs w:val="16"/>
                <w:lang w:val="en-US"/>
              </w:rPr>
              <w:t xml:space="preserve"> 2019</w:t>
            </w:r>
            <w:r w:rsidR="003E4C95">
              <w:rPr>
                <w:color w:val="000000" w:themeColor="text1"/>
                <w:sz w:val="16"/>
                <w:szCs w:val="16"/>
                <w:lang w:val="en-US"/>
              </w:rPr>
              <w:fldChar w:fldCharType="begin" w:fldLock="1"/>
            </w:r>
            <w:r w:rsidR="00493429">
              <w:rPr>
                <w:color w:val="000000" w:themeColor="text1"/>
                <w:sz w:val="16"/>
                <w:szCs w:val="16"/>
                <w:lang w:val="en-US"/>
              </w:rPr>
              <w:instrText>ADDIN CSL_CITATION {"citationItems":[{"id":"ITEM-1","itemData":{"DOI":"10.5507/bp.2018.047","ISSN":"18047521","PMID":"30198521","abstract":"Background. Ciprofloxacin prophylaxis used to be a standard precaution during autologous stem cell transplantation. Its benefit, with a high prevalence of fluoroqinolone resistance in the population, has recently been under scrutiny. Objective. To evaluate the impact of cessation of ciprofloxacin prophylaxis during stem cell transplantation for multiple myeloma. Patients and Methods. Data from 104 patients with multiple myeloma transplanted during the period from January 2013 to April 2015 were retrospectively reviewed. 67 received standard ciprofloxacin prophylaxis (group A) and 37 received no antibacterial prophylaxis (group B). Results. Febrile episodes during neutropenia, bloodstream infection (BSI) and mortality in these two cohorts were evaluated. Gram negative BSI was assessed for the colonization of quinolone-resistant gram-negative pathogens. Secondary Clostridium difficile enterocolitis presence was determined in both cohorts. There were 42 (63%), 7 (10%), and 0 febrile episodes, BSI and gram-negative BSI respectively in group A, and 34 (92%), 12 (32%), and 4 (11%) respectively in group B. The differences in the number of febrile episodes (P=0.0011) and deaths (P=0.0427) were statistically significance. Mortality was 0 and 3 (8%) in group A and group B, respectively. There was no significant difference in colonization with quinolone-resistant gram negative pathogens (25 (37%) versus 11 (30%)) between groups. The occurrence of Clostridium difficile colitis was the same in both groups. Conclusion. We resumed ciprofloxacin prophylaxis for the following reasons. There was a significant reduction in febrile episodes, and consequently a sparing effect of antibiotics used for treatment of this condition. No difference in Clostridium difficile colitis occurred and the mortality rate of 8% in group B was unacceptably high.","author":[{"dropping-particle":"","family":"Zavrelova","given":"Alzbeta","non-dropping-particle":"","parse-names":false,"suffix":""},{"dropping-particle":"","family":"Paterova","given":"Pavla","non-dropping-particle":"","parse-names":false,"suffix":""},{"dropping-particle":"","family":"Gabalec","given":"Filip","non-dropping-particle":"","parse-names":false,"suffix":""},{"dropping-particle":"","family":"Zak","given":"Pavel","non-dropping-particle":"","parse-names":false,"suffix":""},{"dropping-particle":"","family":"Radocha","given":"Jakub","non-dropping-particle":"","parse-names":false,"suffix":""}],"container-title":"Biomedical Papers","id":"ITEM-1","issue":"2","issued":{"date-parts":[["2019"]]},"page":"161-165","publisher":"Biomedical Papers","title":"Ciprofloxacin prophylaxis during autologous stem cell transplantation for multiple myeloma in patients with a high rate of fluoroquinolone-resistant gram-negative bacteria colonization","type":"article-journal","volume":"163"},"uris":["http://www.mendeley.com/documents/?uuid=3469bbdb-84b8-463c-9ce9-e97c47c87d75"]}],"mendeley":{"formattedCitation":"&lt;sup&gt;71&lt;/sup&gt;","plainTextFormattedCitation":"71","previouslyFormattedCitation":"&lt;sup&gt;71&lt;/sup&gt;"},"properties":{"noteIndex":0},"schema":"https://github.com/citation-style-language/schema/raw/master/csl-citation.json"}</w:instrText>
            </w:r>
            <w:r w:rsidR="003E4C95">
              <w:rPr>
                <w:color w:val="000000" w:themeColor="text1"/>
                <w:sz w:val="16"/>
                <w:szCs w:val="16"/>
                <w:lang w:val="en-US"/>
              </w:rPr>
              <w:fldChar w:fldCharType="separate"/>
            </w:r>
            <w:r w:rsidR="003E4C95" w:rsidRPr="003E4C95">
              <w:rPr>
                <w:noProof/>
                <w:color w:val="000000" w:themeColor="text1"/>
                <w:sz w:val="16"/>
                <w:szCs w:val="16"/>
                <w:vertAlign w:val="superscript"/>
                <w:lang w:val="en-US"/>
              </w:rPr>
              <w:t>71</w:t>
            </w:r>
            <w:r w:rsidR="003E4C95">
              <w:rPr>
                <w:color w:val="000000" w:themeColor="text1"/>
                <w:sz w:val="16"/>
                <w:szCs w:val="16"/>
                <w:lang w:val="en-US"/>
              </w:rPr>
              <w:fldChar w:fldCharType="end"/>
            </w:r>
          </w:p>
        </w:tc>
        <w:tc>
          <w:tcPr>
            <w:tcW w:w="0" w:type="auto"/>
            <w:vAlign w:val="center"/>
          </w:tcPr>
          <w:p w14:paraId="6C1B967D" w14:textId="1A306098"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104</w:t>
            </w:r>
          </w:p>
        </w:tc>
        <w:tc>
          <w:tcPr>
            <w:tcW w:w="0" w:type="auto"/>
            <w:vAlign w:val="center"/>
          </w:tcPr>
          <w:p w14:paraId="79693291" w14:textId="16C557FE" w:rsidR="002E1DAD" w:rsidRPr="00FD59F9" w:rsidRDefault="002E1DAD" w:rsidP="002E1DAD">
            <w:pPr>
              <w:spacing w:line="360" w:lineRule="auto"/>
              <w:jc w:val="center"/>
              <w:rPr>
                <w:sz w:val="16"/>
                <w:szCs w:val="16"/>
                <w:lang w:val="en-US"/>
              </w:rPr>
            </w:pPr>
            <w:r w:rsidRPr="00AB5244">
              <w:rPr>
                <w:sz w:val="16"/>
                <w:szCs w:val="16"/>
                <w:lang w:val="en-US"/>
              </w:rPr>
              <w:t>Rectal + pharyngeal +urine swab</w:t>
            </w:r>
          </w:p>
        </w:tc>
        <w:tc>
          <w:tcPr>
            <w:tcW w:w="0" w:type="auto"/>
            <w:vAlign w:val="center"/>
          </w:tcPr>
          <w:p w14:paraId="53C5D9F0" w14:textId="091D0A3C"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35% (36/104)</w:t>
            </w:r>
          </w:p>
        </w:tc>
        <w:tc>
          <w:tcPr>
            <w:tcW w:w="0" w:type="auto"/>
            <w:vAlign w:val="center"/>
          </w:tcPr>
          <w:p w14:paraId="6846B05D" w14:textId="5D42CDD7"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AE8DA5D" w14:textId="29BEB102"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520E2848" w14:textId="5949AFB8"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042C2DCC" w14:textId="27CEAC75"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2DE5A435" w14:textId="166200A4"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79BBC284" w14:textId="0C595C86"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c>
          <w:tcPr>
            <w:tcW w:w="0" w:type="auto"/>
            <w:vAlign w:val="center"/>
          </w:tcPr>
          <w:p w14:paraId="44AA9965" w14:textId="00AF3983" w:rsidR="002E1DAD" w:rsidRPr="000D377C" w:rsidRDefault="002E1DAD" w:rsidP="002E1DAD">
            <w:pPr>
              <w:spacing w:line="360" w:lineRule="auto"/>
              <w:jc w:val="center"/>
              <w:rPr>
                <w:color w:val="000000" w:themeColor="text1"/>
                <w:sz w:val="16"/>
                <w:szCs w:val="16"/>
                <w:lang w:val="en-US"/>
              </w:rPr>
            </w:pPr>
            <w:r>
              <w:rPr>
                <w:color w:val="000000" w:themeColor="text1"/>
                <w:sz w:val="16"/>
                <w:szCs w:val="16"/>
                <w:lang w:val="en-US"/>
              </w:rPr>
              <w:t>N/A</w:t>
            </w:r>
          </w:p>
        </w:tc>
      </w:tr>
    </w:tbl>
    <w:p w14:paraId="1656B389" w14:textId="1D74C49A" w:rsidR="002C5C0E" w:rsidRDefault="002C5C0E" w:rsidP="002E1DAD">
      <w:pPr>
        <w:jc w:val="both"/>
        <w:rPr>
          <w:color w:val="000000" w:themeColor="text1"/>
          <w:sz w:val="20"/>
          <w:szCs w:val="20"/>
          <w:lang w:val="en-US"/>
        </w:rPr>
      </w:pPr>
      <w:r w:rsidRPr="00A3702B">
        <w:rPr>
          <w:color w:val="000000" w:themeColor="text1"/>
          <w:sz w:val="20"/>
          <w:szCs w:val="20"/>
          <w:lang w:val="en-US"/>
        </w:rPr>
        <w:t xml:space="preserve">HM, hematological malignancies; HCT, hematopoietic cell transplantation; auto, autologous; </w:t>
      </w:r>
      <w:proofErr w:type="spellStart"/>
      <w:r w:rsidRPr="00A3702B">
        <w:rPr>
          <w:color w:val="000000" w:themeColor="text1"/>
          <w:sz w:val="20"/>
          <w:szCs w:val="20"/>
          <w:lang w:val="en-US"/>
        </w:rPr>
        <w:t>allo</w:t>
      </w:r>
      <w:proofErr w:type="spellEnd"/>
      <w:r w:rsidRPr="00A3702B">
        <w:rPr>
          <w:color w:val="000000" w:themeColor="text1"/>
          <w:sz w:val="20"/>
          <w:szCs w:val="20"/>
          <w:lang w:val="en-US"/>
        </w:rPr>
        <w:t xml:space="preserve">, allogenic; BSI, bloodstream infections; R-BSI, resistant BSI; </w:t>
      </w:r>
      <w:proofErr w:type="spellStart"/>
      <w:r w:rsidRPr="00A3702B">
        <w:rPr>
          <w:color w:val="000000" w:themeColor="text1"/>
          <w:sz w:val="20"/>
          <w:szCs w:val="20"/>
          <w:lang w:val="en-US"/>
        </w:rPr>
        <w:t>PsA</w:t>
      </w:r>
      <w:proofErr w:type="spellEnd"/>
      <w:r w:rsidRPr="00A3702B">
        <w:rPr>
          <w:color w:val="000000" w:themeColor="text1"/>
          <w:sz w:val="20"/>
          <w:szCs w:val="20"/>
          <w:lang w:val="en-US"/>
        </w:rPr>
        <w:t xml:space="preserve">, </w:t>
      </w:r>
      <w:r w:rsidRPr="00A3702B">
        <w:rPr>
          <w:i/>
          <w:iCs/>
          <w:color w:val="000000" w:themeColor="text1"/>
          <w:sz w:val="20"/>
          <w:szCs w:val="20"/>
          <w:lang w:val="en-US"/>
        </w:rPr>
        <w:t>Pseudomonas aeruginosa</w:t>
      </w:r>
      <w:r w:rsidRPr="00A3702B">
        <w:rPr>
          <w:color w:val="000000" w:themeColor="text1"/>
          <w:sz w:val="20"/>
          <w:szCs w:val="20"/>
          <w:lang w:val="en-US"/>
        </w:rPr>
        <w:t>; pts, patients; GN, gram-negative; ESBL/3GCR, Extended-Spectrum Beta-Lactamases-producing / 3</w:t>
      </w:r>
      <w:r w:rsidRPr="00A3702B">
        <w:rPr>
          <w:color w:val="000000" w:themeColor="text1"/>
          <w:sz w:val="20"/>
          <w:szCs w:val="20"/>
          <w:vertAlign w:val="superscript"/>
          <w:lang w:val="en-US"/>
        </w:rPr>
        <w:t>rd</w:t>
      </w:r>
      <w:r w:rsidRPr="00A3702B">
        <w:rPr>
          <w:color w:val="000000" w:themeColor="text1"/>
          <w:sz w:val="20"/>
          <w:szCs w:val="20"/>
          <w:lang w:val="en-US"/>
        </w:rPr>
        <w:t xml:space="preserve"> generation cephalosporin-resistant; FQ-R, fluoroquinolone-resistant; CR, carbapenem-resistant; MDR, multidrug resistant; </w:t>
      </w:r>
      <w:r>
        <w:rPr>
          <w:color w:val="000000" w:themeColor="text1"/>
          <w:sz w:val="20"/>
          <w:szCs w:val="20"/>
          <w:lang w:val="en-US"/>
        </w:rPr>
        <w:t>SA,</w:t>
      </w:r>
      <w:r w:rsidRPr="00321C99">
        <w:rPr>
          <w:i/>
          <w:iCs/>
          <w:color w:val="000000" w:themeColor="text1"/>
          <w:sz w:val="20"/>
          <w:szCs w:val="20"/>
          <w:lang w:val="en-US"/>
        </w:rPr>
        <w:t xml:space="preserve"> </w:t>
      </w:r>
      <w:r w:rsidR="00D27B51">
        <w:rPr>
          <w:i/>
          <w:iCs/>
          <w:color w:val="000000" w:themeColor="text1"/>
          <w:sz w:val="20"/>
          <w:szCs w:val="20"/>
          <w:lang w:val="en-US"/>
        </w:rPr>
        <w:t>S</w:t>
      </w:r>
      <w:r w:rsidRPr="00321C99">
        <w:rPr>
          <w:i/>
          <w:iCs/>
          <w:color w:val="000000" w:themeColor="text1"/>
          <w:sz w:val="20"/>
          <w:szCs w:val="20"/>
          <w:lang w:val="en-US"/>
        </w:rPr>
        <w:t>taphylococcus aureus</w:t>
      </w:r>
      <w:r>
        <w:rPr>
          <w:color w:val="000000" w:themeColor="text1"/>
          <w:sz w:val="20"/>
          <w:szCs w:val="20"/>
          <w:lang w:val="en-US"/>
        </w:rPr>
        <w:t xml:space="preserve">; </w:t>
      </w:r>
      <w:r w:rsidRPr="00A3702B">
        <w:rPr>
          <w:color w:val="000000" w:themeColor="text1"/>
          <w:sz w:val="20"/>
          <w:szCs w:val="20"/>
          <w:lang w:val="en-US"/>
        </w:rPr>
        <w:t xml:space="preserve">MRSA, methicillin-resistant </w:t>
      </w:r>
      <w:r>
        <w:rPr>
          <w:i/>
          <w:iCs/>
          <w:color w:val="000000" w:themeColor="text1"/>
          <w:sz w:val="20"/>
          <w:szCs w:val="20"/>
          <w:lang w:val="en-US"/>
        </w:rPr>
        <w:t>S</w:t>
      </w:r>
      <w:r w:rsidRPr="00A3702B">
        <w:rPr>
          <w:i/>
          <w:iCs/>
          <w:color w:val="000000" w:themeColor="text1"/>
          <w:sz w:val="20"/>
          <w:szCs w:val="20"/>
          <w:lang w:val="en-US"/>
        </w:rPr>
        <w:t>taphylococcus aureus</w:t>
      </w:r>
      <w:r w:rsidRPr="00A3702B">
        <w:rPr>
          <w:color w:val="000000" w:themeColor="text1"/>
          <w:sz w:val="20"/>
          <w:szCs w:val="20"/>
          <w:lang w:val="en-US"/>
        </w:rPr>
        <w:t>; VRE, vancomycin-resistant enterococc</w:t>
      </w:r>
      <w:r w:rsidR="003F4CA3">
        <w:rPr>
          <w:color w:val="000000" w:themeColor="text1"/>
          <w:sz w:val="20"/>
          <w:szCs w:val="20"/>
          <w:lang w:val="en-US"/>
        </w:rPr>
        <w:t>i</w:t>
      </w:r>
      <w:r w:rsidRPr="00A3702B">
        <w:rPr>
          <w:color w:val="000000" w:themeColor="text1"/>
          <w:sz w:val="20"/>
          <w:szCs w:val="20"/>
          <w:lang w:val="en-US"/>
        </w:rPr>
        <w:t xml:space="preserve">; retro, retrospective; pro, prospective; </w:t>
      </w:r>
      <w:proofErr w:type="spellStart"/>
      <w:r w:rsidRPr="00A3702B">
        <w:rPr>
          <w:color w:val="000000" w:themeColor="text1"/>
          <w:sz w:val="20"/>
          <w:szCs w:val="20"/>
          <w:lang w:val="en-US"/>
        </w:rPr>
        <w:t>Enterob</w:t>
      </w:r>
      <w:proofErr w:type="spellEnd"/>
      <w:r w:rsidRPr="00A3702B">
        <w:rPr>
          <w:color w:val="000000" w:themeColor="text1"/>
          <w:sz w:val="20"/>
          <w:szCs w:val="20"/>
          <w:lang w:val="en-US"/>
        </w:rPr>
        <w:t xml:space="preserve">., </w:t>
      </w:r>
      <w:proofErr w:type="spellStart"/>
      <w:r w:rsidRPr="00AB0CDA">
        <w:rPr>
          <w:color w:val="000000" w:themeColor="text1"/>
          <w:sz w:val="20"/>
          <w:szCs w:val="20"/>
          <w:lang w:val="en-US"/>
        </w:rPr>
        <w:t>Enterobacter</w:t>
      </w:r>
      <w:r w:rsidR="003F4CA3" w:rsidRPr="00AB0CDA">
        <w:rPr>
          <w:color w:val="000000" w:themeColor="text1"/>
          <w:sz w:val="20"/>
          <w:szCs w:val="20"/>
          <w:lang w:val="en-US"/>
        </w:rPr>
        <w:t>ales</w:t>
      </w:r>
      <w:proofErr w:type="spellEnd"/>
      <w:r w:rsidRPr="00A3702B">
        <w:rPr>
          <w:color w:val="000000" w:themeColor="text1"/>
          <w:sz w:val="20"/>
          <w:szCs w:val="20"/>
          <w:lang w:val="en-US"/>
        </w:rPr>
        <w:t xml:space="preserve">; SM, </w:t>
      </w:r>
      <w:r w:rsidRPr="00A3702B">
        <w:rPr>
          <w:i/>
          <w:iCs/>
          <w:color w:val="000000" w:themeColor="text1"/>
          <w:sz w:val="20"/>
          <w:szCs w:val="20"/>
          <w:lang w:val="en-US"/>
        </w:rPr>
        <w:t xml:space="preserve">Stenotrophomonas </w:t>
      </w:r>
      <w:proofErr w:type="spellStart"/>
      <w:r w:rsidRPr="00A3702B">
        <w:rPr>
          <w:i/>
          <w:iCs/>
          <w:color w:val="000000" w:themeColor="text1"/>
          <w:sz w:val="20"/>
          <w:szCs w:val="20"/>
          <w:lang w:val="en-US"/>
        </w:rPr>
        <w:t>maltophil</w:t>
      </w:r>
      <w:r w:rsidR="003F4CA3">
        <w:rPr>
          <w:i/>
          <w:iCs/>
          <w:color w:val="000000" w:themeColor="text1"/>
          <w:sz w:val="20"/>
          <w:szCs w:val="20"/>
          <w:lang w:val="en-US"/>
        </w:rPr>
        <w:t>i</w:t>
      </w:r>
      <w:r w:rsidRPr="00A3702B">
        <w:rPr>
          <w:i/>
          <w:iCs/>
          <w:color w:val="000000" w:themeColor="text1"/>
          <w:sz w:val="20"/>
          <w:szCs w:val="20"/>
          <w:lang w:val="en-US"/>
        </w:rPr>
        <w:t>a</w:t>
      </w:r>
      <w:proofErr w:type="spellEnd"/>
      <w:r w:rsidRPr="00A3702B">
        <w:rPr>
          <w:color w:val="000000" w:themeColor="text1"/>
          <w:sz w:val="20"/>
          <w:szCs w:val="20"/>
          <w:lang w:val="en-US"/>
        </w:rPr>
        <w:t xml:space="preserve">; AB, </w:t>
      </w:r>
      <w:r w:rsidRPr="00A3702B">
        <w:rPr>
          <w:i/>
          <w:iCs/>
          <w:color w:val="000000" w:themeColor="text1"/>
          <w:sz w:val="20"/>
          <w:szCs w:val="20"/>
          <w:lang w:val="en-US"/>
        </w:rPr>
        <w:t xml:space="preserve">Acinetobacter </w:t>
      </w:r>
      <w:proofErr w:type="spellStart"/>
      <w:r w:rsidRPr="00A3702B">
        <w:rPr>
          <w:i/>
          <w:iCs/>
          <w:color w:val="000000" w:themeColor="text1"/>
          <w:sz w:val="20"/>
          <w:szCs w:val="20"/>
          <w:lang w:val="en-US"/>
        </w:rPr>
        <w:t>bauma</w:t>
      </w:r>
      <w:r w:rsidR="003F4CA3">
        <w:rPr>
          <w:i/>
          <w:iCs/>
          <w:color w:val="000000" w:themeColor="text1"/>
          <w:sz w:val="20"/>
          <w:szCs w:val="20"/>
          <w:lang w:val="en-US"/>
        </w:rPr>
        <w:t>n</w:t>
      </w:r>
      <w:r w:rsidRPr="00A3702B">
        <w:rPr>
          <w:i/>
          <w:iCs/>
          <w:color w:val="000000" w:themeColor="text1"/>
          <w:sz w:val="20"/>
          <w:szCs w:val="20"/>
          <w:lang w:val="en-US"/>
        </w:rPr>
        <w:t>nii</w:t>
      </w:r>
      <w:proofErr w:type="spellEnd"/>
      <w:r>
        <w:rPr>
          <w:color w:val="000000" w:themeColor="text1"/>
          <w:sz w:val="20"/>
          <w:szCs w:val="20"/>
          <w:lang w:val="en-US"/>
        </w:rPr>
        <w:t xml:space="preserve">; N/A, not addressed; </w:t>
      </w:r>
      <w:r w:rsidR="003F4CA3">
        <w:rPr>
          <w:color w:val="000000" w:themeColor="text1"/>
          <w:sz w:val="20"/>
          <w:szCs w:val="20"/>
          <w:lang w:val="en-US"/>
        </w:rPr>
        <w:t>FN</w:t>
      </w:r>
      <w:r>
        <w:rPr>
          <w:color w:val="000000" w:themeColor="text1"/>
          <w:sz w:val="20"/>
          <w:szCs w:val="20"/>
          <w:lang w:val="en-US"/>
        </w:rPr>
        <w:t xml:space="preserve">, </w:t>
      </w:r>
      <w:r w:rsidR="003F4CA3">
        <w:rPr>
          <w:color w:val="000000" w:themeColor="text1"/>
          <w:sz w:val="20"/>
          <w:szCs w:val="20"/>
          <w:lang w:val="en-US"/>
        </w:rPr>
        <w:t xml:space="preserve">febrile </w:t>
      </w:r>
      <w:r>
        <w:rPr>
          <w:color w:val="000000" w:themeColor="text1"/>
          <w:sz w:val="20"/>
          <w:szCs w:val="20"/>
          <w:lang w:val="en-US"/>
        </w:rPr>
        <w:t>neutropeni</w:t>
      </w:r>
      <w:r w:rsidR="003F4CA3">
        <w:rPr>
          <w:color w:val="000000" w:themeColor="text1"/>
          <w:sz w:val="20"/>
          <w:szCs w:val="20"/>
          <w:lang w:val="en-US"/>
        </w:rPr>
        <w:t>a</w:t>
      </w:r>
    </w:p>
    <w:p w14:paraId="1BDD511D" w14:textId="147D8347" w:rsidR="00F74FE8" w:rsidRDefault="00F74FE8" w:rsidP="005C0021">
      <w:pPr>
        <w:spacing w:line="360" w:lineRule="auto"/>
        <w:jc w:val="both"/>
        <w:rPr>
          <w:color w:val="000000" w:themeColor="text1"/>
          <w:sz w:val="20"/>
          <w:szCs w:val="20"/>
          <w:lang w:val="en-US"/>
        </w:rPr>
      </w:pPr>
    </w:p>
    <w:p w14:paraId="7064138F" w14:textId="77777777" w:rsidR="00E816A9" w:rsidRDefault="00E816A9">
      <w:pPr>
        <w:rPr>
          <w:b/>
          <w:bCs/>
          <w:color w:val="000000" w:themeColor="text1"/>
          <w:sz w:val="20"/>
          <w:szCs w:val="20"/>
          <w:lang w:val="en-US"/>
        </w:rPr>
      </w:pPr>
      <w:r>
        <w:rPr>
          <w:b/>
          <w:bCs/>
          <w:color w:val="000000" w:themeColor="text1"/>
          <w:sz w:val="20"/>
          <w:szCs w:val="20"/>
          <w:lang w:val="en-US"/>
        </w:rPr>
        <w:br w:type="page"/>
      </w:r>
    </w:p>
    <w:p w14:paraId="59C6F166" w14:textId="50E72C01" w:rsidR="00F36CA3" w:rsidRDefault="00077D16" w:rsidP="005C0021">
      <w:pPr>
        <w:spacing w:line="360" w:lineRule="auto"/>
        <w:jc w:val="both"/>
        <w:rPr>
          <w:color w:val="000000" w:themeColor="text1"/>
          <w:sz w:val="20"/>
          <w:szCs w:val="20"/>
          <w:lang w:val="en-US"/>
        </w:rPr>
      </w:pPr>
      <w:r w:rsidRPr="00077D16">
        <w:rPr>
          <w:b/>
          <w:bCs/>
          <w:color w:val="000000" w:themeColor="text1"/>
          <w:sz w:val="20"/>
          <w:szCs w:val="20"/>
          <w:lang w:val="en-US"/>
        </w:rPr>
        <w:lastRenderedPageBreak/>
        <w:t>Supplementary Table S</w:t>
      </w:r>
      <w:r w:rsidR="000E23C2">
        <w:rPr>
          <w:b/>
          <w:bCs/>
          <w:color w:val="000000" w:themeColor="text1"/>
          <w:sz w:val="20"/>
          <w:szCs w:val="20"/>
          <w:lang w:val="en-US"/>
        </w:rPr>
        <w:t>7</w:t>
      </w:r>
      <w:r>
        <w:rPr>
          <w:color w:val="000000" w:themeColor="text1"/>
          <w:sz w:val="20"/>
          <w:szCs w:val="20"/>
          <w:lang w:val="en-US"/>
        </w:rPr>
        <w:t xml:space="preserve">. </w:t>
      </w:r>
      <w:r w:rsidR="004A6F19">
        <w:rPr>
          <w:color w:val="000000" w:themeColor="text1"/>
          <w:sz w:val="20"/>
          <w:szCs w:val="20"/>
          <w:lang w:val="en-US"/>
        </w:rPr>
        <w:t xml:space="preserve">Current international consensus-based definitions on main resistance patterns. </w:t>
      </w:r>
    </w:p>
    <w:tbl>
      <w:tblPr>
        <w:tblStyle w:val="Grigliatabella"/>
        <w:tblW w:w="0" w:type="auto"/>
        <w:tblLook w:val="0420" w:firstRow="1" w:lastRow="0" w:firstColumn="0" w:lastColumn="0" w:noHBand="0" w:noVBand="1"/>
      </w:tblPr>
      <w:tblGrid>
        <w:gridCol w:w="1141"/>
        <w:gridCol w:w="1973"/>
        <w:gridCol w:w="1984"/>
        <w:gridCol w:w="2268"/>
        <w:gridCol w:w="2256"/>
      </w:tblGrid>
      <w:tr w:rsidR="006D07E0" w:rsidRPr="00F20444" w14:paraId="551ECE78" w14:textId="77777777" w:rsidTr="00AB0CDA">
        <w:trPr>
          <w:trHeight w:val="584"/>
        </w:trPr>
        <w:tc>
          <w:tcPr>
            <w:tcW w:w="0" w:type="auto"/>
            <w:vAlign w:val="center"/>
            <w:hideMark/>
          </w:tcPr>
          <w:p w14:paraId="26D84F36" w14:textId="77777777" w:rsidR="004A6F19" w:rsidRPr="004A6F19" w:rsidRDefault="004A6F19" w:rsidP="00AB0CDA">
            <w:pPr>
              <w:spacing w:line="360" w:lineRule="auto"/>
              <w:jc w:val="center"/>
              <w:rPr>
                <w:color w:val="000000" w:themeColor="text1"/>
                <w:sz w:val="16"/>
                <w:szCs w:val="16"/>
                <w:lang w:val="en-US"/>
              </w:rPr>
            </w:pPr>
          </w:p>
        </w:tc>
        <w:tc>
          <w:tcPr>
            <w:tcW w:w="1973" w:type="dxa"/>
            <w:vAlign w:val="center"/>
            <w:hideMark/>
          </w:tcPr>
          <w:p w14:paraId="536382EB" w14:textId="4FBD26A5" w:rsidR="004A6F19" w:rsidRPr="00493429" w:rsidRDefault="004A6F19" w:rsidP="00AB0CDA">
            <w:pPr>
              <w:spacing w:line="360" w:lineRule="auto"/>
              <w:jc w:val="center"/>
              <w:rPr>
                <w:color w:val="000000" w:themeColor="text1"/>
                <w:sz w:val="16"/>
                <w:szCs w:val="16"/>
                <w:lang w:val="en-US"/>
              </w:rPr>
            </w:pPr>
            <w:proofErr w:type="spellStart"/>
            <w:r w:rsidRPr="004A6F19">
              <w:rPr>
                <w:b/>
                <w:bCs/>
                <w:color w:val="000000" w:themeColor="text1"/>
                <w:sz w:val="16"/>
                <w:szCs w:val="16"/>
                <w:lang w:val="en-US"/>
              </w:rPr>
              <w:t>Magiorakos</w:t>
            </w:r>
            <w:proofErr w:type="spellEnd"/>
            <w:r w:rsidRPr="004A6F19">
              <w:rPr>
                <w:b/>
                <w:bCs/>
                <w:color w:val="000000" w:themeColor="text1"/>
                <w:sz w:val="16"/>
                <w:szCs w:val="16"/>
                <w:lang w:val="en-US"/>
              </w:rPr>
              <w:t xml:space="preserve"> </w:t>
            </w:r>
            <w:r w:rsidR="00493429">
              <w:rPr>
                <w:b/>
                <w:bCs/>
                <w:color w:val="000000" w:themeColor="text1"/>
                <w:sz w:val="16"/>
                <w:szCs w:val="16"/>
                <w:lang w:val="en-US"/>
              </w:rPr>
              <w:t>2012</w:t>
            </w:r>
            <w:r w:rsidR="009807C8">
              <w:rPr>
                <w:b/>
                <w:bCs/>
                <w:color w:val="000000" w:themeColor="text1"/>
                <w:sz w:val="16"/>
                <w:szCs w:val="16"/>
                <w:lang w:val="en-US"/>
              </w:rPr>
              <w:t xml:space="preserve"> </w:t>
            </w:r>
            <w:r w:rsidR="00493429">
              <w:rPr>
                <w:b/>
                <w:bCs/>
                <w:color w:val="000000" w:themeColor="text1"/>
                <w:sz w:val="16"/>
                <w:szCs w:val="16"/>
                <w:lang w:val="en-US"/>
              </w:rPr>
              <w:fldChar w:fldCharType="begin" w:fldLock="1"/>
            </w:r>
            <w:r w:rsidR="00493429">
              <w:rPr>
                <w:b/>
                <w:bCs/>
                <w:color w:val="000000" w:themeColor="text1"/>
                <w:sz w:val="16"/>
                <w:szCs w:val="16"/>
                <w:lang w:val="en-US"/>
              </w:rPr>
              <w:instrText>ADDIN CSL_CITATION {"citationItems":[{"id":"ITEM-1","itemData":{"DOI":"https://doi.org/10.1111/j.1469-0691.2011.03570.x","ISSN":"1198-743X","abstract":"Clin Microbiol Infect 2012; 18: 268?281 Abstract Many different definitions for multidrug-resistant (MDR), extensively drug-resistant (XDR) and pandrug-resistant (PDR) bacteria are being used in the medical literature to characterize the different patterns of resistance found in healthcare-associated, antimicrobial-resistant bacteria. A group of international experts came together through a joint initiative by the European Centre for Disease Prevention and Control (ECDC) and the Centers for Disease Control and Prevention (CDC), to create a standardized international terminology with which to describe acquired resistance profiles in Staphylococcus aureus, Enterococcus spp., Enterobacteriaceae (other than Salmonella and Shigella), Pseudomonas aeruginosa and Acinetobacter spp., all bacteria often responsible for healthcare-associated infections and prone to multidrug resistance. Epidemiologically significant antimicrobial categories were constructed for each bacterium. Lists of antimicrobial categories proposed for antimicrobial susceptibility testing were created using documents and breakpoints from the Clinical Laboratory Standards Institute (CLSI), the European Committee on Antimicrobial Susceptibility Testing (EUCAST) and the United States Food and Drug Administration (FDA). MDR was defined as acquired non-susceptibility to at least one agent in three or more antimicrobial categories, XDR was defined as non-susceptibility to at least one agent in all but two or fewer antimicrobial categories (i.e. bacterial isolates remain susceptible to only one or two categories) and PDR was defined as non-susceptibility to all agents in all antimicrobial categories. To ensure correct application of these definitions, bacterial isolates should be tested against all or nearly all of the antimicrobial agents within the antimicrobial categories and selective reporting and suppression of results should be avoided.","author":[{"dropping-particle":"","family":"Magiorakos","given":"A.-P.","non-dropping-particle":"","parse-names":false,"suffix":""},{"dropping-particle":"","family":"Srinivasan","given":"A","non-dropping-particle":"","parse-names":false,"suffix":""},{"dropping-particle":"","family":"Carey","given":"R B","non-dropping-particle":"","parse-names":false,"suffix":""},{"dropping-particle":"","family":"Carmeli","given":"Y","non-dropping-particle":"","parse-names":false,"suffix":""},{"dropping-particle":"","family":"Falagas","given":"M E","non-dropping-particle":"","parse-names":false,"suffix":""},{"dropping-particle":"","family":"Giske","given":"C G","non-dropping-particle":"","parse-names":false,"suffix":""},{"dropping-particle":"","family":"Harbarth","given":"S","non-dropping-particle":"","parse-names":false,"suffix":""},{"dropping-particle":"","family":"Hindler","given":"J F","non-dropping-particle":"","parse-names":false,"suffix":""},{"dropping-particle":"","family":"Kahlmeter","given":"G","non-dropping-particle":"","parse-names":false,"suffix":""},{"dropping-particle":"","family":"Olsson-Liljequist","given":"B","non-dropping-particle":"","parse-names":false,"suffix":""},{"dropping-particle":"","family":"Paterson","given":"D L","non-dropping-particle":"","parse-names":false,"suffix":""},{"dropping-particle":"","family":"Rice","given":"L B","non-dropping-particle":"","parse-names":false,"suffix":""},{"dropping-particle":"","family":"Stelling","given":"J","non-dropping-particle":"","parse-names":false,"suffix":""},{"dropping-particle":"","family":"Struelens","given":"M J","non-dropping-particle":"","parse-names":false,"suffix":""},{"dropping-particle":"","family":"Vatopoulos","given":"A","non-dropping-particle":"","parse-names":false,"suffix":""},{"dropping-particle":"","family":"Weber","given":"J T","non-dropping-particle":"","parse-names":false,"suffix":""},{"dropping-particle":"","family":"Monnet","given":"D L","non-dropping-particle":"","parse-names":false,"suffix":""}],"container-title":"Clinical Microbiology and Infection","id":"ITEM-1","issue":"3","issued":{"date-parts":[["2012"]]},"page":"268-281","title":"Multidrug-resistant, extensively drug-resistant and pandrug-resistant bacteria: an international expert proposal for interim standard definitions for acquired resistance","type":"article-journal","volume":"18"},"uris":["http://www.mendeley.com/documents/?uuid=835384df-1376-401b-afd8-d724f727f888"]}],"mendeley":{"formattedCitation":"&lt;sup&gt;83&lt;/sup&gt;","plainTextFormattedCitation":"83","previouslyFormattedCitation":"&lt;sup&gt;83&lt;/sup&gt;"},"properties":{"noteIndex":0},"schema":"https://github.com/citation-style-language/schema/raw/master/csl-citation.json"}</w:instrText>
            </w:r>
            <w:r w:rsidR="00493429">
              <w:rPr>
                <w:b/>
                <w:bCs/>
                <w:color w:val="000000" w:themeColor="text1"/>
                <w:sz w:val="16"/>
                <w:szCs w:val="16"/>
                <w:lang w:val="en-US"/>
              </w:rPr>
              <w:fldChar w:fldCharType="separate"/>
            </w:r>
            <w:r w:rsidR="00493429" w:rsidRPr="00493429">
              <w:rPr>
                <w:bCs/>
                <w:noProof/>
                <w:color w:val="000000" w:themeColor="text1"/>
                <w:sz w:val="16"/>
                <w:szCs w:val="16"/>
                <w:vertAlign w:val="superscript"/>
                <w:lang w:val="en-US"/>
              </w:rPr>
              <w:t>83</w:t>
            </w:r>
            <w:r w:rsidR="00493429">
              <w:rPr>
                <w:b/>
                <w:bCs/>
                <w:color w:val="000000" w:themeColor="text1"/>
                <w:sz w:val="16"/>
                <w:szCs w:val="16"/>
                <w:lang w:val="en-US"/>
              </w:rPr>
              <w:fldChar w:fldCharType="end"/>
            </w:r>
          </w:p>
        </w:tc>
        <w:tc>
          <w:tcPr>
            <w:tcW w:w="1984" w:type="dxa"/>
            <w:vAlign w:val="center"/>
            <w:hideMark/>
          </w:tcPr>
          <w:p w14:paraId="2BA24A6D" w14:textId="4B274B44" w:rsidR="004A6F19" w:rsidRPr="00493429" w:rsidRDefault="004A6F19" w:rsidP="00AB0CDA">
            <w:pPr>
              <w:spacing w:line="360" w:lineRule="auto"/>
              <w:jc w:val="center"/>
              <w:rPr>
                <w:color w:val="000000" w:themeColor="text1"/>
                <w:sz w:val="16"/>
                <w:szCs w:val="16"/>
                <w:lang w:val="en-US"/>
              </w:rPr>
            </w:pPr>
            <w:r w:rsidRPr="004A6F19">
              <w:rPr>
                <w:b/>
                <w:bCs/>
                <w:color w:val="000000" w:themeColor="text1"/>
                <w:sz w:val="16"/>
                <w:szCs w:val="16"/>
                <w:lang w:val="en-US"/>
              </w:rPr>
              <w:t xml:space="preserve">Kadri </w:t>
            </w:r>
            <w:r w:rsidR="00493429">
              <w:rPr>
                <w:b/>
                <w:bCs/>
                <w:color w:val="000000" w:themeColor="text1"/>
                <w:sz w:val="16"/>
                <w:szCs w:val="16"/>
                <w:lang w:val="en-US"/>
              </w:rPr>
              <w:t>2018</w:t>
            </w:r>
            <w:r w:rsidR="00493429">
              <w:rPr>
                <w:b/>
                <w:bCs/>
                <w:color w:val="000000" w:themeColor="text1"/>
                <w:sz w:val="16"/>
                <w:szCs w:val="16"/>
                <w:lang w:val="en-US"/>
              </w:rPr>
              <w:fldChar w:fldCharType="begin" w:fldLock="1"/>
            </w:r>
            <w:r w:rsidR="00493429">
              <w:rPr>
                <w:b/>
                <w:bCs/>
                <w:color w:val="000000" w:themeColor="text1"/>
                <w:sz w:val="16"/>
                <w:szCs w:val="16"/>
                <w:lang w:val="en-US"/>
              </w:rPr>
              <w:instrText>ADDIN CSL_CITATION {"citationItems":[{"id":"ITEM-1","itemData":{"DOI":"10.1093/cid/ciy378","ISSN":"15376591","PMID":"30052813","abstract":"Background. Resistance to all first-line antibiotics necessitates the use of less effective or more toxic “reserve” agents. Gram-negative bloodstream infections (GNBSIs) harboring such difficult-to-treat resistance (DTR) may have higher mortality than phenotypes that allow for ≥1 active first-line antibiotic. Methods. The Premier Database was analyzed for inpatients with select GNBSIs. DTR was defined as intermediate/resistant in vitro to all ß-lactam categories, including carbapenems and fluoroquinolones. Prevalence and aminoglycoside resistance of DTR episodes were compared with carbapenem-resistant, extended-spectrum cephalosporin-resistant, and fluoroquinolone-resistant episodes using CDC definitions. Predictors of DTR were identified. The adjusted relative risk (aRR) of mortality was examined for DTR, CDC-defined phenotypes susceptible to ≥1 first-line agent, and graded loss of active categories. Results. Between 2009-2013, 471 (1%) of 45 011 GNBSI episodes at 92 (53.2%) of 173 hospitals exhibited DTR, ranging from 0.04% for Escherichia coli to 18.4% for Acinetobacter baumannii. Among patients with DTR, 79% received parenteral aminoglycosides, tigecycline, or colistin/polymyxin-B; resistance to all aminoglycosides occurred in 33%. Predictors of DTR included urban healthcare and higher baseline illness. Crude mortality for GNBSIs with DTR was 43%; aRR was higher for DTR than for carbapenem-resistant (1.2; 95% confidence interval, 1.0-1.4; P = .02), extended-spectrum cephalosporin-resistant (1.2; 1.1-1.4; P = .001), or fluoroquinolone-resistant (1.2; 1.0-1.4; P = .008) infections. The mortality aRR increased 20% per graded loss of active first-line categories, from 3-5 to 1-2 to 0. Conclusion. Nonsusceptibility to first-line antibiotics is associated with decreased survival in GNBSIs. DTR is a simple bedside prognostic measure of treatment-limiting coresistance.","author":[{"dropping-particle":"","family":"Kadri","given":"Sameer S.","non-dropping-particle":"","parse-names":false,"suffix":""},{"dropping-particle":"","family":"Adjemian","given":"Jennifer","non-dropping-particle":"","parse-names":false,"suffix":""},{"dropping-particle":"","family":"Lai","given":"Yi Ling","non-dropping-particle":"","parse-names":false,"suffix":""},{"dropping-particle":"","family":"Spaulding","given":"Alicen B.","non-dropping-particle":"","parse-names":false,"suffix":""},{"dropping-particle":"","family":"Ricotta","given":"Emily","non-dropping-particle":"","parse-names":false,"suffix":""},{"dropping-particle":"","family":"Rebecca Prevots","given":"D.","non-dropping-particle":"","parse-names":false,"suffix":""},{"dropping-particle":"","family":"Palmore","given":"Tara N.","non-dropping-particle":"","parse-names":false,"suffix":""},{"dropping-particle":"","family":"Rhee","given":"Chanu","non-dropping-particle":"","parse-names":false,"suffix":""},{"dropping-particle":"","family":"Klompas","given":"Michael","non-dropping-particle":"","parse-names":false,"suffix":""},{"dropping-particle":"","family":"Dekker","given":"John P.","non-dropping-particle":"","parse-names":false,"suffix":""},{"dropping-particle":"","family":"Powers","given":"John H.","non-dropping-particle":"","parse-names":false,"suffix":""},{"dropping-particle":"","family":"Suffredini","given":"Anthony F.","non-dropping-particle":"","parse-names":false,"suffix":""},{"dropping-particle":"","family":"Hooper","given":"David C.","non-dropping-particle":"","parse-names":false,"suffix":""},{"dropping-particle":"","family":"Fridkin","given":"Scott","non-dropping-particle":"","parse-names":false,"suffix":""},{"dropping-particle":"","family":"Danner","given":"Robert L.","non-dropping-particle":"","parse-names":false,"suffix":""}],"container-title":"Clinical Infectious Diseases","id":"ITEM-1","issue":"12","issued":{"date-parts":[["2018"]]},"page":"1803-1814","title":"Difficult-to-treat resistance in gram-negative bacteremia at 173 US hospitals: Retrospective cohort analysis of prevalence, predictors, and outcome of resistance to all first-line agents","type":"article-journal","volume":"67"},"uris":["http://www.mendeley.com/documents/?uuid=5f5955aa-9d09-4570-a33d-8108008c8808"]}],"mendeley":{"formattedCitation":"&lt;sup&gt;84&lt;/sup&gt;","plainTextFormattedCitation":"84","previouslyFormattedCitation":"&lt;sup&gt;84&lt;/sup&gt;"},"properties":{"noteIndex":0},"schema":"https://github.com/citation-style-language/schema/raw/master/csl-citation.json"}</w:instrText>
            </w:r>
            <w:r w:rsidR="00493429">
              <w:rPr>
                <w:b/>
                <w:bCs/>
                <w:color w:val="000000" w:themeColor="text1"/>
                <w:sz w:val="16"/>
                <w:szCs w:val="16"/>
                <w:lang w:val="en-US"/>
              </w:rPr>
              <w:fldChar w:fldCharType="separate"/>
            </w:r>
            <w:r w:rsidR="00493429" w:rsidRPr="00493429">
              <w:rPr>
                <w:bCs/>
                <w:noProof/>
                <w:color w:val="000000" w:themeColor="text1"/>
                <w:sz w:val="16"/>
                <w:szCs w:val="16"/>
                <w:vertAlign w:val="superscript"/>
                <w:lang w:val="en-US"/>
              </w:rPr>
              <w:t>84</w:t>
            </w:r>
            <w:r w:rsidR="00493429">
              <w:rPr>
                <w:b/>
                <w:bCs/>
                <w:color w:val="000000" w:themeColor="text1"/>
                <w:sz w:val="16"/>
                <w:szCs w:val="16"/>
                <w:lang w:val="en-US"/>
              </w:rPr>
              <w:fldChar w:fldCharType="end"/>
            </w:r>
          </w:p>
        </w:tc>
        <w:tc>
          <w:tcPr>
            <w:tcW w:w="2268" w:type="dxa"/>
            <w:vAlign w:val="center"/>
            <w:hideMark/>
          </w:tcPr>
          <w:p w14:paraId="0C0DF9B0" w14:textId="434DB028" w:rsidR="004A6F19" w:rsidRPr="00493429" w:rsidRDefault="00493429" w:rsidP="00AB0CDA">
            <w:pPr>
              <w:spacing w:line="360" w:lineRule="auto"/>
              <w:jc w:val="center"/>
              <w:rPr>
                <w:color w:val="000000" w:themeColor="text1"/>
                <w:sz w:val="16"/>
                <w:szCs w:val="16"/>
                <w:lang w:val="en-US"/>
              </w:rPr>
            </w:pPr>
            <w:proofErr w:type="spellStart"/>
            <w:r>
              <w:rPr>
                <w:b/>
                <w:bCs/>
                <w:color w:val="000000" w:themeColor="text1"/>
                <w:sz w:val="16"/>
                <w:szCs w:val="16"/>
                <w:lang w:val="en-US"/>
              </w:rPr>
              <w:t>Tamma</w:t>
            </w:r>
            <w:proofErr w:type="spellEnd"/>
            <w:r>
              <w:rPr>
                <w:b/>
                <w:bCs/>
                <w:color w:val="000000" w:themeColor="text1"/>
                <w:sz w:val="16"/>
                <w:szCs w:val="16"/>
                <w:lang w:val="en-US"/>
              </w:rPr>
              <w:t xml:space="preserve"> 2024 [</w:t>
            </w:r>
            <w:r w:rsidR="004A6F19" w:rsidRPr="004A6F19">
              <w:rPr>
                <w:b/>
                <w:bCs/>
                <w:color w:val="000000" w:themeColor="text1"/>
                <w:sz w:val="16"/>
                <w:szCs w:val="16"/>
                <w:lang w:val="en-US"/>
              </w:rPr>
              <w:t>IDSA</w:t>
            </w:r>
            <w:r>
              <w:rPr>
                <w:b/>
                <w:bCs/>
                <w:color w:val="000000" w:themeColor="text1"/>
                <w:sz w:val="16"/>
                <w:szCs w:val="16"/>
                <w:lang w:val="en-US"/>
              </w:rPr>
              <w:t>]</w:t>
            </w:r>
            <w:r>
              <w:rPr>
                <w:b/>
                <w:bCs/>
                <w:color w:val="000000" w:themeColor="text1"/>
                <w:sz w:val="16"/>
                <w:szCs w:val="16"/>
                <w:lang w:val="en-US"/>
              </w:rPr>
              <w:fldChar w:fldCharType="begin" w:fldLock="1"/>
            </w:r>
            <w:r>
              <w:rPr>
                <w:b/>
                <w:bCs/>
                <w:color w:val="000000" w:themeColor="text1"/>
                <w:sz w:val="16"/>
                <w:szCs w:val="16"/>
                <w:lang w:val="en-US"/>
              </w:rPr>
              <w:instrText>ADDIN CSL_CITATION {"citationItems":[{"id":"ITEM-1","itemData":{"DOI":"10.1093/cid/ciae403","ISSN":"1058-4838","PMID":"39108079","abstract":"BACKGROUND The Infectious Diseases Society of America (IDSA) is committed to providing up-to-date guidance on the treatment of antimicrobial-resistant (AMR) infections. This guidance document focuses on infections caused by extended-spectrum β-lactamase-producing Enterobacterales (ESBL-E), AmpC β- lactamase-producing Enterobacterales (AmpC-E), carbapenem-resistant Enterobacterales (CRE), Pseudomonas aeruginosa with difficult-to-treat resistance (DTR P. aeruginosa), carbapenem-resistant Acinetobacter baumannii (CRAB), and Stenotrophomonas maltophilia. This updated document replaces previous versions of the guidance document. METHODS A panel of six infectious diseases specialists with expertise in managing antimicrobial- resistant infections formulated questions about the treatment of infections caused by ESBL-E, AmpC-E, CRE, DTR P. aeruginosa, CRAB, and S. maltophilia. Because of differences in the epidemiology of AMR and availability of specific anti-infectives internationally, this document focuses on the treatment of AMR infections in the United States. RESULTS Preferred and alternative suggested treatment approaches are provided with accompanying rationales, assuming the causative organism has been identified and antibiotic susceptibility results are known. Approaches to empiric treatment, transitioning to oral therapy, duration of therapy, and other management considerations are discussed briefly. Suggested approaches apply for both adult and pediatric populations, although suggested antibiotic dosages are provided only for adults. CONCLUSIONS The field of AMR is highly dynamic. Consultation with an infectious diseases specialist is recommended for the treatment of AMR infections. This document is current as of December 31, 2023 and will be updated periodically. The most current version of this document, including date of publication, is available at www.idsociety.org/practice-guideline/amr-guidance/.","author":[{"dropping-particle":"","family":"Tamma","given":"Pranita D","non-dropping-particle":"","parse-names":false,"suffix":""},{"dropping-particle":"","family":"Heil","given":"Emily L","non-dropping-particle":"","parse-names":false,"suffix":""},{"dropping-particle":"","family":"Justo","given":"Julie Ann","non-dropping-particle":"","parse-names":false,"suffix":""},{"dropping-particle":"","family":"Mathers","given":"Amy J","non-dropping-particle":"","parse-names":false,"suffix":""},{"dropping-particle":"","family":"Satlin","given":"Michael J","non-dropping-particle":"","parse-names":false,"suffix":""},{"dropping-particle":"","family":"Bonomo","given":"Robert A","non-dropping-particle":"","parse-names":false,"suffix":""}],"container-title":"Clinical Infectious Diseases","id":"ITEM-1","issue":"0","issued":{"date-parts":[["2024"]]},"page":"1-56","publisher":"Oxford University Press","title":"Infectious Diseases Society of America 2024 Guidance on the Treatment of Antimicrobial-Resistant Gram-Negative Infections","type":"article-journal","volume":"00"},"uris":["http://www.mendeley.com/documents/?uuid=1f147ed7-d592-42a7-b1fe-1fdcd9132402"]}],"mendeley":{"formattedCitation":"&lt;sup&gt;85&lt;/sup&gt;","plainTextFormattedCitation":"85","previouslyFormattedCitation":"&lt;sup&gt;85&lt;/sup&gt;"},"properties":{"noteIndex":0},"schema":"https://github.com/citation-style-language/schema/raw/master/csl-citation.json"}</w:instrText>
            </w:r>
            <w:r>
              <w:rPr>
                <w:b/>
                <w:bCs/>
                <w:color w:val="000000" w:themeColor="text1"/>
                <w:sz w:val="16"/>
                <w:szCs w:val="16"/>
                <w:lang w:val="en-US"/>
              </w:rPr>
              <w:fldChar w:fldCharType="separate"/>
            </w:r>
            <w:r w:rsidRPr="00493429">
              <w:rPr>
                <w:bCs/>
                <w:noProof/>
                <w:color w:val="000000" w:themeColor="text1"/>
                <w:sz w:val="16"/>
                <w:szCs w:val="16"/>
                <w:vertAlign w:val="superscript"/>
                <w:lang w:val="en-US"/>
              </w:rPr>
              <w:t>85</w:t>
            </w:r>
            <w:r>
              <w:rPr>
                <w:b/>
                <w:bCs/>
                <w:color w:val="000000" w:themeColor="text1"/>
                <w:sz w:val="16"/>
                <w:szCs w:val="16"/>
                <w:lang w:val="en-US"/>
              </w:rPr>
              <w:fldChar w:fldCharType="end"/>
            </w:r>
          </w:p>
        </w:tc>
        <w:tc>
          <w:tcPr>
            <w:tcW w:w="2256" w:type="dxa"/>
            <w:vAlign w:val="center"/>
            <w:hideMark/>
          </w:tcPr>
          <w:p w14:paraId="0F30905C" w14:textId="3D451876" w:rsidR="004A6F19" w:rsidRPr="00493429" w:rsidRDefault="00493429" w:rsidP="00AB0CDA">
            <w:pPr>
              <w:spacing w:line="360" w:lineRule="auto"/>
              <w:jc w:val="center"/>
              <w:rPr>
                <w:color w:val="000000" w:themeColor="text1"/>
                <w:sz w:val="16"/>
                <w:szCs w:val="16"/>
                <w:lang w:val="en-US"/>
              </w:rPr>
            </w:pPr>
            <w:r>
              <w:rPr>
                <w:b/>
                <w:bCs/>
                <w:color w:val="000000" w:themeColor="text1"/>
                <w:sz w:val="16"/>
                <w:szCs w:val="16"/>
                <w:lang w:val="en-US"/>
              </w:rPr>
              <w:t>Paul 2022 [</w:t>
            </w:r>
            <w:r w:rsidR="004A6F19" w:rsidRPr="004A6F19">
              <w:rPr>
                <w:b/>
                <w:bCs/>
                <w:color w:val="000000" w:themeColor="text1"/>
                <w:sz w:val="16"/>
                <w:szCs w:val="16"/>
                <w:lang w:val="en-US"/>
              </w:rPr>
              <w:t>ESCMID</w:t>
            </w:r>
            <w:r>
              <w:rPr>
                <w:b/>
                <w:bCs/>
                <w:color w:val="000000" w:themeColor="text1"/>
                <w:sz w:val="16"/>
                <w:szCs w:val="16"/>
                <w:lang w:val="en-US"/>
              </w:rPr>
              <w:t>]</w:t>
            </w:r>
            <w:r>
              <w:rPr>
                <w:b/>
                <w:bCs/>
                <w:color w:val="000000" w:themeColor="text1"/>
                <w:sz w:val="16"/>
                <w:szCs w:val="16"/>
                <w:lang w:val="en-US"/>
              </w:rPr>
              <w:fldChar w:fldCharType="begin" w:fldLock="1"/>
            </w:r>
            <w:r>
              <w:rPr>
                <w:b/>
                <w:bCs/>
                <w:color w:val="000000" w:themeColor="text1"/>
                <w:sz w:val="16"/>
                <w:szCs w:val="16"/>
                <w:lang w:val="en-US"/>
              </w:rPr>
              <w:instrText>ADDIN CSL_CITATION {"citationItems":[{"id":"ITEM-1","itemData":{"DOI":"10.1016/j.cmi.2021.11.025","ISSN":"14690691","PMID":"34923128","abstract":"Scope: These ESCMID guidelines address the targeted antibiotic treatment of third-generation cephalosporin-resistant Enterobacterales (3GCephRE) and carbapenem-resistant Gram-negative bacteria, focusing on the effectiveness of individual antibiotics and on combination versus monotherapy. Methods: An expert panel was convened by ESCMID. A systematic review was performed including randomized controlled trials and observational studies, examining different antibiotic treatment regimens for the targeted treatment of infections caused by the 3GCephRE, carbapenem-resistant Enterobacterales, carbapenem-resistant Pseudomonas aeruginosa and carbapenem-resistant Acinetobacter baumannii. Treatments were classified as head-to-head comparisons between individual antibiotics and between monotherapy and combination therapy regimens, including defined monotherapy and combination regimens only. The primary outcome was all-cause mortality, preferably at 30 days and secondary outcomes included clinical failure, microbiological failure, development of resistance, relapse/recurrence, adverse events and length of hospital stay. The last search of all databases was conducted in December 2019, followed by a focused search for relevant studies up until ECCMID 2021. Data were summarized narratively. The certainty of the evidence for each comparison between antibiotics and between monotherapy and combination therapy regimens was classified by the GRADE recommendations. The strength of the recommendations for or against treatments was classified as strong or conditional (weak). Recommendations: The guideline panel reviewed the evidence per pathogen, preferably per site of infection, critically appraising the existing studies. Many of the comparisons were addressed in small observational studies at high risk of bias only. Notably, there was very little evidence on the effects of the new, recently approved, β-lactam/β-lactamase inhibitors on infections caused by carbapenem-resistant Gram-negative bacteria. Most recommendations are based on very-low- and low-certainty evidence. A high value was placed on antibiotic stewardship considerations in all recommendations, searching for carbapenem-sparing options for 3GCephRE and limiting the recommendations of the new antibiotics for severe infections, as defined by the sepsis-3 criteria. Research needs are addressed.","author":[{"dropping-particle":"","family":"Paul","given":"Mical","non-dropping-particle":"","parse-names":false,"suffix":""},{"dropping-particle":"","family":"Carrara","given":"Elena","non-dropping-particle":"","parse-names":false,"suffix":""},{"dropping-particle":"","family":"Retamar","given":"Pilar","non-dropping-particle":"","parse-names":false,"suffix":""},{"dropping-particle":"","family":"Tängdén","given":"Thomas","non-dropping-particle":"","parse-names":false,"suffix":""},{"dropping-particle":"","family":"Bitterman","given":"Roni","non-dropping-particle":"","parse-names":false,"suffix":""},{"dropping-particle":"","family":"Bonomo","given":"Robert A.","non-dropping-particle":"","parse-names":false,"suffix":""},{"dropping-particle":"","family":"Waele","given":"Jan","non-dropping-particle":"de","parse-names":false,"suffix":""},{"dropping-particle":"","family":"Daikos","given":"George L.","non-dropping-particle":"","parse-names":false,"suffix":""},{"dropping-particle":"","family":"Akova","given":"Murat","non-dropping-particle":"","parse-names":false,"suffix":""},{"dropping-particle":"","family":"Harbarth","given":"Stephan","non-dropping-particle":"","parse-names":false,"suffix":""},{"dropping-particle":"","family":"Pulcini","given":"Celine","non-dropping-particle":"","parse-names":false,"suffix":""},{"dropping-particle":"","family":"Garnacho-Montero","given":"José","non-dropping-particle":"","parse-names":false,"suffix":""},{"dropping-particle":"","family":"Seme","given":"Katja","non-dropping-particle":"","parse-names":false,"suffix":""},{"dropping-particle":"","family":"Tumbarello","given":"Mario","non-dropping-particle":"","parse-names":false,"suffix":""},{"dropping-particle":"","family":"Lindemann","given":"Paul Christoffer","non-dropping-particle":"","parse-names":false,"suffix":""},{"dropping-particle":"","family":"Gandra","given":"Sumanth","non-dropping-particle":"","parse-names":false,"suffix":""},{"dropping-particle":"","family":"Yu","given":"Yunsong","non-dropping-particle":"","parse-names":false,"suffix":""},{"dropping-particle":"","family":"Bassetti","given":"Matteo","non-dropping-particle":"","parse-names":false,"suffix":""},{"dropping-particle":"","family":"Mouton","given":"Johan W.","non-dropping-particle":"","parse-names":false,"suffix":""},{"dropping-particle":"","family":"Tacconelli","given":"Evelina","non-dropping-particle":"","parse-names":false,"suffix":""},{"dropping-particle":"","family":"Rodríguez-Baño","given":"Jesús","non-dropping-particle":"","parse-names":false,"suffix":""}],"container-title":"Clinical Microbiology and Infection","id":"ITEM-1","issue":"4","issued":{"date-parts":[["2022"]]},"page":"521-547","title":"European Society of Clinical Microbiology and Infectious Diseases (ESCMID) guidelines for the treatment of infections caused by multidrug-resistant Gram-negative bacilli (endorsed by European society of intensive care medicine)","type":"article-journal","volume":"28"},"uris":["http://www.mendeley.com/documents/?uuid=b0ef7952-7d2e-4485-a5be-496ae25ad185"]}],"mendeley":{"formattedCitation":"&lt;sup&gt;86&lt;/sup&gt;","plainTextFormattedCitation":"86"},"properties":{"noteIndex":0},"schema":"https://github.com/citation-style-language/schema/raw/master/csl-citation.json"}</w:instrText>
            </w:r>
            <w:r>
              <w:rPr>
                <w:b/>
                <w:bCs/>
                <w:color w:val="000000" w:themeColor="text1"/>
                <w:sz w:val="16"/>
                <w:szCs w:val="16"/>
                <w:lang w:val="en-US"/>
              </w:rPr>
              <w:fldChar w:fldCharType="separate"/>
            </w:r>
            <w:r w:rsidRPr="00493429">
              <w:rPr>
                <w:bCs/>
                <w:noProof/>
                <w:color w:val="000000" w:themeColor="text1"/>
                <w:sz w:val="16"/>
                <w:szCs w:val="16"/>
                <w:vertAlign w:val="superscript"/>
                <w:lang w:val="en-US"/>
              </w:rPr>
              <w:t>86</w:t>
            </w:r>
            <w:r>
              <w:rPr>
                <w:b/>
                <w:bCs/>
                <w:color w:val="000000" w:themeColor="text1"/>
                <w:sz w:val="16"/>
                <w:szCs w:val="16"/>
                <w:lang w:val="en-US"/>
              </w:rPr>
              <w:fldChar w:fldCharType="end"/>
            </w:r>
          </w:p>
        </w:tc>
      </w:tr>
      <w:tr w:rsidR="006D07E0" w:rsidRPr="00F20444" w14:paraId="64100AF8" w14:textId="77777777" w:rsidTr="00AB0CDA">
        <w:trPr>
          <w:trHeight w:val="584"/>
        </w:trPr>
        <w:tc>
          <w:tcPr>
            <w:tcW w:w="0" w:type="auto"/>
            <w:vAlign w:val="center"/>
            <w:hideMark/>
          </w:tcPr>
          <w:p w14:paraId="19E3C283" w14:textId="5F6E2B94" w:rsidR="004A6F19" w:rsidRPr="00493429" w:rsidRDefault="004A6F19" w:rsidP="00AB0CDA">
            <w:pPr>
              <w:spacing w:line="360" w:lineRule="auto"/>
              <w:jc w:val="center"/>
              <w:rPr>
                <w:color w:val="000000" w:themeColor="text1"/>
                <w:sz w:val="16"/>
                <w:szCs w:val="16"/>
                <w:lang w:val="en-US"/>
              </w:rPr>
            </w:pPr>
            <w:r w:rsidRPr="004A6F19">
              <w:rPr>
                <w:b/>
                <w:bCs/>
                <w:color w:val="000000" w:themeColor="text1"/>
                <w:sz w:val="16"/>
                <w:szCs w:val="16"/>
                <w:lang w:val="en-US"/>
              </w:rPr>
              <w:t>Terminology</w:t>
            </w:r>
          </w:p>
        </w:tc>
        <w:tc>
          <w:tcPr>
            <w:tcW w:w="1973" w:type="dxa"/>
            <w:vAlign w:val="center"/>
            <w:hideMark/>
          </w:tcPr>
          <w:p w14:paraId="51A9EB2A" w14:textId="77777777" w:rsidR="004A6F19" w:rsidRPr="0049342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MDR/XDR/PDR</w:t>
            </w:r>
          </w:p>
        </w:tc>
        <w:tc>
          <w:tcPr>
            <w:tcW w:w="1984" w:type="dxa"/>
            <w:vAlign w:val="center"/>
            <w:hideMark/>
          </w:tcPr>
          <w:p w14:paraId="7EAF8059" w14:textId="77777777" w:rsidR="004A6F19" w:rsidRPr="0049342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DTR</w:t>
            </w:r>
          </w:p>
        </w:tc>
        <w:tc>
          <w:tcPr>
            <w:tcW w:w="4524" w:type="dxa"/>
            <w:gridSpan w:val="2"/>
            <w:vAlign w:val="center"/>
            <w:hideMark/>
          </w:tcPr>
          <w:p w14:paraId="2DDBCB39" w14:textId="77777777" w:rsidR="004A6F19" w:rsidRPr="0049342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Specific main resistance patterns</w:t>
            </w:r>
          </w:p>
        </w:tc>
      </w:tr>
      <w:tr w:rsidR="006D07E0" w:rsidRPr="00F20444" w14:paraId="636E0E41" w14:textId="77777777" w:rsidTr="00AB0CDA">
        <w:trPr>
          <w:trHeight w:val="584"/>
        </w:trPr>
        <w:tc>
          <w:tcPr>
            <w:tcW w:w="0" w:type="auto"/>
            <w:vAlign w:val="center"/>
            <w:hideMark/>
          </w:tcPr>
          <w:p w14:paraId="5681ADF3" w14:textId="208AC03B" w:rsidR="004A6F19" w:rsidRPr="00493429" w:rsidRDefault="004A6F19" w:rsidP="00AB0CDA">
            <w:pPr>
              <w:spacing w:line="360" w:lineRule="auto"/>
              <w:jc w:val="center"/>
              <w:rPr>
                <w:color w:val="000000" w:themeColor="text1"/>
                <w:sz w:val="16"/>
                <w:szCs w:val="16"/>
                <w:lang w:val="en-US"/>
              </w:rPr>
            </w:pPr>
            <w:r w:rsidRPr="004A6F19">
              <w:rPr>
                <w:b/>
                <w:bCs/>
                <w:color w:val="000000" w:themeColor="text1"/>
                <w:sz w:val="16"/>
                <w:szCs w:val="16"/>
                <w:lang w:val="en-US"/>
              </w:rPr>
              <w:t>Bacteria</w:t>
            </w:r>
          </w:p>
        </w:tc>
        <w:tc>
          <w:tcPr>
            <w:tcW w:w="1973" w:type="dxa"/>
            <w:vAlign w:val="center"/>
            <w:hideMark/>
          </w:tcPr>
          <w:p w14:paraId="47FB25A8" w14:textId="05FD6DC1" w:rsidR="004A6F19" w:rsidRPr="004A6F19" w:rsidRDefault="004A6F19" w:rsidP="00AB0CDA">
            <w:pPr>
              <w:spacing w:line="360" w:lineRule="auto"/>
              <w:jc w:val="center"/>
              <w:rPr>
                <w:color w:val="000000" w:themeColor="text1"/>
                <w:sz w:val="16"/>
                <w:szCs w:val="16"/>
                <w:lang w:val="en-US"/>
              </w:rPr>
            </w:pPr>
            <w:r w:rsidRPr="004A6F19">
              <w:rPr>
                <w:b/>
                <w:bCs/>
                <w:color w:val="000000" w:themeColor="text1"/>
                <w:sz w:val="16"/>
                <w:szCs w:val="16"/>
                <w:lang w:val="en-US"/>
              </w:rPr>
              <w:t>Gram-negative and</w:t>
            </w:r>
          </w:p>
          <w:p w14:paraId="08E08AD5" w14:textId="77777777" w:rsidR="004A6F19" w:rsidRPr="004A6F19" w:rsidRDefault="004A6F19" w:rsidP="00AB0CDA">
            <w:pPr>
              <w:spacing w:line="360" w:lineRule="auto"/>
              <w:jc w:val="center"/>
              <w:rPr>
                <w:color w:val="000000" w:themeColor="text1"/>
                <w:sz w:val="16"/>
                <w:szCs w:val="16"/>
                <w:lang w:val="en-US"/>
              </w:rPr>
            </w:pPr>
            <w:r w:rsidRPr="004A6F19">
              <w:rPr>
                <w:b/>
                <w:bCs/>
                <w:color w:val="000000" w:themeColor="text1"/>
                <w:sz w:val="16"/>
                <w:szCs w:val="16"/>
                <w:lang w:val="en-US"/>
              </w:rPr>
              <w:t>Gram-positive</w:t>
            </w:r>
          </w:p>
        </w:tc>
        <w:tc>
          <w:tcPr>
            <w:tcW w:w="1984" w:type="dxa"/>
            <w:vAlign w:val="center"/>
            <w:hideMark/>
          </w:tcPr>
          <w:p w14:paraId="293AB6F7" w14:textId="77777777" w:rsidR="004A6F19" w:rsidRPr="00493429" w:rsidRDefault="004A6F19" w:rsidP="00AB0CDA">
            <w:pPr>
              <w:spacing w:line="360" w:lineRule="auto"/>
              <w:jc w:val="center"/>
              <w:rPr>
                <w:color w:val="000000" w:themeColor="text1"/>
                <w:sz w:val="16"/>
                <w:szCs w:val="16"/>
                <w:lang w:val="en-US"/>
              </w:rPr>
            </w:pPr>
            <w:r w:rsidRPr="004A6F19">
              <w:rPr>
                <w:b/>
                <w:bCs/>
                <w:color w:val="000000" w:themeColor="text1"/>
                <w:sz w:val="16"/>
                <w:szCs w:val="16"/>
                <w:lang w:val="en-US"/>
              </w:rPr>
              <w:t>Gram-negative</w:t>
            </w:r>
          </w:p>
        </w:tc>
        <w:tc>
          <w:tcPr>
            <w:tcW w:w="4524" w:type="dxa"/>
            <w:gridSpan w:val="2"/>
            <w:vAlign w:val="center"/>
            <w:hideMark/>
          </w:tcPr>
          <w:p w14:paraId="4C89F44D" w14:textId="77777777" w:rsidR="004A6F19" w:rsidRPr="00493429" w:rsidRDefault="004A6F19" w:rsidP="00AB0CDA">
            <w:pPr>
              <w:spacing w:line="360" w:lineRule="auto"/>
              <w:jc w:val="center"/>
              <w:rPr>
                <w:color w:val="000000" w:themeColor="text1"/>
                <w:sz w:val="16"/>
                <w:szCs w:val="16"/>
                <w:lang w:val="en-US"/>
              </w:rPr>
            </w:pPr>
            <w:r w:rsidRPr="004A6F19">
              <w:rPr>
                <w:b/>
                <w:bCs/>
                <w:color w:val="000000" w:themeColor="text1"/>
                <w:sz w:val="16"/>
                <w:szCs w:val="16"/>
                <w:lang w:val="en-US"/>
              </w:rPr>
              <w:t>Gram-negative</w:t>
            </w:r>
          </w:p>
        </w:tc>
      </w:tr>
      <w:tr w:rsidR="006D07E0" w:rsidRPr="00F20444" w14:paraId="717BA975" w14:textId="77777777" w:rsidTr="00AB0CDA">
        <w:trPr>
          <w:trHeight w:val="584"/>
        </w:trPr>
        <w:tc>
          <w:tcPr>
            <w:tcW w:w="0" w:type="auto"/>
            <w:vMerge w:val="restart"/>
            <w:vAlign w:val="center"/>
            <w:hideMark/>
          </w:tcPr>
          <w:p w14:paraId="1025BD1E" w14:textId="6668422E" w:rsidR="004A6F19" w:rsidRPr="00493429" w:rsidRDefault="004A6F19" w:rsidP="00AB0CDA">
            <w:pPr>
              <w:spacing w:line="360" w:lineRule="auto"/>
              <w:jc w:val="center"/>
              <w:rPr>
                <w:color w:val="000000" w:themeColor="text1"/>
                <w:sz w:val="16"/>
                <w:szCs w:val="16"/>
                <w:lang w:val="en-US"/>
              </w:rPr>
            </w:pPr>
            <w:r w:rsidRPr="004A6F19">
              <w:rPr>
                <w:b/>
                <w:bCs/>
                <w:color w:val="000000" w:themeColor="text1"/>
                <w:sz w:val="16"/>
                <w:szCs w:val="16"/>
                <w:lang w:val="en-US"/>
              </w:rPr>
              <w:t>Principle</w:t>
            </w:r>
          </w:p>
        </w:tc>
        <w:tc>
          <w:tcPr>
            <w:tcW w:w="1973" w:type="dxa"/>
            <w:vMerge w:val="restart"/>
            <w:vAlign w:val="center"/>
            <w:hideMark/>
          </w:tcPr>
          <w:p w14:paraId="12D4D1C9" w14:textId="37FA8287"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Definition based on resistance to number of agents</w:t>
            </w:r>
            <w:r w:rsidR="002153A3">
              <w:rPr>
                <w:color w:val="000000" w:themeColor="text1"/>
                <w:sz w:val="16"/>
                <w:szCs w:val="16"/>
                <w:lang w:val="en-US"/>
              </w:rPr>
              <w:t>.</w:t>
            </w:r>
            <w:r w:rsidRPr="004A6F19">
              <w:rPr>
                <w:color w:val="000000" w:themeColor="text1"/>
                <w:sz w:val="16"/>
                <w:szCs w:val="16"/>
                <w:lang w:val="en-US"/>
              </w:rPr>
              <w:t xml:space="preserve"> </w:t>
            </w:r>
          </w:p>
          <w:p w14:paraId="0980D41B" w14:textId="77777777"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MDR: R to ≥1 agent in ≥ 3 main antibiotic classes</w:t>
            </w:r>
          </w:p>
          <w:p w14:paraId="2E55B93F" w14:textId="77777777"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x-none"/>
              </w:rPr>
              <w:t xml:space="preserve">XDR: R to </w:t>
            </w:r>
            <w:r w:rsidRPr="004A6F19">
              <w:rPr>
                <w:color w:val="000000" w:themeColor="text1"/>
                <w:sz w:val="16"/>
                <w:szCs w:val="16"/>
                <w:lang w:val="en-US"/>
              </w:rPr>
              <w:t xml:space="preserve">≥1 agent </w:t>
            </w:r>
            <w:r w:rsidRPr="004A6F19">
              <w:rPr>
                <w:color w:val="000000" w:themeColor="text1"/>
                <w:sz w:val="16"/>
                <w:szCs w:val="16"/>
                <w:lang w:val="x-none"/>
              </w:rPr>
              <w:t xml:space="preserve">agent in </w:t>
            </w:r>
            <w:proofErr w:type="spellStart"/>
            <w:r w:rsidRPr="004A6F19">
              <w:rPr>
                <w:color w:val="000000" w:themeColor="text1"/>
                <w:sz w:val="16"/>
                <w:szCs w:val="16"/>
                <w:lang w:val="x-none"/>
              </w:rPr>
              <w:t>all</w:t>
            </w:r>
            <w:proofErr w:type="spellEnd"/>
            <w:r w:rsidRPr="004A6F19">
              <w:rPr>
                <w:color w:val="000000" w:themeColor="text1"/>
                <w:sz w:val="16"/>
                <w:szCs w:val="16"/>
                <w:lang w:val="x-none"/>
              </w:rPr>
              <w:t xml:space="preserve">, </w:t>
            </w:r>
            <w:proofErr w:type="spellStart"/>
            <w:r w:rsidRPr="004A6F19">
              <w:rPr>
                <w:color w:val="000000" w:themeColor="text1"/>
                <w:sz w:val="16"/>
                <w:szCs w:val="16"/>
                <w:lang w:val="x-none"/>
              </w:rPr>
              <w:t>but</w:t>
            </w:r>
            <w:proofErr w:type="spellEnd"/>
            <w:r w:rsidRPr="004A6F19">
              <w:rPr>
                <w:color w:val="000000" w:themeColor="text1"/>
                <w:sz w:val="16"/>
                <w:szCs w:val="16"/>
                <w:lang w:val="x-none"/>
              </w:rPr>
              <w:t xml:space="preserve"> ≤2 </w:t>
            </w:r>
            <w:proofErr w:type="spellStart"/>
            <w:r w:rsidRPr="004A6F19">
              <w:rPr>
                <w:color w:val="000000" w:themeColor="text1"/>
                <w:sz w:val="16"/>
                <w:szCs w:val="16"/>
                <w:lang w:val="x-none"/>
              </w:rPr>
              <w:t>categories</w:t>
            </w:r>
            <w:proofErr w:type="spellEnd"/>
          </w:p>
          <w:p w14:paraId="29B06A86" w14:textId="7ACF08B2"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x-none"/>
              </w:rPr>
              <w:t xml:space="preserve">PDR: R to </w:t>
            </w:r>
            <w:proofErr w:type="spellStart"/>
            <w:r w:rsidRPr="004A6F19">
              <w:rPr>
                <w:color w:val="000000" w:themeColor="text1"/>
                <w:sz w:val="16"/>
                <w:szCs w:val="16"/>
                <w:lang w:val="x-none"/>
              </w:rPr>
              <w:t>all</w:t>
            </w:r>
            <w:proofErr w:type="spellEnd"/>
            <w:r w:rsidRPr="004A6F19">
              <w:rPr>
                <w:color w:val="000000" w:themeColor="text1"/>
                <w:sz w:val="16"/>
                <w:szCs w:val="16"/>
                <w:lang w:val="x-none"/>
              </w:rPr>
              <w:t xml:space="preserve"> </w:t>
            </w:r>
            <w:proofErr w:type="spellStart"/>
            <w:r w:rsidRPr="004A6F19">
              <w:rPr>
                <w:color w:val="000000" w:themeColor="text1"/>
                <w:sz w:val="16"/>
                <w:szCs w:val="16"/>
                <w:lang w:val="x-none"/>
              </w:rPr>
              <w:t>available</w:t>
            </w:r>
            <w:proofErr w:type="spellEnd"/>
            <w:r w:rsidRPr="004A6F19">
              <w:rPr>
                <w:color w:val="000000" w:themeColor="text1"/>
                <w:sz w:val="16"/>
                <w:szCs w:val="16"/>
                <w:lang w:val="x-none"/>
              </w:rPr>
              <w:t xml:space="preserve"> agents</w:t>
            </w:r>
            <w:r w:rsidR="002153A3">
              <w:rPr>
                <w:color w:val="000000" w:themeColor="text1"/>
                <w:sz w:val="16"/>
                <w:szCs w:val="16"/>
                <w:lang w:val="x-none"/>
              </w:rPr>
              <w:t>.</w:t>
            </w:r>
          </w:p>
        </w:tc>
        <w:tc>
          <w:tcPr>
            <w:tcW w:w="1984" w:type="dxa"/>
            <w:vMerge w:val="restart"/>
            <w:vAlign w:val="center"/>
            <w:hideMark/>
          </w:tcPr>
          <w:p w14:paraId="6FF358D7" w14:textId="77777777"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Intermediate or resistant to all reported agents in carbapenem, β-lactam, and fluoroquinolone categories</w:t>
            </w:r>
          </w:p>
        </w:tc>
        <w:tc>
          <w:tcPr>
            <w:tcW w:w="2268" w:type="dxa"/>
            <w:vAlign w:val="center"/>
            <w:hideMark/>
          </w:tcPr>
          <w:p w14:paraId="65A418DA" w14:textId="500CAF53" w:rsidR="004A6F19" w:rsidRPr="0049342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 xml:space="preserve">ESBL-Producing </w:t>
            </w:r>
            <w:proofErr w:type="spellStart"/>
            <w:r w:rsidRPr="0004386F">
              <w:rPr>
                <w:i/>
                <w:iCs/>
                <w:color w:val="000000" w:themeColor="text1"/>
                <w:sz w:val="16"/>
                <w:szCs w:val="16"/>
                <w:lang w:val="en-US"/>
              </w:rPr>
              <w:t>Enterobacterales</w:t>
            </w:r>
            <w:proofErr w:type="spellEnd"/>
            <w:r w:rsidR="002153A3">
              <w:rPr>
                <w:color w:val="000000" w:themeColor="text1"/>
                <w:sz w:val="16"/>
                <w:szCs w:val="16"/>
                <w:lang w:val="en-US"/>
              </w:rPr>
              <w:t>,</w:t>
            </w:r>
            <w:r w:rsidRPr="004A6F19">
              <w:rPr>
                <w:color w:val="000000" w:themeColor="text1"/>
                <w:sz w:val="16"/>
                <w:szCs w:val="16"/>
                <w:lang w:val="en-US"/>
              </w:rPr>
              <w:t xml:space="preserve"> </w:t>
            </w:r>
          </w:p>
          <w:p w14:paraId="635A6100" w14:textId="77777777" w:rsidR="004A6F19" w:rsidRPr="00493429" w:rsidRDefault="004A6F19" w:rsidP="00AB0CDA">
            <w:pPr>
              <w:spacing w:line="360" w:lineRule="auto"/>
              <w:jc w:val="center"/>
              <w:rPr>
                <w:color w:val="000000" w:themeColor="text1"/>
                <w:sz w:val="16"/>
                <w:szCs w:val="16"/>
                <w:lang w:val="en-US"/>
              </w:rPr>
            </w:pPr>
            <w:proofErr w:type="spellStart"/>
            <w:r w:rsidRPr="004A6F19">
              <w:rPr>
                <w:color w:val="000000" w:themeColor="text1"/>
                <w:sz w:val="16"/>
                <w:szCs w:val="16"/>
                <w:lang w:val="en-US"/>
              </w:rPr>
              <w:t>AmpC</w:t>
            </w:r>
            <w:proofErr w:type="spellEnd"/>
            <w:r w:rsidRPr="004A6F19">
              <w:rPr>
                <w:color w:val="000000" w:themeColor="text1"/>
                <w:sz w:val="16"/>
                <w:szCs w:val="16"/>
                <w:lang w:val="en-US"/>
              </w:rPr>
              <w:t xml:space="preserve"> </w:t>
            </w:r>
            <w:r w:rsidRPr="004A6F19">
              <w:rPr>
                <w:color w:val="000000" w:themeColor="text1"/>
                <w:sz w:val="16"/>
                <w:szCs w:val="16"/>
                <w:lang w:val="el-GR"/>
              </w:rPr>
              <w:t>β-</w:t>
            </w:r>
            <w:r w:rsidRPr="004A6F19">
              <w:rPr>
                <w:color w:val="000000" w:themeColor="text1"/>
                <w:sz w:val="16"/>
                <w:szCs w:val="16"/>
                <w:lang w:val="en-US"/>
              </w:rPr>
              <w:t xml:space="preserve">Lactamase-Producing </w:t>
            </w:r>
            <w:proofErr w:type="spellStart"/>
            <w:r w:rsidRPr="0004386F">
              <w:rPr>
                <w:i/>
                <w:iCs/>
                <w:color w:val="000000" w:themeColor="text1"/>
                <w:sz w:val="16"/>
                <w:szCs w:val="16"/>
                <w:lang w:val="en-US"/>
              </w:rPr>
              <w:t>Enterobacterales</w:t>
            </w:r>
            <w:proofErr w:type="spellEnd"/>
          </w:p>
        </w:tc>
        <w:tc>
          <w:tcPr>
            <w:tcW w:w="2256" w:type="dxa"/>
            <w:vAlign w:val="center"/>
            <w:hideMark/>
          </w:tcPr>
          <w:p w14:paraId="1D4815DE" w14:textId="77777777"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x-none"/>
              </w:rPr>
              <w:t xml:space="preserve">3rd generation </w:t>
            </w:r>
            <w:proofErr w:type="spellStart"/>
            <w:r w:rsidRPr="004A6F19">
              <w:rPr>
                <w:color w:val="000000" w:themeColor="text1"/>
                <w:sz w:val="16"/>
                <w:szCs w:val="16"/>
                <w:lang w:val="x-none"/>
              </w:rPr>
              <w:t>cephalosporin</w:t>
            </w:r>
            <w:proofErr w:type="spellEnd"/>
            <w:r w:rsidRPr="004A6F19">
              <w:rPr>
                <w:color w:val="000000" w:themeColor="text1"/>
                <w:sz w:val="16"/>
                <w:szCs w:val="16"/>
                <w:lang w:val="x-none"/>
              </w:rPr>
              <w:t xml:space="preserve"> </w:t>
            </w:r>
            <w:proofErr w:type="spellStart"/>
            <w:r w:rsidRPr="004A6F19">
              <w:rPr>
                <w:color w:val="000000" w:themeColor="text1"/>
                <w:sz w:val="16"/>
                <w:szCs w:val="16"/>
                <w:lang w:val="x-none"/>
              </w:rPr>
              <w:t>resistant</w:t>
            </w:r>
            <w:proofErr w:type="spellEnd"/>
            <w:r w:rsidRPr="004A6F19">
              <w:rPr>
                <w:color w:val="000000" w:themeColor="text1"/>
                <w:sz w:val="16"/>
                <w:szCs w:val="16"/>
                <w:lang w:val="x-none"/>
              </w:rPr>
              <w:t xml:space="preserve"> </w:t>
            </w:r>
            <w:proofErr w:type="spellStart"/>
            <w:r w:rsidRPr="0004386F">
              <w:rPr>
                <w:i/>
                <w:iCs/>
                <w:color w:val="000000" w:themeColor="text1"/>
                <w:sz w:val="16"/>
                <w:szCs w:val="16"/>
                <w:lang w:val="x-none"/>
              </w:rPr>
              <w:t>Enterobacterales</w:t>
            </w:r>
            <w:proofErr w:type="spellEnd"/>
            <w:r w:rsidRPr="004A6F19">
              <w:rPr>
                <w:color w:val="000000" w:themeColor="text1"/>
                <w:sz w:val="16"/>
                <w:szCs w:val="16"/>
                <w:lang w:val="x-none"/>
              </w:rPr>
              <w:t xml:space="preserve"> </w:t>
            </w:r>
            <w:r w:rsidRPr="004A6F19">
              <w:rPr>
                <w:color w:val="000000" w:themeColor="text1"/>
                <w:sz w:val="16"/>
                <w:szCs w:val="16"/>
                <w:lang w:val="en-US"/>
              </w:rPr>
              <w:t>(</w:t>
            </w:r>
            <w:r w:rsidRPr="004A6F19">
              <w:rPr>
                <w:color w:val="000000" w:themeColor="text1"/>
                <w:sz w:val="16"/>
                <w:szCs w:val="16"/>
                <w:lang w:val="x-none"/>
              </w:rPr>
              <w:t>3GCephRE)</w:t>
            </w:r>
          </w:p>
        </w:tc>
      </w:tr>
      <w:tr w:rsidR="004A6F19" w:rsidRPr="00F20444" w14:paraId="0C16F0FB" w14:textId="77777777" w:rsidTr="00AB0CDA">
        <w:trPr>
          <w:trHeight w:val="374"/>
        </w:trPr>
        <w:tc>
          <w:tcPr>
            <w:tcW w:w="0" w:type="auto"/>
            <w:vMerge/>
            <w:vAlign w:val="center"/>
            <w:hideMark/>
          </w:tcPr>
          <w:p w14:paraId="3020D61B" w14:textId="77777777" w:rsidR="004A6F19" w:rsidRPr="004A6F19" w:rsidRDefault="004A6F19" w:rsidP="00AB0CDA">
            <w:pPr>
              <w:spacing w:line="360" w:lineRule="auto"/>
              <w:jc w:val="center"/>
              <w:rPr>
                <w:color w:val="000000" w:themeColor="text1"/>
                <w:sz w:val="16"/>
                <w:szCs w:val="16"/>
                <w:lang w:val="en-US"/>
              </w:rPr>
            </w:pPr>
          </w:p>
        </w:tc>
        <w:tc>
          <w:tcPr>
            <w:tcW w:w="1973" w:type="dxa"/>
            <w:vMerge/>
            <w:vAlign w:val="center"/>
            <w:hideMark/>
          </w:tcPr>
          <w:p w14:paraId="76C29329" w14:textId="77777777" w:rsidR="004A6F19" w:rsidRPr="004A6F19" w:rsidRDefault="004A6F19" w:rsidP="00AB0CDA">
            <w:pPr>
              <w:spacing w:line="360" w:lineRule="auto"/>
              <w:jc w:val="center"/>
              <w:rPr>
                <w:color w:val="000000" w:themeColor="text1"/>
                <w:sz w:val="16"/>
                <w:szCs w:val="16"/>
                <w:lang w:val="en-US"/>
              </w:rPr>
            </w:pPr>
          </w:p>
        </w:tc>
        <w:tc>
          <w:tcPr>
            <w:tcW w:w="1984" w:type="dxa"/>
            <w:vMerge/>
            <w:vAlign w:val="center"/>
            <w:hideMark/>
          </w:tcPr>
          <w:p w14:paraId="2194856E" w14:textId="77777777" w:rsidR="004A6F19" w:rsidRPr="004A6F19" w:rsidRDefault="004A6F19" w:rsidP="00AB0CDA">
            <w:pPr>
              <w:spacing w:line="360" w:lineRule="auto"/>
              <w:jc w:val="center"/>
              <w:rPr>
                <w:color w:val="000000" w:themeColor="text1"/>
                <w:sz w:val="16"/>
                <w:szCs w:val="16"/>
                <w:lang w:val="en-US"/>
              </w:rPr>
            </w:pPr>
          </w:p>
        </w:tc>
        <w:tc>
          <w:tcPr>
            <w:tcW w:w="4524" w:type="dxa"/>
            <w:gridSpan w:val="2"/>
            <w:vAlign w:val="center"/>
            <w:hideMark/>
          </w:tcPr>
          <w:p w14:paraId="59CF986A" w14:textId="77777777" w:rsidR="004A6F19" w:rsidRPr="00493429" w:rsidRDefault="004A6F19" w:rsidP="00AB0CDA">
            <w:pPr>
              <w:spacing w:line="360" w:lineRule="auto"/>
              <w:jc w:val="center"/>
              <w:rPr>
                <w:color w:val="000000" w:themeColor="text1"/>
                <w:sz w:val="16"/>
                <w:szCs w:val="16"/>
                <w:lang w:val="en-US"/>
              </w:rPr>
            </w:pPr>
            <w:proofErr w:type="spellStart"/>
            <w:r w:rsidRPr="004A6F19">
              <w:rPr>
                <w:color w:val="000000" w:themeColor="text1"/>
                <w:sz w:val="16"/>
                <w:szCs w:val="16"/>
                <w:lang w:val="x-none"/>
              </w:rPr>
              <w:t>Carbapenem-resistant</w:t>
            </w:r>
            <w:proofErr w:type="spellEnd"/>
            <w:r w:rsidRPr="004A6F19">
              <w:rPr>
                <w:color w:val="000000" w:themeColor="text1"/>
                <w:sz w:val="16"/>
                <w:szCs w:val="16"/>
                <w:lang w:val="x-none"/>
              </w:rPr>
              <w:t xml:space="preserve"> </w:t>
            </w:r>
            <w:proofErr w:type="spellStart"/>
            <w:r w:rsidRPr="0004386F">
              <w:rPr>
                <w:i/>
                <w:iCs/>
                <w:color w:val="000000" w:themeColor="text1"/>
                <w:sz w:val="16"/>
                <w:szCs w:val="16"/>
                <w:lang w:val="x-none"/>
              </w:rPr>
              <w:t>Enterobacterales</w:t>
            </w:r>
            <w:proofErr w:type="spellEnd"/>
            <w:r w:rsidRPr="004A6F19">
              <w:rPr>
                <w:color w:val="000000" w:themeColor="text1"/>
                <w:sz w:val="16"/>
                <w:szCs w:val="16"/>
                <w:lang w:val="x-none"/>
              </w:rPr>
              <w:t xml:space="preserve"> (CRE)</w:t>
            </w:r>
          </w:p>
        </w:tc>
      </w:tr>
      <w:tr w:rsidR="004A6F19" w:rsidRPr="00F20444" w14:paraId="1A8B0443" w14:textId="77777777" w:rsidTr="00AB0CDA">
        <w:trPr>
          <w:trHeight w:val="584"/>
        </w:trPr>
        <w:tc>
          <w:tcPr>
            <w:tcW w:w="0" w:type="auto"/>
            <w:vMerge/>
            <w:vAlign w:val="center"/>
            <w:hideMark/>
          </w:tcPr>
          <w:p w14:paraId="672771D2" w14:textId="77777777" w:rsidR="004A6F19" w:rsidRPr="00493429" w:rsidRDefault="004A6F19" w:rsidP="00AB0CDA">
            <w:pPr>
              <w:spacing w:line="360" w:lineRule="auto"/>
              <w:jc w:val="center"/>
              <w:rPr>
                <w:color w:val="000000" w:themeColor="text1"/>
                <w:sz w:val="16"/>
                <w:szCs w:val="16"/>
                <w:lang w:val="en-US"/>
              </w:rPr>
            </w:pPr>
          </w:p>
        </w:tc>
        <w:tc>
          <w:tcPr>
            <w:tcW w:w="1973" w:type="dxa"/>
            <w:vMerge/>
            <w:vAlign w:val="center"/>
            <w:hideMark/>
          </w:tcPr>
          <w:p w14:paraId="6F467EAC" w14:textId="77777777" w:rsidR="004A6F19" w:rsidRPr="00493429" w:rsidRDefault="004A6F19" w:rsidP="00AB0CDA">
            <w:pPr>
              <w:spacing w:line="360" w:lineRule="auto"/>
              <w:jc w:val="center"/>
              <w:rPr>
                <w:color w:val="000000" w:themeColor="text1"/>
                <w:sz w:val="16"/>
                <w:szCs w:val="16"/>
                <w:lang w:val="en-US"/>
              </w:rPr>
            </w:pPr>
          </w:p>
        </w:tc>
        <w:tc>
          <w:tcPr>
            <w:tcW w:w="1984" w:type="dxa"/>
            <w:vMerge/>
            <w:vAlign w:val="center"/>
            <w:hideMark/>
          </w:tcPr>
          <w:p w14:paraId="7E767036" w14:textId="77777777" w:rsidR="004A6F19" w:rsidRPr="00493429" w:rsidRDefault="004A6F19" w:rsidP="00AB0CDA">
            <w:pPr>
              <w:spacing w:line="360" w:lineRule="auto"/>
              <w:jc w:val="center"/>
              <w:rPr>
                <w:color w:val="000000" w:themeColor="text1"/>
                <w:sz w:val="16"/>
                <w:szCs w:val="16"/>
                <w:lang w:val="en-US"/>
              </w:rPr>
            </w:pPr>
          </w:p>
        </w:tc>
        <w:tc>
          <w:tcPr>
            <w:tcW w:w="4524" w:type="dxa"/>
            <w:gridSpan w:val="2"/>
            <w:vAlign w:val="center"/>
            <w:hideMark/>
          </w:tcPr>
          <w:p w14:paraId="20BBBED5" w14:textId="48BFB9F9" w:rsidR="004A6F19" w:rsidRPr="004A6F19" w:rsidRDefault="004A6F19" w:rsidP="00AB0CDA">
            <w:pPr>
              <w:spacing w:line="360" w:lineRule="auto"/>
              <w:jc w:val="center"/>
              <w:rPr>
                <w:color w:val="000000" w:themeColor="text1"/>
                <w:sz w:val="16"/>
                <w:szCs w:val="16"/>
                <w:lang w:val="en-US"/>
              </w:rPr>
            </w:pPr>
            <w:proofErr w:type="spellStart"/>
            <w:r w:rsidRPr="004A6F19">
              <w:rPr>
                <w:i/>
                <w:iCs/>
                <w:color w:val="000000" w:themeColor="text1"/>
                <w:sz w:val="16"/>
                <w:szCs w:val="16"/>
                <w:lang w:val="x-none"/>
              </w:rPr>
              <w:t>Pseudomonas</w:t>
            </w:r>
            <w:proofErr w:type="spellEnd"/>
            <w:r w:rsidRPr="004A6F19">
              <w:rPr>
                <w:i/>
                <w:iCs/>
                <w:color w:val="000000" w:themeColor="text1"/>
                <w:sz w:val="16"/>
                <w:szCs w:val="16"/>
                <w:lang w:val="x-none"/>
              </w:rPr>
              <w:t xml:space="preserve"> </w:t>
            </w:r>
            <w:proofErr w:type="spellStart"/>
            <w:r w:rsidRPr="004A6F19">
              <w:rPr>
                <w:i/>
                <w:iCs/>
                <w:color w:val="000000" w:themeColor="text1"/>
                <w:sz w:val="16"/>
                <w:szCs w:val="16"/>
                <w:lang w:val="x-none"/>
              </w:rPr>
              <w:t>aeruginosa</w:t>
            </w:r>
            <w:proofErr w:type="spellEnd"/>
            <w:r w:rsidRPr="004A6F19">
              <w:rPr>
                <w:i/>
                <w:iCs/>
                <w:color w:val="000000" w:themeColor="text1"/>
                <w:sz w:val="16"/>
                <w:szCs w:val="16"/>
                <w:lang w:val="x-none"/>
              </w:rPr>
              <w:t xml:space="preserve"> </w:t>
            </w:r>
            <w:r w:rsidRPr="004A6F19">
              <w:rPr>
                <w:color w:val="000000" w:themeColor="text1"/>
                <w:sz w:val="16"/>
                <w:szCs w:val="16"/>
                <w:lang w:val="x-none"/>
              </w:rPr>
              <w:t xml:space="preserve">with </w:t>
            </w:r>
            <w:proofErr w:type="spellStart"/>
            <w:r w:rsidRPr="004A6F19">
              <w:rPr>
                <w:color w:val="000000" w:themeColor="text1"/>
                <w:sz w:val="16"/>
                <w:szCs w:val="16"/>
                <w:lang w:val="x-none"/>
              </w:rPr>
              <w:t>difficult</w:t>
            </w:r>
            <w:proofErr w:type="spellEnd"/>
            <w:r w:rsidRPr="004A6F19">
              <w:rPr>
                <w:color w:val="000000" w:themeColor="text1"/>
                <w:sz w:val="16"/>
                <w:szCs w:val="16"/>
                <w:lang w:val="x-none"/>
              </w:rPr>
              <w:t>-to-</w:t>
            </w:r>
            <w:proofErr w:type="spellStart"/>
            <w:r w:rsidRPr="004A6F19">
              <w:rPr>
                <w:color w:val="000000" w:themeColor="text1"/>
                <w:sz w:val="16"/>
                <w:szCs w:val="16"/>
                <w:lang w:val="x-none"/>
              </w:rPr>
              <w:t>treat</w:t>
            </w:r>
            <w:proofErr w:type="spellEnd"/>
            <w:r w:rsidRPr="004A6F19">
              <w:rPr>
                <w:color w:val="000000" w:themeColor="text1"/>
                <w:sz w:val="16"/>
                <w:szCs w:val="16"/>
                <w:lang w:val="x-none"/>
              </w:rPr>
              <w:t>-</w:t>
            </w:r>
            <w:proofErr w:type="spellStart"/>
            <w:r w:rsidRPr="004A6F19">
              <w:rPr>
                <w:color w:val="000000" w:themeColor="text1"/>
                <w:sz w:val="16"/>
                <w:szCs w:val="16"/>
                <w:lang w:val="x-none"/>
              </w:rPr>
              <w:t>resistance</w:t>
            </w:r>
            <w:proofErr w:type="spellEnd"/>
          </w:p>
          <w:p w14:paraId="5D94A48E" w14:textId="7E4E686F"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x-none"/>
              </w:rPr>
              <w:t>(DTR)</w:t>
            </w:r>
            <w:r w:rsidRPr="004A6F19">
              <w:rPr>
                <w:color w:val="000000" w:themeColor="text1"/>
                <w:sz w:val="16"/>
                <w:szCs w:val="16"/>
                <w:lang w:val="en-US"/>
              </w:rPr>
              <w:t>:</w:t>
            </w:r>
          </w:p>
          <w:p w14:paraId="2A79B7C0" w14:textId="77777777"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Resistance to “old” beta-lactams (piperacillin-tazobactam, ceftazidime, cefepime, aztreonam, meropenem, imipenem-</w:t>
            </w:r>
            <w:proofErr w:type="spellStart"/>
            <w:r w:rsidRPr="004A6F19">
              <w:rPr>
                <w:color w:val="000000" w:themeColor="text1"/>
                <w:sz w:val="16"/>
                <w:szCs w:val="16"/>
                <w:lang w:val="en-US"/>
              </w:rPr>
              <w:t>cilastin</w:t>
            </w:r>
            <w:proofErr w:type="spellEnd"/>
            <w:r w:rsidRPr="004A6F19">
              <w:rPr>
                <w:color w:val="000000" w:themeColor="text1"/>
                <w:sz w:val="16"/>
                <w:szCs w:val="16"/>
                <w:lang w:val="en-US"/>
              </w:rPr>
              <w:t>) and quinolones (ciprofloxacin and levofloxacin)</w:t>
            </w:r>
          </w:p>
        </w:tc>
      </w:tr>
      <w:tr w:rsidR="004A6F19" w:rsidRPr="00F20444" w14:paraId="3A4294AE" w14:textId="77777777" w:rsidTr="00AB0CDA">
        <w:trPr>
          <w:trHeight w:val="339"/>
        </w:trPr>
        <w:tc>
          <w:tcPr>
            <w:tcW w:w="0" w:type="auto"/>
            <w:vMerge/>
            <w:vAlign w:val="center"/>
            <w:hideMark/>
          </w:tcPr>
          <w:p w14:paraId="622F4B11" w14:textId="77777777" w:rsidR="004A6F19" w:rsidRPr="004A6F19" w:rsidRDefault="004A6F19" w:rsidP="00AB0CDA">
            <w:pPr>
              <w:spacing w:line="360" w:lineRule="auto"/>
              <w:jc w:val="center"/>
              <w:rPr>
                <w:color w:val="000000" w:themeColor="text1"/>
                <w:sz w:val="16"/>
                <w:szCs w:val="16"/>
                <w:lang w:val="en-US"/>
              </w:rPr>
            </w:pPr>
          </w:p>
        </w:tc>
        <w:tc>
          <w:tcPr>
            <w:tcW w:w="1973" w:type="dxa"/>
            <w:vMerge/>
            <w:vAlign w:val="center"/>
            <w:hideMark/>
          </w:tcPr>
          <w:p w14:paraId="4B5FA504" w14:textId="77777777" w:rsidR="004A6F19" w:rsidRPr="004A6F19" w:rsidRDefault="004A6F19" w:rsidP="00AB0CDA">
            <w:pPr>
              <w:spacing w:line="360" w:lineRule="auto"/>
              <w:jc w:val="center"/>
              <w:rPr>
                <w:color w:val="000000" w:themeColor="text1"/>
                <w:sz w:val="16"/>
                <w:szCs w:val="16"/>
                <w:lang w:val="en-US"/>
              </w:rPr>
            </w:pPr>
          </w:p>
        </w:tc>
        <w:tc>
          <w:tcPr>
            <w:tcW w:w="1984" w:type="dxa"/>
            <w:vMerge/>
            <w:vAlign w:val="center"/>
            <w:hideMark/>
          </w:tcPr>
          <w:p w14:paraId="2F4A5C20" w14:textId="77777777" w:rsidR="004A6F19" w:rsidRPr="004A6F19" w:rsidRDefault="004A6F19" w:rsidP="00AB0CDA">
            <w:pPr>
              <w:spacing w:line="360" w:lineRule="auto"/>
              <w:jc w:val="center"/>
              <w:rPr>
                <w:color w:val="000000" w:themeColor="text1"/>
                <w:sz w:val="16"/>
                <w:szCs w:val="16"/>
                <w:lang w:val="en-US"/>
              </w:rPr>
            </w:pPr>
          </w:p>
        </w:tc>
        <w:tc>
          <w:tcPr>
            <w:tcW w:w="4524" w:type="dxa"/>
            <w:gridSpan w:val="2"/>
            <w:vAlign w:val="center"/>
            <w:hideMark/>
          </w:tcPr>
          <w:p w14:paraId="52BD1103" w14:textId="77777777" w:rsidR="004A6F19" w:rsidRPr="004A6F19" w:rsidRDefault="004A6F19" w:rsidP="00AB0CDA">
            <w:pPr>
              <w:spacing w:line="360" w:lineRule="auto"/>
              <w:jc w:val="center"/>
              <w:rPr>
                <w:color w:val="000000" w:themeColor="text1"/>
                <w:sz w:val="16"/>
                <w:szCs w:val="16"/>
                <w:lang w:val="en-US"/>
              </w:rPr>
            </w:pPr>
            <w:proofErr w:type="spellStart"/>
            <w:r w:rsidRPr="004A6F19">
              <w:rPr>
                <w:color w:val="000000" w:themeColor="text1"/>
                <w:sz w:val="16"/>
                <w:szCs w:val="16"/>
                <w:lang w:val="x-none"/>
              </w:rPr>
              <w:t>Carbapenem-resistant</w:t>
            </w:r>
            <w:proofErr w:type="spellEnd"/>
            <w:r w:rsidRPr="004A6F19">
              <w:rPr>
                <w:color w:val="000000" w:themeColor="text1"/>
                <w:sz w:val="16"/>
                <w:szCs w:val="16"/>
                <w:lang w:val="x-none"/>
              </w:rPr>
              <w:t xml:space="preserve"> </w:t>
            </w:r>
            <w:proofErr w:type="spellStart"/>
            <w:r w:rsidRPr="004A6F19">
              <w:rPr>
                <w:i/>
                <w:iCs/>
                <w:color w:val="000000" w:themeColor="text1"/>
                <w:sz w:val="16"/>
                <w:szCs w:val="16"/>
                <w:lang w:val="x-none"/>
              </w:rPr>
              <w:t>Acinetobacter</w:t>
            </w:r>
            <w:proofErr w:type="spellEnd"/>
            <w:r w:rsidRPr="004A6F19">
              <w:rPr>
                <w:i/>
                <w:iCs/>
                <w:color w:val="000000" w:themeColor="text1"/>
                <w:sz w:val="16"/>
                <w:szCs w:val="16"/>
                <w:lang w:val="x-none"/>
              </w:rPr>
              <w:t xml:space="preserve"> </w:t>
            </w:r>
            <w:proofErr w:type="spellStart"/>
            <w:r w:rsidRPr="004A6F19">
              <w:rPr>
                <w:i/>
                <w:iCs/>
                <w:color w:val="000000" w:themeColor="text1"/>
                <w:sz w:val="16"/>
                <w:szCs w:val="16"/>
                <w:lang w:val="x-none"/>
              </w:rPr>
              <w:t>baumannii</w:t>
            </w:r>
            <w:proofErr w:type="spellEnd"/>
            <w:r w:rsidRPr="004A6F19">
              <w:rPr>
                <w:i/>
                <w:iCs/>
                <w:color w:val="000000" w:themeColor="text1"/>
                <w:sz w:val="16"/>
                <w:szCs w:val="16"/>
                <w:lang w:val="x-none"/>
              </w:rPr>
              <w:t xml:space="preserve"> </w:t>
            </w:r>
            <w:r w:rsidRPr="004A6F19">
              <w:rPr>
                <w:color w:val="000000" w:themeColor="text1"/>
                <w:sz w:val="16"/>
                <w:szCs w:val="16"/>
                <w:lang w:val="x-none"/>
              </w:rPr>
              <w:t>(CRAB)</w:t>
            </w:r>
          </w:p>
        </w:tc>
      </w:tr>
      <w:tr w:rsidR="006D07E0" w:rsidRPr="00F20444" w14:paraId="03F847A2" w14:textId="77777777" w:rsidTr="00AB0CDA">
        <w:trPr>
          <w:trHeight w:val="289"/>
        </w:trPr>
        <w:tc>
          <w:tcPr>
            <w:tcW w:w="0" w:type="auto"/>
            <w:vMerge/>
            <w:vAlign w:val="center"/>
            <w:hideMark/>
          </w:tcPr>
          <w:p w14:paraId="274EA2F7" w14:textId="77777777" w:rsidR="004A6F19" w:rsidRPr="004A6F19" w:rsidRDefault="004A6F19" w:rsidP="00AB0CDA">
            <w:pPr>
              <w:spacing w:line="360" w:lineRule="auto"/>
              <w:jc w:val="center"/>
              <w:rPr>
                <w:color w:val="000000" w:themeColor="text1"/>
                <w:sz w:val="16"/>
                <w:szCs w:val="16"/>
                <w:lang w:val="en-US"/>
              </w:rPr>
            </w:pPr>
          </w:p>
        </w:tc>
        <w:tc>
          <w:tcPr>
            <w:tcW w:w="1973" w:type="dxa"/>
            <w:vMerge/>
            <w:vAlign w:val="center"/>
            <w:hideMark/>
          </w:tcPr>
          <w:p w14:paraId="0ECEA9B6" w14:textId="77777777" w:rsidR="004A6F19" w:rsidRPr="004A6F19" w:rsidRDefault="004A6F19" w:rsidP="00AB0CDA">
            <w:pPr>
              <w:spacing w:line="360" w:lineRule="auto"/>
              <w:jc w:val="center"/>
              <w:rPr>
                <w:color w:val="000000" w:themeColor="text1"/>
                <w:sz w:val="16"/>
                <w:szCs w:val="16"/>
                <w:lang w:val="en-US"/>
              </w:rPr>
            </w:pPr>
          </w:p>
        </w:tc>
        <w:tc>
          <w:tcPr>
            <w:tcW w:w="1984" w:type="dxa"/>
            <w:vMerge/>
            <w:vAlign w:val="center"/>
            <w:hideMark/>
          </w:tcPr>
          <w:p w14:paraId="295165A3" w14:textId="77777777" w:rsidR="004A6F19" w:rsidRPr="004A6F19" w:rsidRDefault="004A6F19" w:rsidP="00AB0CDA">
            <w:pPr>
              <w:spacing w:line="360" w:lineRule="auto"/>
              <w:jc w:val="center"/>
              <w:rPr>
                <w:color w:val="000000" w:themeColor="text1"/>
                <w:sz w:val="16"/>
                <w:szCs w:val="16"/>
                <w:lang w:val="en-US"/>
              </w:rPr>
            </w:pPr>
          </w:p>
        </w:tc>
        <w:tc>
          <w:tcPr>
            <w:tcW w:w="2268" w:type="dxa"/>
            <w:vAlign w:val="center"/>
            <w:hideMark/>
          </w:tcPr>
          <w:p w14:paraId="32B4F2BC" w14:textId="77777777" w:rsidR="004A6F19" w:rsidRPr="00493429" w:rsidRDefault="004A6F19" w:rsidP="00AB0CDA">
            <w:pPr>
              <w:spacing w:line="360" w:lineRule="auto"/>
              <w:jc w:val="center"/>
              <w:rPr>
                <w:color w:val="000000" w:themeColor="text1"/>
                <w:sz w:val="16"/>
                <w:szCs w:val="16"/>
                <w:lang w:val="en-US"/>
              </w:rPr>
            </w:pPr>
            <w:proofErr w:type="spellStart"/>
            <w:r w:rsidRPr="004A6F19">
              <w:rPr>
                <w:i/>
                <w:iCs/>
                <w:color w:val="000000" w:themeColor="text1"/>
                <w:sz w:val="16"/>
                <w:szCs w:val="16"/>
                <w:lang w:val="x-none"/>
              </w:rPr>
              <w:t>Stenotrophomonas</w:t>
            </w:r>
            <w:proofErr w:type="spellEnd"/>
            <w:r w:rsidRPr="004A6F19">
              <w:rPr>
                <w:i/>
                <w:iCs/>
                <w:color w:val="000000" w:themeColor="text1"/>
                <w:sz w:val="16"/>
                <w:szCs w:val="16"/>
                <w:lang w:val="x-none"/>
              </w:rPr>
              <w:t xml:space="preserve"> </w:t>
            </w:r>
            <w:proofErr w:type="spellStart"/>
            <w:r w:rsidRPr="004A6F19">
              <w:rPr>
                <w:i/>
                <w:iCs/>
                <w:color w:val="000000" w:themeColor="text1"/>
                <w:sz w:val="16"/>
                <w:szCs w:val="16"/>
                <w:lang w:val="x-none"/>
              </w:rPr>
              <w:t>maltophilia</w:t>
            </w:r>
            <w:proofErr w:type="spellEnd"/>
          </w:p>
        </w:tc>
        <w:tc>
          <w:tcPr>
            <w:tcW w:w="2256" w:type="dxa"/>
            <w:vAlign w:val="center"/>
            <w:hideMark/>
          </w:tcPr>
          <w:p w14:paraId="62D0EBF0" w14:textId="77777777" w:rsidR="004A6F19" w:rsidRPr="00493429" w:rsidRDefault="004A6F19" w:rsidP="00AB0CDA">
            <w:pPr>
              <w:spacing w:line="360" w:lineRule="auto"/>
              <w:jc w:val="center"/>
              <w:rPr>
                <w:color w:val="000000" w:themeColor="text1"/>
                <w:sz w:val="16"/>
                <w:szCs w:val="16"/>
                <w:lang w:val="en-US"/>
              </w:rPr>
            </w:pPr>
          </w:p>
        </w:tc>
      </w:tr>
      <w:tr w:rsidR="006D07E0" w:rsidRPr="00F20444" w14:paraId="5B64A324" w14:textId="77777777" w:rsidTr="00AB0CDA">
        <w:trPr>
          <w:trHeight w:val="584"/>
        </w:trPr>
        <w:tc>
          <w:tcPr>
            <w:tcW w:w="0" w:type="auto"/>
            <w:vAlign w:val="center"/>
            <w:hideMark/>
          </w:tcPr>
          <w:p w14:paraId="66E0C57A" w14:textId="21096881" w:rsidR="004A6F19" w:rsidRPr="00493429" w:rsidRDefault="004A6F19" w:rsidP="00AB0CDA">
            <w:pPr>
              <w:spacing w:line="360" w:lineRule="auto"/>
              <w:jc w:val="center"/>
              <w:rPr>
                <w:color w:val="000000" w:themeColor="text1"/>
                <w:sz w:val="16"/>
                <w:szCs w:val="16"/>
                <w:lang w:val="en-US"/>
              </w:rPr>
            </w:pPr>
            <w:r w:rsidRPr="004A6F19">
              <w:rPr>
                <w:b/>
                <w:bCs/>
                <w:color w:val="000000" w:themeColor="text1"/>
                <w:sz w:val="16"/>
                <w:szCs w:val="16"/>
                <w:lang w:val="en-US"/>
              </w:rPr>
              <w:t>Disadvantage</w:t>
            </w:r>
          </w:p>
        </w:tc>
        <w:tc>
          <w:tcPr>
            <w:tcW w:w="1973" w:type="dxa"/>
            <w:vAlign w:val="center"/>
            <w:hideMark/>
          </w:tcPr>
          <w:p w14:paraId="5804B8ED" w14:textId="5F00EC56"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x-none"/>
              </w:rPr>
              <w:t>New</w:t>
            </w:r>
            <w:r w:rsidRPr="004A6F19">
              <w:rPr>
                <w:color w:val="000000" w:themeColor="text1"/>
                <w:sz w:val="16"/>
                <w:szCs w:val="16"/>
                <w:lang w:val="en-US"/>
              </w:rPr>
              <w:t xml:space="preserve"> </w:t>
            </w:r>
            <w:proofErr w:type="spellStart"/>
            <w:r w:rsidRPr="004A6F19">
              <w:rPr>
                <w:color w:val="000000" w:themeColor="text1"/>
                <w:sz w:val="16"/>
                <w:szCs w:val="16"/>
                <w:lang w:val="x-none"/>
              </w:rPr>
              <w:t>antimicrobials</w:t>
            </w:r>
            <w:proofErr w:type="spellEnd"/>
            <w:r w:rsidRPr="004A6F19">
              <w:rPr>
                <w:color w:val="000000" w:themeColor="text1"/>
                <w:sz w:val="16"/>
                <w:szCs w:val="16"/>
                <w:lang w:val="en-US"/>
              </w:rPr>
              <w:t xml:space="preserve"> are not addressed and do not fit definitions</w:t>
            </w:r>
            <w:r w:rsidR="002153A3">
              <w:rPr>
                <w:color w:val="000000" w:themeColor="text1"/>
                <w:sz w:val="16"/>
                <w:szCs w:val="16"/>
                <w:lang w:val="en-US"/>
              </w:rPr>
              <w:t>.</w:t>
            </w:r>
          </w:p>
          <w:p w14:paraId="4837539C" w14:textId="25BEE096"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Minimal set of antibiotics necessary for the definition is not provided</w:t>
            </w:r>
            <w:r w:rsidR="002153A3">
              <w:rPr>
                <w:color w:val="000000" w:themeColor="text1"/>
                <w:sz w:val="16"/>
                <w:szCs w:val="16"/>
                <w:lang w:val="en-US"/>
              </w:rPr>
              <w:t>.</w:t>
            </w:r>
          </w:p>
        </w:tc>
        <w:tc>
          <w:tcPr>
            <w:tcW w:w="1984" w:type="dxa"/>
            <w:vAlign w:val="center"/>
            <w:hideMark/>
          </w:tcPr>
          <w:p w14:paraId="0D8F56A6" w14:textId="60790DEE"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x-none"/>
              </w:rPr>
              <w:t>New</w:t>
            </w:r>
            <w:r w:rsidRPr="004A6F19">
              <w:rPr>
                <w:color w:val="000000" w:themeColor="text1"/>
                <w:sz w:val="16"/>
                <w:szCs w:val="16"/>
                <w:lang w:val="en-US"/>
              </w:rPr>
              <w:t xml:space="preserve"> </w:t>
            </w:r>
            <w:proofErr w:type="spellStart"/>
            <w:r w:rsidRPr="004A6F19">
              <w:rPr>
                <w:color w:val="000000" w:themeColor="text1"/>
                <w:sz w:val="16"/>
                <w:szCs w:val="16"/>
                <w:lang w:val="x-none"/>
              </w:rPr>
              <w:t>antimicrobials</w:t>
            </w:r>
            <w:proofErr w:type="spellEnd"/>
            <w:r w:rsidRPr="004A6F19">
              <w:rPr>
                <w:color w:val="000000" w:themeColor="text1"/>
                <w:sz w:val="16"/>
                <w:szCs w:val="16"/>
                <w:lang w:val="en-US"/>
              </w:rPr>
              <w:t xml:space="preserve"> are not addressed</w:t>
            </w:r>
            <w:r w:rsidR="002153A3">
              <w:rPr>
                <w:color w:val="000000" w:themeColor="text1"/>
                <w:sz w:val="16"/>
                <w:szCs w:val="16"/>
                <w:lang w:val="en-US"/>
              </w:rPr>
              <w:t>.</w:t>
            </w:r>
          </w:p>
          <w:p w14:paraId="4EFBE303" w14:textId="223604CE" w:rsidR="004A6F19" w:rsidRPr="004A6F19" w:rsidRDefault="004A6F19" w:rsidP="00AB0CDA">
            <w:pPr>
              <w:spacing w:line="360" w:lineRule="auto"/>
              <w:jc w:val="center"/>
              <w:rPr>
                <w:color w:val="000000" w:themeColor="text1"/>
                <w:sz w:val="16"/>
                <w:szCs w:val="16"/>
                <w:lang w:val="en-US"/>
              </w:rPr>
            </w:pPr>
            <w:r w:rsidRPr="004A6F19">
              <w:rPr>
                <w:color w:val="000000" w:themeColor="text1"/>
                <w:sz w:val="16"/>
                <w:szCs w:val="16"/>
                <w:lang w:val="en-US"/>
              </w:rPr>
              <w:t>Minimal set of antibiotics necessary for the definition is not provided</w:t>
            </w:r>
            <w:r w:rsidR="002153A3">
              <w:rPr>
                <w:color w:val="000000" w:themeColor="text1"/>
                <w:sz w:val="16"/>
                <w:szCs w:val="16"/>
                <w:lang w:val="en-US"/>
              </w:rPr>
              <w:t>.</w:t>
            </w:r>
          </w:p>
        </w:tc>
        <w:tc>
          <w:tcPr>
            <w:tcW w:w="2268" w:type="dxa"/>
            <w:vAlign w:val="center"/>
            <w:hideMark/>
          </w:tcPr>
          <w:p w14:paraId="3040D996" w14:textId="77777777" w:rsidR="004A6F19" w:rsidRPr="004A6F19" w:rsidRDefault="004A6F19" w:rsidP="00AB0CDA">
            <w:pPr>
              <w:spacing w:line="360" w:lineRule="auto"/>
              <w:jc w:val="center"/>
              <w:rPr>
                <w:color w:val="000000" w:themeColor="text1"/>
                <w:sz w:val="16"/>
                <w:szCs w:val="16"/>
                <w:lang w:val="en-US"/>
              </w:rPr>
            </w:pPr>
          </w:p>
        </w:tc>
        <w:tc>
          <w:tcPr>
            <w:tcW w:w="2256" w:type="dxa"/>
            <w:vAlign w:val="center"/>
            <w:hideMark/>
          </w:tcPr>
          <w:p w14:paraId="42E80DC2" w14:textId="77777777" w:rsidR="004A6F19" w:rsidRPr="004A6F19" w:rsidRDefault="004A6F19" w:rsidP="00AB0CDA">
            <w:pPr>
              <w:spacing w:line="360" w:lineRule="auto"/>
              <w:jc w:val="center"/>
              <w:rPr>
                <w:color w:val="000000" w:themeColor="text1"/>
                <w:sz w:val="16"/>
                <w:szCs w:val="16"/>
                <w:lang w:val="en-US"/>
              </w:rPr>
            </w:pPr>
          </w:p>
        </w:tc>
      </w:tr>
    </w:tbl>
    <w:p w14:paraId="767E920B" w14:textId="5E6A6270" w:rsidR="00E7282B" w:rsidRDefault="00F36CA3" w:rsidP="003E4C95">
      <w:pPr>
        <w:jc w:val="both"/>
        <w:rPr>
          <w:color w:val="000000" w:themeColor="text1"/>
          <w:sz w:val="20"/>
          <w:szCs w:val="20"/>
          <w:lang w:val="en-US"/>
        </w:rPr>
      </w:pPr>
      <w:r w:rsidRPr="006D07E0">
        <w:rPr>
          <w:color w:val="000000" w:themeColor="text1"/>
          <w:sz w:val="20"/>
          <w:szCs w:val="20"/>
          <w:lang w:val="en-US"/>
        </w:rPr>
        <w:t>ESCMID</w:t>
      </w:r>
      <w:r>
        <w:rPr>
          <w:color w:val="000000" w:themeColor="text1"/>
          <w:sz w:val="20"/>
          <w:szCs w:val="20"/>
          <w:lang w:val="en-US"/>
        </w:rPr>
        <w:t>,</w:t>
      </w:r>
      <w:r w:rsidRPr="006D07E0">
        <w:rPr>
          <w:color w:val="000000" w:themeColor="text1"/>
          <w:sz w:val="20"/>
          <w:szCs w:val="20"/>
          <w:lang w:val="en-US"/>
        </w:rPr>
        <w:t xml:space="preserve"> European Society of Clinical Microbiology and Infectious Diseases</w:t>
      </w:r>
      <w:r>
        <w:rPr>
          <w:color w:val="000000" w:themeColor="text1"/>
          <w:sz w:val="20"/>
          <w:szCs w:val="20"/>
          <w:lang w:val="en-US"/>
        </w:rPr>
        <w:t>; IDSA,</w:t>
      </w:r>
      <w:r w:rsidRPr="006D07E0">
        <w:rPr>
          <w:color w:val="000000" w:themeColor="text1"/>
          <w:sz w:val="20"/>
          <w:szCs w:val="20"/>
          <w:lang w:val="en-US"/>
        </w:rPr>
        <w:t xml:space="preserve"> Infectious Diseases Society of America</w:t>
      </w:r>
      <w:r>
        <w:rPr>
          <w:color w:val="000000" w:themeColor="text1"/>
          <w:sz w:val="20"/>
          <w:szCs w:val="20"/>
          <w:lang w:val="en-US"/>
        </w:rPr>
        <w:t xml:space="preserve">; </w:t>
      </w:r>
      <w:r w:rsidRPr="006D07E0">
        <w:rPr>
          <w:color w:val="000000" w:themeColor="text1"/>
          <w:sz w:val="20"/>
          <w:szCs w:val="20"/>
          <w:lang w:val="en-US"/>
        </w:rPr>
        <w:t xml:space="preserve">MDR, </w:t>
      </w:r>
      <w:r>
        <w:rPr>
          <w:color w:val="000000" w:themeColor="text1"/>
          <w:sz w:val="20"/>
          <w:szCs w:val="20"/>
          <w:lang w:val="en-US"/>
        </w:rPr>
        <w:t xml:space="preserve">multidrug resistant; XDR, </w:t>
      </w:r>
      <w:r w:rsidRPr="006D07E0">
        <w:rPr>
          <w:color w:val="000000" w:themeColor="text1"/>
          <w:sz w:val="20"/>
          <w:szCs w:val="20"/>
          <w:lang w:val="en-US"/>
        </w:rPr>
        <w:t>extensively drug-resistant</w:t>
      </w:r>
      <w:r>
        <w:rPr>
          <w:color w:val="000000" w:themeColor="text1"/>
          <w:sz w:val="20"/>
          <w:szCs w:val="20"/>
          <w:lang w:val="en-US"/>
        </w:rPr>
        <w:t xml:space="preserve">; PDR, </w:t>
      </w:r>
      <w:r w:rsidRPr="006D07E0">
        <w:rPr>
          <w:color w:val="000000" w:themeColor="text1"/>
          <w:sz w:val="20"/>
          <w:szCs w:val="20"/>
          <w:lang w:val="en-US"/>
        </w:rPr>
        <w:t>pan drug-resistant</w:t>
      </w:r>
    </w:p>
    <w:p w14:paraId="324F43DF" w14:textId="25EB8C0B" w:rsidR="006A71D1" w:rsidRDefault="006A71D1" w:rsidP="000551F5">
      <w:pPr>
        <w:spacing w:line="360" w:lineRule="auto"/>
        <w:jc w:val="both"/>
        <w:rPr>
          <w:color w:val="000000" w:themeColor="text1"/>
          <w:sz w:val="20"/>
          <w:szCs w:val="20"/>
          <w:lang w:val="en-US"/>
        </w:rPr>
      </w:pPr>
    </w:p>
    <w:p w14:paraId="58684727" w14:textId="337E961C" w:rsidR="006A71D1" w:rsidRDefault="006A71D1" w:rsidP="000551F5">
      <w:pPr>
        <w:spacing w:line="360" w:lineRule="auto"/>
        <w:jc w:val="both"/>
        <w:rPr>
          <w:color w:val="000000" w:themeColor="text1"/>
          <w:sz w:val="20"/>
          <w:szCs w:val="20"/>
          <w:lang w:val="en-US"/>
        </w:rPr>
      </w:pPr>
    </w:p>
    <w:p w14:paraId="1A517C14" w14:textId="4311BED1" w:rsidR="006A71D1" w:rsidRDefault="006A71D1">
      <w:pPr>
        <w:rPr>
          <w:color w:val="000000" w:themeColor="text1"/>
          <w:sz w:val="20"/>
          <w:szCs w:val="20"/>
          <w:lang w:val="en-US"/>
        </w:rPr>
      </w:pPr>
      <w:r>
        <w:rPr>
          <w:color w:val="000000" w:themeColor="text1"/>
          <w:sz w:val="20"/>
          <w:szCs w:val="20"/>
          <w:lang w:val="en-US"/>
        </w:rPr>
        <w:br w:type="page"/>
      </w:r>
    </w:p>
    <w:p w14:paraId="6C92AFA5" w14:textId="77777777" w:rsidR="00E129D1" w:rsidRDefault="00E129D1">
      <w:pPr>
        <w:rPr>
          <w:color w:val="000000" w:themeColor="text1"/>
          <w:lang w:val="en-US"/>
        </w:rPr>
      </w:pPr>
      <w:r>
        <w:rPr>
          <w:color w:val="000000" w:themeColor="text1"/>
          <w:lang w:val="en-US"/>
        </w:rPr>
        <w:lastRenderedPageBreak/>
        <w:br w:type="page"/>
      </w:r>
    </w:p>
    <w:p w14:paraId="71565889" w14:textId="62CE5978" w:rsidR="00E129D1" w:rsidRPr="00E129D1" w:rsidRDefault="00E129D1" w:rsidP="00E129D1">
      <w:pPr>
        <w:widowControl w:val="0"/>
        <w:autoSpaceDE w:val="0"/>
        <w:autoSpaceDN w:val="0"/>
        <w:adjustRightInd w:val="0"/>
        <w:spacing w:line="360" w:lineRule="auto"/>
        <w:ind w:left="640" w:hanging="640"/>
        <w:rPr>
          <w:b/>
          <w:bCs/>
          <w:color w:val="000000" w:themeColor="text1"/>
          <w:sz w:val="20"/>
          <w:szCs w:val="20"/>
          <w:lang w:val="en-US"/>
        </w:rPr>
      </w:pPr>
      <w:r w:rsidRPr="00E129D1">
        <w:rPr>
          <w:b/>
          <w:bCs/>
          <w:color w:val="000000" w:themeColor="text1"/>
          <w:sz w:val="20"/>
          <w:szCs w:val="20"/>
          <w:lang w:val="en-US"/>
        </w:rPr>
        <w:lastRenderedPageBreak/>
        <w:t>References</w:t>
      </w:r>
    </w:p>
    <w:p w14:paraId="3075F404" w14:textId="38B329EE" w:rsidR="00493429" w:rsidRPr="000F55FD" w:rsidRDefault="00E129D1" w:rsidP="00493429">
      <w:pPr>
        <w:widowControl w:val="0"/>
        <w:autoSpaceDE w:val="0"/>
        <w:autoSpaceDN w:val="0"/>
        <w:adjustRightInd w:val="0"/>
        <w:spacing w:line="360" w:lineRule="auto"/>
        <w:ind w:left="640" w:hanging="640"/>
        <w:rPr>
          <w:noProof/>
          <w:sz w:val="20"/>
          <w:lang w:val="en-US"/>
        </w:rPr>
      </w:pPr>
      <w:r w:rsidRPr="00E129D1">
        <w:rPr>
          <w:color w:val="000000" w:themeColor="text1"/>
          <w:sz w:val="20"/>
          <w:szCs w:val="20"/>
          <w:lang w:val="en-US"/>
        </w:rPr>
        <w:fldChar w:fldCharType="begin" w:fldLock="1"/>
      </w:r>
      <w:r w:rsidRPr="00E129D1">
        <w:rPr>
          <w:color w:val="000000" w:themeColor="text1"/>
          <w:sz w:val="20"/>
          <w:szCs w:val="20"/>
          <w:lang w:val="en-US"/>
        </w:rPr>
        <w:instrText xml:space="preserve">ADDIN Mendeley Bibliography CSL_BIBLIOGRAPHY </w:instrText>
      </w:r>
      <w:r w:rsidRPr="00E129D1">
        <w:rPr>
          <w:color w:val="000000" w:themeColor="text1"/>
          <w:sz w:val="20"/>
          <w:szCs w:val="20"/>
          <w:lang w:val="en-US"/>
        </w:rPr>
        <w:fldChar w:fldCharType="separate"/>
      </w:r>
      <w:r w:rsidR="00493429" w:rsidRPr="00493429">
        <w:rPr>
          <w:noProof/>
          <w:sz w:val="20"/>
          <w:lang w:val="en-US"/>
        </w:rPr>
        <w:t>1.</w:t>
      </w:r>
      <w:r w:rsidR="00493429" w:rsidRPr="00493429">
        <w:rPr>
          <w:noProof/>
          <w:sz w:val="20"/>
          <w:lang w:val="en-US"/>
        </w:rPr>
        <w:tab/>
      </w:r>
      <w:r w:rsidR="00493429" w:rsidRPr="000F55FD">
        <w:rPr>
          <w:noProof/>
          <w:sz w:val="20"/>
          <w:lang w:val="en-US"/>
        </w:rPr>
        <w:t>Wells GA, Shea B, O’Connell D, Peterson J, Welch V, Losos M, Tugwell P. The Newcastle–Ottawa Scale (NOS) for assessing the quality of nonrandomised studies in meta-analyses.</w:t>
      </w:r>
    </w:p>
    <w:p w14:paraId="381F0DF7"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493429">
        <w:rPr>
          <w:noProof/>
          <w:sz w:val="20"/>
        </w:rPr>
        <w:t>2.</w:t>
      </w:r>
      <w:r w:rsidRPr="00493429">
        <w:rPr>
          <w:noProof/>
          <w:sz w:val="20"/>
        </w:rPr>
        <w:tab/>
        <w:t xml:space="preserve">von Elm, E. </w:t>
      </w:r>
      <w:r w:rsidRPr="00493429">
        <w:rPr>
          <w:i/>
          <w:iCs/>
          <w:noProof/>
          <w:sz w:val="20"/>
        </w:rPr>
        <w:t>et al.</w:t>
      </w:r>
      <w:r w:rsidRPr="00493429">
        <w:rPr>
          <w:noProof/>
          <w:sz w:val="20"/>
        </w:rPr>
        <w:t xml:space="preserve"> </w:t>
      </w:r>
      <w:r w:rsidRPr="000F55FD">
        <w:rPr>
          <w:noProof/>
          <w:sz w:val="20"/>
          <w:lang w:val="en-US"/>
        </w:rPr>
        <w:t xml:space="preserve">The Strengthening the Reporting of Observational Studies in Epidemiology (STROBE) Statement: guidelines for reporting observational studies. </w:t>
      </w:r>
      <w:r w:rsidRPr="000F55FD">
        <w:rPr>
          <w:i/>
          <w:iCs/>
          <w:noProof/>
          <w:sz w:val="20"/>
          <w:lang w:val="en-US"/>
        </w:rPr>
        <w:t>Int. J. Surg.</w:t>
      </w:r>
      <w:r w:rsidRPr="000F55FD">
        <w:rPr>
          <w:noProof/>
          <w:sz w:val="20"/>
          <w:lang w:val="en-US"/>
        </w:rPr>
        <w:t xml:space="preserve"> </w:t>
      </w:r>
      <w:r w:rsidRPr="000F55FD">
        <w:rPr>
          <w:b/>
          <w:bCs/>
          <w:noProof/>
          <w:sz w:val="20"/>
          <w:lang w:val="en-US"/>
        </w:rPr>
        <w:t>12</w:t>
      </w:r>
      <w:r w:rsidRPr="000F55FD">
        <w:rPr>
          <w:noProof/>
          <w:sz w:val="20"/>
          <w:lang w:val="en-US"/>
        </w:rPr>
        <w:t>, 1495–9 (2014).</w:t>
      </w:r>
    </w:p>
    <w:p w14:paraId="1A678A06"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w:t>
      </w:r>
      <w:r w:rsidRPr="000F55FD">
        <w:rPr>
          <w:noProof/>
          <w:sz w:val="20"/>
          <w:lang w:val="en-US"/>
        </w:rPr>
        <w:tab/>
        <w:t xml:space="preserve">Egan, G. </w:t>
      </w:r>
      <w:r w:rsidRPr="000F55FD">
        <w:rPr>
          <w:i/>
          <w:iCs/>
          <w:noProof/>
          <w:sz w:val="20"/>
          <w:lang w:val="en-US"/>
        </w:rPr>
        <w:t>et al.</w:t>
      </w:r>
      <w:r w:rsidRPr="000F55FD">
        <w:rPr>
          <w:noProof/>
          <w:sz w:val="20"/>
          <w:lang w:val="en-US"/>
        </w:rPr>
        <w:t xml:space="preserve"> Efficacy of antibiotic prophylaxis in patients with cancer and hematopoietic stem cell transplantation recipients: A systematic review of randomized trials. </w:t>
      </w:r>
      <w:r w:rsidRPr="000F55FD">
        <w:rPr>
          <w:i/>
          <w:iCs/>
          <w:noProof/>
          <w:sz w:val="20"/>
          <w:lang w:val="en-US"/>
        </w:rPr>
        <w:t>Cancer Med.</w:t>
      </w:r>
      <w:r w:rsidRPr="000F55FD">
        <w:rPr>
          <w:noProof/>
          <w:sz w:val="20"/>
          <w:lang w:val="en-US"/>
        </w:rPr>
        <w:t xml:space="preserve"> </w:t>
      </w:r>
      <w:r w:rsidRPr="000F55FD">
        <w:rPr>
          <w:b/>
          <w:bCs/>
          <w:noProof/>
          <w:sz w:val="20"/>
          <w:lang w:val="en-US"/>
        </w:rPr>
        <w:t>8</w:t>
      </w:r>
      <w:r w:rsidRPr="000F55FD">
        <w:rPr>
          <w:noProof/>
          <w:sz w:val="20"/>
          <w:lang w:val="en-US"/>
        </w:rPr>
        <w:t>, 4536–4546 (2019).</w:t>
      </w:r>
    </w:p>
    <w:p w14:paraId="1126B657"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w:t>
      </w:r>
      <w:r w:rsidRPr="000F55FD">
        <w:rPr>
          <w:noProof/>
          <w:sz w:val="20"/>
          <w:lang w:val="en-US"/>
        </w:rPr>
        <w:tab/>
        <w:t xml:space="preserve">Kimura, S. </w:t>
      </w:r>
      <w:r w:rsidRPr="000F55FD">
        <w:rPr>
          <w:i/>
          <w:iCs/>
          <w:noProof/>
          <w:sz w:val="20"/>
          <w:lang w:val="en-US"/>
        </w:rPr>
        <w:t>et al.</w:t>
      </w:r>
      <w:r w:rsidRPr="000F55FD">
        <w:rPr>
          <w:noProof/>
          <w:sz w:val="20"/>
          <w:lang w:val="en-US"/>
        </w:rPr>
        <w:t xml:space="preserve"> Antibiotic prophylaxis in hematopoietic stem cell transplantation. A  meta-analysis of randomized controlled trials. </w:t>
      </w:r>
      <w:r w:rsidRPr="000F55FD">
        <w:rPr>
          <w:i/>
          <w:iCs/>
          <w:noProof/>
          <w:sz w:val="20"/>
          <w:lang w:val="en-US"/>
        </w:rPr>
        <w:t>J. Infect.</w:t>
      </w:r>
      <w:r w:rsidRPr="000F55FD">
        <w:rPr>
          <w:noProof/>
          <w:sz w:val="20"/>
          <w:lang w:val="en-US"/>
        </w:rPr>
        <w:t xml:space="preserve"> </w:t>
      </w:r>
      <w:r w:rsidRPr="000F55FD">
        <w:rPr>
          <w:b/>
          <w:bCs/>
          <w:noProof/>
          <w:sz w:val="20"/>
          <w:lang w:val="en-US"/>
        </w:rPr>
        <w:t>69</w:t>
      </w:r>
      <w:r w:rsidRPr="000F55FD">
        <w:rPr>
          <w:noProof/>
          <w:sz w:val="20"/>
          <w:lang w:val="en-US"/>
        </w:rPr>
        <w:t>, 13–25 (2014).</w:t>
      </w:r>
    </w:p>
    <w:p w14:paraId="152DD6E3"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w:t>
      </w:r>
      <w:r w:rsidRPr="000F55FD">
        <w:rPr>
          <w:noProof/>
          <w:sz w:val="20"/>
          <w:lang w:val="en-US"/>
        </w:rPr>
        <w:tab/>
        <w:t xml:space="preserve">Leardini, D. </w:t>
      </w:r>
      <w:r w:rsidRPr="000F55FD">
        <w:rPr>
          <w:i/>
          <w:iCs/>
          <w:noProof/>
          <w:sz w:val="20"/>
          <w:lang w:val="en-US"/>
        </w:rPr>
        <w:t>et al.</w:t>
      </w:r>
      <w:r w:rsidRPr="000F55FD">
        <w:rPr>
          <w:noProof/>
          <w:sz w:val="20"/>
          <w:lang w:val="en-US"/>
        </w:rPr>
        <w:t xml:space="preserve"> Effectiveness of Quinolone Prophylaxis in Pediatric Acute Leukemia and Hematopoietic Stem Cell Transplantation: A Systematic Review and Meta-analysis. </w:t>
      </w:r>
      <w:r w:rsidRPr="000F55FD">
        <w:rPr>
          <w:i/>
          <w:iCs/>
          <w:noProof/>
          <w:sz w:val="20"/>
          <w:lang w:val="en-US"/>
        </w:rPr>
        <w:t>Open forum Infect. Dis.</w:t>
      </w:r>
      <w:r w:rsidRPr="000F55FD">
        <w:rPr>
          <w:noProof/>
          <w:sz w:val="20"/>
          <w:lang w:val="en-US"/>
        </w:rPr>
        <w:t xml:space="preserve"> </w:t>
      </w:r>
      <w:r w:rsidRPr="000F55FD">
        <w:rPr>
          <w:b/>
          <w:bCs/>
          <w:noProof/>
          <w:sz w:val="20"/>
          <w:lang w:val="en-US"/>
        </w:rPr>
        <w:t>9</w:t>
      </w:r>
      <w:r w:rsidRPr="000F55FD">
        <w:rPr>
          <w:noProof/>
          <w:sz w:val="20"/>
          <w:lang w:val="en-US"/>
        </w:rPr>
        <w:t>, ofac594 (2022).</w:t>
      </w:r>
    </w:p>
    <w:p w14:paraId="1A998D8C"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w:t>
      </w:r>
      <w:r w:rsidRPr="000F55FD">
        <w:rPr>
          <w:noProof/>
          <w:sz w:val="20"/>
          <w:lang w:val="en-US"/>
        </w:rPr>
        <w:tab/>
        <w:t xml:space="preserve">Mikulska, M. </w:t>
      </w:r>
      <w:r w:rsidRPr="000F55FD">
        <w:rPr>
          <w:i/>
          <w:iCs/>
          <w:noProof/>
          <w:sz w:val="20"/>
          <w:lang w:val="en-US"/>
        </w:rPr>
        <w:t>et al.</w:t>
      </w:r>
      <w:r w:rsidRPr="000F55FD">
        <w:rPr>
          <w:noProof/>
          <w:sz w:val="20"/>
          <w:lang w:val="en-US"/>
        </w:rPr>
        <w:t xml:space="preserve"> Fluoroquinolone prophylaxis in haematological cancer patients with neutropenia: ECIL critical appraisal of previous guidelines. </w:t>
      </w:r>
      <w:r w:rsidRPr="000F55FD">
        <w:rPr>
          <w:i/>
          <w:iCs/>
          <w:noProof/>
          <w:sz w:val="20"/>
          <w:lang w:val="en-US"/>
        </w:rPr>
        <w:t>J. Infect.</w:t>
      </w:r>
      <w:r w:rsidRPr="000F55FD">
        <w:rPr>
          <w:noProof/>
          <w:sz w:val="20"/>
          <w:lang w:val="en-US"/>
        </w:rPr>
        <w:t xml:space="preserve"> </w:t>
      </w:r>
      <w:r w:rsidRPr="000F55FD">
        <w:rPr>
          <w:b/>
          <w:bCs/>
          <w:noProof/>
          <w:sz w:val="20"/>
          <w:lang w:val="en-US"/>
        </w:rPr>
        <w:t>76</w:t>
      </w:r>
      <w:r w:rsidRPr="000F55FD">
        <w:rPr>
          <w:noProof/>
          <w:sz w:val="20"/>
          <w:lang w:val="en-US"/>
        </w:rPr>
        <w:t>, 20–37 (2018).</w:t>
      </w:r>
    </w:p>
    <w:p w14:paraId="0FD7E77D"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w:t>
      </w:r>
      <w:r w:rsidRPr="000F55FD">
        <w:rPr>
          <w:noProof/>
          <w:sz w:val="20"/>
          <w:lang w:val="en-US"/>
        </w:rPr>
        <w:tab/>
        <w:t xml:space="preserve">Owattanapanich, W. &amp; Chayakulkeeree, M. Efficacy of levofloxacin as an antibacterial prophylaxis for acute leukemia patients receiving intensive chemotherapy: a systematic review and meta-analysis. </w:t>
      </w:r>
      <w:r w:rsidRPr="000F55FD">
        <w:rPr>
          <w:i/>
          <w:iCs/>
          <w:noProof/>
          <w:sz w:val="20"/>
          <w:lang w:val="en-US"/>
        </w:rPr>
        <w:t>Hematology</w:t>
      </w:r>
      <w:r w:rsidRPr="000F55FD">
        <w:rPr>
          <w:noProof/>
          <w:sz w:val="20"/>
          <w:lang w:val="en-US"/>
        </w:rPr>
        <w:t xml:space="preserve"> </w:t>
      </w:r>
      <w:r w:rsidRPr="000F55FD">
        <w:rPr>
          <w:b/>
          <w:bCs/>
          <w:noProof/>
          <w:sz w:val="20"/>
          <w:lang w:val="en-US"/>
        </w:rPr>
        <w:t>24</w:t>
      </w:r>
      <w:r w:rsidRPr="000F55FD">
        <w:rPr>
          <w:noProof/>
          <w:sz w:val="20"/>
          <w:lang w:val="en-US"/>
        </w:rPr>
        <w:t>, 362–368 (2019).</w:t>
      </w:r>
    </w:p>
    <w:p w14:paraId="68D85FA7"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8.</w:t>
      </w:r>
      <w:r w:rsidRPr="000F55FD">
        <w:rPr>
          <w:noProof/>
          <w:sz w:val="20"/>
          <w:lang w:val="en-US"/>
        </w:rPr>
        <w:tab/>
        <w:t xml:space="preserve">Alexander, S. </w:t>
      </w:r>
      <w:r w:rsidRPr="000F55FD">
        <w:rPr>
          <w:i/>
          <w:iCs/>
          <w:noProof/>
          <w:sz w:val="20"/>
          <w:lang w:val="en-US"/>
        </w:rPr>
        <w:t>et al.</w:t>
      </w:r>
      <w:r w:rsidRPr="000F55FD">
        <w:rPr>
          <w:noProof/>
          <w:sz w:val="20"/>
          <w:lang w:val="en-US"/>
        </w:rPr>
        <w:t xml:space="preserve"> Effect of levofloxacin prophylaxis on Bacteremia in children with acute Leukemia or undergoing hematopoietic stem cell transplantation a randomized clinical trial. </w:t>
      </w:r>
      <w:r w:rsidRPr="000F55FD">
        <w:rPr>
          <w:i/>
          <w:iCs/>
          <w:noProof/>
          <w:sz w:val="20"/>
          <w:lang w:val="en-US"/>
        </w:rPr>
        <w:t>JAMA - J. Am. Med. Assoc.</w:t>
      </w:r>
      <w:r w:rsidRPr="000F55FD">
        <w:rPr>
          <w:noProof/>
          <w:sz w:val="20"/>
          <w:lang w:val="en-US"/>
        </w:rPr>
        <w:t xml:space="preserve"> </w:t>
      </w:r>
      <w:r w:rsidRPr="000F55FD">
        <w:rPr>
          <w:b/>
          <w:bCs/>
          <w:noProof/>
          <w:sz w:val="20"/>
          <w:lang w:val="en-US"/>
        </w:rPr>
        <w:t>320</w:t>
      </w:r>
      <w:r w:rsidRPr="000F55FD">
        <w:rPr>
          <w:noProof/>
          <w:sz w:val="20"/>
          <w:lang w:val="en-US"/>
        </w:rPr>
        <w:t>, 995–1004 (2018).</w:t>
      </w:r>
    </w:p>
    <w:p w14:paraId="4FDA812E"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9.</w:t>
      </w:r>
      <w:r w:rsidRPr="000F55FD">
        <w:rPr>
          <w:noProof/>
          <w:sz w:val="20"/>
          <w:lang w:val="en-US"/>
        </w:rPr>
        <w:tab/>
        <w:t xml:space="preserve">Drayson, M. T. </w:t>
      </w:r>
      <w:r w:rsidRPr="000F55FD">
        <w:rPr>
          <w:i/>
          <w:iCs/>
          <w:noProof/>
          <w:sz w:val="20"/>
          <w:lang w:val="en-US"/>
        </w:rPr>
        <w:t>et al.</w:t>
      </w:r>
      <w:r w:rsidRPr="000F55FD">
        <w:rPr>
          <w:noProof/>
          <w:sz w:val="20"/>
          <w:lang w:val="en-US"/>
        </w:rPr>
        <w:t xml:space="preserve"> Levofloxacin prophylaxis in patients with newly diagnosed myeloma (TEAMM): a multicentre, double-blind, placebo-controlled, randomised, phase 3 trial. </w:t>
      </w:r>
      <w:r w:rsidRPr="000F55FD">
        <w:rPr>
          <w:i/>
          <w:iCs/>
          <w:noProof/>
          <w:sz w:val="20"/>
          <w:lang w:val="en-US"/>
        </w:rPr>
        <w:t>Lancet Oncol.</w:t>
      </w:r>
      <w:r w:rsidRPr="000F55FD">
        <w:rPr>
          <w:noProof/>
          <w:sz w:val="20"/>
          <w:lang w:val="en-US"/>
        </w:rPr>
        <w:t xml:space="preserve"> </w:t>
      </w:r>
      <w:r w:rsidRPr="000F55FD">
        <w:rPr>
          <w:b/>
          <w:bCs/>
          <w:noProof/>
          <w:sz w:val="20"/>
          <w:lang w:val="en-US"/>
        </w:rPr>
        <w:t>20</w:t>
      </w:r>
      <w:r w:rsidRPr="000F55FD">
        <w:rPr>
          <w:noProof/>
          <w:sz w:val="20"/>
          <w:lang w:val="en-US"/>
        </w:rPr>
        <w:t>, 1760–1772 (2019).</w:t>
      </w:r>
    </w:p>
    <w:p w14:paraId="0C9A90B0"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10.</w:t>
      </w:r>
      <w:r w:rsidRPr="000F55FD">
        <w:rPr>
          <w:noProof/>
          <w:sz w:val="20"/>
          <w:lang w:val="en-US"/>
        </w:rPr>
        <w:tab/>
        <w:t xml:space="preserve">Vehreschild, J. J. </w:t>
      </w:r>
      <w:r w:rsidRPr="000F55FD">
        <w:rPr>
          <w:i/>
          <w:iCs/>
          <w:noProof/>
          <w:sz w:val="20"/>
          <w:lang w:val="en-US"/>
        </w:rPr>
        <w:t>et al.</w:t>
      </w:r>
      <w:r w:rsidRPr="000F55FD">
        <w:rPr>
          <w:noProof/>
          <w:sz w:val="20"/>
          <w:lang w:val="en-US"/>
        </w:rPr>
        <w:t xml:space="preserve"> Efficacy and safety of moxifloxacin as antibacterial prophylaxis for patients receiving autologous haematopoietic stem cell transplantation: A randomised trial. </w:t>
      </w:r>
      <w:r w:rsidRPr="000F55FD">
        <w:rPr>
          <w:i/>
          <w:iCs/>
          <w:noProof/>
          <w:sz w:val="20"/>
          <w:lang w:val="en-US"/>
        </w:rPr>
        <w:t>Int. J. Antimicrob. Agents</w:t>
      </w:r>
      <w:r w:rsidRPr="000F55FD">
        <w:rPr>
          <w:noProof/>
          <w:sz w:val="20"/>
          <w:lang w:val="en-US"/>
        </w:rPr>
        <w:t xml:space="preserve"> </w:t>
      </w:r>
      <w:r w:rsidRPr="000F55FD">
        <w:rPr>
          <w:b/>
          <w:bCs/>
          <w:noProof/>
          <w:sz w:val="20"/>
          <w:lang w:val="en-US"/>
        </w:rPr>
        <w:t>39</w:t>
      </w:r>
      <w:r w:rsidRPr="000F55FD">
        <w:rPr>
          <w:noProof/>
          <w:sz w:val="20"/>
          <w:lang w:val="en-US"/>
        </w:rPr>
        <w:t>, 130–134 (2012).</w:t>
      </w:r>
    </w:p>
    <w:p w14:paraId="20AD74A6"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11.</w:t>
      </w:r>
      <w:r w:rsidRPr="000F55FD">
        <w:rPr>
          <w:noProof/>
          <w:sz w:val="20"/>
          <w:lang w:val="en-US"/>
        </w:rPr>
        <w:tab/>
        <w:t xml:space="preserve">Vesole, D. H. </w:t>
      </w:r>
      <w:r w:rsidRPr="000F55FD">
        <w:rPr>
          <w:i/>
          <w:iCs/>
          <w:noProof/>
          <w:sz w:val="20"/>
          <w:lang w:val="en-US"/>
        </w:rPr>
        <w:t>et al.</w:t>
      </w:r>
      <w:r w:rsidRPr="000F55FD">
        <w:rPr>
          <w:noProof/>
          <w:sz w:val="20"/>
          <w:lang w:val="en-US"/>
        </w:rPr>
        <w:t xml:space="preserve"> Oral antibiotic prophylaxis of early infection in multiple myeloma: A URCC/ECOG randomized phase III study. </w:t>
      </w:r>
      <w:r w:rsidRPr="000F55FD">
        <w:rPr>
          <w:i/>
          <w:iCs/>
          <w:noProof/>
          <w:sz w:val="20"/>
          <w:lang w:val="en-US"/>
        </w:rPr>
        <w:t>Leukemia</w:t>
      </w:r>
      <w:r w:rsidRPr="000F55FD">
        <w:rPr>
          <w:noProof/>
          <w:sz w:val="20"/>
          <w:lang w:val="en-US"/>
        </w:rPr>
        <w:t xml:space="preserve"> </w:t>
      </w:r>
      <w:r w:rsidRPr="000F55FD">
        <w:rPr>
          <w:b/>
          <w:bCs/>
          <w:noProof/>
          <w:sz w:val="20"/>
          <w:lang w:val="en-US"/>
        </w:rPr>
        <w:t>26</w:t>
      </w:r>
      <w:r w:rsidRPr="000F55FD">
        <w:rPr>
          <w:noProof/>
          <w:sz w:val="20"/>
          <w:lang w:val="en-US"/>
        </w:rPr>
        <w:t>, 2517–2520 (2012).</w:t>
      </w:r>
    </w:p>
    <w:p w14:paraId="3960CD6F"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12.</w:t>
      </w:r>
      <w:r w:rsidRPr="000F55FD">
        <w:rPr>
          <w:noProof/>
          <w:sz w:val="20"/>
          <w:lang w:val="en-US"/>
        </w:rPr>
        <w:tab/>
        <w:t xml:space="preserve">Kern, W. V. </w:t>
      </w:r>
      <w:r w:rsidRPr="000F55FD">
        <w:rPr>
          <w:i/>
          <w:iCs/>
          <w:noProof/>
          <w:sz w:val="20"/>
          <w:lang w:val="en-US"/>
        </w:rPr>
        <w:t>et al.</w:t>
      </w:r>
      <w:r w:rsidRPr="000F55FD">
        <w:rPr>
          <w:noProof/>
          <w:sz w:val="20"/>
          <w:lang w:val="en-US"/>
        </w:rPr>
        <w:t xml:space="preserve"> Impact of fluoroquinolone prophylaxis during neutropenia on bloodstream infection: Data from a surveillance program in 8755 patients receiving high-dose chemotherapy for haematologic malignancies between 2009 and 2014. </w:t>
      </w:r>
      <w:r w:rsidRPr="000F55FD">
        <w:rPr>
          <w:i/>
          <w:iCs/>
          <w:noProof/>
          <w:sz w:val="20"/>
          <w:lang w:val="en-US"/>
        </w:rPr>
        <w:t>J. Infect.</w:t>
      </w:r>
      <w:r w:rsidRPr="000F55FD">
        <w:rPr>
          <w:noProof/>
          <w:sz w:val="20"/>
          <w:lang w:val="en-US"/>
        </w:rPr>
        <w:t xml:space="preserve"> </w:t>
      </w:r>
      <w:r w:rsidRPr="000F55FD">
        <w:rPr>
          <w:b/>
          <w:bCs/>
          <w:noProof/>
          <w:sz w:val="20"/>
          <w:lang w:val="en-US"/>
        </w:rPr>
        <w:t>77</w:t>
      </w:r>
      <w:r w:rsidRPr="000F55FD">
        <w:rPr>
          <w:noProof/>
          <w:sz w:val="20"/>
          <w:lang w:val="en-US"/>
        </w:rPr>
        <w:t>, 68–74 (2018).</w:t>
      </w:r>
    </w:p>
    <w:p w14:paraId="51B5FFF4"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13.</w:t>
      </w:r>
      <w:r w:rsidRPr="000F55FD">
        <w:rPr>
          <w:noProof/>
          <w:sz w:val="20"/>
          <w:lang w:val="en-US"/>
        </w:rPr>
        <w:tab/>
        <w:t xml:space="preserve">Piñana, J. L. </w:t>
      </w:r>
      <w:r w:rsidRPr="000F55FD">
        <w:rPr>
          <w:i/>
          <w:iCs/>
          <w:noProof/>
          <w:sz w:val="20"/>
          <w:lang w:val="en-US"/>
        </w:rPr>
        <w:t>et al.</w:t>
      </w:r>
      <w:r w:rsidRPr="000F55FD">
        <w:rPr>
          <w:noProof/>
          <w:sz w:val="20"/>
          <w:lang w:val="en-US"/>
        </w:rPr>
        <w:t xml:space="preserve"> Incidence, risk factors, and outcome of bacteremia following autologous hematopoietic stem cell transplantation in 720 adult patients. </w:t>
      </w:r>
      <w:r w:rsidRPr="000F55FD">
        <w:rPr>
          <w:i/>
          <w:iCs/>
          <w:noProof/>
          <w:sz w:val="20"/>
          <w:lang w:val="en-US"/>
        </w:rPr>
        <w:t>Ann. Hematol.</w:t>
      </w:r>
      <w:r w:rsidRPr="000F55FD">
        <w:rPr>
          <w:noProof/>
          <w:sz w:val="20"/>
          <w:lang w:val="en-US"/>
        </w:rPr>
        <w:t xml:space="preserve"> </w:t>
      </w:r>
      <w:r w:rsidRPr="000F55FD">
        <w:rPr>
          <w:b/>
          <w:bCs/>
          <w:noProof/>
          <w:sz w:val="20"/>
          <w:lang w:val="en-US"/>
        </w:rPr>
        <w:t>93</w:t>
      </w:r>
      <w:r w:rsidRPr="000F55FD">
        <w:rPr>
          <w:noProof/>
          <w:sz w:val="20"/>
          <w:lang w:val="en-US"/>
        </w:rPr>
        <w:t>, 299–307 (2014).</w:t>
      </w:r>
    </w:p>
    <w:p w14:paraId="4E290B4E"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14.</w:t>
      </w:r>
      <w:r w:rsidRPr="000F55FD">
        <w:rPr>
          <w:noProof/>
          <w:sz w:val="20"/>
          <w:lang w:val="en-US"/>
        </w:rPr>
        <w:tab/>
        <w:t xml:space="preserve">Trecarichi, E. M. </w:t>
      </w:r>
      <w:r w:rsidRPr="000F55FD">
        <w:rPr>
          <w:i/>
          <w:iCs/>
          <w:noProof/>
          <w:sz w:val="20"/>
          <w:lang w:val="en-US"/>
        </w:rPr>
        <w:t>et al.</w:t>
      </w:r>
      <w:r w:rsidRPr="000F55FD">
        <w:rPr>
          <w:noProof/>
          <w:sz w:val="20"/>
          <w:lang w:val="en-US"/>
        </w:rPr>
        <w:t xml:space="preserve"> Bloodstream infections caused by Escherichia coli in onco-haematological patients: Risk factors and mortality in an Italian prospective survey. </w:t>
      </w:r>
      <w:r w:rsidRPr="000F55FD">
        <w:rPr>
          <w:i/>
          <w:iCs/>
          <w:noProof/>
          <w:sz w:val="20"/>
          <w:lang w:val="en-US"/>
        </w:rPr>
        <w:t>PLoS One</w:t>
      </w:r>
      <w:r w:rsidRPr="000F55FD">
        <w:rPr>
          <w:noProof/>
          <w:sz w:val="20"/>
          <w:lang w:val="en-US"/>
        </w:rPr>
        <w:t xml:space="preserve"> </w:t>
      </w:r>
      <w:r w:rsidRPr="000F55FD">
        <w:rPr>
          <w:b/>
          <w:bCs/>
          <w:noProof/>
          <w:sz w:val="20"/>
          <w:lang w:val="en-US"/>
        </w:rPr>
        <w:t>14</w:t>
      </w:r>
      <w:r w:rsidRPr="000F55FD">
        <w:rPr>
          <w:noProof/>
          <w:sz w:val="20"/>
          <w:lang w:val="en-US"/>
        </w:rPr>
        <w:t>, 1–12 (2019).</w:t>
      </w:r>
    </w:p>
    <w:p w14:paraId="17A39D1C"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15.</w:t>
      </w:r>
      <w:r w:rsidRPr="000F55FD">
        <w:rPr>
          <w:noProof/>
          <w:sz w:val="20"/>
          <w:lang w:val="en-US"/>
        </w:rPr>
        <w:tab/>
        <w:t xml:space="preserve">Trecarichi, E. M. </w:t>
      </w:r>
      <w:r w:rsidRPr="000F55FD">
        <w:rPr>
          <w:i/>
          <w:iCs/>
          <w:noProof/>
          <w:sz w:val="20"/>
          <w:lang w:val="en-US"/>
        </w:rPr>
        <w:t>et al.</w:t>
      </w:r>
      <w:r w:rsidRPr="000F55FD">
        <w:rPr>
          <w:noProof/>
          <w:sz w:val="20"/>
          <w:lang w:val="en-US"/>
        </w:rPr>
        <w:t xml:space="preserve"> Bloodstream infections due to Gram-negative bacteria in patients with hematologic malignancies: updated epidemiology and risk factors for multidrug-resistant strains in an Italian perspective survey. </w:t>
      </w:r>
      <w:r w:rsidRPr="000F55FD">
        <w:rPr>
          <w:i/>
          <w:iCs/>
          <w:noProof/>
          <w:sz w:val="20"/>
          <w:lang w:val="en-US"/>
        </w:rPr>
        <w:t>Int. J. Antimicrob. Agents</w:t>
      </w:r>
      <w:r w:rsidRPr="000F55FD">
        <w:rPr>
          <w:noProof/>
          <w:sz w:val="20"/>
          <w:lang w:val="en-US"/>
        </w:rPr>
        <w:t xml:space="preserve"> </w:t>
      </w:r>
      <w:r w:rsidRPr="000F55FD">
        <w:rPr>
          <w:b/>
          <w:bCs/>
          <w:noProof/>
          <w:sz w:val="20"/>
          <w:lang w:val="en-US"/>
        </w:rPr>
        <w:t>61</w:t>
      </w:r>
      <w:r w:rsidRPr="000F55FD">
        <w:rPr>
          <w:noProof/>
          <w:sz w:val="20"/>
          <w:lang w:val="en-US"/>
        </w:rPr>
        <w:t>, 106806 (2023).</w:t>
      </w:r>
    </w:p>
    <w:p w14:paraId="7ACEF29E"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16.</w:t>
      </w:r>
      <w:r w:rsidRPr="000F55FD">
        <w:rPr>
          <w:noProof/>
          <w:sz w:val="20"/>
          <w:lang w:val="en-US"/>
        </w:rPr>
        <w:tab/>
        <w:t xml:space="preserve">Akhmedov, M. </w:t>
      </w:r>
      <w:r w:rsidRPr="000F55FD">
        <w:rPr>
          <w:i/>
          <w:iCs/>
          <w:noProof/>
          <w:sz w:val="20"/>
          <w:lang w:val="en-US"/>
        </w:rPr>
        <w:t>et al.</w:t>
      </w:r>
      <w:r w:rsidRPr="000F55FD">
        <w:rPr>
          <w:noProof/>
          <w:sz w:val="20"/>
          <w:lang w:val="en-US"/>
        </w:rPr>
        <w:t xml:space="preserve"> Impact of fluoroquinolone administration and gut mucosal colonization on the risk  of pre-engraftment bloodstream infections after allogeneic hematopoietic cell transplantation. </w:t>
      </w:r>
      <w:r w:rsidRPr="000F55FD">
        <w:rPr>
          <w:i/>
          <w:iCs/>
          <w:noProof/>
          <w:sz w:val="20"/>
          <w:lang w:val="en-US"/>
        </w:rPr>
        <w:t>Leuk. Lymphoma</w:t>
      </w:r>
      <w:r w:rsidRPr="000F55FD">
        <w:rPr>
          <w:noProof/>
          <w:sz w:val="20"/>
          <w:lang w:val="en-US"/>
        </w:rPr>
        <w:t xml:space="preserve"> </w:t>
      </w:r>
      <w:r w:rsidRPr="000F55FD">
        <w:rPr>
          <w:b/>
          <w:bCs/>
          <w:noProof/>
          <w:sz w:val="20"/>
          <w:lang w:val="en-US"/>
        </w:rPr>
        <w:t>64</w:t>
      </w:r>
      <w:r w:rsidRPr="000F55FD">
        <w:rPr>
          <w:noProof/>
          <w:sz w:val="20"/>
          <w:lang w:val="en-US"/>
        </w:rPr>
        <w:t>, 1102–1111 (2023).</w:t>
      </w:r>
    </w:p>
    <w:p w14:paraId="703E811F"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17.</w:t>
      </w:r>
      <w:r w:rsidRPr="000F55FD">
        <w:rPr>
          <w:noProof/>
          <w:sz w:val="20"/>
          <w:lang w:val="en-US"/>
        </w:rPr>
        <w:tab/>
        <w:t xml:space="preserve">Averbuch, D. </w:t>
      </w:r>
      <w:r w:rsidRPr="000F55FD">
        <w:rPr>
          <w:i/>
          <w:iCs/>
          <w:noProof/>
          <w:sz w:val="20"/>
          <w:lang w:val="en-US"/>
        </w:rPr>
        <w:t>et al.</w:t>
      </w:r>
      <w:r w:rsidRPr="000F55FD">
        <w:rPr>
          <w:noProof/>
          <w:sz w:val="20"/>
          <w:lang w:val="en-US"/>
        </w:rPr>
        <w:t xml:space="preserve"> Antimicrobial Resistance in Gram-Negative Rods Causing Bacteremia in Hematopoietic Stem Cell Transplant Recipients: Intercontinental Prospective Study of the Infectious Diseases Working Party </w:t>
      </w:r>
      <w:r w:rsidRPr="000F55FD">
        <w:rPr>
          <w:noProof/>
          <w:sz w:val="20"/>
          <w:lang w:val="en-US"/>
        </w:rPr>
        <w:lastRenderedPageBreak/>
        <w:t xml:space="preserve">of the European Bone Marrow Transplantation Group. </w:t>
      </w:r>
      <w:r w:rsidRPr="000F55FD">
        <w:rPr>
          <w:i/>
          <w:iCs/>
          <w:noProof/>
          <w:sz w:val="20"/>
          <w:lang w:val="en-US"/>
        </w:rPr>
        <w:t>Clin. Infect. Dis.</w:t>
      </w:r>
      <w:r w:rsidRPr="000F55FD">
        <w:rPr>
          <w:noProof/>
          <w:sz w:val="20"/>
          <w:lang w:val="en-US"/>
        </w:rPr>
        <w:t xml:space="preserve"> </w:t>
      </w:r>
      <w:r w:rsidRPr="000F55FD">
        <w:rPr>
          <w:b/>
          <w:bCs/>
          <w:noProof/>
          <w:sz w:val="20"/>
          <w:lang w:val="en-US"/>
        </w:rPr>
        <w:t>65</w:t>
      </w:r>
      <w:r w:rsidRPr="000F55FD">
        <w:rPr>
          <w:noProof/>
          <w:sz w:val="20"/>
          <w:lang w:val="en-US"/>
        </w:rPr>
        <w:t>, 1819–1828 (2017).</w:t>
      </w:r>
    </w:p>
    <w:p w14:paraId="28EC677E"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18.</w:t>
      </w:r>
      <w:r w:rsidRPr="000F55FD">
        <w:rPr>
          <w:noProof/>
          <w:sz w:val="20"/>
          <w:lang w:val="en-US"/>
        </w:rPr>
        <w:tab/>
        <w:t xml:space="preserve">Cattaneo, C. </w:t>
      </w:r>
      <w:r w:rsidRPr="000F55FD">
        <w:rPr>
          <w:i/>
          <w:iCs/>
          <w:noProof/>
          <w:sz w:val="20"/>
          <w:lang w:val="en-US"/>
        </w:rPr>
        <w:t>et al.</w:t>
      </w:r>
      <w:r w:rsidRPr="000F55FD">
        <w:rPr>
          <w:noProof/>
          <w:sz w:val="20"/>
          <w:lang w:val="en-US"/>
        </w:rPr>
        <w:t xml:space="preserve"> Emerging resistant bacteria strains in bloodstream infections of acute leukaemia patients: results of a prospective study by the Rete Ematologica Lombarda (Rel). </w:t>
      </w:r>
      <w:r w:rsidRPr="000F55FD">
        <w:rPr>
          <w:i/>
          <w:iCs/>
          <w:noProof/>
          <w:sz w:val="20"/>
          <w:lang w:val="en-US"/>
        </w:rPr>
        <w:t>Ann. Hematol.</w:t>
      </w:r>
      <w:r w:rsidRPr="000F55FD">
        <w:rPr>
          <w:noProof/>
          <w:sz w:val="20"/>
          <w:lang w:val="en-US"/>
        </w:rPr>
        <w:t xml:space="preserve"> </w:t>
      </w:r>
      <w:r w:rsidRPr="000F55FD">
        <w:rPr>
          <w:b/>
          <w:bCs/>
          <w:noProof/>
          <w:sz w:val="20"/>
          <w:lang w:val="en-US"/>
        </w:rPr>
        <w:t>95</w:t>
      </w:r>
      <w:r w:rsidRPr="000F55FD">
        <w:rPr>
          <w:noProof/>
          <w:sz w:val="20"/>
          <w:lang w:val="en-US"/>
        </w:rPr>
        <w:t>, 1955–1963 (2016).</w:t>
      </w:r>
    </w:p>
    <w:p w14:paraId="104B0F8A"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19.</w:t>
      </w:r>
      <w:r w:rsidRPr="000F55FD">
        <w:rPr>
          <w:noProof/>
          <w:sz w:val="20"/>
          <w:lang w:val="en-US"/>
        </w:rPr>
        <w:tab/>
        <w:t xml:space="preserve">Caro, J. </w:t>
      </w:r>
      <w:r w:rsidRPr="000F55FD">
        <w:rPr>
          <w:i/>
          <w:iCs/>
          <w:noProof/>
          <w:sz w:val="20"/>
          <w:lang w:val="en-US"/>
        </w:rPr>
        <w:t>et al.</w:t>
      </w:r>
      <w:r w:rsidRPr="000F55FD">
        <w:rPr>
          <w:noProof/>
          <w:sz w:val="20"/>
          <w:lang w:val="en-US"/>
        </w:rPr>
        <w:t xml:space="preserve"> Impact of Fluoroquinolone Prophylaxis on Neutropenic Fever, Infections, and Antimicrobial Resistance in Newly Diagnosed AML Patients. </w:t>
      </w:r>
      <w:r w:rsidRPr="000F55FD">
        <w:rPr>
          <w:i/>
          <w:iCs/>
          <w:noProof/>
          <w:sz w:val="20"/>
          <w:lang w:val="en-US"/>
        </w:rPr>
        <w:t>Clin. Lymphoma, Myeloma Leuk.</w:t>
      </w:r>
      <w:r w:rsidRPr="000F55FD">
        <w:rPr>
          <w:noProof/>
          <w:sz w:val="20"/>
          <w:lang w:val="en-US"/>
        </w:rPr>
        <w:t xml:space="preserve"> </w:t>
      </w:r>
      <w:r w:rsidRPr="000F55FD">
        <w:rPr>
          <w:b/>
          <w:bCs/>
          <w:noProof/>
          <w:sz w:val="20"/>
          <w:lang w:val="en-US"/>
        </w:rPr>
        <w:t>22</w:t>
      </w:r>
      <w:r w:rsidRPr="000F55FD">
        <w:rPr>
          <w:noProof/>
          <w:sz w:val="20"/>
          <w:lang w:val="en-US"/>
        </w:rPr>
        <w:t>, 903–911 (2022).</w:t>
      </w:r>
    </w:p>
    <w:p w14:paraId="2A9FCE8A"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20.</w:t>
      </w:r>
      <w:r w:rsidRPr="000F55FD">
        <w:rPr>
          <w:noProof/>
          <w:sz w:val="20"/>
          <w:lang w:val="en-US"/>
        </w:rPr>
        <w:tab/>
        <w:t xml:space="preserve">Clerici, D. </w:t>
      </w:r>
      <w:r w:rsidRPr="000F55FD">
        <w:rPr>
          <w:i/>
          <w:iCs/>
          <w:noProof/>
          <w:sz w:val="20"/>
          <w:lang w:val="en-US"/>
        </w:rPr>
        <w:t>et al.</w:t>
      </w:r>
      <w:r w:rsidRPr="000F55FD">
        <w:rPr>
          <w:noProof/>
          <w:sz w:val="20"/>
          <w:lang w:val="en-US"/>
        </w:rPr>
        <w:t xml:space="preserve"> Levofloxacin prophylaxis vs no prophylaxis in patients with neutropenia within an endemic country for carbapenem-resistant GNB. </w:t>
      </w:r>
      <w:r w:rsidRPr="000F55FD">
        <w:rPr>
          <w:i/>
          <w:iCs/>
          <w:noProof/>
          <w:sz w:val="20"/>
          <w:lang w:val="en-US"/>
        </w:rPr>
        <w:t>Blood Adv.</w:t>
      </w:r>
      <w:r w:rsidRPr="000F55FD">
        <w:rPr>
          <w:noProof/>
          <w:sz w:val="20"/>
          <w:lang w:val="en-US"/>
        </w:rPr>
        <w:t xml:space="preserve"> </w:t>
      </w:r>
      <w:r w:rsidRPr="000F55FD">
        <w:rPr>
          <w:b/>
          <w:bCs/>
          <w:noProof/>
          <w:sz w:val="20"/>
          <w:lang w:val="en-US"/>
        </w:rPr>
        <w:t>7</w:t>
      </w:r>
      <w:r w:rsidRPr="000F55FD">
        <w:rPr>
          <w:noProof/>
          <w:sz w:val="20"/>
          <w:lang w:val="en-US"/>
        </w:rPr>
        <w:t>, 1621–1634 (2023).</w:t>
      </w:r>
    </w:p>
    <w:p w14:paraId="4FC360D2"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21.</w:t>
      </w:r>
      <w:r w:rsidRPr="000F55FD">
        <w:rPr>
          <w:noProof/>
          <w:sz w:val="20"/>
          <w:lang w:val="en-US"/>
        </w:rPr>
        <w:tab/>
        <w:t xml:space="preserve">Chung, S. J. </w:t>
      </w:r>
      <w:r w:rsidRPr="000F55FD">
        <w:rPr>
          <w:i/>
          <w:iCs/>
          <w:noProof/>
          <w:sz w:val="20"/>
          <w:lang w:val="en-US"/>
        </w:rPr>
        <w:t>et al.</w:t>
      </w:r>
      <w:r w:rsidRPr="000F55FD">
        <w:rPr>
          <w:noProof/>
          <w:sz w:val="20"/>
          <w:lang w:val="en-US"/>
        </w:rPr>
        <w:t xml:space="preserve"> Fluoroquinolone prophylaxis reduces febrile neutropenia, bloodstream infections  from mucosal translocations, and intensive care admissions in high risk hematological patients, a single center experience. </w:t>
      </w:r>
      <w:r w:rsidRPr="000F55FD">
        <w:rPr>
          <w:i/>
          <w:iCs/>
          <w:noProof/>
          <w:sz w:val="20"/>
          <w:lang w:val="en-US"/>
        </w:rPr>
        <w:t>Leukemia &amp; lymphoma</w:t>
      </w:r>
      <w:r w:rsidRPr="000F55FD">
        <w:rPr>
          <w:noProof/>
          <w:sz w:val="20"/>
          <w:lang w:val="en-US"/>
        </w:rPr>
        <w:t xml:space="preserve"> vol. 60 488–492 (2019).</w:t>
      </w:r>
    </w:p>
    <w:p w14:paraId="15662638"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22.</w:t>
      </w:r>
      <w:r w:rsidRPr="000F55FD">
        <w:rPr>
          <w:noProof/>
          <w:sz w:val="20"/>
          <w:lang w:val="en-US"/>
        </w:rPr>
        <w:tab/>
        <w:t xml:space="preserve">Clemmons, A. B., Gandhi, A. S., Albrecht, B., Jacobson, S. &amp; Pantin, J. Impact of fluoroquinolone prophylaxis on infectious-related outcomes after hematopoietic cell transplantation. </w:t>
      </w:r>
      <w:r w:rsidRPr="000F55FD">
        <w:rPr>
          <w:i/>
          <w:iCs/>
          <w:noProof/>
          <w:sz w:val="20"/>
          <w:lang w:val="en-US"/>
        </w:rPr>
        <w:t>J. Oncol. Pharm. Pract.</w:t>
      </w:r>
      <w:r w:rsidRPr="000F55FD">
        <w:rPr>
          <w:noProof/>
          <w:sz w:val="20"/>
          <w:lang w:val="en-US"/>
        </w:rPr>
        <w:t xml:space="preserve"> </w:t>
      </w:r>
      <w:r w:rsidRPr="000F55FD">
        <w:rPr>
          <w:b/>
          <w:bCs/>
          <w:noProof/>
          <w:sz w:val="20"/>
          <w:lang w:val="en-US"/>
        </w:rPr>
        <w:t>25</w:t>
      </w:r>
      <w:r w:rsidRPr="000F55FD">
        <w:rPr>
          <w:noProof/>
          <w:sz w:val="20"/>
          <w:lang w:val="en-US"/>
        </w:rPr>
        <w:t>, 326–332 (2019).</w:t>
      </w:r>
    </w:p>
    <w:p w14:paraId="0AD4E23A"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23.</w:t>
      </w:r>
      <w:r w:rsidRPr="000F55FD">
        <w:rPr>
          <w:noProof/>
          <w:sz w:val="20"/>
          <w:lang w:val="en-US"/>
        </w:rPr>
        <w:tab/>
        <w:t xml:space="preserve">Davis, A. </w:t>
      </w:r>
      <w:r w:rsidRPr="000F55FD">
        <w:rPr>
          <w:i/>
          <w:iCs/>
          <w:noProof/>
          <w:sz w:val="20"/>
          <w:lang w:val="en-US"/>
        </w:rPr>
        <w:t>et al.</w:t>
      </w:r>
      <w:r w:rsidRPr="000F55FD">
        <w:rPr>
          <w:noProof/>
          <w:sz w:val="20"/>
          <w:lang w:val="en-US"/>
        </w:rPr>
        <w:t xml:space="preserve"> Levofloxacin prophylaxis for pediatric leukemia patients: Longitudinal follow-up for impact on health care-associated infections. </w:t>
      </w:r>
      <w:r w:rsidRPr="000F55FD">
        <w:rPr>
          <w:i/>
          <w:iCs/>
          <w:noProof/>
          <w:sz w:val="20"/>
          <w:lang w:val="en-US"/>
        </w:rPr>
        <w:t>Pediatr. Blood Cancer</w:t>
      </w:r>
      <w:r w:rsidRPr="000F55FD">
        <w:rPr>
          <w:noProof/>
          <w:sz w:val="20"/>
          <w:lang w:val="en-US"/>
        </w:rPr>
        <w:t xml:space="preserve"> 1–7 (2022) doi:10.1002/pbc.29525.</w:t>
      </w:r>
    </w:p>
    <w:p w14:paraId="23F7812C"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24.</w:t>
      </w:r>
      <w:r w:rsidRPr="000F55FD">
        <w:rPr>
          <w:noProof/>
          <w:sz w:val="20"/>
          <w:lang w:val="en-US"/>
        </w:rPr>
        <w:tab/>
        <w:t xml:space="preserve">Felsenstein, S., Orgel, E., Rushing, T., Fu, C. &amp; Hoffman, J. A. Clinical and microbiologic outcomes of quinolone prophylaxis in children with acute myeloid leukemia. </w:t>
      </w:r>
      <w:r w:rsidRPr="000F55FD">
        <w:rPr>
          <w:i/>
          <w:iCs/>
          <w:noProof/>
          <w:sz w:val="20"/>
          <w:lang w:val="en-US"/>
        </w:rPr>
        <w:t>Pediatr. Infect. Dis. J.</w:t>
      </w:r>
      <w:r w:rsidRPr="000F55FD">
        <w:rPr>
          <w:noProof/>
          <w:sz w:val="20"/>
          <w:lang w:val="en-US"/>
        </w:rPr>
        <w:t xml:space="preserve"> </w:t>
      </w:r>
      <w:r w:rsidRPr="000F55FD">
        <w:rPr>
          <w:b/>
          <w:bCs/>
          <w:noProof/>
          <w:sz w:val="20"/>
          <w:lang w:val="en-US"/>
        </w:rPr>
        <w:t>34</w:t>
      </w:r>
      <w:r w:rsidRPr="000F55FD">
        <w:rPr>
          <w:noProof/>
          <w:sz w:val="20"/>
          <w:lang w:val="en-US"/>
        </w:rPr>
        <w:t>, e78–e84 (2015).</w:t>
      </w:r>
    </w:p>
    <w:p w14:paraId="69232E01"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25.</w:t>
      </w:r>
      <w:r w:rsidRPr="000F55FD">
        <w:rPr>
          <w:noProof/>
          <w:sz w:val="20"/>
          <w:lang w:val="en-US"/>
        </w:rPr>
        <w:tab/>
        <w:t xml:space="preserve">Ganti, B. R., Marini, B. L., Nagel, J., Bixby, D. &amp; Perissinotti, A. J. Impact of antibacterial prophylaxis during reinduction chemotherapy for relapse/refractory acute myeloid leukemia. </w:t>
      </w:r>
      <w:r w:rsidRPr="000F55FD">
        <w:rPr>
          <w:i/>
          <w:iCs/>
          <w:noProof/>
          <w:sz w:val="20"/>
          <w:lang w:val="en-US"/>
        </w:rPr>
        <w:t>Support. Care Cancer</w:t>
      </w:r>
      <w:r w:rsidRPr="000F55FD">
        <w:rPr>
          <w:noProof/>
          <w:sz w:val="20"/>
          <w:lang w:val="en-US"/>
        </w:rPr>
        <w:t xml:space="preserve"> </w:t>
      </w:r>
      <w:r w:rsidRPr="000F55FD">
        <w:rPr>
          <w:b/>
          <w:bCs/>
          <w:noProof/>
          <w:sz w:val="20"/>
          <w:lang w:val="en-US"/>
        </w:rPr>
        <w:t>25</w:t>
      </w:r>
      <w:r w:rsidRPr="000F55FD">
        <w:rPr>
          <w:noProof/>
          <w:sz w:val="20"/>
          <w:lang w:val="en-US"/>
        </w:rPr>
        <w:t>, 541–547 (2017).</w:t>
      </w:r>
    </w:p>
    <w:p w14:paraId="05A8BEF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26.</w:t>
      </w:r>
      <w:r w:rsidRPr="000F55FD">
        <w:rPr>
          <w:noProof/>
          <w:sz w:val="20"/>
          <w:lang w:val="en-US"/>
        </w:rPr>
        <w:tab/>
        <w:t xml:space="preserve">Gardner, J. C., Courter, J. D., Dandoy, C. E., Davies, S. M. &amp; Teusink-Cross, A. Safety and Efficacy of Prophylactic Levofloxacin in Pediatric and Adult Hematopoietic Stem Cell Transplantation Patients. </w:t>
      </w:r>
      <w:r w:rsidRPr="000F55FD">
        <w:rPr>
          <w:i/>
          <w:iCs/>
          <w:noProof/>
          <w:sz w:val="20"/>
          <w:lang w:val="en-US"/>
        </w:rPr>
        <w:t>Transplant. Cell. Ther.</w:t>
      </w:r>
      <w:r w:rsidRPr="000F55FD">
        <w:rPr>
          <w:noProof/>
          <w:sz w:val="20"/>
          <w:lang w:val="en-US"/>
        </w:rPr>
        <w:t xml:space="preserve"> </w:t>
      </w:r>
      <w:r w:rsidRPr="000F55FD">
        <w:rPr>
          <w:b/>
          <w:bCs/>
          <w:noProof/>
          <w:sz w:val="20"/>
          <w:lang w:val="en-US"/>
        </w:rPr>
        <w:t>28</w:t>
      </w:r>
      <w:r w:rsidRPr="000F55FD">
        <w:rPr>
          <w:noProof/>
          <w:sz w:val="20"/>
          <w:lang w:val="en-US"/>
        </w:rPr>
        <w:t>, 167.e1-167.e5 (2022).</w:t>
      </w:r>
    </w:p>
    <w:p w14:paraId="35B30B6F"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27.</w:t>
      </w:r>
      <w:r w:rsidRPr="000F55FD">
        <w:rPr>
          <w:noProof/>
          <w:sz w:val="20"/>
          <w:lang w:val="en-US"/>
        </w:rPr>
        <w:tab/>
        <w:t xml:space="preserve">Gill, J. </w:t>
      </w:r>
      <w:r w:rsidRPr="000F55FD">
        <w:rPr>
          <w:i/>
          <w:iCs/>
          <w:noProof/>
          <w:sz w:val="20"/>
          <w:lang w:val="en-US"/>
        </w:rPr>
        <w:t>et al.</w:t>
      </w:r>
      <w:r w:rsidRPr="000F55FD">
        <w:rPr>
          <w:noProof/>
          <w:sz w:val="20"/>
          <w:lang w:val="en-US"/>
        </w:rPr>
        <w:t xml:space="preserve"> Bacterial Bloodstream Infections after Allogeneic Hematopoietic Stem Cell Transplantation: Etiology, Risk Factors and Outcome in a Single-Center Study. </w:t>
      </w:r>
      <w:r w:rsidRPr="000F55FD">
        <w:rPr>
          <w:i/>
          <w:iCs/>
          <w:noProof/>
          <w:sz w:val="20"/>
          <w:lang w:val="en-US"/>
        </w:rPr>
        <w:t>Microorganisms</w:t>
      </w:r>
      <w:r w:rsidRPr="000F55FD">
        <w:rPr>
          <w:noProof/>
          <w:sz w:val="20"/>
          <w:lang w:val="en-US"/>
        </w:rPr>
        <w:t xml:space="preserve"> </w:t>
      </w:r>
      <w:r w:rsidRPr="000F55FD">
        <w:rPr>
          <w:b/>
          <w:bCs/>
          <w:noProof/>
          <w:sz w:val="20"/>
          <w:lang w:val="en-US"/>
        </w:rPr>
        <w:t>11</w:t>
      </w:r>
      <w:r w:rsidRPr="000F55FD">
        <w:rPr>
          <w:noProof/>
          <w:sz w:val="20"/>
          <w:lang w:val="en-US"/>
        </w:rPr>
        <w:t>, 1–14 (2023).</w:t>
      </w:r>
    </w:p>
    <w:p w14:paraId="30CA64E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28.</w:t>
      </w:r>
      <w:r w:rsidRPr="000F55FD">
        <w:rPr>
          <w:noProof/>
          <w:sz w:val="20"/>
          <w:lang w:val="en-US"/>
        </w:rPr>
        <w:tab/>
        <w:t xml:space="preserve">Hakki, M. </w:t>
      </w:r>
      <w:r w:rsidRPr="000F55FD">
        <w:rPr>
          <w:i/>
          <w:iCs/>
          <w:noProof/>
          <w:sz w:val="20"/>
          <w:lang w:val="en-US"/>
        </w:rPr>
        <w:t>et al.</w:t>
      </w:r>
      <w:r w:rsidRPr="000F55FD">
        <w:rPr>
          <w:noProof/>
          <w:sz w:val="20"/>
          <w:lang w:val="en-US"/>
        </w:rPr>
        <w:t xml:space="preserve"> Fluoroquinolone Prophylaxis Selects for Meropenem-nonsusceptible Pseudomonas aeruginosa in Patients with Hematologic Malignancies and Hematopoietic Cell Transplant Recipients. </w:t>
      </w:r>
      <w:r w:rsidRPr="000F55FD">
        <w:rPr>
          <w:i/>
          <w:iCs/>
          <w:noProof/>
          <w:sz w:val="20"/>
          <w:lang w:val="en-US"/>
        </w:rPr>
        <w:t>Clin. Infect. Dis.</w:t>
      </w:r>
      <w:r w:rsidRPr="000F55FD">
        <w:rPr>
          <w:noProof/>
          <w:sz w:val="20"/>
          <w:lang w:val="en-US"/>
        </w:rPr>
        <w:t xml:space="preserve"> </w:t>
      </w:r>
      <w:r w:rsidRPr="000F55FD">
        <w:rPr>
          <w:b/>
          <w:bCs/>
          <w:noProof/>
          <w:sz w:val="20"/>
          <w:lang w:val="en-US"/>
        </w:rPr>
        <w:t>68</w:t>
      </w:r>
      <w:r w:rsidRPr="000F55FD">
        <w:rPr>
          <w:noProof/>
          <w:sz w:val="20"/>
          <w:lang w:val="en-US"/>
        </w:rPr>
        <w:t>, 2045–2052 (2019).</w:t>
      </w:r>
    </w:p>
    <w:p w14:paraId="5F8E1256"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29.</w:t>
      </w:r>
      <w:r w:rsidRPr="000F55FD">
        <w:rPr>
          <w:noProof/>
          <w:sz w:val="20"/>
          <w:lang w:val="en-US"/>
        </w:rPr>
        <w:tab/>
        <w:t xml:space="preserve">Hauck, C. G. </w:t>
      </w:r>
      <w:r w:rsidRPr="000F55FD">
        <w:rPr>
          <w:i/>
          <w:iCs/>
          <w:noProof/>
          <w:sz w:val="20"/>
          <w:lang w:val="en-US"/>
        </w:rPr>
        <w:t>et al.</w:t>
      </w:r>
      <w:r w:rsidRPr="000F55FD">
        <w:rPr>
          <w:noProof/>
          <w:sz w:val="20"/>
          <w:lang w:val="en-US"/>
        </w:rPr>
        <w:t xml:space="preserve"> Increasing rates of fluoroquinolone resistance in escherichia coli isolated from the blood and urine of patients with hematologic malignancies and stem cell transplant recipients. </w:t>
      </w:r>
      <w:r w:rsidRPr="000F55FD">
        <w:rPr>
          <w:i/>
          <w:iCs/>
          <w:noProof/>
          <w:sz w:val="20"/>
          <w:lang w:val="en-US"/>
        </w:rPr>
        <w:t>Pathog. Immun.</w:t>
      </w:r>
      <w:r w:rsidRPr="000F55FD">
        <w:rPr>
          <w:noProof/>
          <w:sz w:val="20"/>
          <w:lang w:val="en-US"/>
        </w:rPr>
        <w:t xml:space="preserve"> </w:t>
      </w:r>
      <w:r w:rsidRPr="000F55FD">
        <w:rPr>
          <w:b/>
          <w:bCs/>
          <w:noProof/>
          <w:sz w:val="20"/>
          <w:lang w:val="en-US"/>
        </w:rPr>
        <w:t>1</w:t>
      </w:r>
      <w:r w:rsidRPr="000F55FD">
        <w:rPr>
          <w:noProof/>
          <w:sz w:val="20"/>
          <w:lang w:val="en-US"/>
        </w:rPr>
        <w:t>, 234–242 (2016).</w:t>
      </w:r>
    </w:p>
    <w:p w14:paraId="68626952"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30.</w:t>
      </w:r>
      <w:r w:rsidRPr="000F55FD">
        <w:rPr>
          <w:noProof/>
          <w:sz w:val="20"/>
          <w:lang w:val="en-US"/>
        </w:rPr>
        <w:tab/>
        <w:t xml:space="preserve">Lee, S. S. F., Fulford, A. E., Quinn, M. A., Seabrook, J. &amp; Rajakumar, I. Levofloxacin for febrile neutropenia prophylaxis in acute myeloid leukemia patients associated with reduction in hospital admissions. </w:t>
      </w:r>
      <w:r w:rsidRPr="000F55FD">
        <w:rPr>
          <w:i/>
          <w:iCs/>
          <w:noProof/>
          <w:sz w:val="20"/>
          <w:lang w:val="en-US"/>
        </w:rPr>
        <w:t>Support. Care Cancer</w:t>
      </w:r>
      <w:r w:rsidRPr="000F55FD">
        <w:rPr>
          <w:noProof/>
          <w:sz w:val="20"/>
          <w:lang w:val="en-US"/>
        </w:rPr>
        <w:t xml:space="preserve"> </w:t>
      </w:r>
      <w:r w:rsidRPr="000F55FD">
        <w:rPr>
          <w:b/>
          <w:bCs/>
          <w:noProof/>
          <w:sz w:val="20"/>
          <w:lang w:val="en-US"/>
        </w:rPr>
        <w:t>26</w:t>
      </w:r>
      <w:r w:rsidRPr="000F55FD">
        <w:rPr>
          <w:noProof/>
          <w:sz w:val="20"/>
          <w:lang w:val="en-US"/>
        </w:rPr>
        <w:t>, 1499–1504 (2018).</w:t>
      </w:r>
    </w:p>
    <w:p w14:paraId="226F6733"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31.</w:t>
      </w:r>
      <w:r w:rsidRPr="000F55FD">
        <w:rPr>
          <w:noProof/>
          <w:sz w:val="20"/>
          <w:lang w:val="en-US"/>
        </w:rPr>
        <w:tab/>
        <w:t xml:space="preserve">Macesic, N., Morrissey, C. O., Cheng, A. C., Spencer, A. &amp; Peleg, A. Y. Changing microbial epidemiology in hematopoietic stem cell transplant recipients: Increasing resistance over a 9-year period. </w:t>
      </w:r>
      <w:r w:rsidRPr="000F55FD">
        <w:rPr>
          <w:i/>
          <w:iCs/>
          <w:noProof/>
          <w:sz w:val="20"/>
          <w:lang w:val="en-US"/>
        </w:rPr>
        <w:t>Transpl. Infect. Dis.</w:t>
      </w:r>
      <w:r w:rsidRPr="000F55FD">
        <w:rPr>
          <w:noProof/>
          <w:sz w:val="20"/>
          <w:lang w:val="en-US"/>
        </w:rPr>
        <w:t xml:space="preserve"> </w:t>
      </w:r>
      <w:r w:rsidRPr="000F55FD">
        <w:rPr>
          <w:b/>
          <w:bCs/>
          <w:noProof/>
          <w:sz w:val="20"/>
          <w:lang w:val="en-US"/>
        </w:rPr>
        <w:t>16</w:t>
      </w:r>
      <w:r w:rsidRPr="000F55FD">
        <w:rPr>
          <w:noProof/>
          <w:sz w:val="20"/>
          <w:lang w:val="en-US"/>
        </w:rPr>
        <w:t>, 887–896 (2014).</w:t>
      </w:r>
    </w:p>
    <w:p w14:paraId="26D6E566"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32.</w:t>
      </w:r>
      <w:r w:rsidRPr="000F55FD">
        <w:rPr>
          <w:noProof/>
          <w:sz w:val="20"/>
          <w:lang w:val="en-US"/>
        </w:rPr>
        <w:tab/>
        <w:t xml:space="preserve">Maakaron, J. E. </w:t>
      </w:r>
      <w:r w:rsidRPr="000F55FD">
        <w:rPr>
          <w:i/>
          <w:iCs/>
          <w:noProof/>
          <w:sz w:val="20"/>
          <w:lang w:val="en-US"/>
        </w:rPr>
        <w:t>et al.</w:t>
      </w:r>
      <w:r w:rsidRPr="000F55FD">
        <w:rPr>
          <w:noProof/>
          <w:sz w:val="20"/>
          <w:lang w:val="en-US"/>
        </w:rPr>
        <w:t xml:space="preserve"> Fluoroquinolone Prophylaxis in Autologous Stem Cell Transplantation: Worthy of a Second Look. </w:t>
      </w:r>
      <w:r w:rsidRPr="000F55FD">
        <w:rPr>
          <w:i/>
          <w:iCs/>
          <w:noProof/>
          <w:sz w:val="20"/>
          <w:lang w:val="en-US"/>
        </w:rPr>
        <w:t>Biol. Blood Marrow Transplant.</w:t>
      </w:r>
      <w:r w:rsidRPr="000F55FD">
        <w:rPr>
          <w:noProof/>
          <w:sz w:val="20"/>
          <w:lang w:val="en-US"/>
        </w:rPr>
        <w:t xml:space="preserve"> </w:t>
      </w:r>
      <w:r w:rsidRPr="000F55FD">
        <w:rPr>
          <w:b/>
          <w:bCs/>
          <w:noProof/>
          <w:sz w:val="20"/>
          <w:lang w:val="en-US"/>
        </w:rPr>
        <w:t>26</w:t>
      </w:r>
      <w:r w:rsidRPr="000F55FD">
        <w:rPr>
          <w:noProof/>
          <w:sz w:val="20"/>
          <w:lang w:val="en-US"/>
        </w:rPr>
        <w:t>, e198–e201 (2020).</w:t>
      </w:r>
    </w:p>
    <w:p w14:paraId="1D2B33AD"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33.</w:t>
      </w:r>
      <w:r w:rsidRPr="000F55FD">
        <w:rPr>
          <w:noProof/>
          <w:sz w:val="20"/>
          <w:lang w:val="en-US"/>
        </w:rPr>
        <w:tab/>
        <w:t xml:space="preserve">Maurer, A. K. </w:t>
      </w:r>
      <w:r w:rsidRPr="000F55FD">
        <w:rPr>
          <w:i/>
          <w:iCs/>
          <w:noProof/>
          <w:sz w:val="20"/>
          <w:lang w:val="en-US"/>
        </w:rPr>
        <w:t>et al.</w:t>
      </w:r>
      <w:r w:rsidRPr="000F55FD">
        <w:rPr>
          <w:noProof/>
          <w:sz w:val="20"/>
          <w:lang w:val="en-US"/>
        </w:rPr>
        <w:t xml:space="preserve"> Ciprofloxacin prophylaxis is associated with a lower incidence of gram-negative bacteremia in patients undergoing allogeneic hematopoietic cell transplantation. </w:t>
      </w:r>
      <w:r w:rsidRPr="000F55FD">
        <w:rPr>
          <w:i/>
          <w:iCs/>
          <w:noProof/>
          <w:sz w:val="20"/>
          <w:lang w:val="en-US"/>
        </w:rPr>
        <w:t>Bone Marrow Transplant.</w:t>
      </w:r>
      <w:r w:rsidRPr="000F55FD">
        <w:rPr>
          <w:noProof/>
          <w:sz w:val="20"/>
          <w:lang w:val="en-US"/>
        </w:rPr>
        <w:t xml:space="preserve"> </w:t>
      </w:r>
      <w:r w:rsidRPr="000F55FD">
        <w:rPr>
          <w:b/>
          <w:bCs/>
          <w:noProof/>
          <w:sz w:val="20"/>
          <w:lang w:val="en-US"/>
        </w:rPr>
        <w:t>55</w:t>
      </w:r>
      <w:r w:rsidRPr="000F55FD">
        <w:rPr>
          <w:noProof/>
          <w:sz w:val="20"/>
          <w:lang w:val="en-US"/>
        </w:rPr>
        <w:t xml:space="preserve">, </w:t>
      </w:r>
      <w:r w:rsidRPr="000F55FD">
        <w:rPr>
          <w:noProof/>
          <w:sz w:val="20"/>
          <w:lang w:val="en-US"/>
        </w:rPr>
        <w:lastRenderedPageBreak/>
        <w:t>2319–2321 (2020).</w:t>
      </w:r>
    </w:p>
    <w:p w14:paraId="1D6A417A"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34.</w:t>
      </w:r>
      <w:r w:rsidRPr="000F55FD">
        <w:rPr>
          <w:noProof/>
          <w:sz w:val="20"/>
          <w:lang w:val="en-US"/>
        </w:rPr>
        <w:tab/>
        <w:t xml:space="preserve">Miles-Jay, A., Butler-Wu, S., Rowhani-Rahbar, A. &amp; Pergam, S. A. Incidence Rate of Fluoroquinolone-Resistant Gram-Negative Rod Bacteremia among Allogeneic Hematopoietic Cell Transplantation Patients during an Era of Levofloxacin Prophylaxis. </w:t>
      </w:r>
      <w:r w:rsidRPr="000F55FD">
        <w:rPr>
          <w:i/>
          <w:iCs/>
          <w:noProof/>
          <w:sz w:val="20"/>
          <w:lang w:val="en-US"/>
        </w:rPr>
        <w:t>Biol. Blood Marrow Transplant.</w:t>
      </w:r>
      <w:r w:rsidRPr="000F55FD">
        <w:rPr>
          <w:noProof/>
          <w:sz w:val="20"/>
          <w:lang w:val="en-US"/>
        </w:rPr>
        <w:t xml:space="preserve"> </w:t>
      </w:r>
      <w:r w:rsidRPr="000F55FD">
        <w:rPr>
          <w:b/>
          <w:bCs/>
          <w:noProof/>
          <w:sz w:val="20"/>
          <w:lang w:val="en-US"/>
        </w:rPr>
        <w:t>21</w:t>
      </w:r>
      <w:r w:rsidRPr="000F55FD">
        <w:rPr>
          <w:noProof/>
          <w:sz w:val="20"/>
          <w:lang w:val="en-US"/>
        </w:rPr>
        <w:t>, 539–545 (2015).</w:t>
      </w:r>
    </w:p>
    <w:p w14:paraId="105E9FB1"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35.</w:t>
      </w:r>
      <w:r w:rsidRPr="000F55FD">
        <w:rPr>
          <w:noProof/>
          <w:sz w:val="20"/>
          <w:lang w:val="en-US"/>
        </w:rPr>
        <w:tab/>
        <w:t xml:space="preserve">Prodanuk, M. </w:t>
      </w:r>
      <w:r w:rsidRPr="000F55FD">
        <w:rPr>
          <w:i/>
          <w:iCs/>
          <w:noProof/>
          <w:sz w:val="20"/>
          <w:lang w:val="en-US"/>
        </w:rPr>
        <w:t>et al.</w:t>
      </w:r>
      <w:r w:rsidRPr="000F55FD">
        <w:rPr>
          <w:noProof/>
          <w:sz w:val="20"/>
          <w:lang w:val="en-US"/>
        </w:rPr>
        <w:t xml:space="preserve"> The impact of levofloxacin prophylaxis on empiric intravenous antibiotic use in pediatric hematopoietic stem cell transplant recipients. </w:t>
      </w:r>
      <w:r w:rsidRPr="000F55FD">
        <w:rPr>
          <w:i/>
          <w:iCs/>
          <w:noProof/>
          <w:sz w:val="20"/>
          <w:lang w:val="en-US"/>
        </w:rPr>
        <w:t>Pediatr. Blood Cancer</w:t>
      </w:r>
      <w:r w:rsidRPr="000F55FD">
        <w:rPr>
          <w:noProof/>
          <w:sz w:val="20"/>
          <w:lang w:val="en-US"/>
        </w:rPr>
        <w:t xml:space="preserve"> </w:t>
      </w:r>
      <w:r w:rsidRPr="000F55FD">
        <w:rPr>
          <w:b/>
          <w:bCs/>
          <w:noProof/>
          <w:sz w:val="20"/>
          <w:lang w:val="en-US"/>
        </w:rPr>
        <w:t>71</w:t>
      </w:r>
      <w:r w:rsidRPr="000F55FD">
        <w:rPr>
          <w:noProof/>
          <w:sz w:val="20"/>
          <w:lang w:val="en-US"/>
        </w:rPr>
        <w:t>, 1–4 (2024).</w:t>
      </w:r>
    </w:p>
    <w:p w14:paraId="19210FE3"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36.</w:t>
      </w:r>
      <w:r w:rsidRPr="000F55FD">
        <w:rPr>
          <w:noProof/>
          <w:sz w:val="20"/>
          <w:lang w:val="en-US"/>
        </w:rPr>
        <w:tab/>
        <w:t xml:space="preserve">Satlin, M. J. </w:t>
      </w:r>
      <w:r w:rsidRPr="000F55FD">
        <w:rPr>
          <w:i/>
          <w:iCs/>
          <w:noProof/>
          <w:sz w:val="20"/>
          <w:lang w:val="en-US"/>
        </w:rPr>
        <w:t>et al.</w:t>
      </w:r>
      <w:r w:rsidRPr="000F55FD">
        <w:rPr>
          <w:noProof/>
          <w:sz w:val="20"/>
          <w:lang w:val="en-US"/>
        </w:rPr>
        <w:t xml:space="preserve"> Impact of Prophylactic Levofloxacin on Rates of Bloodstream Infection and Fever  in Neutropenic Patients with Multiple Myeloma Undergoing Autologous Hematopoietic Stem Cell Transplantation. </w:t>
      </w:r>
      <w:r w:rsidRPr="000F55FD">
        <w:rPr>
          <w:i/>
          <w:iCs/>
          <w:noProof/>
          <w:sz w:val="20"/>
          <w:lang w:val="en-US"/>
        </w:rPr>
        <w:t>Biol. blood marrow Transplant.  J. Am. Soc.  Blood Marrow Transplant.</w:t>
      </w:r>
      <w:r w:rsidRPr="000F55FD">
        <w:rPr>
          <w:noProof/>
          <w:sz w:val="20"/>
          <w:lang w:val="en-US"/>
        </w:rPr>
        <w:t xml:space="preserve"> </w:t>
      </w:r>
      <w:r w:rsidRPr="000F55FD">
        <w:rPr>
          <w:b/>
          <w:bCs/>
          <w:noProof/>
          <w:sz w:val="20"/>
          <w:lang w:val="en-US"/>
        </w:rPr>
        <w:t>21</w:t>
      </w:r>
      <w:r w:rsidRPr="000F55FD">
        <w:rPr>
          <w:noProof/>
          <w:sz w:val="20"/>
          <w:lang w:val="en-US"/>
        </w:rPr>
        <w:t>, 1808–1814 (2015).</w:t>
      </w:r>
    </w:p>
    <w:p w14:paraId="246B2EFD"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37.</w:t>
      </w:r>
      <w:r w:rsidRPr="000F55FD">
        <w:rPr>
          <w:noProof/>
          <w:sz w:val="20"/>
          <w:lang w:val="en-US"/>
        </w:rPr>
        <w:tab/>
        <w:t xml:space="preserve">Shbaklo, N. </w:t>
      </w:r>
      <w:r w:rsidRPr="000F55FD">
        <w:rPr>
          <w:i/>
          <w:iCs/>
          <w:noProof/>
          <w:sz w:val="20"/>
          <w:lang w:val="en-US"/>
        </w:rPr>
        <w:t>et al.</w:t>
      </w:r>
      <w:r w:rsidRPr="000F55FD">
        <w:rPr>
          <w:noProof/>
          <w:sz w:val="20"/>
          <w:lang w:val="en-US"/>
        </w:rPr>
        <w:t xml:space="preserve"> Cost-Effectiveness of Targeted Prophylaxis among Allogenic Stem Cell Transplant Recipients. </w:t>
      </w:r>
      <w:r w:rsidRPr="000F55FD">
        <w:rPr>
          <w:i/>
          <w:iCs/>
          <w:noProof/>
          <w:sz w:val="20"/>
          <w:lang w:val="en-US"/>
        </w:rPr>
        <w:t>Pharmaceuticals</w:t>
      </w:r>
      <w:r w:rsidRPr="000F55FD">
        <w:rPr>
          <w:noProof/>
          <w:sz w:val="20"/>
          <w:lang w:val="en-US"/>
        </w:rPr>
        <w:t xml:space="preserve"> </w:t>
      </w:r>
      <w:r w:rsidRPr="000F55FD">
        <w:rPr>
          <w:b/>
          <w:bCs/>
          <w:noProof/>
          <w:sz w:val="20"/>
          <w:lang w:val="en-US"/>
        </w:rPr>
        <w:t>16</w:t>
      </w:r>
      <w:r w:rsidRPr="000F55FD">
        <w:rPr>
          <w:noProof/>
          <w:sz w:val="20"/>
          <w:lang w:val="en-US"/>
        </w:rPr>
        <w:t>, 1–10 (2023).</w:t>
      </w:r>
    </w:p>
    <w:p w14:paraId="3EF66A3D"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38.</w:t>
      </w:r>
      <w:r w:rsidRPr="000F55FD">
        <w:rPr>
          <w:noProof/>
          <w:sz w:val="20"/>
          <w:lang w:val="en-US"/>
        </w:rPr>
        <w:tab/>
        <w:t xml:space="preserve">Signorelli, J., Zimmer, A., Liewer, S., Shostrom, V. K. &amp; Freifeld, A. Incidence of Febrile Neutropenia in Autologous Hematopoietic Stem Cell Transplant  (HSCT) Recipients on levofloxacin prophylaxis. </w:t>
      </w:r>
      <w:r w:rsidRPr="000F55FD">
        <w:rPr>
          <w:i/>
          <w:iCs/>
          <w:noProof/>
          <w:sz w:val="20"/>
          <w:lang w:val="en-US"/>
        </w:rPr>
        <w:t>Transpl. Infect. Dis.  an Off. J. Transplant.  Soc.</w:t>
      </w:r>
      <w:r w:rsidRPr="000F55FD">
        <w:rPr>
          <w:noProof/>
          <w:sz w:val="20"/>
          <w:lang w:val="en-US"/>
        </w:rPr>
        <w:t xml:space="preserve"> </w:t>
      </w:r>
      <w:r w:rsidRPr="000F55FD">
        <w:rPr>
          <w:b/>
          <w:bCs/>
          <w:noProof/>
          <w:sz w:val="20"/>
          <w:lang w:val="en-US"/>
        </w:rPr>
        <w:t>22</w:t>
      </w:r>
      <w:r w:rsidRPr="000F55FD">
        <w:rPr>
          <w:noProof/>
          <w:sz w:val="20"/>
          <w:lang w:val="en-US"/>
        </w:rPr>
        <w:t>, e13225 (2020).</w:t>
      </w:r>
    </w:p>
    <w:p w14:paraId="0E568732"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39.</w:t>
      </w:r>
      <w:r w:rsidRPr="000F55FD">
        <w:rPr>
          <w:noProof/>
          <w:sz w:val="20"/>
          <w:lang w:val="en-US"/>
        </w:rPr>
        <w:tab/>
        <w:t xml:space="preserve">Simondsen, K. A., Reed, M. P., Mably, M. S., Zhang, Y. &amp; Longo, W. L. Retrospective analysis of fluoroquinolone prophylaxis in patients undergoing allogeneic hematopoietic stem cell transplantation. </w:t>
      </w:r>
      <w:r w:rsidRPr="000F55FD">
        <w:rPr>
          <w:i/>
          <w:iCs/>
          <w:noProof/>
          <w:sz w:val="20"/>
          <w:lang w:val="en-US"/>
        </w:rPr>
        <w:t>J. Oncol. Pharm. Pract.</w:t>
      </w:r>
      <w:r w:rsidRPr="000F55FD">
        <w:rPr>
          <w:noProof/>
          <w:sz w:val="20"/>
          <w:lang w:val="en-US"/>
        </w:rPr>
        <w:t xml:space="preserve"> </w:t>
      </w:r>
      <w:r w:rsidRPr="000F55FD">
        <w:rPr>
          <w:b/>
          <w:bCs/>
          <w:noProof/>
          <w:sz w:val="20"/>
          <w:lang w:val="en-US"/>
        </w:rPr>
        <w:t>19</w:t>
      </w:r>
      <w:r w:rsidRPr="000F55FD">
        <w:rPr>
          <w:noProof/>
          <w:sz w:val="20"/>
          <w:lang w:val="en-US"/>
        </w:rPr>
        <w:t>, 291–297 (2013).</w:t>
      </w:r>
    </w:p>
    <w:p w14:paraId="288D4542"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40.</w:t>
      </w:r>
      <w:r w:rsidRPr="000F55FD">
        <w:rPr>
          <w:noProof/>
          <w:sz w:val="20"/>
          <w:lang w:val="en-US"/>
        </w:rPr>
        <w:tab/>
        <w:t xml:space="preserve">Sulis, M. L. </w:t>
      </w:r>
      <w:r w:rsidRPr="000F55FD">
        <w:rPr>
          <w:i/>
          <w:iCs/>
          <w:noProof/>
          <w:sz w:val="20"/>
          <w:lang w:val="en-US"/>
        </w:rPr>
        <w:t>et al.</w:t>
      </w:r>
      <w:r w:rsidRPr="000F55FD">
        <w:rPr>
          <w:noProof/>
          <w:sz w:val="20"/>
          <w:lang w:val="en-US"/>
        </w:rPr>
        <w:t xml:space="preserve"> Effectiveness of antibacterial prophylaxis during induction chemotherapy in children with acute lymphoblastic leukemia. </w:t>
      </w:r>
      <w:r w:rsidRPr="000F55FD">
        <w:rPr>
          <w:i/>
          <w:iCs/>
          <w:noProof/>
          <w:sz w:val="20"/>
          <w:lang w:val="en-US"/>
        </w:rPr>
        <w:t>Pediatr. Blood Cancer</w:t>
      </w:r>
      <w:r w:rsidRPr="000F55FD">
        <w:rPr>
          <w:noProof/>
          <w:sz w:val="20"/>
          <w:lang w:val="en-US"/>
        </w:rPr>
        <w:t xml:space="preserve"> </w:t>
      </w:r>
      <w:r w:rsidRPr="000F55FD">
        <w:rPr>
          <w:b/>
          <w:bCs/>
          <w:noProof/>
          <w:sz w:val="20"/>
          <w:lang w:val="en-US"/>
        </w:rPr>
        <w:t>65</w:t>
      </w:r>
      <w:r w:rsidRPr="000F55FD">
        <w:rPr>
          <w:noProof/>
          <w:sz w:val="20"/>
          <w:lang w:val="en-US"/>
        </w:rPr>
        <w:t>, (2018).</w:t>
      </w:r>
    </w:p>
    <w:p w14:paraId="4EA6C260"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41.</w:t>
      </w:r>
      <w:r w:rsidRPr="000F55FD">
        <w:rPr>
          <w:noProof/>
          <w:sz w:val="20"/>
          <w:lang w:val="en-US"/>
        </w:rPr>
        <w:tab/>
        <w:t xml:space="preserve">Tofas, P. </w:t>
      </w:r>
      <w:r w:rsidRPr="000F55FD">
        <w:rPr>
          <w:i/>
          <w:iCs/>
          <w:noProof/>
          <w:sz w:val="20"/>
          <w:lang w:val="en-US"/>
        </w:rPr>
        <w:t>et al.</w:t>
      </w:r>
      <w:r w:rsidRPr="000F55FD">
        <w:rPr>
          <w:noProof/>
          <w:sz w:val="20"/>
          <w:lang w:val="en-US"/>
        </w:rPr>
        <w:t xml:space="preserve"> Pseudomonas aeruginosa bacteraemia in patients with hematologic malignancies: risk factors, treatment and outcome. </w:t>
      </w:r>
      <w:r w:rsidRPr="000F55FD">
        <w:rPr>
          <w:i/>
          <w:iCs/>
          <w:noProof/>
          <w:sz w:val="20"/>
          <w:lang w:val="en-US"/>
        </w:rPr>
        <w:t>Diagn. Microbiol. Infect. Dis.</w:t>
      </w:r>
      <w:r w:rsidRPr="000F55FD">
        <w:rPr>
          <w:noProof/>
          <w:sz w:val="20"/>
          <w:lang w:val="en-US"/>
        </w:rPr>
        <w:t xml:space="preserve"> </w:t>
      </w:r>
      <w:r w:rsidRPr="000F55FD">
        <w:rPr>
          <w:b/>
          <w:bCs/>
          <w:noProof/>
          <w:sz w:val="20"/>
          <w:lang w:val="en-US"/>
        </w:rPr>
        <w:t>88</w:t>
      </w:r>
      <w:r w:rsidRPr="000F55FD">
        <w:rPr>
          <w:noProof/>
          <w:sz w:val="20"/>
          <w:lang w:val="en-US"/>
        </w:rPr>
        <w:t>, 335–341 (2017).</w:t>
      </w:r>
    </w:p>
    <w:p w14:paraId="6E7BCF10"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42.</w:t>
      </w:r>
      <w:r w:rsidRPr="000F55FD">
        <w:rPr>
          <w:noProof/>
          <w:sz w:val="20"/>
          <w:lang w:val="en-US"/>
        </w:rPr>
        <w:tab/>
        <w:t xml:space="preserve">Urbino, I. </w:t>
      </w:r>
      <w:r w:rsidRPr="000F55FD">
        <w:rPr>
          <w:i/>
          <w:iCs/>
          <w:noProof/>
          <w:sz w:val="20"/>
          <w:lang w:val="en-US"/>
        </w:rPr>
        <w:t>et al.</w:t>
      </w:r>
      <w:r w:rsidRPr="000F55FD">
        <w:rPr>
          <w:noProof/>
          <w:sz w:val="20"/>
          <w:lang w:val="en-US"/>
        </w:rPr>
        <w:t xml:space="preserve"> Levofloxacin Prophylaxis Versus no Prophylaxis in Acute Myeloid Leukemia During Post-Induction Aplasia: a Single Center Study. </w:t>
      </w:r>
      <w:r w:rsidRPr="000F55FD">
        <w:rPr>
          <w:i/>
          <w:iCs/>
          <w:noProof/>
          <w:sz w:val="20"/>
          <w:lang w:val="en-US"/>
        </w:rPr>
        <w:t>Mediterr. J. Hematol. Infect. Dis.</w:t>
      </w:r>
      <w:r w:rsidRPr="000F55FD">
        <w:rPr>
          <w:noProof/>
          <w:sz w:val="20"/>
          <w:lang w:val="en-US"/>
        </w:rPr>
        <w:t xml:space="preserve"> </w:t>
      </w:r>
      <w:r w:rsidRPr="000F55FD">
        <w:rPr>
          <w:b/>
          <w:bCs/>
          <w:noProof/>
          <w:sz w:val="20"/>
          <w:lang w:val="en-US"/>
        </w:rPr>
        <w:t>15</w:t>
      </w:r>
      <w:r w:rsidRPr="000F55FD">
        <w:rPr>
          <w:noProof/>
          <w:sz w:val="20"/>
          <w:lang w:val="en-US"/>
        </w:rPr>
        <w:t>, 1–8 (2023).</w:t>
      </w:r>
    </w:p>
    <w:p w14:paraId="1EC39220"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43.</w:t>
      </w:r>
      <w:r w:rsidRPr="000F55FD">
        <w:rPr>
          <w:noProof/>
          <w:sz w:val="20"/>
          <w:lang w:val="en-US"/>
        </w:rPr>
        <w:tab/>
        <w:t xml:space="preserve">Verlinden, A. </w:t>
      </w:r>
      <w:r w:rsidRPr="000F55FD">
        <w:rPr>
          <w:i/>
          <w:iCs/>
          <w:noProof/>
          <w:sz w:val="20"/>
          <w:lang w:val="en-US"/>
        </w:rPr>
        <w:t>et al.</w:t>
      </w:r>
      <w:r w:rsidRPr="000F55FD">
        <w:rPr>
          <w:noProof/>
          <w:sz w:val="20"/>
          <w:lang w:val="en-US"/>
        </w:rPr>
        <w:t xml:space="preserve"> Clinical and microbiological impact of discontinuation of fluoroquinolone prophylaxis in patients with prolonged profound neutropenia. </w:t>
      </w:r>
      <w:r w:rsidRPr="000F55FD">
        <w:rPr>
          <w:i/>
          <w:iCs/>
          <w:noProof/>
          <w:sz w:val="20"/>
          <w:lang w:val="en-US"/>
        </w:rPr>
        <w:t>Eur. J. Haematol.</w:t>
      </w:r>
      <w:r w:rsidRPr="000F55FD">
        <w:rPr>
          <w:noProof/>
          <w:sz w:val="20"/>
          <w:lang w:val="en-US"/>
        </w:rPr>
        <w:t xml:space="preserve"> </w:t>
      </w:r>
      <w:r w:rsidRPr="000F55FD">
        <w:rPr>
          <w:b/>
          <w:bCs/>
          <w:noProof/>
          <w:sz w:val="20"/>
          <w:lang w:val="en-US"/>
        </w:rPr>
        <w:t>93</w:t>
      </w:r>
      <w:r w:rsidRPr="000F55FD">
        <w:rPr>
          <w:noProof/>
          <w:sz w:val="20"/>
          <w:lang w:val="en-US"/>
        </w:rPr>
        <w:t>, 302–308 (2014).</w:t>
      </w:r>
    </w:p>
    <w:p w14:paraId="4FC98C1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44.</w:t>
      </w:r>
      <w:r w:rsidRPr="000F55FD">
        <w:rPr>
          <w:noProof/>
          <w:sz w:val="20"/>
          <w:lang w:val="en-US"/>
        </w:rPr>
        <w:tab/>
        <w:t xml:space="preserve">Verlinden, A., Schroyens, W. A. &amp; Gadisseur, A. P. Clinical and microbiological impact of long-term discontinuation of fluoroquinolone prophylaxis in haematological patients with prolonged profound neutropenia. </w:t>
      </w:r>
      <w:r w:rsidRPr="000F55FD">
        <w:rPr>
          <w:i/>
          <w:iCs/>
          <w:noProof/>
          <w:sz w:val="20"/>
          <w:lang w:val="en-US"/>
        </w:rPr>
        <w:t>Eur. J. Haematol.</w:t>
      </w:r>
      <w:r w:rsidRPr="000F55FD">
        <w:rPr>
          <w:noProof/>
          <w:sz w:val="20"/>
          <w:lang w:val="en-US"/>
        </w:rPr>
        <w:t xml:space="preserve"> </w:t>
      </w:r>
      <w:r w:rsidRPr="000F55FD">
        <w:rPr>
          <w:b/>
          <w:bCs/>
          <w:noProof/>
          <w:sz w:val="20"/>
          <w:lang w:val="en-US"/>
        </w:rPr>
        <w:t>107</w:t>
      </w:r>
      <w:r w:rsidRPr="000F55FD">
        <w:rPr>
          <w:noProof/>
          <w:sz w:val="20"/>
          <w:lang w:val="en-US"/>
        </w:rPr>
        <w:t>, 377–379 (2021).</w:t>
      </w:r>
    </w:p>
    <w:p w14:paraId="021076F3"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45.</w:t>
      </w:r>
      <w:r w:rsidRPr="000F55FD">
        <w:rPr>
          <w:noProof/>
          <w:sz w:val="20"/>
          <w:lang w:val="en-US"/>
        </w:rPr>
        <w:tab/>
        <w:t xml:space="preserve">Wolf, J. </w:t>
      </w:r>
      <w:r w:rsidRPr="000F55FD">
        <w:rPr>
          <w:i/>
          <w:iCs/>
          <w:noProof/>
          <w:sz w:val="20"/>
          <w:lang w:val="en-US"/>
        </w:rPr>
        <w:t>et al.</w:t>
      </w:r>
      <w:r w:rsidRPr="000F55FD">
        <w:rPr>
          <w:noProof/>
          <w:sz w:val="20"/>
          <w:lang w:val="en-US"/>
        </w:rPr>
        <w:t xml:space="preserve"> Levofloxacin Prophylaxis During Induction Therapy for Pediatric Acute Lymphoblastic Leukemia. </w:t>
      </w:r>
      <w:r w:rsidRPr="000F55FD">
        <w:rPr>
          <w:b/>
          <w:bCs/>
          <w:noProof/>
          <w:sz w:val="20"/>
          <w:lang w:val="en-US"/>
        </w:rPr>
        <w:t>65</w:t>
      </w:r>
      <w:r w:rsidRPr="000F55FD">
        <w:rPr>
          <w:noProof/>
          <w:sz w:val="20"/>
          <w:lang w:val="en-US"/>
        </w:rPr>
        <w:t>, (2017).</w:t>
      </w:r>
    </w:p>
    <w:p w14:paraId="4CAFEFEA"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46.</w:t>
      </w:r>
      <w:r w:rsidRPr="000F55FD">
        <w:rPr>
          <w:noProof/>
          <w:sz w:val="20"/>
          <w:lang w:val="en-US"/>
        </w:rPr>
        <w:tab/>
        <w:t xml:space="preserve">Wolska, A. </w:t>
      </w:r>
      <w:r w:rsidRPr="000F55FD">
        <w:rPr>
          <w:i/>
          <w:iCs/>
          <w:noProof/>
          <w:sz w:val="20"/>
          <w:lang w:val="en-US"/>
        </w:rPr>
        <w:t>et al.</w:t>
      </w:r>
      <w:r w:rsidRPr="000F55FD">
        <w:rPr>
          <w:noProof/>
          <w:sz w:val="20"/>
          <w:lang w:val="en-US"/>
        </w:rPr>
        <w:t xml:space="preserve"> Ciprofloxacin prophylaxis for patients undergoing high-dose chemotherapy and  autologous stem cell transplantation (ASCT) - a single-center experience. </w:t>
      </w:r>
      <w:r w:rsidRPr="000F55FD">
        <w:rPr>
          <w:i/>
          <w:iCs/>
          <w:noProof/>
          <w:sz w:val="20"/>
          <w:lang w:val="en-US"/>
        </w:rPr>
        <w:t>Adv. Med. Sci.</w:t>
      </w:r>
      <w:r w:rsidRPr="000F55FD">
        <w:rPr>
          <w:noProof/>
          <w:sz w:val="20"/>
          <w:lang w:val="en-US"/>
        </w:rPr>
        <w:t xml:space="preserve"> </w:t>
      </w:r>
      <w:r w:rsidRPr="000F55FD">
        <w:rPr>
          <w:b/>
          <w:bCs/>
          <w:noProof/>
          <w:sz w:val="20"/>
          <w:lang w:val="en-US"/>
        </w:rPr>
        <w:t>57</w:t>
      </w:r>
      <w:r w:rsidRPr="000F55FD">
        <w:rPr>
          <w:noProof/>
          <w:sz w:val="20"/>
          <w:lang w:val="en-US"/>
        </w:rPr>
        <w:t>, 118–123 (2012).</w:t>
      </w:r>
    </w:p>
    <w:p w14:paraId="1493C13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47.</w:t>
      </w:r>
      <w:r w:rsidRPr="000F55FD">
        <w:rPr>
          <w:noProof/>
          <w:sz w:val="20"/>
          <w:lang w:val="en-US"/>
        </w:rPr>
        <w:tab/>
        <w:t xml:space="preserve">Yeshurun, M. </w:t>
      </w:r>
      <w:r w:rsidRPr="000F55FD">
        <w:rPr>
          <w:i/>
          <w:iCs/>
          <w:noProof/>
          <w:sz w:val="20"/>
          <w:lang w:val="en-US"/>
        </w:rPr>
        <w:t>et al.</w:t>
      </w:r>
      <w:r w:rsidRPr="000F55FD">
        <w:rPr>
          <w:noProof/>
          <w:sz w:val="20"/>
          <w:lang w:val="en-US"/>
        </w:rPr>
        <w:t xml:space="preserve"> Antibacterial prophylaxis with ciprofloxacin for patients with multiple myeloma and lymphoma undergoing autologous haematopoietic cell transplantation: a quasi-experimental single-centre before-after study. </w:t>
      </w:r>
      <w:r w:rsidRPr="000F55FD">
        <w:rPr>
          <w:i/>
          <w:iCs/>
          <w:noProof/>
          <w:sz w:val="20"/>
          <w:lang w:val="en-US"/>
        </w:rPr>
        <w:t>Clin. Microbiol. Infect.</w:t>
      </w:r>
      <w:r w:rsidRPr="000F55FD">
        <w:rPr>
          <w:noProof/>
          <w:sz w:val="20"/>
          <w:lang w:val="en-US"/>
        </w:rPr>
        <w:t xml:space="preserve"> </w:t>
      </w:r>
      <w:r w:rsidRPr="000F55FD">
        <w:rPr>
          <w:b/>
          <w:bCs/>
          <w:noProof/>
          <w:sz w:val="20"/>
          <w:lang w:val="en-US"/>
        </w:rPr>
        <w:t>24</w:t>
      </w:r>
      <w:r w:rsidRPr="000F55FD">
        <w:rPr>
          <w:noProof/>
          <w:sz w:val="20"/>
          <w:lang w:val="en-US"/>
        </w:rPr>
        <w:t>, 749–754 (2018).</w:t>
      </w:r>
    </w:p>
    <w:p w14:paraId="036870B1"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48.</w:t>
      </w:r>
      <w:r w:rsidRPr="000F55FD">
        <w:rPr>
          <w:noProof/>
          <w:sz w:val="20"/>
          <w:lang w:val="en-US"/>
        </w:rPr>
        <w:tab/>
        <w:t xml:space="preserve">Ziegler, M. </w:t>
      </w:r>
      <w:r w:rsidRPr="000F55FD">
        <w:rPr>
          <w:i/>
          <w:iCs/>
          <w:noProof/>
          <w:sz w:val="20"/>
          <w:lang w:val="en-US"/>
        </w:rPr>
        <w:t>et al.</w:t>
      </w:r>
      <w:r w:rsidRPr="000F55FD">
        <w:rPr>
          <w:noProof/>
          <w:sz w:val="20"/>
          <w:lang w:val="en-US"/>
        </w:rPr>
        <w:t xml:space="preserve"> Fluoroquinolone Prophylaxis Is Highly Effective for the Prevention of Central Line–Associated Bloodstream Infections in Autologous Stem Cell Transplant Patients. </w:t>
      </w:r>
      <w:r w:rsidRPr="000F55FD">
        <w:rPr>
          <w:i/>
          <w:iCs/>
          <w:noProof/>
          <w:sz w:val="20"/>
          <w:lang w:val="en-US"/>
        </w:rPr>
        <w:t>Biol. Blood Marrow Transplant.</w:t>
      </w:r>
      <w:r w:rsidRPr="000F55FD">
        <w:rPr>
          <w:noProof/>
          <w:sz w:val="20"/>
          <w:lang w:val="en-US"/>
        </w:rPr>
        <w:t xml:space="preserve"> </w:t>
      </w:r>
      <w:r w:rsidRPr="000F55FD">
        <w:rPr>
          <w:b/>
          <w:bCs/>
          <w:noProof/>
          <w:sz w:val="20"/>
          <w:lang w:val="en-US"/>
        </w:rPr>
        <w:t>25</w:t>
      </w:r>
      <w:r w:rsidRPr="000F55FD">
        <w:rPr>
          <w:noProof/>
          <w:sz w:val="20"/>
          <w:lang w:val="en-US"/>
        </w:rPr>
        <w:t>, 1004–1010 (2019).</w:t>
      </w:r>
    </w:p>
    <w:p w14:paraId="58B7E6A1"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49.</w:t>
      </w:r>
      <w:r w:rsidRPr="000F55FD">
        <w:rPr>
          <w:noProof/>
          <w:sz w:val="20"/>
          <w:lang w:val="en-US"/>
        </w:rPr>
        <w:tab/>
        <w:t xml:space="preserve">Albasanz-Puig, A. </w:t>
      </w:r>
      <w:r w:rsidRPr="000F55FD">
        <w:rPr>
          <w:i/>
          <w:iCs/>
          <w:noProof/>
          <w:sz w:val="20"/>
          <w:lang w:val="en-US"/>
        </w:rPr>
        <w:t>et al.</w:t>
      </w:r>
      <w:r w:rsidRPr="000F55FD">
        <w:rPr>
          <w:noProof/>
          <w:sz w:val="20"/>
          <w:lang w:val="en-US"/>
        </w:rPr>
        <w:t xml:space="preserve"> Impact of the inclusion of an aminoglycoside to the initial empirical antibiotic therapy for gram-negative bloodstream infections in hematological neutropenic patients: a propensity-matched cohort </w:t>
      </w:r>
      <w:r w:rsidRPr="000F55FD">
        <w:rPr>
          <w:noProof/>
          <w:sz w:val="20"/>
          <w:lang w:val="en-US"/>
        </w:rPr>
        <w:lastRenderedPageBreak/>
        <w:t xml:space="preserve">study (AMINOLACTAM study). </w:t>
      </w:r>
      <w:r w:rsidRPr="000F55FD">
        <w:rPr>
          <w:i/>
          <w:iCs/>
          <w:noProof/>
          <w:sz w:val="20"/>
          <w:lang w:val="en-US"/>
        </w:rPr>
        <w:t>Antimicrob. Agents Chemother.</w:t>
      </w:r>
      <w:r w:rsidRPr="000F55FD">
        <w:rPr>
          <w:noProof/>
          <w:sz w:val="20"/>
          <w:lang w:val="en-US"/>
        </w:rPr>
        <w:t xml:space="preserve"> </w:t>
      </w:r>
      <w:r w:rsidRPr="000F55FD">
        <w:rPr>
          <w:b/>
          <w:bCs/>
          <w:noProof/>
          <w:sz w:val="20"/>
          <w:lang w:val="en-US"/>
        </w:rPr>
        <w:t>65</w:t>
      </w:r>
      <w:r w:rsidRPr="000F55FD">
        <w:rPr>
          <w:noProof/>
          <w:sz w:val="20"/>
          <w:lang w:val="en-US"/>
        </w:rPr>
        <w:t>, 1–10 (2021).</w:t>
      </w:r>
    </w:p>
    <w:p w14:paraId="22178E66"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50.</w:t>
      </w:r>
      <w:r w:rsidRPr="000F55FD">
        <w:rPr>
          <w:noProof/>
          <w:sz w:val="20"/>
          <w:lang w:val="en-US"/>
        </w:rPr>
        <w:tab/>
        <w:t xml:space="preserve">Andria, N. </w:t>
      </w:r>
      <w:r w:rsidRPr="000F55FD">
        <w:rPr>
          <w:i/>
          <w:iCs/>
          <w:noProof/>
          <w:sz w:val="20"/>
          <w:lang w:val="en-US"/>
        </w:rPr>
        <w:t>et al.</w:t>
      </w:r>
      <w:r w:rsidRPr="000F55FD">
        <w:rPr>
          <w:noProof/>
          <w:sz w:val="20"/>
          <w:lang w:val="en-US"/>
        </w:rPr>
        <w:t xml:space="preserve"> Mortality burden related to infection with carbapenem-resistant Gram-negative bacteria among haematological cancer patients: A retrospective cohort study. </w:t>
      </w:r>
      <w:r w:rsidRPr="000F55FD">
        <w:rPr>
          <w:i/>
          <w:iCs/>
          <w:noProof/>
          <w:sz w:val="20"/>
          <w:lang w:val="en-US"/>
        </w:rPr>
        <w:t>J. Antimicrob. Chemother.</w:t>
      </w:r>
      <w:r w:rsidRPr="000F55FD">
        <w:rPr>
          <w:noProof/>
          <w:sz w:val="20"/>
          <w:lang w:val="en-US"/>
        </w:rPr>
        <w:t xml:space="preserve"> </w:t>
      </w:r>
      <w:r w:rsidRPr="000F55FD">
        <w:rPr>
          <w:b/>
          <w:bCs/>
          <w:noProof/>
          <w:sz w:val="20"/>
          <w:lang w:val="en-US"/>
        </w:rPr>
        <w:t>70</w:t>
      </w:r>
      <w:r w:rsidRPr="000F55FD">
        <w:rPr>
          <w:noProof/>
          <w:sz w:val="20"/>
          <w:lang w:val="en-US"/>
        </w:rPr>
        <w:t>, 3146–3153 (2015).</w:t>
      </w:r>
    </w:p>
    <w:p w14:paraId="7CBEA5B5"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51.</w:t>
      </w:r>
      <w:r w:rsidRPr="000F55FD">
        <w:rPr>
          <w:noProof/>
          <w:sz w:val="20"/>
          <w:lang w:val="en-US"/>
        </w:rPr>
        <w:tab/>
        <w:t xml:space="preserve">Blennow, O., Ljungman, P., Sparrelid, E., Mattsson, J. &amp; Remberger, M. Incidence, risk factors, and outcome of bloodstream infections during the pre-engraftment phase in 521 allogeneic hematopoietic stem cell transplantations. </w:t>
      </w:r>
      <w:r w:rsidRPr="000F55FD">
        <w:rPr>
          <w:i/>
          <w:iCs/>
          <w:noProof/>
          <w:sz w:val="20"/>
          <w:lang w:val="en-US"/>
        </w:rPr>
        <w:t>Transpl. Infect. Dis.</w:t>
      </w:r>
      <w:r w:rsidRPr="000F55FD">
        <w:rPr>
          <w:noProof/>
          <w:sz w:val="20"/>
          <w:lang w:val="en-US"/>
        </w:rPr>
        <w:t xml:space="preserve"> </w:t>
      </w:r>
      <w:r w:rsidRPr="000F55FD">
        <w:rPr>
          <w:b/>
          <w:bCs/>
          <w:noProof/>
          <w:sz w:val="20"/>
          <w:lang w:val="en-US"/>
        </w:rPr>
        <w:t>16</w:t>
      </w:r>
      <w:r w:rsidRPr="000F55FD">
        <w:rPr>
          <w:noProof/>
          <w:sz w:val="20"/>
          <w:lang w:val="en-US"/>
        </w:rPr>
        <w:t>, 106–114 (2014).</w:t>
      </w:r>
    </w:p>
    <w:p w14:paraId="38E81BF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52.</w:t>
      </w:r>
      <w:r w:rsidRPr="000F55FD">
        <w:rPr>
          <w:noProof/>
          <w:sz w:val="20"/>
          <w:lang w:val="en-US"/>
        </w:rPr>
        <w:tab/>
        <w:t xml:space="preserve">Bilinski, J. </w:t>
      </w:r>
      <w:r w:rsidRPr="000F55FD">
        <w:rPr>
          <w:i/>
          <w:iCs/>
          <w:noProof/>
          <w:sz w:val="20"/>
          <w:lang w:val="en-US"/>
        </w:rPr>
        <w:t>et al.</w:t>
      </w:r>
      <w:r w:rsidRPr="000F55FD">
        <w:rPr>
          <w:noProof/>
          <w:sz w:val="20"/>
          <w:lang w:val="en-US"/>
        </w:rPr>
        <w:t xml:space="preserve"> Impact of Gut Colonization by Antibiotic-Resistant Bacteria on the Outcomes of Allogeneic Hematopoietic Stem Cell Transplantation: A Retrospective, Single-Center Study. </w:t>
      </w:r>
      <w:r w:rsidRPr="000F55FD">
        <w:rPr>
          <w:i/>
          <w:iCs/>
          <w:noProof/>
          <w:sz w:val="20"/>
          <w:lang w:val="en-US"/>
        </w:rPr>
        <w:t>Biol. Blood Marrow Transplant.</w:t>
      </w:r>
      <w:r w:rsidRPr="000F55FD">
        <w:rPr>
          <w:noProof/>
          <w:sz w:val="20"/>
          <w:lang w:val="en-US"/>
        </w:rPr>
        <w:t xml:space="preserve"> </w:t>
      </w:r>
      <w:r w:rsidRPr="000F55FD">
        <w:rPr>
          <w:b/>
          <w:bCs/>
          <w:noProof/>
          <w:sz w:val="20"/>
          <w:lang w:val="en-US"/>
        </w:rPr>
        <w:t>22</w:t>
      </w:r>
      <w:r w:rsidRPr="000F55FD">
        <w:rPr>
          <w:noProof/>
          <w:sz w:val="20"/>
          <w:lang w:val="en-US"/>
        </w:rPr>
        <w:t>, 1087–1093 (2016).</w:t>
      </w:r>
    </w:p>
    <w:p w14:paraId="3B85E5D1"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53.</w:t>
      </w:r>
      <w:r w:rsidRPr="000F55FD">
        <w:rPr>
          <w:noProof/>
          <w:sz w:val="20"/>
          <w:lang w:val="en-US"/>
        </w:rPr>
        <w:tab/>
        <w:t xml:space="preserve">Cattaneo, C. </w:t>
      </w:r>
      <w:r w:rsidRPr="000F55FD">
        <w:rPr>
          <w:i/>
          <w:iCs/>
          <w:noProof/>
          <w:sz w:val="20"/>
          <w:lang w:val="en-US"/>
        </w:rPr>
        <w:t>et al.</w:t>
      </w:r>
      <w:r w:rsidRPr="000F55FD">
        <w:rPr>
          <w:noProof/>
          <w:sz w:val="20"/>
          <w:lang w:val="en-US"/>
        </w:rPr>
        <w:t xml:space="preserve"> P. aeruginosa bloodstream infections among hematological patients: An old or new question? </w:t>
      </w:r>
      <w:r w:rsidRPr="000F55FD">
        <w:rPr>
          <w:i/>
          <w:iCs/>
          <w:noProof/>
          <w:sz w:val="20"/>
          <w:lang w:val="en-US"/>
        </w:rPr>
        <w:t>Ann. Hematol.</w:t>
      </w:r>
      <w:r w:rsidRPr="000F55FD">
        <w:rPr>
          <w:noProof/>
          <w:sz w:val="20"/>
          <w:lang w:val="en-US"/>
        </w:rPr>
        <w:t xml:space="preserve"> </w:t>
      </w:r>
      <w:r w:rsidRPr="000F55FD">
        <w:rPr>
          <w:b/>
          <w:bCs/>
          <w:noProof/>
          <w:sz w:val="20"/>
          <w:lang w:val="en-US"/>
        </w:rPr>
        <w:t>91</w:t>
      </w:r>
      <w:r w:rsidRPr="000F55FD">
        <w:rPr>
          <w:noProof/>
          <w:sz w:val="20"/>
          <w:lang w:val="en-US"/>
        </w:rPr>
        <w:t>, 1299–1304 (2012).</w:t>
      </w:r>
    </w:p>
    <w:p w14:paraId="1ACE4BE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54.</w:t>
      </w:r>
      <w:r w:rsidRPr="000F55FD">
        <w:rPr>
          <w:noProof/>
          <w:sz w:val="20"/>
          <w:lang w:val="en-US"/>
        </w:rPr>
        <w:tab/>
        <w:t xml:space="preserve">Chumbita, M. </w:t>
      </w:r>
      <w:r w:rsidRPr="000F55FD">
        <w:rPr>
          <w:i/>
          <w:iCs/>
          <w:noProof/>
          <w:sz w:val="20"/>
          <w:lang w:val="en-US"/>
        </w:rPr>
        <w:t>et al.</w:t>
      </w:r>
      <w:r w:rsidRPr="000F55FD">
        <w:rPr>
          <w:noProof/>
          <w:sz w:val="20"/>
          <w:lang w:val="en-US"/>
        </w:rPr>
        <w:t xml:space="preserve"> Impact of Empirical Antibiotic Regimens on Mortality in Neutropenic Patients with Bloodstream Infection Presenting with Septic Shock. </w:t>
      </w:r>
      <w:r w:rsidRPr="000F55FD">
        <w:rPr>
          <w:i/>
          <w:iCs/>
          <w:noProof/>
          <w:sz w:val="20"/>
          <w:lang w:val="en-US"/>
        </w:rPr>
        <w:t>Antimicrob. Agents Chemother.</w:t>
      </w:r>
      <w:r w:rsidRPr="000F55FD">
        <w:rPr>
          <w:noProof/>
          <w:sz w:val="20"/>
          <w:lang w:val="en-US"/>
        </w:rPr>
        <w:t xml:space="preserve"> </w:t>
      </w:r>
      <w:r w:rsidRPr="000F55FD">
        <w:rPr>
          <w:b/>
          <w:bCs/>
          <w:noProof/>
          <w:sz w:val="20"/>
          <w:lang w:val="en-US"/>
        </w:rPr>
        <w:t>66</w:t>
      </w:r>
      <w:r w:rsidRPr="000F55FD">
        <w:rPr>
          <w:noProof/>
          <w:sz w:val="20"/>
          <w:lang w:val="en-US"/>
        </w:rPr>
        <w:t>, 1–11 (2022).</w:t>
      </w:r>
    </w:p>
    <w:p w14:paraId="7742D9F8"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55.</w:t>
      </w:r>
      <w:r w:rsidRPr="000F55FD">
        <w:rPr>
          <w:noProof/>
          <w:sz w:val="20"/>
          <w:lang w:val="en-US"/>
        </w:rPr>
        <w:tab/>
        <w:t xml:space="preserve">Chumbita, M. </w:t>
      </w:r>
      <w:r w:rsidRPr="000F55FD">
        <w:rPr>
          <w:i/>
          <w:iCs/>
          <w:noProof/>
          <w:sz w:val="20"/>
          <w:lang w:val="en-US"/>
        </w:rPr>
        <w:t>et al.</w:t>
      </w:r>
      <w:r w:rsidRPr="000F55FD">
        <w:rPr>
          <w:noProof/>
          <w:sz w:val="20"/>
          <w:lang w:val="en-US"/>
        </w:rPr>
        <w:t xml:space="preserve"> High Rate of Inappropriate Antibiotics in Patients with Hematologic Malignancies and Pseudomonas aeruginosa Bacteremia following International Guideline Recommendations. </w:t>
      </w:r>
      <w:r w:rsidRPr="000F55FD">
        <w:rPr>
          <w:i/>
          <w:iCs/>
          <w:noProof/>
          <w:sz w:val="20"/>
          <w:lang w:val="en-US"/>
        </w:rPr>
        <w:t>Microbiol. Spectr.</w:t>
      </w:r>
      <w:r w:rsidRPr="000F55FD">
        <w:rPr>
          <w:noProof/>
          <w:sz w:val="20"/>
          <w:lang w:val="en-US"/>
        </w:rPr>
        <w:t xml:space="preserve"> </w:t>
      </w:r>
      <w:r w:rsidRPr="000F55FD">
        <w:rPr>
          <w:b/>
          <w:bCs/>
          <w:noProof/>
          <w:sz w:val="20"/>
          <w:lang w:val="en-US"/>
        </w:rPr>
        <w:t>11</w:t>
      </w:r>
      <w:r w:rsidRPr="000F55FD">
        <w:rPr>
          <w:noProof/>
          <w:sz w:val="20"/>
          <w:lang w:val="en-US"/>
        </w:rPr>
        <w:t>, 1–8 (2023).</w:t>
      </w:r>
    </w:p>
    <w:p w14:paraId="5AB1055D"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56.</w:t>
      </w:r>
      <w:r w:rsidRPr="000F55FD">
        <w:rPr>
          <w:noProof/>
          <w:sz w:val="20"/>
          <w:lang w:val="en-US"/>
        </w:rPr>
        <w:tab/>
        <w:t xml:space="preserve">de la Court, J. R. </w:t>
      </w:r>
      <w:r w:rsidRPr="000F55FD">
        <w:rPr>
          <w:i/>
          <w:iCs/>
          <w:noProof/>
          <w:sz w:val="20"/>
          <w:lang w:val="en-US"/>
        </w:rPr>
        <w:t>et al.</w:t>
      </w:r>
      <w:r w:rsidRPr="000F55FD">
        <w:rPr>
          <w:noProof/>
          <w:sz w:val="20"/>
          <w:lang w:val="en-US"/>
        </w:rPr>
        <w:t xml:space="preserve"> Guidance of empirical antimicrobial therapy by surveillance cultures in high-risk neutropenic patients: a retrospective cohort study. </w:t>
      </w:r>
      <w:r w:rsidRPr="000F55FD">
        <w:rPr>
          <w:i/>
          <w:iCs/>
          <w:noProof/>
          <w:sz w:val="20"/>
          <w:lang w:val="en-US"/>
        </w:rPr>
        <w:t>Antimicrob. Resist. Infect. Control</w:t>
      </w:r>
      <w:r w:rsidRPr="000F55FD">
        <w:rPr>
          <w:noProof/>
          <w:sz w:val="20"/>
          <w:lang w:val="en-US"/>
        </w:rPr>
        <w:t xml:space="preserve"> </w:t>
      </w:r>
      <w:r w:rsidRPr="000F55FD">
        <w:rPr>
          <w:b/>
          <w:bCs/>
          <w:noProof/>
          <w:sz w:val="20"/>
          <w:lang w:val="en-US"/>
        </w:rPr>
        <w:t>11</w:t>
      </w:r>
      <w:r w:rsidRPr="000F55FD">
        <w:rPr>
          <w:noProof/>
          <w:sz w:val="20"/>
          <w:lang w:val="en-US"/>
        </w:rPr>
        <w:t>, 1–10 (2022).</w:t>
      </w:r>
    </w:p>
    <w:p w14:paraId="5427ADCE"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57.</w:t>
      </w:r>
      <w:r w:rsidRPr="000F55FD">
        <w:rPr>
          <w:noProof/>
          <w:sz w:val="20"/>
          <w:lang w:val="en-US"/>
        </w:rPr>
        <w:tab/>
        <w:t xml:space="preserve">Kara, Ö. </w:t>
      </w:r>
      <w:r w:rsidRPr="000F55FD">
        <w:rPr>
          <w:i/>
          <w:iCs/>
          <w:noProof/>
          <w:sz w:val="20"/>
          <w:lang w:val="en-US"/>
        </w:rPr>
        <w:t>et al.</w:t>
      </w:r>
      <w:r w:rsidRPr="000F55FD">
        <w:rPr>
          <w:noProof/>
          <w:sz w:val="20"/>
          <w:lang w:val="en-US"/>
        </w:rPr>
        <w:t xml:space="preserve"> Epidemiology and emerging resistance in bacterial bloodstream infections in patients with hematologic malignancies. </w:t>
      </w:r>
      <w:r w:rsidRPr="000F55FD">
        <w:rPr>
          <w:i/>
          <w:iCs/>
          <w:noProof/>
          <w:sz w:val="20"/>
          <w:lang w:val="en-US"/>
        </w:rPr>
        <w:t>Infect. Dis. (Auckl).</w:t>
      </w:r>
      <w:r w:rsidRPr="000F55FD">
        <w:rPr>
          <w:noProof/>
          <w:sz w:val="20"/>
          <w:lang w:val="en-US"/>
        </w:rPr>
        <w:t xml:space="preserve"> </w:t>
      </w:r>
      <w:r w:rsidRPr="000F55FD">
        <w:rPr>
          <w:b/>
          <w:bCs/>
          <w:noProof/>
          <w:sz w:val="20"/>
          <w:lang w:val="en-US"/>
        </w:rPr>
        <w:t>47</w:t>
      </w:r>
      <w:r w:rsidRPr="000F55FD">
        <w:rPr>
          <w:noProof/>
          <w:sz w:val="20"/>
          <w:lang w:val="en-US"/>
        </w:rPr>
        <w:t>, 686–693 (2015).</w:t>
      </w:r>
    </w:p>
    <w:p w14:paraId="11439CB1"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58.</w:t>
      </w:r>
      <w:r w:rsidRPr="000F55FD">
        <w:rPr>
          <w:noProof/>
          <w:sz w:val="20"/>
          <w:lang w:val="en-US"/>
        </w:rPr>
        <w:tab/>
        <w:t xml:space="preserve">Kömürcü, B., Tükenmez Tigen, E., Toptaş, T., Fıratlı Tuğlular, T. &amp; Korten, V. Rectal colonization with multidrug-resistant gram-negative bacteria in patients  with hematological malignancies: a prospective study. </w:t>
      </w:r>
      <w:r w:rsidRPr="000F55FD">
        <w:rPr>
          <w:i/>
          <w:iCs/>
          <w:noProof/>
          <w:sz w:val="20"/>
          <w:lang w:val="en-US"/>
        </w:rPr>
        <w:t>Expert Rev. Hematol.</w:t>
      </w:r>
      <w:r w:rsidRPr="000F55FD">
        <w:rPr>
          <w:noProof/>
          <w:sz w:val="20"/>
          <w:lang w:val="en-US"/>
        </w:rPr>
        <w:t xml:space="preserve"> </w:t>
      </w:r>
      <w:r w:rsidRPr="000F55FD">
        <w:rPr>
          <w:b/>
          <w:bCs/>
          <w:noProof/>
          <w:sz w:val="20"/>
          <w:lang w:val="en-US"/>
        </w:rPr>
        <w:t>13</w:t>
      </w:r>
      <w:r w:rsidRPr="000F55FD">
        <w:rPr>
          <w:noProof/>
          <w:sz w:val="20"/>
          <w:lang w:val="en-US"/>
        </w:rPr>
        <w:t>, 923–927 (2020).</w:t>
      </w:r>
    </w:p>
    <w:p w14:paraId="69DEF882"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59.</w:t>
      </w:r>
      <w:r w:rsidRPr="000F55FD">
        <w:rPr>
          <w:noProof/>
          <w:sz w:val="20"/>
          <w:lang w:val="en-US"/>
        </w:rPr>
        <w:tab/>
        <w:t xml:space="preserve">Girmenia, C. </w:t>
      </w:r>
      <w:r w:rsidRPr="000F55FD">
        <w:rPr>
          <w:i/>
          <w:iCs/>
          <w:noProof/>
          <w:sz w:val="20"/>
          <w:lang w:val="en-US"/>
        </w:rPr>
        <w:t>et al.</w:t>
      </w:r>
      <w:r w:rsidRPr="000F55FD">
        <w:rPr>
          <w:noProof/>
          <w:sz w:val="20"/>
          <w:lang w:val="en-US"/>
        </w:rPr>
        <w:t xml:space="preserve"> Incidence, Risk Factors and Outcome of Pre-engraftment Gram-Negative Bacteremia after Allogeneic and Autologous Hematopoietic Stem Cell Transplantation: An Italian Prospective Multicenter Survey. </w:t>
      </w:r>
      <w:r w:rsidRPr="000F55FD">
        <w:rPr>
          <w:i/>
          <w:iCs/>
          <w:noProof/>
          <w:sz w:val="20"/>
          <w:lang w:val="en-US"/>
        </w:rPr>
        <w:t>Clin. Infect. Dis.</w:t>
      </w:r>
      <w:r w:rsidRPr="000F55FD">
        <w:rPr>
          <w:noProof/>
          <w:sz w:val="20"/>
          <w:lang w:val="en-US"/>
        </w:rPr>
        <w:t xml:space="preserve"> </w:t>
      </w:r>
      <w:r w:rsidRPr="000F55FD">
        <w:rPr>
          <w:b/>
          <w:bCs/>
          <w:noProof/>
          <w:sz w:val="20"/>
          <w:lang w:val="en-US"/>
        </w:rPr>
        <w:t>65</w:t>
      </w:r>
      <w:r w:rsidRPr="000F55FD">
        <w:rPr>
          <w:noProof/>
          <w:sz w:val="20"/>
          <w:lang w:val="en-US"/>
        </w:rPr>
        <w:t>, 1884–1896 (2017).</w:t>
      </w:r>
    </w:p>
    <w:p w14:paraId="29F074A3"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60.</w:t>
      </w:r>
      <w:r w:rsidRPr="000F55FD">
        <w:rPr>
          <w:noProof/>
          <w:sz w:val="20"/>
          <w:lang w:val="en-US"/>
        </w:rPr>
        <w:tab/>
        <w:t xml:space="preserve">Gudiol, C. </w:t>
      </w:r>
      <w:r w:rsidRPr="000F55FD">
        <w:rPr>
          <w:i/>
          <w:iCs/>
          <w:noProof/>
          <w:sz w:val="20"/>
          <w:lang w:val="en-US"/>
        </w:rPr>
        <w:t>et al.</w:t>
      </w:r>
      <w:r w:rsidRPr="000F55FD">
        <w:rPr>
          <w:noProof/>
          <w:sz w:val="20"/>
          <w:lang w:val="en-US"/>
        </w:rPr>
        <w:t xml:space="preserve"> Changing aetiology, clinical features, antimicrobial resistance, and outcomes of bloodstream infection in neutropenic cancer patients. </w:t>
      </w:r>
      <w:r w:rsidRPr="000F55FD">
        <w:rPr>
          <w:i/>
          <w:iCs/>
          <w:noProof/>
          <w:sz w:val="20"/>
          <w:lang w:val="en-US"/>
        </w:rPr>
        <w:t>Clin. Microbiol. Infect.</w:t>
      </w:r>
      <w:r w:rsidRPr="000F55FD">
        <w:rPr>
          <w:noProof/>
          <w:sz w:val="20"/>
          <w:lang w:val="en-US"/>
        </w:rPr>
        <w:t xml:space="preserve"> </w:t>
      </w:r>
      <w:r w:rsidRPr="000F55FD">
        <w:rPr>
          <w:b/>
          <w:bCs/>
          <w:noProof/>
          <w:sz w:val="20"/>
          <w:lang w:val="en-US"/>
        </w:rPr>
        <w:t>19</w:t>
      </w:r>
      <w:r w:rsidRPr="000F55FD">
        <w:rPr>
          <w:noProof/>
          <w:sz w:val="20"/>
          <w:lang w:val="en-US"/>
        </w:rPr>
        <w:t>, 474–479 (2013).</w:t>
      </w:r>
    </w:p>
    <w:p w14:paraId="08B749CA"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61.</w:t>
      </w:r>
      <w:r w:rsidRPr="000F55FD">
        <w:rPr>
          <w:noProof/>
          <w:sz w:val="20"/>
          <w:lang w:val="en-US"/>
        </w:rPr>
        <w:tab/>
        <w:t xml:space="preserve">Gudiol, C. </w:t>
      </w:r>
      <w:r w:rsidRPr="000F55FD">
        <w:rPr>
          <w:i/>
          <w:iCs/>
          <w:noProof/>
          <w:sz w:val="20"/>
          <w:lang w:val="en-US"/>
        </w:rPr>
        <w:t>et al.</w:t>
      </w:r>
      <w:r w:rsidRPr="000F55FD">
        <w:rPr>
          <w:noProof/>
          <w:sz w:val="20"/>
          <w:lang w:val="en-US"/>
        </w:rPr>
        <w:t xml:space="preserve"> Clinical Predictive Model of Multidrug Resistance in Neutropenic Cancer Patients  with Bloodstream Infection Due to Pseudomonas aeruginosa. </w:t>
      </w:r>
      <w:r w:rsidRPr="000F55FD">
        <w:rPr>
          <w:i/>
          <w:iCs/>
          <w:noProof/>
          <w:sz w:val="20"/>
          <w:lang w:val="en-US"/>
        </w:rPr>
        <w:t>Antimicrob. Agents Chemother.</w:t>
      </w:r>
      <w:r w:rsidRPr="000F55FD">
        <w:rPr>
          <w:noProof/>
          <w:sz w:val="20"/>
          <w:lang w:val="en-US"/>
        </w:rPr>
        <w:t xml:space="preserve"> </w:t>
      </w:r>
      <w:r w:rsidRPr="000F55FD">
        <w:rPr>
          <w:b/>
          <w:bCs/>
          <w:noProof/>
          <w:sz w:val="20"/>
          <w:lang w:val="en-US"/>
        </w:rPr>
        <w:t>64</w:t>
      </w:r>
      <w:r w:rsidRPr="000F55FD">
        <w:rPr>
          <w:noProof/>
          <w:sz w:val="20"/>
          <w:lang w:val="en-US"/>
        </w:rPr>
        <w:t>, (2020).</w:t>
      </w:r>
    </w:p>
    <w:p w14:paraId="7A96832D"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62.</w:t>
      </w:r>
      <w:r w:rsidRPr="000F55FD">
        <w:rPr>
          <w:noProof/>
          <w:sz w:val="20"/>
          <w:lang w:val="en-US"/>
        </w:rPr>
        <w:tab/>
        <w:t xml:space="preserve">Mahida, N. &amp; Boswell, T. Fluoroquinolone prophylaxis in haematopoietic bone marrow transplantation: a driver for antimicrobial resistance. </w:t>
      </w:r>
      <w:r w:rsidRPr="000F55FD">
        <w:rPr>
          <w:i/>
          <w:iCs/>
          <w:noProof/>
          <w:sz w:val="20"/>
          <w:lang w:val="en-US"/>
        </w:rPr>
        <w:t>J. Hosp. Infect.</w:t>
      </w:r>
      <w:r w:rsidRPr="000F55FD">
        <w:rPr>
          <w:noProof/>
          <w:sz w:val="20"/>
          <w:lang w:val="en-US"/>
        </w:rPr>
        <w:t xml:space="preserve"> </w:t>
      </w:r>
      <w:r w:rsidRPr="000F55FD">
        <w:rPr>
          <w:b/>
          <w:bCs/>
          <w:noProof/>
          <w:sz w:val="20"/>
          <w:lang w:val="en-US"/>
        </w:rPr>
        <w:t>98</w:t>
      </w:r>
      <w:r w:rsidRPr="000F55FD">
        <w:rPr>
          <w:noProof/>
          <w:sz w:val="20"/>
          <w:lang w:val="en-US"/>
        </w:rPr>
        <w:t>, 241–242 (2018).</w:t>
      </w:r>
    </w:p>
    <w:p w14:paraId="7B33496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63.</w:t>
      </w:r>
      <w:r w:rsidRPr="000F55FD">
        <w:rPr>
          <w:noProof/>
          <w:sz w:val="20"/>
          <w:lang w:val="en-US"/>
        </w:rPr>
        <w:tab/>
        <w:t xml:space="preserve">Marin, M. </w:t>
      </w:r>
      <w:r w:rsidRPr="000F55FD">
        <w:rPr>
          <w:i/>
          <w:iCs/>
          <w:noProof/>
          <w:sz w:val="20"/>
          <w:lang w:val="en-US"/>
        </w:rPr>
        <w:t>et al.</w:t>
      </w:r>
      <w:r w:rsidRPr="000F55FD">
        <w:rPr>
          <w:noProof/>
          <w:sz w:val="20"/>
          <w:lang w:val="en-US"/>
        </w:rPr>
        <w:t xml:space="preserve"> Bloodstream infections in neutropenic patients with cancer: Differences between patients with haematological malignancies and solid tumours. </w:t>
      </w:r>
      <w:r w:rsidRPr="000F55FD">
        <w:rPr>
          <w:i/>
          <w:iCs/>
          <w:noProof/>
          <w:sz w:val="20"/>
          <w:lang w:val="en-US"/>
        </w:rPr>
        <w:t>J. Infect.</w:t>
      </w:r>
      <w:r w:rsidRPr="000F55FD">
        <w:rPr>
          <w:noProof/>
          <w:sz w:val="20"/>
          <w:lang w:val="en-US"/>
        </w:rPr>
        <w:t xml:space="preserve"> </w:t>
      </w:r>
      <w:r w:rsidRPr="000F55FD">
        <w:rPr>
          <w:b/>
          <w:bCs/>
          <w:noProof/>
          <w:sz w:val="20"/>
          <w:lang w:val="en-US"/>
        </w:rPr>
        <w:t>69</w:t>
      </w:r>
      <w:r w:rsidRPr="000F55FD">
        <w:rPr>
          <w:noProof/>
          <w:sz w:val="20"/>
          <w:lang w:val="en-US"/>
        </w:rPr>
        <w:t>, 417–423 (2014).</w:t>
      </w:r>
    </w:p>
    <w:p w14:paraId="799428EB"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64.</w:t>
      </w:r>
      <w:r w:rsidRPr="000F55FD">
        <w:rPr>
          <w:noProof/>
          <w:sz w:val="20"/>
          <w:lang w:val="en-US"/>
        </w:rPr>
        <w:tab/>
        <w:t xml:space="preserve">Mikulska, M. </w:t>
      </w:r>
      <w:r w:rsidRPr="000F55FD">
        <w:rPr>
          <w:i/>
          <w:iCs/>
          <w:noProof/>
          <w:sz w:val="20"/>
          <w:lang w:val="en-US"/>
        </w:rPr>
        <w:t>et al.</w:t>
      </w:r>
      <w:r w:rsidRPr="000F55FD">
        <w:rPr>
          <w:noProof/>
          <w:sz w:val="20"/>
          <w:lang w:val="en-US"/>
        </w:rPr>
        <w:t xml:space="preserve"> Pre-Engraftment Bloodstream Infections after Allogeneic Hematopoietic Cell Transplantation: Impact of T Cell-Replete Transplantation from a Haploidentical Donor. </w:t>
      </w:r>
      <w:r w:rsidRPr="000F55FD">
        <w:rPr>
          <w:i/>
          <w:iCs/>
          <w:noProof/>
          <w:sz w:val="20"/>
          <w:lang w:val="en-US"/>
        </w:rPr>
        <w:t>Biol. Blood Marrow Transplant.</w:t>
      </w:r>
      <w:r w:rsidRPr="000F55FD">
        <w:rPr>
          <w:noProof/>
          <w:sz w:val="20"/>
          <w:lang w:val="en-US"/>
        </w:rPr>
        <w:t xml:space="preserve"> </w:t>
      </w:r>
      <w:r w:rsidRPr="000F55FD">
        <w:rPr>
          <w:b/>
          <w:bCs/>
          <w:noProof/>
          <w:sz w:val="20"/>
          <w:lang w:val="en-US"/>
        </w:rPr>
        <w:t>24</w:t>
      </w:r>
      <w:r w:rsidRPr="000F55FD">
        <w:rPr>
          <w:noProof/>
          <w:sz w:val="20"/>
          <w:lang w:val="en-US"/>
        </w:rPr>
        <w:t>, 109–118 (2018).</w:t>
      </w:r>
    </w:p>
    <w:p w14:paraId="43F2AF3D"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65.</w:t>
      </w:r>
      <w:r w:rsidRPr="000F55FD">
        <w:rPr>
          <w:noProof/>
          <w:sz w:val="20"/>
          <w:lang w:val="en-US"/>
        </w:rPr>
        <w:tab/>
        <w:t xml:space="preserve">Pagano, L. </w:t>
      </w:r>
      <w:r w:rsidRPr="000F55FD">
        <w:rPr>
          <w:i/>
          <w:iCs/>
          <w:noProof/>
          <w:sz w:val="20"/>
          <w:lang w:val="en-US"/>
        </w:rPr>
        <w:t>et al.</w:t>
      </w:r>
      <w:r w:rsidRPr="000F55FD">
        <w:rPr>
          <w:noProof/>
          <w:sz w:val="20"/>
          <w:lang w:val="en-US"/>
        </w:rPr>
        <w:t xml:space="preserve"> Carbapenemase-producing Klebsiella pneumoniae and hematologic malignancies. </w:t>
      </w:r>
      <w:r w:rsidRPr="000F55FD">
        <w:rPr>
          <w:i/>
          <w:iCs/>
          <w:noProof/>
          <w:sz w:val="20"/>
          <w:lang w:val="en-US"/>
        </w:rPr>
        <w:t>Emerging infectious diseases</w:t>
      </w:r>
      <w:r w:rsidRPr="000F55FD">
        <w:rPr>
          <w:noProof/>
          <w:sz w:val="20"/>
          <w:lang w:val="en-US"/>
        </w:rPr>
        <w:t xml:space="preserve"> vol. 20 1235–1236 (2014).</w:t>
      </w:r>
    </w:p>
    <w:p w14:paraId="50399857"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66.</w:t>
      </w:r>
      <w:r w:rsidRPr="000F55FD">
        <w:rPr>
          <w:noProof/>
          <w:sz w:val="20"/>
          <w:lang w:val="en-US"/>
        </w:rPr>
        <w:tab/>
        <w:t xml:space="preserve">Patriarca, F. </w:t>
      </w:r>
      <w:r w:rsidRPr="000F55FD">
        <w:rPr>
          <w:i/>
          <w:iCs/>
          <w:noProof/>
          <w:sz w:val="20"/>
          <w:lang w:val="en-US"/>
        </w:rPr>
        <w:t>et al.</w:t>
      </w:r>
      <w:r w:rsidRPr="000F55FD">
        <w:rPr>
          <w:noProof/>
          <w:sz w:val="20"/>
          <w:lang w:val="en-US"/>
        </w:rPr>
        <w:t xml:space="preserve"> Risk Factors and Outcomes of Infections by Multidrug-Resistant Gram-Negative Bacteria in Patients Undergoing Hematopoietic Stem Cell Transplantation. </w:t>
      </w:r>
      <w:r w:rsidRPr="000F55FD">
        <w:rPr>
          <w:i/>
          <w:iCs/>
          <w:noProof/>
          <w:sz w:val="20"/>
          <w:lang w:val="en-US"/>
        </w:rPr>
        <w:t>Biol. Blood Marrow Transplant.</w:t>
      </w:r>
      <w:r w:rsidRPr="000F55FD">
        <w:rPr>
          <w:noProof/>
          <w:sz w:val="20"/>
          <w:lang w:val="en-US"/>
        </w:rPr>
        <w:t xml:space="preserve"> </w:t>
      </w:r>
      <w:r w:rsidRPr="000F55FD">
        <w:rPr>
          <w:b/>
          <w:bCs/>
          <w:noProof/>
          <w:sz w:val="20"/>
          <w:lang w:val="en-US"/>
        </w:rPr>
        <w:t>23</w:t>
      </w:r>
      <w:r w:rsidRPr="000F55FD">
        <w:rPr>
          <w:noProof/>
          <w:sz w:val="20"/>
          <w:lang w:val="en-US"/>
        </w:rPr>
        <w:t xml:space="preserve">, 333–339 </w:t>
      </w:r>
      <w:r w:rsidRPr="000F55FD">
        <w:rPr>
          <w:noProof/>
          <w:sz w:val="20"/>
          <w:lang w:val="en-US"/>
        </w:rPr>
        <w:lastRenderedPageBreak/>
        <w:t>(2017).</w:t>
      </w:r>
    </w:p>
    <w:p w14:paraId="4C9631FF"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67.</w:t>
      </w:r>
      <w:r w:rsidRPr="000F55FD">
        <w:rPr>
          <w:noProof/>
          <w:sz w:val="20"/>
          <w:lang w:val="en-US"/>
        </w:rPr>
        <w:tab/>
        <w:t xml:space="preserve">Puerta-Alcalde, P. </w:t>
      </w:r>
      <w:r w:rsidRPr="000F55FD">
        <w:rPr>
          <w:i/>
          <w:iCs/>
          <w:noProof/>
          <w:sz w:val="20"/>
          <w:lang w:val="en-US"/>
        </w:rPr>
        <w:t>et al.</w:t>
      </w:r>
      <w:r w:rsidRPr="000F55FD">
        <w:rPr>
          <w:noProof/>
          <w:sz w:val="20"/>
          <w:lang w:val="en-US"/>
        </w:rPr>
        <w:t xml:space="preserve"> Changing epidemiology of bloodstream infection in a 25-years hematopoietic stem cell transplant program: current challenges and pitfalls on empiric antibiotic treatment impacting outcomes. </w:t>
      </w:r>
      <w:r w:rsidRPr="000F55FD">
        <w:rPr>
          <w:i/>
          <w:iCs/>
          <w:noProof/>
          <w:sz w:val="20"/>
          <w:lang w:val="en-US"/>
        </w:rPr>
        <w:t>Bone Marrow Transplant.</w:t>
      </w:r>
      <w:r w:rsidRPr="000F55FD">
        <w:rPr>
          <w:noProof/>
          <w:sz w:val="20"/>
          <w:lang w:val="en-US"/>
        </w:rPr>
        <w:t xml:space="preserve"> </w:t>
      </w:r>
      <w:r w:rsidRPr="000F55FD">
        <w:rPr>
          <w:b/>
          <w:bCs/>
          <w:noProof/>
          <w:sz w:val="20"/>
          <w:lang w:val="en-US"/>
        </w:rPr>
        <w:t>55</w:t>
      </w:r>
      <w:r w:rsidRPr="000F55FD">
        <w:rPr>
          <w:noProof/>
          <w:sz w:val="20"/>
          <w:lang w:val="en-US"/>
        </w:rPr>
        <w:t>, 603–612 (2020).</w:t>
      </w:r>
    </w:p>
    <w:p w14:paraId="3908EF2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68.</w:t>
      </w:r>
      <w:r w:rsidRPr="000F55FD">
        <w:rPr>
          <w:noProof/>
          <w:sz w:val="20"/>
          <w:lang w:val="en-US"/>
        </w:rPr>
        <w:tab/>
        <w:t xml:space="preserve">Ram, R. </w:t>
      </w:r>
      <w:r w:rsidRPr="000F55FD">
        <w:rPr>
          <w:i/>
          <w:iCs/>
          <w:noProof/>
          <w:sz w:val="20"/>
          <w:lang w:val="en-US"/>
        </w:rPr>
        <w:t>et al.</w:t>
      </w:r>
      <w:r w:rsidRPr="000F55FD">
        <w:rPr>
          <w:noProof/>
          <w:sz w:val="20"/>
          <w:lang w:val="en-US"/>
        </w:rPr>
        <w:t xml:space="preserve"> Characteristics of initial compared with subsequent bacterial infections among hospitalised haemato-oncological patients. </w:t>
      </w:r>
      <w:r w:rsidRPr="000F55FD">
        <w:rPr>
          <w:i/>
          <w:iCs/>
          <w:noProof/>
          <w:sz w:val="20"/>
          <w:lang w:val="en-US"/>
        </w:rPr>
        <w:t>Int. J. Antimicrob. Agents</w:t>
      </w:r>
      <w:r w:rsidRPr="000F55FD">
        <w:rPr>
          <w:noProof/>
          <w:sz w:val="20"/>
          <w:lang w:val="en-US"/>
        </w:rPr>
        <w:t xml:space="preserve"> </w:t>
      </w:r>
      <w:r w:rsidRPr="000F55FD">
        <w:rPr>
          <w:b/>
          <w:bCs/>
          <w:noProof/>
          <w:sz w:val="20"/>
          <w:lang w:val="en-US"/>
        </w:rPr>
        <w:t>40</w:t>
      </w:r>
      <w:r w:rsidRPr="000F55FD">
        <w:rPr>
          <w:noProof/>
          <w:sz w:val="20"/>
          <w:lang w:val="en-US"/>
        </w:rPr>
        <w:t>, 123–126 (2012).</w:t>
      </w:r>
    </w:p>
    <w:p w14:paraId="26CBC47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69.</w:t>
      </w:r>
      <w:r w:rsidRPr="000F55FD">
        <w:rPr>
          <w:noProof/>
          <w:sz w:val="20"/>
          <w:lang w:val="en-US"/>
        </w:rPr>
        <w:tab/>
        <w:t xml:space="preserve">Trecarichi, E. M. </w:t>
      </w:r>
      <w:r w:rsidRPr="000F55FD">
        <w:rPr>
          <w:i/>
          <w:iCs/>
          <w:noProof/>
          <w:sz w:val="20"/>
          <w:lang w:val="en-US"/>
        </w:rPr>
        <w:t>et al.</w:t>
      </w:r>
      <w:r w:rsidRPr="000F55FD">
        <w:rPr>
          <w:noProof/>
          <w:sz w:val="20"/>
          <w:lang w:val="en-US"/>
        </w:rPr>
        <w:t xml:space="preserve"> Current epidemiology and antimicrobial resistance data for bacterial bloodstream infections in patients with hematologic malignancies: An Italian multicentre prospective survey. </w:t>
      </w:r>
      <w:r w:rsidRPr="000F55FD">
        <w:rPr>
          <w:i/>
          <w:iCs/>
          <w:noProof/>
          <w:sz w:val="20"/>
          <w:lang w:val="en-US"/>
        </w:rPr>
        <w:t>Clin. Microbiol. Infect.</w:t>
      </w:r>
      <w:r w:rsidRPr="000F55FD">
        <w:rPr>
          <w:noProof/>
          <w:sz w:val="20"/>
          <w:lang w:val="en-US"/>
        </w:rPr>
        <w:t xml:space="preserve"> </w:t>
      </w:r>
      <w:r w:rsidRPr="000F55FD">
        <w:rPr>
          <w:b/>
          <w:bCs/>
          <w:noProof/>
          <w:sz w:val="20"/>
          <w:lang w:val="en-US"/>
        </w:rPr>
        <w:t>21</w:t>
      </w:r>
      <w:r w:rsidRPr="000F55FD">
        <w:rPr>
          <w:noProof/>
          <w:sz w:val="20"/>
          <w:lang w:val="en-US"/>
        </w:rPr>
        <w:t>, 337–343 (2015).</w:t>
      </w:r>
    </w:p>
    <w:p w14:paraId="723D21DB"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70.</w:t>
      </w:r>
      <w:r w:rsidRPr="000F55FD">
        <w:rPr>
          <w:noProof/>
          <w:sz w:val="20"/>
          <w:lang w:val="en-US"/>
        </w:rPr>
        <w:tab/>
        <w:t xml:space="preserve">Trecarichi, E. M. </w:t>
      </w:r>
      <w:r w:rsidRPr="000F55FD">
        <w:rPr>
          <w:i/>
          <w:iCs/>
          <w:noProof/>
          <w:sz w:val="20"/>
          <w:lang w:val="en-US"/>
        </w:rPr>
        <w:t>et al.</w:t>
      </w:r>
      <w:r w:rsidRPr="000F55FD">
        <w:rPr>
          <w:noProof/>
          <w:sz w:val="20"/>
          <w:lang w:val="en-US"/>
        </w:rPr>
        <w:t xml:space="preserve"> Bloodstream infections caused by Klebsiella pneumoniae in onco-hematological patients: clinical impact of carbapenem resistance in a multicentre prospective survey. </w:t>
      </w:r>
      <w:r w:rsidRPr="000F55FD">
        <w:rPr>
          <w:i/>
          <w:iCs/>
          <w:noProof/>
          <w:sz w:val="20"/>
          <w:lang w:val="en-US"/>
        </w:rPr>
        <w:t>Am. J. Hematol.</w:t>
      </w:r>
      <w:r w:rsidRPr="000F55FD">
        <w:rPr>
          <w:noProof/>
          <w:sz w:val="20"/>
          <w:lang w:val="en-US"/>
        </w:rPr>
        <w:t xml:space="preserve"> </w:t>
      </w:r>
      <w:r w:rsidRPr="000F55FD">
        <w:rPr>
          <w:b/>
          <w:bCs/>
          <w:noProof/>
          <w:sz w:val="20"/>
          <w:lang w:val="en-US"/>
        </w:rPr>
        <w:t>91</w:t>
      </w:r>
      <w:r w:rsidRPr="000F55FD">
        <w:rPr>
          <w:noProof/>
          <w:sz w:val="20"/>
          <w:lang w:val="en-US"/>
        </w:rPr>
        <w:t>, 1076–1081 (2016).</w:t>
      </w:r>
    </w:p>
    <w:p w14:paraId="2E48CED6"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71.</w:t>
      </w:r>
      <w:r w:rsidRPr="000F55FD">
        <w:rPr>
          <w:noProof/>
          <w:sz w:val="20"/>
          <w:lang w:val="en-US"/>
        </w:rPr>
        <w:tab/>
        <w:t xml:space="preserve">Zavrelova, A., Paterova, P., Gabalec, F., Zak, P. &amp; Radocha, J. Ciprofloxacin prophylaxis during autologous stem cell transplantation for multiple myeloma in patients with a high rate of fluoroquinolone-resistant gram-negative bacteria colonization. </w:t>
      </w:r>
      <w:r w:rsidRPr="000F55FD">
        <w:rPr>
          <w:i/>
          <w:iCs/>
          <w:noProof/>
          <w:sz w:val="20"/>
          <w:lang w:val="en-US"/>
        </w:rPr>
        <w:t>Biomed. Pap.</w:t>
      </w:r>
      <w:r w:rsidRPr="000F55FD">
        <w:rPr>
          <w:noProof/>
          <w:sz w:val="20"/>
          <w:lang w:val="en-US"/>
        </w:rPr>
        <w:t xml:space="preserve"> </w:t>
      </w:r>
      <w:r w:rsidRPr="000F55FD">
        <w:rPr>
          <w:b/>
          <w:bCs/>
          <w:noProof/>
          <w:sz w:val="20"/>
          <w:lang w:val="en-US"/>
        </w:rPr>
        <w:t>163</w:t>
      </w:r>
      <w:r w:rsidRPr="000F55FD">
        <w:rPr>
          <w:noProof/>
          <w:sz w:val="20"/>
          <w:lang w:val="en-US"/>
        </w:rPr>
        <w:t>, 161–165 (2019).</w:t>
      </w:r>
    </w:p>
    <w:p w14:paraId="3A33C062"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72.</w:t>
      </w:r>
      <w:r w:rsidRPr="000F55FD">
        <w:rPr>
          <w:noProof/>
          <w:sz w:val="20"/>
          <w:lang w:val="en-US"/>
        </w:rPr>
        <w:tab/>
        <w:t xml:space="preserve">Ballo, O. </w:t>
      </w:r>
      <w:r w:rsidRPr="000F55FD">
        <w:rPr>
          <w:i/>
          <w:iCs/>
          <w:noProof/>
          <w:sz w:val="20"/>
          <w:lang w:val="en-US"/>
        </w:rPr>
        <w:t>et al.</w:t>
      </w:r>
      <w:r w:rsidRPr="000F55FD">
        <w:rPr>
          <w:noProof/>
          <w:sz w:val="20"/>
          <w:lang w:val="en-US"/>
        </w:rPr>
        <w:t xml:space="preserve"> Colonization with multidrug resistant organisms determines the clinical course of patients with acute myeloid leukemia undergoing intensive induction chemotherapy. </w:t>
      </w:r>
      <w:r w:rsidRPr="000F55FD">
        <w:rPr>
          <w:i/>
          <w:iCs/>
          <w:noProof/>
          <w:sz w:val="20"/>
          <w:lang w:val="en-US"/>
        </w:rPr>
        <w:t>PLoS One</w:t>
      </w:r>
      <w:r w:rsidRPr="000F55FD">
        <w:rPr>
          <w:noProof/>
          <w:sz w:val="20"/>
          <w:lang w:val="en-US"/>
        </w:rPr>
        <w:t xml:space="preserve"> </w:t>
      </w:r>
      <w:r w:rsidRPr="000F55FD">
        <w:rPr>
          <w:b/>
          <w:bCs/>
          <w:noProof/>
          <w:sz w:val="20"/>
          <w:lang w:val="en-US"/>
        </w:rPr>
        <w:t>14</w:t>
      </w:r>
      <w:r w:rsidRPr="000F55FD">
        <w:rPr>
          <w:noProof/>
          <w:sz w:val="20"/>
          <w:lang w:val="en-US"/>
        </w:rPr>
        <w:t>, 1–12 (2019).</w:t>
      </w:r>
    </w:p>
    <w:p w14:paraId="6E6844DE"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73.</w:t>
      </w:r>
      <w:r w:rsidRPr="000F55FD">
        <w:rPr>
          <w:noProof/>
          <w:sz w:val="20"/>
          <w:lang w:val="en-US"/>
        </w:rPr>
        <w:tab/>
        <w:t xml:space="preserve">Demiraslan, H. </w:t>
      </w:r>
      <w:r w:rsidRPr="000F55FD">
        <w:rPr>
          <w:i/>
          <w:iCs/>
          <w:noProof/>
          <w:sz w:val="20"/>
          <w:lang w:val="en-US"/>
        </w:rPr>
        <w:t>et al.</w:t>
      </w:r>
      <w:r w:rsidRPr="000F55FD">
        <w:rPr>
          <w:noProof/>
          <w:sz w:val="20"/>
          <w:lang w:val="en-US"/>
        </w:rPr>
        <w:t xml:space="preserve"> Is surveillance for colonization of carbapenem-resistant gram-negative bacteria important in adult bone marrow transplantation units? </w:t>
      </w:r>
      <w:r w:rsidRPr="000F55FD">
        <w:rPr>
          <w:i/>
          <w:iCs/>
          <w:noProof/>
          <w:sz w:val="20"/>
          <w:lang w:val="en-US"/>
        </w:rPr>
        <w:t>Am. J. Infect. Control</w:t>
      </w:r>
      <w:r w:rsidRPr="000F55FD">
        <w:rPr>
          <w:noProof/>
          <w:sz w:val="20"/>
          <w:lang w:val="en-US"/>
        </w:rPr>
        <w:t xml:space="preserve"> </w:t>
      </w:r>
      <w:r w:rsidRPr="000F55FD">
        <w:rPr>
          <w:b/>
          <w:bCs/>
          <w:noProof/>
          <w:sz w:val="20"/>
          <w:lang w:val="en-US"/>
        </w:rPr>
        <w:t>45</w:t>
      </w:r>
      <w:r w:rsidRPr="000F55FD">
        <w:rPr>
          <w:noProof/>
          <w:sz w:val="20"/>
          <w:lang w:val="en-US"/>
        </w:rPr>
        <w:t>, 735–739 (2017).</w:t>
      </w:r>
    </w:p>
    <w:p w14:paraId="3126ED9D"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74.</w:t>
      </w:r>
      <w:r w:rsidRPr="000F55FD">
        <w:rPr>
          <w:noProof/>
          <w:sz w:val="20"/>
          <w:lang w:val="en-US"/>
        </w:rPr>
        <w:tab/>
        <w:t xml:space="preserve">Habip, G. </w:t>
      </w:r>
      <w:r w:rsidRPr="000F55FD">
        <w:rPr>
          <w:i/>
          <w:iCs/>
          <w:noProof/>
          <w:sz w:val="20"/>
          <w:lang w:val="en-US"/>
        </w:rPr>
        <w:t>et al.</w:t>
      </w:r>
      <w:r w:rsidRPr="000F55FD">
        <w:rPr>
          <w:noProof/>
          <w:sz w:val="20"/>
          <w:lang w:val="en-US"/>
        </w:rPr>
        <w:t xml:space="preserve"> Vancomycin-resistant enterococci colonization in patients with hematological malignancies: Screening and its cost-effectiveness. </w:t>
      </w:r>
      <w:r w:rsidRPr="000F55FD">
        <w:rPr>
          <w:i/>
          <w:iCs/>
          <w:noProof/>
          <w:sz w:val="20"/>
          <w:lang w:val="en-US"/>
        </w:rPr>
        <w:t>Afr. Health Sci.</w:t>
      </w:r>
      <w:r w:rsidRPr="000F55FD">
        <w:rPr>
          <w:noProof/>
          <w:sz w:val="20"/>
          <w:lang w:val="en-US"/>
        </w:rPr>
        <w:t xml:space="preserve"> </w:t>
      </w:r>
      <w:r w:rsidRPr="000F55FD">
        <w:rPr>
          <w:b/>
          <w:bCs/>
          <w:noProof/>
          <w:sz w:val="20"/>
          <w:lang w:val="en-US"/>
        </w:rPr>
        <w:t>14</w:t>
      </w:r>
      <w:r w:rsidRPr="000F55FD">
        <w:rPr>
          <w:noProof/>
          <w:sz w:val="20"/>
          <w:lang w:val="en-US"/>
        </w:rPr>
        <w:t>, 899–905 (2014).</w:t>
      </w:r>
    </w:p>
    <w:p w14:paraId="3D766857"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75.</w:t>
      </w:r>
      <w:r w:rsidRPr="000F55FD">
        <w:rPr>
          <w:noProof/>
          <w:sz w:val="20"/>
          <w:lang w:val="en-US"/>
        </w:rPr>
        <w:tab/>
        <w:t xml:space="preserve">Girmenia, C. </w:t>
      </w:r>
      <w:r w:rsidRPr="000F55FD">
        <w:rPr>
          <w:i/>
          <w:iCs/>
          <w:noProof/>
          <w:sz w:val="20"/>
          <w:lang w:val="en-US"/>
        </w:rPr>
        <w:t>et al.</w:t>
      </w:r>
      <w:r w:rsidRPr="000F55FD">
        <w:rPr>
          <w:noProof/>
          <w:sz w:val="20"/>
          <w:lang w:val="en-US"/>
        </w:rPr>
        <w:t xml:space="preserve"> Infections by carbapenem-resistant Klebsiella pneumoniae in SCT recipients: A nationwide retrospective survey from Italy. </w:t>
      </w:r>
      <w:r w:rsidRPr="000F55FD">
        <w:rPr>
          <w:i/>
          <w:iCs/>
          <w:noProof/>
          <w:sz w:val="20"/>
          <w:lang w:val="en-US"/>
        </w:rPr>
        <w:t>Bone Marrow Transplant.</w:t>
      </w:r>
      <w:r w:rsidRPr="000F55FD">
        <w:rPr>
          <w:noProof/>
          <w:sz w:val="20"/>
          <w:lang w:val="en-US"/>
        </w:rPr>
        <w:t xml:space="preserve"> </w:t>
      </w:r>
      <w:r w:rsidRPr="000F55FD">
        <w:rPr>
          <w:b/>
          <w:bCs/>
          <w:noProof/>
          <w:sz w:val="20"/>
          <w:lang w:val="en-US"/>
        </w:rPr>
        <w:t>50</w:t>
      </w:r>
      <w:r w:rsidRPr="000F55FD">
        <w:rPr>
          <w:noProof/>
          <w:sz w:val="20"/>
          <w:lang w:val="en-US"/>
        </w:rPr>
        <w:t>, 282–288 (2015).</w:t>
      </w:r>
    </w:p>
    <w:p w14:paraId="028DB650"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76.</w:t>
      </w:r>
      <w:r w:rsidRPr="000F55FD">
        <w:rPr>
          <w:noProof/>
          <w:sz w:val="20"/>
          <w:lang w:val="en-US"/>
        </w:rPr>
        <w:tab/>
        <w:t xml:space="preserve">Heidenreich, D. </w:t>
      </w:r>
      <w:r w:rsidRPr="000F55FD">
        <w:rPr>
          <w:i/>
          <w:iCs/>
          <w:noProof/>
          <w:sz w:val="20"/>
          <w:lang w:val="en-US"/>
        </w:rPr>
        <w:t>et al.</w:t>
      </w:r>
      <w:r w:rsidRPr="000F55FD">
        <w:rPr>
          <w:noProof/>
          <w:sz w:val="20"/>
          <w:lang w:val="en-US"/>
        </w:rPr>
        <w:t xml:space="preserve"> Course of colonization by multidrug-resistant organisms after allogeneic hematopoietic cell transplantation. </w:t>
      </w:r>
      <w:r w:rsidRPr="000F55FD">
        <w:rPr>
          <w:i/>
          <w:iCs/>
          <w:noProof/>
          <w:sz w:val="20"/>
          <w:lang w:val="en-US"/>
        </w:rPr>
        <w:t>Ann. Hematol.</w:t>
      </w:r>
      <w:r w:rsidRPr="000F55FD">
        <w:rPr>
          <w:noProof/>
          <w:sz w:val="20"/>
          <w:lang w:val="en-US"/>
        </w:rPr>
        <w:t xml:space="preserve"> </w:t>
      </w:r>
      <w:r w:rsidRPr="000F55FD">
        <w:rPr>
          <w:b/>
          <w:bCs/>
          <w:noProof/>
          <w:sz w:val="20"/>
          <w:lang w:val="en-US"/>
        </w:rPr>
        <w:t>97</w:t>
      </w:r>
      <w:r w:rsidRPr="000F55FD">
        <w:rPr>
          <w:noProof/>
          <w:sz w:val="20"/>
          <w:lang w:val="en-US"/>
        </w:rPr>
        <w:t>, 2501–2508 (2018).</w:t>
      </w:r>
    </w:p>
    <w:p w14:paraId="1197D356"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77.</w:t>
      </w:r>
      <w:r w:rsidRPr="000F55FD">
        <w:rPr>
          <w:noProof/>
          <w:sz w:val="20"/>
          <w:lang w:val="en-US"/>
        </w:rPr>
        <w:tab/>
        <w:t xml:space="preserve">Kolar, M. </w:t>
      </w:r>
      <w:r w:rsidRPr="000F55FD">
        <w:rPr>
          <w:i/>
          <w:iCs/>
          <w:noProof/>
          <w:sz w:val="20"/>
          <w:lang w:val="en-US"/>
        </w:rPr>
        <w:t>et al.</w:t>
      </w:r>
      <w:r w:rsidRPr="000F55FD">
        <w:rPr>
          <w:noProof/>
          <w:sz w:val="20"/>
          <w:lang w:val="en-US"/>
        </w:rPr>
        <w:t xml:space="preserve"> Incidence of fecal enterobacteriaceae producing broad-spectrum beta-lactamases in patients with hematological malignancies. </w:t>
      </w:r>
      <w:r w:rsidRPr="000F55FD">
        <w:rPr>
          <w:i/>
          <w:iCs/>
          <w:noProof/>
          <w:sz w:val="20"/>
          <w:lang w:val="en-US"/>
        </w:rPr>
        <w:t>Biomed. Pap.</w:t>
      </w:r>
      <w:r w:rsidRPr="000F55FD">
        <w:rPr>
          <w:noProof/>
          <w:sz w:val="20"/>
          <w:lang w:val="en-US"/>
        </w:rPr>
        <w:t xml:space="preserve"> </w:t>
      </w:r>
      <w:r w:rsidRPr="000F55FD">
        <w:rPr>
          <w:b/>
          <w:bCs/>
          <w:noProof/>
          <w:sz w:val="20"/>
          <w:lang w:val="en-US"/>
        </w:rPr>
        <w:t>159</w:t>
      </w:r>
      <w:r w:rsidRPr="000F55FD">
        <w:rPr>
          <w:noProof/>
          <w:sz w:val="20"/>
          <w:lang w:val="en-US"/>
        </w:rPr>
        <w:t>, 100–103 (2015).</w:t>
      </w:r>
    </w:p>
    <w:p w14:paraId="08934D89"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78.</w:t>
      </w:r>
      <w:r w:rsidRPr="000F55FD">
        <w:rPr>
          <w:noProof/>
          <w:sz w:val="20"/>
          <w:lang w:val="en-US"/>
        </w:rPr>
        <w:tab/>
        <w:t xml:space="preserve">Kossow, A. </w:t>
      </w:r>
      <w:r w:rsidRPr="000F55FD">
        <w:rPr>
          <w:i/>
          <w:iCs/>
          <w:noProof/>
          <w:sz w:val="20"/>
          <w:lang w:val="en-US"/>
        </w:rPr>
        <w:t>et al.</w:t>
      </w:r>
      <w:r w:rsidRPr="000F55FD">
        <w:rPr>
          <w:noProof/>
          <w:sz w:val="20"/>
          <w:lang w:val="en-US"/>
        </w:rPr>
        <w:t xml:space="preserve"> Control of multidrug-resistant pseudomonas aeruginosa in allogeneic hematopoietic stem cell transplant recipients by a novel bundle including remodeling of sanitary and water supply systems. </w:t>
      </w:r>
      <w:r w:rsidRPr="000F55FD">
        <w:rPr>
          <w:i/>
          <w:iCs/>
          <w:noProof/>
          <w:sz w:val="20"/>
          <w:lang w:val="en-US"/>
        </w:rPr>
        <w:t>Clin. Infect. Dis.</w:t>
      </w:r>
      <w:r w:rsidRPr="000F55FD">
        <w:rPr>
          <w:noProof/>
          <w:sz w:val="20"/>
          <w:lang w:val="en-US"/>
        </w:rPr>
        <w:t xml:space="preserve"> </w:t>
      </w:r>
      <w:r w:rsidRPr="000F55FD">
        <w:rPr>
          <w:b/>
          <w:bCs/>
          <w:noProof/>
          <w:sz w:val="20"/>
          <w:lang w:val="en-US"/>
        </w:rPr>
        <w:t>65</w:t>
      </w:r>
      <w:r w:rsidRPr="000F55FD">
        <w:rPr>
          <w:noProof/>
          <w:sz w:val="20"/>
          <w:lang w:val="en-US"/>
        </w:rPr>
        <w:t>, 935–942 (2017).</w:t>
      </w:r>
    </w:p>
    <w:p w14:paraId="1612293C"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79.</w:t>
      </w:r>
      <w:r w:rsidRPr="000F55FD">
        <w:rPr>
          <w:noProof/>
          <w:sz w:val="20"/>
          <w:lang w:val="en-US"/>
        </w:rPr>
        <w:tab/>
        <w:t xml:space="preserve">Micozzi, A. </w:t>
      </w:r>
      <w:r w:rsidRPr="000F55FD">
        <w:rPr>
          <w:i/>
          <w:iCs/>
          <w:noProof/>
          <w:sz w:val="20"/>
          <w:lang w:val="en-US"/>
        </w:rPr>
        <w:t>et al.</w:t>
      </w:r>
      <w:r w:rsidRPr="000F55FD">
        <w:rPr>
          <w:noProof/>
          <w:sz w:val="20"/>
          <w:lang w:val="en-US"/>
        </w:rPr>
        <w:t xml:space="preserve"> Carbapenem-resistant Klebsiella pneumoniae in high-risk haematological patients:  factors favouring spread, risk factors and outcome of carbapenem-resistant Klebsiella pneumoniae bacteremias. </w:t>
      </w:r>
      <w:r w:rsidRPr="000F55FD">
        <w:rPr>
          <w:i/>
          <w:iCs/>
          <w:noProof/>
          <w:sz w:val="20"/>
          <w:lang w:val="en-US"/>
        </w:rPr>
        <w:t>BMC Infect. Dis.</w:t>
      </w:r>
      <w:r w:rsidRPr="000F55FD">
        <w:rPr>
          <w:noProof/>
          <w:sz w:val="20"/>
          <w:lang w:val="en-US"/>
        </w:rPr>
        <w:t xml:space="preserve"> </w:t>
      </w:r>
      <w:r w:rsidRPr="000F55FD">
        <w:rPr>
          <w:b/>
          <w:bCs/>
          <w:noProof/>
          <w:sz w:val="20"/>
          <w:lang w:val="en-US"/>
        </w:rPr>
        <w:t>17</w:t>
      </w:r>
      <w:r w:rsidRPr="000F55FD">
        <w:rPr>
          <w:noProof/>
          <w:sz w:val="20"/>
          <w:lang w:val="en-US"/>
        </w:rPr>
        <w:t>, 203 (2017).</w:t>
      </w:r>
    </w:p>
    <w:p w14:paraId="51C49992"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80.</w:t>
      </w:r>
      <w:r w:rsidRPr="000F55FD">
        <w:rPr>
          <w:noProof/>
          <w:sz w:val="20"/>
          <w:lang w:val="en-US"/>
        </w:rPr>
        <w:tab/>
        <w:t xml:space="preserve">Scheich, S. </w:t>
      </w:r>
      <w:r w:rsidRPr="000F55FD">
        <w:rPr>
          <w:i/>
          <w:iCs/>
          <w:noProof/>
          <w:sz w:val="20"/>
          <w:lang w:val="en-US"/>
        </w:rPr>
        <w:t>et al.</w:t>
      </w:r>
      <w:r w:rsidRPr="000F55FD">
        <w:rPr>
          <w:noProof/>
          <w:sz w:val="20"/>
          <w:lang w:val="en-US"/>
        </w:rPr>
        <w:t xml:space="preserve"> Clinical Impact of Colonization with Multidrug-Resistant Organisms on Outcome after Autologous Stem Cell Transplantation: A Retrospective Single-Center Study. </w:t>
      </w:r>
      <w:r w:rsidRPr="000F55FD">
        <w:rPr>
          <w:i/>
          <w:iCs/>
          <w:noProof/>
          <w:sz w:val="20"/>
          <w:lang w:val="en-US"/>
        </w:rPr>
        <w:t>Biol. Blood Marrow Transplant.</w:t>
      </w:r>
      <w:r w:rsidRPr="000F55FD">
        <w:rPr>
          <w:noProof/>
          <w:sz w:val="20"/>
          <w:lang w:val="en-US"/>
        </w:rPr>
        <w:t xml:space="preserve"> </w:t>
      </w:r>
      <w:r w:rsidRPr="000F55FD">
        <w:rPr>
          <w:b/>
          <w:bCs/>
          <w:noProof/>
          <w:sz w:val="20"/>
          <w:lang w:val="en-US"/>
        </w:rPr>
        <w:t>23</w:t>
      </w:r>
      <w:r w:rsidRPr="000F55FD">
        <w:rPr>
          <w:noProof/>
          <w:sz w:val="20"/>
          <w:lang w:val="en-US"/>
        </w:rPr>
        <w:t>, 1455–1462 (2017).</w:t>
      </w:r>
    </w:p>
    <w:p w14:paraId="7E444768"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81.</w:t>
      </w:r>
      <w:r w:rsidRPr="000F55FD">
        <w:rPr>
          <w:noProof/>
          <w:sz w:val="20"/>
          <w:lang w:val="en-US"/>
        </w:rPr>
        <w:tab/>
        <w:t xml:space="preserve">Scheich, S. </w:t>
      </w:r>
      <w:r w:rsidRPr="000F55FD">
        <w:rPr>
          <w:i/>
          <w:iCs/>
          <w:noProof/>
          <w:sz w:val="20"/>
          <w:lang w:val="en-US"/>
        </w:rPr>
        <w:t>et al.</w:t>
      </w:r>
      <w:r w:rsidRPr="000F55FD">
        <w:rPr>
          <w:noProof/>
          <w:sz w:val="20"/>
          <w:lang w:val="en-US"/>
        </w:rPr>
        <w:t xml:space="preserve"> Stenotrophomonas maltophilia colonization during allogeneic hematopoietic stem cell transplantation is associated with impaired survival. </w:t>
      </w:r>
      <w:r w:rsidRPr="000F55FD">
        <w:rPr>
          <w:i/>
          <w:iCs/>
          <w:noProof/>
          <w:sz w:val="20"/>
          <w:lang w:val="en-US"/>
        </w:rPr>
        <w:t>PLoS One</w:t>
      </w:r>
      <w:r w:rsidRPr="000F55FD">
        <w:rPr>
          <w:noProof/>
          <w:sz w:val="20"/>
          <w:lang w:val="en-US"/>
        </w:rPr>
        <w:t xml:space="preserve"> </w:t>
      </w:r>
      <w:r w:rsidRPr="000F55FD">
        <w:rPr>
          <w:b/>
          <w:bCs/>
          <w:noProof/>
          <w:sz w:val="20"/>
          <w:lang w:val="en-US"/>
        </w:rPr>
        <w:t>13</w:t>
      </w:r>
      <w:r w:rsidRPr="000F55FD">
        <w:rPr>
          <w:noProof/>
          <w:sz w:val="20"/>
          <w:lang w:val="en-US"/>
        </w:rPr>
        <w:t>, 1–14 (2018).</w:t>
      </w:r>
    </w:p>
    <w:p w14:paraId="1C746B07"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82.</w:t>
      </w:r>
      <w:r w:rsidRPr="000F55FD">
        <w:rPr>
          <w:noProof/>
          <w:sz w:val="20"/>
          <w:lang w:val="en-US"/>
        </w:rPr>
        <w:tab/>
        <w:t xml:space="preserve">Vehreschild, M. J. G. T. </w:t>
      </w:r>
      <w:r w:rsidRPr="000F55FD">
        <w:rPr>
          <w:i/>
          <w:iCs/>
          <w:noProof/>
          <w:sz w:val="20"/>
          <w:lang w:val="en-US"/>
        </w:rPr>
        <w:t>et al.</w:t>
      </w:r>
      <w:r w:rsidRPr="000F55FD">
        <w:rPr>
          <w:noProof/>
          <w:sz w:val="20"/>
          <w:lang w:val="en-US"/>
        </w:rPr>
        <w:t xml:space="preserve"> A multicentre cohort study on colonization and infection with ESBL-producing Enterobacteriaceae in high-risk patients with haematological malignancies. </w:t>
      </w:r>
      <w:r w:rsidRPr="000F55FD">
        <w:rPr>
          <w:i/>
          <w:iCs/>
          <w:noProof/>
          <w:sz w:val="20"/>
          <w:lang w:val="en-US"/>
        </w:rPr>
        <w:t>J. Antimicrob. Chemother.</w:t>
      </w:r>
      <w:r w:rsidRPr="000F55FD">
        <w:rPr>
          <w:noProof/>
          <w:sz w:val="20"/>
          <w:lang w:val="en-US"/>
        </w:rPr>
        <w:t xml:space="preserve"> </w:t>
      </w:r>
      <w:r w:rsidRPr="000F55FD">
        <w:rPr>
          <w:b/>
          <w:bCs/>
          <w:noProof/>
          <w:sz w:val="20"/>
          <w:lang w:val="en-US"/>
        </w:rPr>
        <w:t>69</w:t>
      </w:r>
      <w:r w:rsidRPr="000F55FD">
        <w:rPr>
          <w:noProof/>
          <w:sz w:val="20"/>
          <w:lang w:val="en-US"/>
        </w:rPr>
        <w:t>, 3387–3392 (2014).</w:t>
      </w:r>
    </w:p>
    <w:p w14:paraId="393AA3F7"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lastRenderedPageBreak/>
        <w:t>83.</w:t>
      </w:r>
      <w:r w:rsidRPr="000F55FD">
        <w:rPr>
          <w:noProof/>
          <w:sz w:val="20"/>
          <w:lang w:val="en-US"/>
        </w:rPr>
        <w:tab/>
        <w:t xml:space="preserve">Magiorakos, A.-P. </w:t>
      </w:r>
      <w:r w:rsidRPr="000F55FD">
        <w:rPr>
          <w:i/>
          <w:iCs/>
          <w:noProof/>
          <w:sz w:val="20"/>
          <w:lang w:val="en-US"/>
        </w:rPr>
        <w:t>et al.</w:t>
      </w:r>
      <w:r w:rsidRPr="000F55FD">
        <w:rPr>
          <w:noProof/>
          <w:sz w:val="20"/>
          <w:lang w:val="en-US"/>
        </w:rPr>
        <w:t xml:space="preserve"> Multidrug-resistant, extensively drug-resistant and pandrug-resistant bacteria: an international expert proposal for interim standard definitions for acquired resistance. </w:t>
      </w:r>
      <w:r w:rsidRPr="000F55FD">
        <w:rPr>
          <w:i/>
          <w:iCs/>
          <w:noProof/>
          <w:sz w:val="20"/>
          <w:lang w:val="en-US"/>
        </w:rPr>
        <w:t>Clin. Microbiol. Infect.</w:t>
      </w:r>
      <w:r w:rsidRPr="000F55FD">
        <w:rPr>
          <w:noProof/>
          <w:sz w:val="20"/>
          <w:lang w:val="en-US"/>
        </w:rPr>
        <w:t xml:space="preserve"> </w:t>
      </w:r>
      <w:r w:rsidRPr="000F55FD">
        <w:rPr>
          <w:b/>
          <w:bCs/>
          <w:noProof/>
          <w:sz w:val="20"/>
          <w:lang w:val="en-US"/>
        </w:rPr>
        <w:t>18</w:t>
      </w:r>
      <w:r w:rsidRPr="000F55FD">
        <w:rPr>
          <w:noProof/>
          <w:sz w:val="20"/>
          <w:lang w:val="en-US"/>
        </w:rPr>
        <w:t>, 268–281 (2012).</w:t>
      </w:r>
    </w:p>
    <w:p w14:paraId="19B10BF5"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84.</w:t>
      </w:r>
      <w:r w:rsidRPr="000F55FD">
        <w:rPr>
          <w:noProof/>
          <w:sz w:val="20"/>
          <w:lang w:val="en-US"/>
        </w:rPr>
        <w:tab/>
        <w:t xml:space="preserve">Kadri, S. S. </w:t>
      </w:r>
      <w:r w:rsidRPr="000F55FD">
        <w:rPr>
          <w:i/>
          <w:iCs/>
          <w:noProof/>
          <w:sz w:val="20"/>
          <w:lang w:val="en-US"/>
        </w:rPr>
        <w:t>et al.</w:t>
      </w:r>
      <w:r w:rsidRPr="000F55FD">
        <w:rPr>
          <w:noProof/>
          <w:sz w:val="20"/>
          <w:lang w:val="en-US"/>
        </w:rPr>
        <w:t xml:space="preserve"> Difficult-to-treat resistance in gram-negative bacteremia at 173 US hospitals: Retrospective cohort analysis of prevalence, predictors, and outcome of resistance to all first-line agents. </w:t>
      </w:r>
      <w:r w:rsidRPr="000F55FD">
        <w:rPr>
          <w:i/>
          <w:iCs/>
          <w:noProof/>
          <w:sz w:val="20"/>
          <w:lang w:val="en-US"/>
        </w:rPr>
        <w:t>Clin. Infect. Dis.</w:t>
      </w:r>
      <w:r w:rsidRPr="000F55FD">
        <w:rPr>
          <w:noProof/>
          <w:sz w:val="20"/>
          <w:lang w:val="en-US"/>
        </w:rPr>
        <w:t xml:space="preserve"> </w:t>
      </w:r>
      <w:r w:rsidRPr="000F55FD">
        <w:rPr>
          <w:b/>
          <w:bCs/>
          <w:noProof/>
          <w:sz w:val="20"/>
          <w:lang w:val="en-US"/>
        </w:rPr>
        <w:t>67</w:t>
      </w:r>
      <w:r w:rsidRPr="000F55FD">
        <w:rPr>
          <w:noProof/>
          <w:sz w:val="20"/>
          <w:lang w:val="en-US"/>
        </w:rPr>
        <w:t>, 1803–1814 (2018).</w:t>
      </w:r>
    </w:p>
    <w:p w14:paraId="38246596" w14:textId="77777777" w:rsidR="00493429" w:rsidRPr="000F55FD" w:rsidRDefault="00493429" w:rsidP="00493429">
      <w:pPr>
        <w:widowControl w:val="0"/>
        <w:autoSpaceDE w:val="0"/>
        <w:autoSpaceDN w:val="0"/>
        <w:adjustRightInd w:val="0"/>
        <w:spacing w:line="360" w:lineRule="auto"/>
        <w:ind w:left="640" w:hanging="640"/>
        <w:rPr>
          <w:noProof/>
          <w:sz w:val="20"/>
          <w:lang w:val="en-US"/>
        </w:rPr>
      </w:pPr>
      <w:r w:rsidRPr="000F55FD">
        <w:rPr>
          <w:noProof/>
          <w:sz w:val="20"/>
          <w:lang w:val="en-US"/>
        </w:rPr>
        <w:t>85.</w:t>
      </w:r>
      <w:r w:rsidRPr="000F55FD">
        <w:rPr>
          <w:noProof/>
          <w:sz w:val="20"/>
          <w:lang w:val="en-US"/>
        </w:rPr>
        <w:tab/>
        <w:t xml:space="preserve">Tamma, P. D. </w:t>
      </w:r>
      <w:r w:rsidRPr="000F55FD">
        <w:rPr>
          <w:i/>
          <w:iCs/>
          <w:noProof/>
          <w:sz w:val="20"/>
          <w:lang w:val="en-US"/>
        </w:rPr>
        <w:t>et al.</w:t>
      </w:r>
      <w:r w:rsidRPr="000F55FD">
        <w:rPr>
          <w:noProof/>
          <w:sz w:val="20"/>
          <w:lang w:val="en-US"/>
        </w:rPr>
        <w:t xml:space="preserve"> Infectious Diseases Society of America 2024 Guidance on the Treatment of Antimicrobial-Resistant Gram-Negative Infections. </w:t>
      </w:r>
      <w:r w:rsidRPr="000F55FD">
        <w:rPr>
          <w:i/>
          <w:iCs/>
          <w:noProof/>
          <w:sz w:val="20"/>
          <w:lang w:val="en-US"/>
        </w:rPr>
        <w:t>Clin. Infect. Dis.</w:t>
      </w:r>
      <w:r w:rsidRPr="000F55FD">
        <w:rPr>
          <w:noProof/>
          <w:sz w:val="20"/>
          <w:lang w:val="en-US"/>
        </w:rPr>
        <w:t xml:space="preserve"> </w:t>
      </w:r>
      <w:r w:rsidRPr="000F55FD">
        <w:rPr>
          <w:b/>
          <w:bCs/>
          <w:noProof/>
          <w:sz w:val="20"/>
          <w:lang w:val="en-US"/>
        </w:rPr>
        <w:t>00</w:t>
      </w:r>
      <w:r w:rsidRPr="000F55FD">
        <w:rPr>
          <w:noProof/>
          <w:sz w:val="20"/>
          <w:lang w:val="en-US"/>
        </w:rPr>
        <w:t>, 1–56 (2024).</w:t>
      </w:r>
    </w:p>
    <w:p w14:paraId="6759EC14" w14:textId="77777777" w:rsidR="00493429" w:rsidRPr="00493429" w:rsidRDefault="00493429" w:rsidP="00493429">
      <w:pPr>
        <w:widowControl w:val="0"/>
        <w:autoSpaceDE w:val="0"/>
        <w:autoSpaceDN w:val="0"/>
        <w:adjustRightInd w:val="0"/>
        <w:spacing w:line="360" w:lineRule="auto"/>
        <w:ind w:left="640" w:hanging="640"/>
        <w:rPr>
          <w:noProof/>
          <w:sz w:val="20"/>
        </w:rPr>
      </w:pPr>
      <w:r w:rsidRPr="000F55FD">
        <w:rPr>
          <w:noProof/>
          <w:sz w:val="20"/>
          <w:lang w:val="en-US"/>
        </w:rPr>
        <w:t>86.</w:t>
      </w:r>
      <w:r w:rsidRPr="000F55FD">
        <w:rPr>
          <w:noProof/>
          <w:sz w:val="20"/>
          <w:lang w:val="en-US"/>
        </w:rPr>
        <w:tab/>
        <w:t xml:space="preserve">Paul, M. </w:t>
      </w:r>
      <w:r w:rsidRPr="000F55FD">
        <w:rPr>
          <w:i/>
          <w:iCs/>
          <w:noProof/>
          <w:sz w:val="20"/>
          <w:lang w:val="en-US"/>
        </w:rPr>
        <w:t>et al.</w:t>
      </w:r>
      <w:r w:rsidRPr="000F55FD">
        <w:rPr>
          <w:noProof/>
          <w:sz w:val="20"/>
          <w:lang w:val="en-US"/>
        </w:rPr>
        <w:t xml:space="preserve"> European Society of Clinical Microbiology and Infectious Diseases (ESCMID) guidelines for the treatment of infections caused by multidrug-resistant Gram-negative bacilli (endorsed by European society of intensive care medicine). </w:t>
      </w:r>
      <w:r w:rsidRPr="00493429">
        <w:rPr>
          <w:i/>
          <w:iCs/>
          <w:noProof/>
          <w:sz w:val="20"/>
        </w:rPr>
        <w:t>Clin. Microbiol. Infect.</w:t>
      </w:r>
      <w:r w:rsidRPr="00493429">
        <w:rPr>
          <w:noProof/>
          <w:sz w:val="20"/>
        </w:rPr>
        <w:t xml:space="preserve"> </w:t>
      </w:r>
      <w:r w:rsidRPr="00493429">
        <w:rPr>
          <w:b/>
          <w:bCs/>
          <w:noProof/>
          <w:sz w:val="20"/>
        </w:rPr>
        <w:t>28</w:t>
      </w:r>
      <w:r w:rsidRPr="00493429">
        <w:rPr>
          <w:noProof/>
          <w:sz w:val="20"/>
        </w:rPr>
        <w:t>, 521–547 (2022).</w:t>
      </w:r>
    </w:p>
    <w:p w14:paraId="7FEC9993" w14:textId="7FC2AB21" w:rsidR="006A71D1" w:rsidRPr="00A075D5" w:rsidRDefault="00E129D1" w:rsidP="00493429">
      <w:pPr>
        <w:widowControl w:val="0"/>
        <w:autoSpaceDE w:val="0"/>
        <w:autoSpaceDN w:val="0"/>
        <w:adjustRightInd w:val="0"/>
        <w:spacing w:line="360" w:lineRule="auto"/>
        <w:ind w:left="640" w:hanging="640"/>
        <w:rPr>
          <w:color w:val="000000" w:themeColor="text1"/>
          <w:lang w:val="en-US"/>
        </w:rPr>
      </w:pPr>
      <w:r w:rsidRPr="00E129D1">
        <w:rPr>
          <w:color w:val="000000" w:themeColor="text1"/>
          <w:sz w:val="20"/>
          <w:szCs w:val="20"/>
          <w:lang w:val="en-US"/>
        </w:rPr>
        <w:fldChar w:fldCharType="end"/>
      </w:r>
    </w:p>
    <w:sectPr w:rsidR="006A71D1" w:rsidRPr="00A075D5" w:rsidSect="00F44DB5">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Lucida Grande">
    <w:altName w:val="Lucida Grande"/>
    <w:panose1 w:val="020B0600040502020204"/>
    <w:charset w:val="00"/>
    <w:family w:val="swiss"/>
    <w:pitch w:val="variable"/>
    <w:sig w:usb0="E1000AEF" w:usb1="5000A1FF" w:usb2="00000000" w:usb3="00000000" w:csb0="000001B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0580283"/>
    <w:multiLevelType w:val="hybridMultilevel"/>
    <w:tmpl w:val="70A84990"/>
    <w:lvl w:ilvl="0" w:tplc="22D6C202">
      <w:start w:val="1"/>
      <w:numFmt w:val="bullet"/>
      <w:lvlText w:val=""/>
      <w:lvlJc w:val="left"/>
      <w:pPr>
        <w:ind w:left="420" w:hanging="360"/>
      </w:pPr>
      <w:rPr>
        <w:rFonts w:ascii="Symbol" w:eastAsiaTheme="minorHAnsi" w:hAnsi="Symbol" w:cs="Times New Roman"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abstractNum w:abstractNumId="1" w15:restartNumberingAfterBreak="0">
    <w:nsid w:val="389D1406"/>
    <w:multiLevelType w:val="hybridMultilevel"/>
    <w:tmpl w:val="D9C05E68"/>
    <w:lvl w:ilvl="0" w:tplc="4296ECD0">
      <w:start w:val="1"/>
      <w:numFmt w:val="bullet"/>
      <w:lvlText w:val="•"/>
      <w:lvlJc w:val="left"/>
      <w:pPr>
        <w:tabs>
          <w:tab w:val="num" w:pos="720"/>
        </w:tabs>
        <w:ind w:left="720" w:hanging="360"/>
      </w:pPr>
      <w:rPr>
        <w:rFonts w:ascii="Arial" w:hAnsi="Arial" w:hint="default"/>
      </w:rPr>
    </w:lvl>
    <w:lvl w:ilvl="1" w:tplc="7166F140">
      <w:start w:val="1"/>
      <w:numFmt w:val="bullet"/>
      <w:lvlText w:val="•"/>
      <w:lvlJc w:val="left"/>
      <w:pPr>
        <w:tabs>
          <w:tab w:val="num" w:pos="1440"/>
        </w:tabs>
        <w:ind w:left="1440" w:hanging="360"/>
      </w:pPr>
      <w:rPr>
        <w:rFonts w:ascii="Arial" w:hAnsi="Arial" w:hint="default"/>
      </w:rPr>
    </w:lvl>
    <w:lvl w:ilvl="2" w:tplc="C388EA94" w:tentative="1">
      <w:start w:val="1"/>
      <w:numFmt w:val="bullet"/>
      <w:lvlText w:val="•"/>
      <w:lvlJc w:val="left"/>
      <w:pPr>
        <w:tabs>
          <w:tab w:val="num" w:pos="2160"/>
        </w:tabs>
        <w:ind w:left="2160" w:hanging="360"/>
      </w:pPr>
      <w:rPr>
        <w:rFonts w:ascii="Arial" w:hAnsi="Arial" w:hint="default"/>
      </w:rPr>
    </w:lvl>
    <w:lvl w:ilvl="3" w:tplc="BBEC0110" w:tentative="1">
      <w:start w:val="1"/>
      <w:numFmt w:val="bullet"/>
      <w:lvlText w:val="•"/>
      <w:lvlJc w:val="left"/>
      <w:pPr>
        <w:tabs>
          <w:tab w:val="num" w:pos="2880"/>
        </w:tabs>
        <w:ind w:left="2880" w:hanging="360"/>
      </w:pPr>
      <w:rPr>
        <w:rFonts w:ascii="Arial" w:hAnsi="Arial" w:hint="default"/>
      </w:rPr>
    </w:lvl>
    <w:lvl w:ilvl="4" w:tplc="FD8C94E0" w:tentative="1">
      <w:start w:val="1"/>
      <w:numFmt w:val="bullet"/>
      <w:lvlText w:val="•"/>
      <w:lvlJc w:val="left"/>
      <w:pPr>
        <w:tabs>
          <w:tab w:val="num" w:pos="3600"/>
        </w:tabs>
        <w:ind w:left="3600" w:hanging="360"/>
      </w:pPr>
      <w:rPr>
        <w:rFonts w:ascii="Arial" w:hAnsi="Arial" w:hint="default"/>
      </w:rPr>
    </w:lvl>
    <w:lvl w:ilvl="5" w:tplc="D4EE64CA" w:tentative="1">
      <w:start w:val="1"/>
      <w:numFmt w:val="bullet"/>
      <w:lvlText w:val="•"/>
      <w:lvlJc w:val="left"/>
      <w:pPr>
        <w:tabs>
          <w:tab w:val="num" w:pos="4320"/>
        </w:tabs>
        <w:ind w:left="4320" w:hanging="360"/>
      </w:pPr>
      <w:rPr>
        <w:rFonts w:ascii="Arial" w:hAnsi="Arial" w:hint="default"/>
      </w:rPr>
    </w:lvl>
    <w:lvl w:ilvl="6" w:tplc="1616C440" w:tentative="1">
      <w:start w:val="1"/>
      <w:numFmt w:val="bullet"/>
      <w:lvlText w:val="•"/>
      <w:lvlJc w:val="left"/>
      <w:pPr>
        <w:tabs>
          <w:tab w:val="num" w:pos="5040"/>
        </w:tabs>
        <w:ind w:left="5040" w:hanging="360"/>
      </w:pPr>
      <w:rPr>
        <w:rFonts w:ascii="Arial" w:hAnsi="Arial" w:hint="default"/>
      </w:rPr>
    </w:lvl>
    <w:lvl w:ilvl="7" w:tplc="4ED483E2" w:tentative="1">
      <w:start w:val="1"/>
      <w:numFmt w:val="bullet"/>
      <w:lvlText w:val="•"/>
      <w:lvlJc w:val="left"/>
      <w:pPr>
        <w:tabs>
          <w:tab w:val="num" w:pos="5760"/>
        </w:tabs>
        <w:ind w:left="5760" w:hanging="360"/>
      </w:pPr>
      <w:rPr>
        <w:rFonts w:ascii="Arial" w:hAnsi="Arial" w:hint="default"/>
      </w:rPr>
    </w:lvl>
    <w:lvl w:ilvl="8" w:tplc="0D08703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64525B26"/>
    <w:multiLevelType w:val="hybridMultilevel"/>
    <w:tmpl w:val="FEA8370E"/>
    <w:lvl w:ilvl="0" w:tplc="72FA77F0">
      <w:start w:val="1"/>
      <w:numFmt w:val="bullet"/>
      <w:lvlText w:val="•"/>
      <w:lvlJc w:val="left"/>
      <w:pPr>
        <w:tabs>
          <w:tab w:val="num" w:pos="720"/>
        </w:tabs>
        <w:ind w:left="720" w:hanging="360"/>
      </w:pPr>
      <w:rPr>
        <w:rFonts w:ascii="Arial" w:hAnsi="Arial" w:hint="default"/>
      </w:rPr>
    </w:lvl>
    <w:lvl w:ilvl="1" w:tplc="8F52E21E">
      <w:start w:val="1"/>
      <w:numFmt w:val="bullet"/>
      <w:lvlText w:val="•"/>
      <w:lvlJc w:val="left"/>
      <w:pPr>
        <w:tabs>
          <w:tab w:val="num" w:pos="1440"/>
        </w:tabs>
        <w:ind w:left="1440" w:hanging="360"/>
      </w:pPr>
      <w:rPr>
        <w:rFonts w:ascii="Arial" w:hAnsi="Arial" w:hint="default"/>
      </w:rPr>
    </w:lvl>
    <w:lvl w:ilvl="2" w:tplc="31D29010" w:tentative="1">
      <w:start w:val="1"/>
      <w:numFmt w:val="bullet"/>
      <w:lvlText w:val="•"/>
      <w:lvlJc w:val="left"/>
      <w:pPr>
        <w:tabs>
          <w:tab w:val="num" w:pos="2160"/>
        </w:tabs>
        <w:ind w:left="2160" w:hanging="360"/>
      </w:pPr>
      <w:rPr>
        <w:rFonts w:ascii="Arial" w:hAnsi="Arial" w:hint="default"/>
      </w:rPr>
    </w:lvl>
    <w:lvl w:ilvl="3" w:tplc="3B30F112" w:tentative="1">
      <w:start w:val="1"/>
      <w:numFmt w:val="bullet"/>
      <w:lvlText w:val="•"/>
      <w:lvlJc w:val="left"/>
      <w:pPr>
        <w:tabs>
          <w:tab w:val="num" w:pos="2880"/>
        </w:tabs>
        <w:ind w:left="2880" w:hanging="360"/>
      </w:pPr>
      <w:rPr>
        <w:rFonts w:ascii="Arial" w:hAnsi="Arial" w:hint="default"/>
      </w:rPr>
    </w:lvl>
    <w:lvl w:ilvl="4" w:tplc="E6226A8A" w:tentative="1">
      <w:start w:val="1"/>
      <w:numFmt w:val="bullet"/>
      <w:lvlText w:val="•"/>
      <w:lvlJc w:val="left"/>
      <w:pPr>
        <w:tabs>
          <w:tab w:val="num" w:pos="3600"/>
        </w:tabs>
        <w:ind w:left="3600" w:hanging="360"/>
      </w:pPr>
      <w:rPr>
        <w:rFonts w:ascii="Arial" w:hAnsi="Arial" w:hint="default"/>
      </w:rPr>
    </w:lvl>
    <w:lvl w:ilvl="5" w:tplc="9AC85A9E" w:tentative="1">
      <w:start w:val="1"/>
      <w:numFmt w:val="bullet"/>
      <w:lvlText w:val="•"/>
      <w:lvlJc w:val="left"/>
      <w:pPr>
        <w:tabs>
          <w:tab w:val="num" w:pos="4320"/>
        </w:tabs>
        <w:ind w:left="4320" w:hanging="360"/>
      </w:pPr>
      <w:rPr>
        <w:rFonts w:ascii="Arial" w:hAnsi="Arial" w:hint="default"/>
      </w:rPr>
    </w:lvl>
    <w:lvl w:ilvl="6" w:tplc="D0504514" w:tentative="1">
      <w:start w:val="1"/>
      <w:numFmt w:val="bullet"/>
      <w:lvlText w:val="•"/>
      <w:lvlJc w:val="left"/>
      <w:pPr>
        <w:tabs>
          <w:tab w:val="num" w:pos="5040"/>
        </w:tabs>
        <w:ind w:left="5040" w:hanging="360"/>
      </w:pPr>
      <w:rPr>
        <w:rFonts w:ascii="Arial" w:hAnsi="Arial" w:hint="default"/>
      </w:rPr>
    </w:lvl>
    <w:lvl w:ilvl="7" w:tplc="780CD760" w:tentative="1">
      <w:start w:val="1"/>
      <w:numFmt w:val="bullet"/>
      <w:lvlText w:val="•"/>
      <w:lvlJc w:val="left"/>
      <w:pPr>
        <w:tabs>
          <w:tab w:val="num" w:pos="5760"/>
        </w:tabs>
        <w:ind w:left="5760" w:hanging="360"/>
      </w:pPr>
      <w:rPr>
        <w:rFonts w:ascii="Arial" w:hAnsi="Arial" w:hint="default"/>
      </w:rPr>
    </w:lvl>
    <w:lvl w:ilvl="8" w:tplc="31A86F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68CF2DA2"/>
    <w:multiLevelType w:val="hybridMultilevel"/>
    <w:tmpl w:val="3B129ECC"/>
    <w:lvl w:ilvl="0" w:tplc="C9B26B2E">
      <w:start w:val="28"/>
      <w:numFmt w:val="bullet"/>
      <w:lvlText w:val=""/>
      <w:lvlJc w:val="left"/>
      <w:pPr>
        <w:ind w:left="720" w:hanging="360"/>
      </w:pPr>
      <w:rPr>
        <w:rFonts w:ascii="Wingdings" w:eastAsiaTheme="minorHAnsi"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B515C62"/>
    <w:multiLevelType w:val="hybridMultilevel"/>
    <w:tmpl w:val="D178858A"/>
    <w:lvl w:ilvl="0" w:tplc="6DF4A950">
      <w:start w:val="1"/>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B7A4108"/>
    <w:multiLevelType w:val="hybridMultilevel"/>
    <w:tmpl w:val="461868F8"/>
    <w:lvl w:ilvl="0" w:tplc="78F83732">
      <w:start w:val="1"/>
      <w:numFmt w:val="bullet"/>
      <w:lvlText w:val="•"/>
      <w:lvlJc w:val="left"/>
      <w:pPr>
        <w:tabs>
          <w:tab w:val="num" w:pos="720"/>
        </w:tabs>
        <w:ind w:left="720" w:hanging="360"/>
      </w:pPr>
      <w:rPr>
        <w:rFonts w:ascii="Arial" w:hAnsi="Arial" w:hint="default"/>
      </w:rPr>
    </w:lvl>
    <w:lvl w:ilvl="1" w:tplc="F2C61C0A">
      <w:start w:val="1"/>
      <w:numFmt w:val="bullet"/>
      <w:lvlText w:val="•"/>
      <w:lvlJc w:val="left"/>
      <w:pPr>
        <w:tabs>
          <w:tab w:val="num" w:pos="1440"/>
        </w:tabs>
        <w:ind w:left="1440" w:hanging="360"/>
      </w:pPr>
      <w:rPr>
        <w:rFonts w:ascii="Arial" w:hAnsi="Arial" w:hint="default"/>
      </w:rPr>
    </w:lvl>
    <w:lvl w:ilvl="2" w:tplc="2D7C79C8" w:tentative="1">
      <w:start w:val="1"/>
      <w:numFmt w:val="bullet"/>
      <w:lvlText w:val="•"/>
      <w:lvlJc w:val="left"/>
      <w:pPr>
        <w:tabs>
          <w:tab w:val="num" w:pos="2160"/>
        </w:tabs>
        <w:ind w:left="2160" w:hanging="360"/>
      </w:pPr>
      <w:rPr>
        <w:rFonts w:ascii="Arial" w:hAnsi="Arial" w:hint="default"/>
      </w:rPr>
    </w:lvl>
    <w:lvl w:ilvl="3" w:tplc="91E8FDB4" w:tentative="1">
      <w:start w:val="1"/>
      <w:numFmt w:val="bullet"/>
      <w:lvlText w:val="•"/>
      <w:lvlJc w:val="left"/>
      <w:pPr>
        <w:tabs>
          <w:tab w:val="num" w:pos="2880"/>
        </w:tabs>
        <w:ind w:left="2880" w:hanging="360"/>
      </w:pPr>
      <w:rPr>
        <w:rFonts w:ascii="Arial" w:hAnsi="Arial" w:hint="default"/>
      </w:rPr>
    </w:lvl>
    <w:lvl w:ilvl="4" w:tplc="943C2C36" w:tentative="1">
      <w:start w:val="1"/>
      <w:numFmt w:val="bullet"/>
      <w:lvlText w:val="•"/>
      <w:lvlJc w:val="left"/>
      <w:pPr>
        <w:tabs>
          <w:tab w:val="num" w:pos="3600"/>
        </w:tabs>
        <w:ind w:left="3600" w:hanging="360"/>
      </w:pPr>
      <w:rPr>
        <w:rFonts w:ascii="Arial" w:hAnsi="Arial" w:hint="default"/>
      </w:rPr>
    </w:lvl>
    <w:lvl w:ilvl="5" w:tplc="8E7EEB52" w:tentative="1">
      <w:start w:val="1"/>
      <w:numFmt w:val="bullet"/>
      <w:lvlText w:val="•"/>
      <w:lvlJc w:val="left"/>
      <w:pPr>
        <w:tabs>
          <w:tab w:val="num" w:pos="4320"/>
        </w:tabs>
        <w:ind w:left="4320" w:hanging="360"/>
      </w:pPr>
      <w:rPr>
        <w:rFonts w:ascii="Arial" w:hAnsi="Arial" w:hint="default"/>
      </w:rPr>
    </w:lvl>
    <w:lvl w:ilvl="6" w:tplc="7216405C" w:tentative="1">
      <w:start w:val="1"/>
      <w:numFmt w:val="bullet"/>
      <w:lvlText w:val="•"/>
      <w:lvlJc w:val="left"/>
      <w:pPr>
        <w:tabs>
          <w:tab w:val="num" w:pos="5040"/>
        </w:tabs>
        <w:ind w:left="5040" w:hanging="360"/>
      </w:pPr>
      <w:rPr>
        <w:rFonts w:ascii="Arial" w:hAnsi="Arial" w:hint="default"/>
      </w:rPr>
    </w:lvl>
    <w:lvl w:ilvl="7" w:tplc="6EAAC9AC" w:tentative="1">
      <w:start w:val="1"/>
      <w:numFmt w:val="bullet"/>
      <w:lvlText w:val="•"/>
      <w:lvlJc w:val="left"/>
      <w:pPr>
        <w:tabs>
          <w:tab w:val="num" w:pos="5760"/>
        </w:tabs>
        <w:ind w:left="5760" w:hanging="360"/>
      </w:pPr>
      <w:rPr>
        <w:rFonts w:ascii="Arial" w:hAnsi="Arial" w:hint="default"/>
      </w:rPr>
    </w:lvl>
    <w:lvl w:ilvl="8" w:tplc="6382DDD4" w:tentative="1">
      <w:start w:val="1"/>
      <w:numFmt w:val="bullet"/>
      <w:lvlText w:val="•"/>
      <w:lvlJc w:val="left"/>
      <w:pPr>
        <w:tabs>
          <w:tab w:val="num" w:pos="6480"/>
        </w:tabs>
        <w:ind w:left="6480" w:hanging="360"/>
      </w:pPr>
      <w:rPr>
        <w:rFonts w:ascii="Arial" w:hAnsi="Arial" w:hint="default"/>
      </w:rPr>
    </w:lvl>
  </w:abstractNum>
  <w:num w:numId="1">
    <w:abstractNumId w:val="3"/>
  </w:num>
  <w:num w:numId="2">
    <w:abstractNumId w:val="5"/>
  </w:num>
  <w:num w:numId="3">
    <w:abstractNumId w:val="0"/>
  </w:num>
  <w:num w:numId="4">
    <w:abstractNumId w:val="4"/>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8E8"/>
    <w:rsid w:val="00000F77"/>
    <w:rsid w:val="0000272E"/>
    <w:rsid w:val="00023965"/>
    <w:rsid w:val="00023F2A"/>
    <w:rsid w:val="0003553A"/>
    <w:rsid w:val="000429E2"/>
    <w:rsid w:val="0004386F"/>
    <w:rsid w:val="000457B5"/>
    <w:rsid w:val="00047C19"/>
    <w:rsid w:val="00054E54"/>
    <w:rsid w:val="000551F5"/>
    <w:rsid w:val="00057764"/>
    <w:rsid w:val="000609D5"/>
    <w:rsid w:val="00060DB3"/>
    <w:rsid w:val="000679D1"/>
    <w:rsid w:val="00077D16"/>
    <w:rsid w:val="00083BB7"/>
    <w:rsid w:val="00090821"/>
    <w:rsid w:val="00091267"/>
    <w:rsid w:val="000970B7"/>
    <w:rsid w:val="000A030E"/>
    <w:rsid w:val="000A1E21"/>
    <w:rsid w:val="000A2FD9"/>
    <w:rsid w:val="000B60B6"/>
    <w:rsid w:val="000B62F9"/>
    <w:rsid w:val="000C1229"/>
    <w:rsid w:val="000C2005"/>
    <w:rsid w:val="000D377C"/>
    <w:rsid w:val="000D3CE4"/>
    <w:rsid w:val="000E23C2"/>
    <w:rsid w:val="000F113D"/>
    <w:rsid w:val="000F54AC"/>
    <w:rsid w:val="000F55FD"/>
    <w:rsid w:val="001019F5"/>
    <w:rsid w:val="00106AB9"/>
    <w:rsid w:val="00112E73"/>
    <w:rsid w:val="00113061"/>
    <w:rsid w:val="00113386"/>
    <w:rsid w:val="00117CFC"/>
    <w:rsid w:val="00120001"/>
    <w:rsid w:val="001335ED"/>
    <w:rsid w:val="001338DF"/>
    <w:rsid w:val="00135A32"/>
    <w:rsid w:val="0013750C"/>
    <w:rsid w:val="00137D17"/>
    <w:rsid w:val="00140277"/>
    <w:rsid w:val="00142246"/>
    <w:rsid w:val="0014260B"/>
    <w:rsid w:val="00146286"/>
    <w:rsid w:val="00155083"/>
    <w:rsid w:val="00155CDC"/>
    <w:rsid w:val="00157C72"/>
    <w:rsid w:val="00164EC2"/>
    <w:rsid w:val="00165F81"/>
    <w:rsid w:val="001668BB"/>
    <w:rsid w:val="00170931"/>
    <w:rsid w:val="0017683E"/>
    <w:rsid w:val="00176EBA"/>
    <w:rsid w:val="0019677A"/>
    <w:rsid w:val="0019689C"/>
    <w:rsid w:val="001A10DD"/>
    <w:rsid w:val="001A53BE"/>
    <w:rsid w:val="001B0F3F"/>
    <w:rsid w:val="001B0F67"/>
    <w:rsid w:val="001B15B9"/>
    <w:rsid w:val="001B22D2"/>
    <w:rsid w:val="001B5B87"/>
    <w:rsid w:val="001C730D"/>
    <w:rsid w:val="001D6072"/>
    <w:rsid w:val="001F0736"/>
    <w:rsid w:val="001F0D69"/>
    <w:rsid w:val="001F12B4"/>
    <w:rsid w:val="001F1477"/>
    <w:rsid w:val="001F1E19"/>
    <w:rsid w:val="001F4751"/>
    <w:rsid w:val="001F65C6"/>
    <w:rsid w:val="0020290E"/>
    <w:rsid w:val="002047B7"/>
    <w:rsid w:val="002153A3"/>
    <w:rsid w:val="002156FE"/>
    <w:rsid w:val="00233633"/>
    <w:rsid w:val="00242BAB"/>
    <w:rsid w:val="00247223"/>
    <w:rsid w:val="002500D2"/>
    <w:rsid w:val="00250C5B"/>
    <w:rsid w:val="002523A0"/>
    <w:rsid w:val="00252F34"/>
    <w:rsid w:val="00263C0C"/>
    <w:rsid w:val="00276961"/>
    <w:rsid w:val="00276E0E"/>
    <w:rsid w:val="00291BC0"/>
    <w:rsid w:val="002966EA"/>
    <w:rsid w:val="00296C3E"/>
    <w:rsid w:val="002978AE"/>
    <w:rsid w:val="002A3B4E"/>
    <w:rsid w:val="002A3E44"/>
    <w:rsid w:val="002A5228"/>
    <w:rsid w:val="002B2281"/>
    <w:rsid w:val="002B49FB"/>
    <w:rsid w:val="002B5A22"/>
    <w:rsid w:val="002C07F8"/>
    <w:rsid w:val="002C5C0E"/>
    <w:rsid w:val="002D23D7"/>
    <w:rsid w:val="002D31D5"/>
    <w:rsid w:val="002D48EE"/>
    <w:rsid w:val="002E1DAD"/>
    <w:rsid w:val="002E2A66"/>
    <w:rsid w:val="002F36D4"/>
    <w:rsid w:val="002F513B"/>
    <w:rsid w:val="003012F2"/>
    <w:rsid w:val="00303705"/>
    <w:rsid w:val="00313A98"/>
    <w:rsid w:val="00313B8D"/>
    <w:rsid w:val="0032145A"/>
    <w:rsid w:val="00321C99"/>
    <w:rsid w:val="00323B8F"/>
    <w:rsid w:val="00331EE5"/>
    <w:rsid w:val="003328BC"/>
    <w:rsid w:val="00335996"/>
    <w:rsid w:val="003365B5"/>
    <w:rsid w:val="00337FFD"/>
    <w:rsid w:val="00353CD0"/>
    <w:rsid w:val="0036045C"/>
    <w:rsid w:val="003765F9"/>
    <w:rsid w:val="00376C8E"/>
    <w:rsid w:val="003835D2"/>
    <w:rsid w:val="00387B5E"/>
    <w:rsid w:val="003951E0"/>
    <w:rsid w:val="00396F06"/>
    <w:rsid w:val="003A1747"/>
    <w:rsid w:val="003A2038"/>
    <w:rsid w:val="003A5EF1"/>
    <w:rsid w:val="003A74C7"/>
    <w:rsid w:val="003A7F2B"/>
    <w:rsid w:val="003B11B6"/>
    <w:rsid w:val="003B4B8B"/>
    <w:rsid w:val="003B7754"/>
    <w:rsid w:val="003C16BF"/>
    <w:rsid w:val="003C1B58"/>
    <w:rsid w:val="003E2096"/>
    <w:rsid w:val="003E20D4"/>
    <w:rsid w:val="003E471F"/>
    <w:rsid w:val="003E4C95"/>
    <w:rsid w:val="003E56F5"/>
    <w:rsid w:val="003E57C9"/>
    <w:rsid w:val="003F32CA"/>
    <w:rsid w:val="003F4CA3"/>
    <w:rsid w:val="00402A0A"/>
    <w:rsid w:val="004044E7"/>
    <w:rsid w:val="00411B64"/>
    <w:rsid w:val="0041306D"/>
    <w:rsid w:val="00414C99"/>
    <w:rsid w:val="00416B74"/>
    <w:rsid w:val="0041730E"/>
    <w:rsid w:val="004260E0"/>
    <w:rsid w:val="0043173C"/>
    <w:rsid w:val="004322E5"/>
    <w:rsid w:val="00432695"/>
    <w:rsid w:val="00435BF3"/>
    <w:rsid w:val="0044239F"/>
    <w:rsid w:val="004448B0"/>
    <w:rsid w:val="00451F1E"/>
    <w:rsid w:val="00454211"/>
    <w:rsid w:val="00463BBC"/>
    <w:rsid w:val="00472227"/>
    <w:rsid w:val="0047492F"/>
    <w:rsid w:val="00475A06"/>
    <w:rsid w:val="00476B96"/>
    <w:rsid w:val="00477296"/>
    <w:rsid w:val="00477422"/>
    <w:rsid w:val="00477D0A"/>
    <w:rsid w:val="00480256"/>
    <w:rsid w:val="00490DD4"/>
    <w:rsid w:val="00492FD9"/>
    <w:rsid w:val="00493429"/>
    <w:rsid w:val="004A6F19"/>
    <w:rsid w:val="004D40DF"/>
    <w:rsid w:val="004D4C17"/>
    <w:rsid w:val="004E3E27"/>
    <w:rsid w:val="004F0B2E"/>
    <w:rsid w:val="00502015"/>
    <w:rsid w:val="00506D54"/>
    <w:rsid w:val="00506EC3"/>
    <w:rsid w:val="00532870"/>
    <w:rsid w:val="005335A6"/>
    <w:rsid w:val="005370FD"/>
    <w:rsid w:val="00540E80"/>
    <w:rsid w:val="00545B87"/>
    <w:rsid w:val="00553520"/>
    <w:rsid w:val="005547B8"/>
    <w:rsid w:val="00555F47"/>
    <w:rsid w:val="00560D45"/>
    <w:rsid w:val="005648D2"/>
    <w:rsid w:val="00566B34"/>
    <w:rsid w:val="005956CD"/>
    <w:rsid w:val="00596EBC"/>
    <w:rsid w:val="0059721D"/>
    <w:rsid w:val="00597519"/>
    <w:rsid w:val="005A124D"/>
    <w:rsid w:val="005A29A2"/>
    <w:rsid w:val="005A591A"/>
    <w:rsid w:val="005A7AE4"/>
    <w:rsid w:val="005B0908"/>
    <w:rsid w:val="005B309E"/>
    <w:rsid w:val="005B5C5E"/>
    <w:rsid w:val="005C0021"/>
    <w:rsid w:val="005C062E"/>
    <w:rsid w:val="005C1AF9"/>
    <w:rsid w:val="005C4FDD"/>
    <w:rsid w:val="005D5145"/>
    <w:rsid w:val="005D5CC6"/>
    <w:rsid w:val="005E37D7"/>
    <w:rsid w:val="005E3ED7"/>
    <w:rsid w:val="005F428A"/>
    <w:rsid w:val="0060449C"/>
    <w:rsid w:val="00610FCD"/>
    <w:rsid w:val="00611380"/>
    <w:rsid w:val="00611D52"/>
    <w:rsid w:val="0061233F"/>
    <w:rsid w:val="00615940"/>
    <w:rsid w:val="00615F1A"/>
    <w:rsid w:val="0062214A"/>
    <w:rsid w:val="006243A2"/>
    <w:rsid w:val="0063302A"/>
    <w:rsid w:val="00637576"/>
    <w:rsid w:val="00641CBA"/>
    <w:rsid w:val="00642536"/>
    <w:rsid w:val="006470F2"/>
    <w:rsid w:val="006502D8"/>
    <w:rsid w:val="006558DD"/>
    <w:rsid w:val="00656F14"/>
    <w:rsid w:val="00657F56"/>
    <w:rsid w:val="0066789F"/>
    <w:rsid w:val="0067302C"/>
    <w:rsid w:val="006821C5"/>
    <w:rsid w:val="00682BE8"/>
    <w:rsid w:val="00690D4D"/>
    <w:rsid w:val="00697D9C"/>
    <w:rsid w:val="006A30C6"/>
    <w:rsid w:val="006A71D1"/>
    <w:rsid w:val="006B1408"/>
    <w:rsid w:val="006B309E"/>
    <w:rsid w:val="006C1206"/>
    <w:rsid w:val="006C2703"/>
    <w:rsid w:val="006C7039"/>
    <w:rsid w:val="006D07E0"/>
    <w:rsid w:val="006D1DDD"/>
    <w:rsid w:val="006D3E82"/>
    <w:rsid w:val="006E7642"/>
    <w:rsid w:val="006F4C56"/>
    <w:rsid w:val="006F6A0F"/>
    <w:rsid w:val="00703A42"/>
    <w:rsid w:val="0070535E"/>
    <w:rsid w:val="00717093"/>
    <w:rsid w:val="007272D0"/>
    <w:rsid w:val="00727914"/>
    <w:rsid w:val="007313E5"/>
    <w:rsid w:val="00736865"/>
    <w:rsid w:val="007421E2"/>
    <w:rsid w:val="00750FF7"/>
    <w:rsid w:val="00751632"/>
    <w:rsid w:val="0075266E"/>
    <w:rsid w:val="00754E52"/>
    <w:rsid w:val="0076346D"/>
    <w:rsid w:val="00775C16"/>
    <w:rsid w:val="0077646F"/>
    <w:rsid w:val="00781ACF"/>
    <w:rsid w:val="00783194"/>
    <w:rsid w:val="00783F29"/>
    <w:rsid w:val="0078476C"/>
    <w:rsid w:val="00784E4D"/>
    <w:rsid w:val="00784E70"/>
    <w:rsid w:val="0078565B"/>
    <w:rsid w:val="00791775"/>
    <w:rsid w:val="007970D3"/>
    <w:rsid w:val="007A070B"/>
    <w:rsid w:val="007A2D8A"/>
    <w:rsid w:val="007B053A"/>
    <w:rsid w:val="007C5F11"/>
    <w:rsid w:val="007D1DFF"/>
    <w:rsid w:val="007D2B67"/>
    <w:rsid w:val="007E1E09"/>
    <w:rsid w:val="007E6EAA"/>
    <w:rsid w:val="007F0A59"/>
    <w:rsid w:val="007F19C9"/>
    <w:rsid w:val="008059C8"/>
    <w:rsid w:val="00816C54"/>
    <w:rsid w:val="0082068A"/>
    <w:rsid w:val="00821FCD"/>
    <w:rsid w:val="0082460F"/>
    <w:rsid w:val="00826B33"/>
    <w:rsid w:val="00830F33"/>
    <w:rsid w:val="00832290"/>
    <w:rsid w:val="00843563"/>
    <w:rsid w:val="00845A1C"/>
    <w:rsid w:val="00857335"/>
    <w:rsid w:val="0085774B"/>
    <w:rsid w:val="0086378C"/>
    <w:rsid w:val="00871617"/>
    <w:rsid w:val="00873AE7"/>
    <w:rsid w:val="00873EE3"/>
    <w:rsid w:val="008901EF"/>
    <w:rsid w:val="00892E4C"/>
    <w:rsid w:val="008A3C60"/>
    <w:rsid w:val="008A42BD"/>
    <w:rsid w:val="008A4FA6"/>
    <w:rsid w:val="008A5DD0"/>
    <w:rsid w:val="008B38E7"/>
    <w:rsid w:val="008C051A"/>
    <w:rsid w:val="008C32AB"/>
    <w:rsid w:val="008C5960"/>
    <w:rsid w:val="008D223D"/>
    <w:rsid w:val="008D5816"/>
    <w:rsid w:val="008E233C"/>
    <w:rsid w:val="008E7EF2"/>
    <w:rsid w:val="009048DE"/>
    <w:rsid w:val="00905321"/>
    <w:rsid w:val="009066CC"/>
    <w:rsid w:val="009070EA"/>
    <w:rsid w:val="00913B7B"/>
    <w:rsid w:val="00914D1F"/>
    <w:rsid w:val="00922A5F"/>
    <w:rsid w:val="00923BBF"/>
    <w:rsid w:val="0092446D"/>
    <w:rsid w:val="00925E60"/>
    <w:rsid w:val="00933C7E"/>
    <w:rsid w:val="00942738"/>
    <w:rsid w:val="0095519D"/>
    <w:rsid w:val="00956E23"/>
    <w:rsid w:val="00963A66"/>
    <w:rsid w:val="0096532E"/>
    <w:rsid w:val="00966164"/>
    <w:rsid w:val="009678BC"/>
    <w:rsid w:val="00971211"/>
    <w:rsid w:val="009757F1"/>
    <w:rsid w:val="0097783A"/>
    <w:rsid w:val="00980458"/>
    <w:rsid w:val="0098065F"/>
    <w:rsid w:val="009807C8"/>
    <w:rsid w:val="00981F77"/>
    <w:rsid w:val="009847C5"/>
    <w:rsid w:val="0099540D"/>
    <w:rsid w:val="00995C60"/>
    <w:rsid w:val="00997B05"/>
    <w:rsid w:val="009A1B13"/>
    <w:rsid w:val="009A73C6"/>
    <w:rsid w:val="009B01BF"/>
    <w:rsid w:val="009B3BCF"/>
    <w:rsid w:val="009B4537"/>
    <w:rsid w:val="009B7A21"/>
    <w:rsid w:val="009C150C"/>
    <w:rsid w:val="009D0364"/>
    <w:rsid w:val="009D1744"/>
    <w:rsid w:val="009D2548"/>
    <w:rsid w:val="009D592A"/>
    <w:rsid w:val="009D6C1C"/>
    <w:rsid w:val="009D7E8A"/>
    <w:rsid w:val="009E2ED7"/>
    <w:rsid w:val="009E6222"/>
    <w:rsid w:val="009E6C5F"/>
    <w:rsid w:val="009F2E7F"/>
    <w:rsid w:val="009F50C1"/>
    <w:rsid w:val="009F53FC"/>
    <w:rsid w:val="009F5FF3"/>
    <w:rsid w:val="009F7789"/>
    <w:rsid w:val="009F7D87"/>
    <w:rsid w:val="00A0412F"/>
    <w:rsid w:val="00A075D5"/>
    <w:rsid w:val="00A1058D"/>
    <w:rsid w:val="00A15791"/>
    <w:rsid w:val="00A164F1"/>
    <w:rsid w:val="00A21460"/>
    <w:rsid w:val="00A22D8D"/>
    <w:rsid w:val="00A262E2"/>
    <w:rsid w:val="00A266DB"/>
    <w:rsid w:val="00A273D5"/>
    <w:rsid w:val="00A36A95"/>
    <w:rsid w:val="00A3702B"/>
    <w:rsid w:val="00A4433F"/>
    <w:rsid w:val="00A56EEE"/>
    <w:rsid w:val="00A56FAE"/>
    <w:rsid w:val="00A6670E"/>
    <w:rsid w:val="00A7344C"/>
    <w:rsid w:val="00A74C56"/>
    <w:rsid w:val="00A754C0"/>
    <w:rsid w:val="00A755F5"/>
    <w:rsid w:val="00A76051"/>
    <w:rsid w:val="00A76DD0"/>
    <w:rsid w:val="00A91AE1"/>
    <w:rsid w:val="00A96FDD"/>
    <w:rsid w:val="00AA2F01"/>
    <w:rsid w:val="00AA70F1"/>
    <w:rsid w:val="00AA7279"/>
    <w:rsid w:val="00AB0CDA"/>
    <w:rsid w:val="00AB1E7B"/>
    <w:rsid w:val="00AB5244"/>
    <w:rsid w:val="00AC01E8"/>
    <w:rsid w:val="00AC22C9"/>
    <w:rsid w:val="00AD045C"/>
    <w:rsid w:val="00AD43E4"/>
    <w:rsid w:val="00AD7070"/>
    <w:rsid w:val="00AE16CA"/>
    <w:rsid w:val="00AE2167"/>
    <w:rsid w:val="00AE4F60"/>
    <w:rsid w:val="00AF276A"/>
    <w:rsid w:val="00AF27D5"/>
    <w:rsid w:val="00AF2A26"/>
    <w:rsid w:val="00AF35B0"/>
    <w:rsid w:val="00AF6E74"/>
    <w:rsid w:val="00B020A2"/>
    <w:rsid w:val="00B03F0B"/>
    <w:rsid w:val="00B05DCE"/>
    <w:rsid w:val="00B102BE"/>
    <w:rsid w:val="00B1138B"/>
    <w:rsid w:val="00B134B2"/>
    <w:rsid w:val="00B140EA"/>
    <w:rsid w:val="00B16505"/>
    <w:rsid w:val="00B16C2D"/>
    <w:rsid w:val="00B251C6"/>
    <w:rsid w:val="00B32D72"/>
    <w:rsid w:val="00B50F8E"/>
    <w:rsid w:val="00B51094"/>
    <w:rsid w:val="00B52EFA"/>
    <w:rsid w:val="00B53FB4"/>
    <w:rsid w:val="00B5702E"/>
    <w:rsid w:val="00B664E0"/>
    <w:rsid w:val="00B708FD"/>
    <w:rsid w:val="00B71387"/>
    <w:rsid w:val="00B730BB"/>
    <w:rsid w:val="00B7598E"/>
    <w:rsid w:val="00B8105E"/>
    <w:rsid w:val="00B87248"/>
    <w:rsid w:val="00B921F3"/>
    <w:rsid w:val="00B9572C"/>
    <w:rsid w:val="00BA0006"/>
    <w:rsid w:val="00BA23FA"/>
    <w:rsid w:val="00BA2799"/>
    <w:rsid w:val="00BA335A"/>
    <w:rsid w:val="00BA5839"/>
    <w:rsid w:val="00BB464B"/>
    <w:rsid w:val="00BC2F8A"/>
    <w:rsid w:val="00BC6070"/>
    <w:rsid w:val="00BC6A96"/>
    <w:rsid w:val="00BD3E0F"/>
    <w:rsid w:val="00BE3F87"/>
    <w:rsid w:val="00BE73B5"/>
    <w:rsid w:val="00BF5947"/>
    <w:rsid w:val="00C114CB"/>
    <w:rsid w:val="00C119CC"/>
    <w:rsid w:val="00C12AA5"/>
    <w:rsid w:val="00C15E65"/>
    <w:rsid w:val="00C21187"/>
    <w:rsid w:val="00C23452"/>
    <w:rsid w:val="00C25662"/>
    <w:rsid w:val="00C30948"/>
    <w:rsid w:val="00C31A37"/>
    <w:rsid w:val="00C37D91"/>
    <w:rsid w:val="00C40A4F"/>
    <w:rsid w:val="00C4343C"/>
    <w:rsid w:val="00C46374"/>
    <w:rsid w:val="00C5543C"/>
    <w:rsid w:val="00C62F27"/>
    <w:rsid w:val="00C6798B"/>
    <w:rsid w:val="00C70988"/>
    <w:rsid w:val="00C71CD5"/>
    <w:rsid w:val="00C77CD4"/>
    <w:rsid w:val="00C85317"/>
    <w:rsid w:val="00C87FD0"/>
    <w:rsid w:val="00CA01A5"/>
    <w:rsid w:val="00CA0653"/>
    <w:rsid w:val="00CA10FC"/>
    <w:rsid w:val="00CA41B7"/>
    <w:rsid w:val="00CA4985"/>
    <w:rsid w:val="00CB26CA"/>
    <w:rsid w:val="00CB2C82"/>
    <w:rsid w:val="00CC62D4"/>
    <w:rsid w:val="00CD0F09"/>
    <w:rsid w:val="00CD1584"/>
    <w:rsid w:val="00CD317C"/>
    <w:rsid w:val="00CE289E"/>
    <w:rsid w:val="00CF0060"/>
    <w:rsid w:val="00CF11F6"/>
    <w:rsid w:val="00CF328E"/>
    <w:rsid w:val="00CF58E8"/>
    <w:rsid w:val="00CF6A7D"/>
    <w:rsid w:val="00D0110B"/>
    <w:rsid w:val="00D07100"/>
    <w:rsid w:val="00D14C33"/>
    <w:rsid w:val="00D14CA9"/>
    <w:rsid w:val="00D21D6A"/>
    <w:rsid w:val="00D2293D"/>
    <w:rsid w:val="00D26478"/>
    <w:rsid w:val="00D27B51"/>
    <w:rsid w:val="00D32FD7"/>
    <w:rsid w:val="00D403B2"/>
    <w:rsid w:val="00D439E9"/>
    <w:rsid w:val="00D43EF9"/>
    <w:rsid w:val="00D50CA7"/>
    <w:rsid w:val="00D53B50"/>
    <w:rsid w:val="00D54543"/>
    <w:rsid w:val="00D61055"/>
    <w:rsid w:val="00D64FDA"/>
    <w:rsid w:val="00D673E2"/>
    <w:rsid w:val="00D81D24"/>
    <w:rsid w:val="00D8540C"/>
    <w:rsid w:val="00D859F5"/>
    <w:rsid w:val="00D879F7"/>
    <w:rsid w:val="00D92FF2"/>
    <w:rsid w:val="00D939ED"/>
    <w:rsid w:val="00D97657"/>
    <w:rsid w:val="00DA1809"/>
    <w:rsid w:val="00DA4578"/>
    <w:rsid w:val="00DA6427"/>
    <w:rsid w:val="00DA7B2B"/>
    <w:rsid w:val="00DB2F73"/>
    <w:rsid w:val="00DE1C3A"/>
    <w:rsid w:val="00DE4DD5"/>
    <w:rsid w:val="00DF0D39"/>
    <w:rsid w:val="00DF4E50"/>
    <w:rsid w:val="00E039B0"/>
    <w:rsid w:val="00E0673F"/>
    <w:rsid w:val="00E129D1"/>
    <w:rsid w:val="00E15D8C"/>
    <w:rsid w:val="00E16206"/>
    <w:rsid w:val="00E217D5"/>
    <w:rsid w:val="00E27ECD"/>
    <w:rsid w:val="00E41F75"/>
    <w:rsid w:val="00E46366"/>
    <w:rsid w:val="00E55A6B"/>
    <w:rsid w:val="00E62DC5"/>
    <w:rsid w:val="00E63188"/>
    <w:rsid w:val="00E6684F"/>
    <w:rsid w:val="00E7282B"/>
    <w:rsid w:val="00E74AB0"/>
    <w:rsid w:val="00E7564D"/>
    <w:rsid w:val="00E76283"/>
    <w:rsid w:val="00E76E27"/>
    <w:rsid w:val="00E77F2E"/>
    <w:rsid w:val="00E80385"/>
    <w:rsid w:val="00E816A9"/>
    <w:rsid w:val="00E81C36"/>
    <w:rsid w:val="00E82407"/>
    <w:rsid w:val="00E876D6"/>
    <w:rsid w:val="00E9068B"/>
    <w:rsid w:val="00E9433A"/>
    <w:rsid w:val="00E9570B"/>
    <w:rsid w:val="00E97184"/>
    <w:rsid w:val="00EA6403"/>
    <w:rsid w:val="00ED2EAA"/>
    <w:rsid w:val="00ED77BE"/>
    <w:rsid w:val="00EE715F"/>
    <w:rsid w:val="00EE7B75"/>
    <w:rsid w:val="00EF2135"/>
    <w:rsid w:val="00EF232A"/>
    <w:rsid w:val="00EF7C02"/>
    <w:rsid w:val="00F06F97"/>
    <w:rsid w:val="00F20444"/>
    <w:rsid w:val="00F243D0"/>
    <w:rsid w:val="00F3596C"/>
    <w:rsid w:val="00F36297"/>
    <w:rsid w:val="00F36CA3"/>
    <w:rsid w:val="00F41895"/>
    <w:rsid w:val="00F44DB5"/>
    <w:rsid w:val="00F51656"/>
    <w:rsid w:val="00F5199C"/>
    <w:rsid w:val="00F54DF5"/>
    <w:rsid w:val="00F556C7"/>
    <w:rsid w:val="00F56612"/>
    <w:rsid w:val="00F57793"/>
    <w:rsid w:val="00F603C1"/>
    <w:rsid w:val="00F6654F"/>
    <w:rsid w:val="00F71BFA"/>
    <w:rsid w:val="00F72449"/>
    <w:rsid w:val="00F72AB7"/>
    <w:rsid w:val="00F74FE8"/>
    <w:rsid w:val="00F75071"/>
    <w:rsid w:val="00F76D7D"/>
    <w:rsid w:val="00F80190"/>
    <w:rsid w:val="00F8461C"/>
    <w:rsid w:val="00F850C9"/>
    <w:rsid w:val="00F857B0"/>
    <w:rsid w:val="00F94FD6"/>
    <w:rsid w:val="00F9664F"/>
    <w:rsid w:val="00F96921"/>
    <w:rsid w:val="00FB1162"/>
    <w:rsid w:val="00FB2DBD"/>
    <w:rsid w:val="00FB5164"/>
    <w:rsid w:val="00FC274F"/>
    <w:rsid w:val="00FC3CFA"/>
    <w:rsid w:val="00FC69CE"/>
    <w:rsid w:val="00FD11B9"/>
    <w:rsid w:val="00FD304D"/>
    <w:rsid w:val="00FD3D2A"/>
    <w:rsid w:val="00FD59F9"/>
    <w:rsid w:val="00FD6778"/>
    <w:rsid w:val="00FD779A"/>
    <w:rsid w:val="00FE461A"/>
    <w:rsid w:val="00FE5F28"/>
    <w:rsid w:val="00FE63E5"/>
    <w:rsid w:val="00FF0C91"/>
  </w:rsids>
  <m:mathPr>
    <m:mathFont m:val="Cambria Math"/>
    <m:brkBin m:val="before"/>
    <m:brkBinSub m:val="--"/>
    <m:smallFrac m:val="0"/>
    <m:dispDef/>
    <m:lMargin m:val="0"/>
    <m:rMargin m:val="0"/>
    <m:defJc m:val="centerGroup"/>
    <m:wrapIndent m:val="1440"/>
    <m:intLim m:val="subSup"/>
    <m:naryLim m:val="undOvr"/>
  </m:mathPr>
  <w:themeFontLang w:val="it-IT"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1363237"/>
  <w15:docId w15:val="{833035EF-DA76-B542-A648-7C9545529C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13A98"/>
    <w:rPr>
      <w:rFonts w:ascii="Times New Roman" w:eastAsia="Times New Roman" w:hAnsi="Times New Roman" w:cs="Times New Roman"/>
      <w:lang w:eastAsia="it-IT"/>
    </w:rPr>
  </w:style>
  <w:style w:type="paragraph" w:styleId="Titolo1">
    <w:name w:val="heading 1"/>
    <w:basedOn w:val="Normale"/>
    <w:link w:val="Titolo1Carattere"/>
    <w:uiPriority w:val="9"/>
    <w:qFormat/>
    <w:rsid w:val="00C62F27"/>
    <w:pPr>
      <w:spacing w:before="100" w:beforeAutospacing="1" w:after="100" w:afterAutospacing="1"/>
      <w:outlineLvl w:val="0"/>
    </w:pPr>
    <w:rPr>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474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1F4751"/>
    <w:rPr>
      <w:sz w:val="16"/>
      <w:szCs w:val="16"/>
    </w:rPr>
  </w:style>
  <w:style w:type="paragraph" w:styleId="Testocommento">
    <w:name w:val="annotation text"/>
    <w:basedOn w:val="Normale"/>
    <w:link w:val="TestocommentoCarattere"/>
    <w:uiPriority w:val="99"/>
    <w:unhideWhenUsed/>
    <w:rsid w:val="001F4751"/>
    <w:rPr>
      <w:sz w:val="20"/>
      <w:szCs w:val="20"/>
    </w:rPr>
  </w:style>
  <w:style w:type="character" w:customStyle="1" w:styleId="TestocommentoCarattere">
    <w:name w:val="Testo commento Carattere"/>
    <w:basedOn w:val="Carpredefinitoparagrafo"/>
    <w:link w:val="Testocommento"/>
    <w:uiPriority w:val="99"/>
    <w:rsid w:val="001F4751"/>
    <w:rPr>
      <w:sz w:val="20"/>
      <w:szCs w:val="20"/>
    </w:rPr>
  </w:style>
  <w:style w:type="paragraph" w:styleId="Soggettocommento">
    <w:name w:val="annotation subject"/>
    <w:basedOn w:val="Testocommento"/>
    <w:next w:val="Testocommento"/>
    <w:link w:val="SoggettocommentoCarattere"/>
    <w:uiPriority w:val="99"/>
    <w:semiHidden/>
    <w:unhideWhenUsed/>
    <w:rsid w:val="001F4751"/>
    <w:rPr>
      <w:b/>
      <w:bCs/>
    </w:rPr>
  </w:style>
  <w:style w:type="character" w:customStyle="1" w:styleId="SoggettocommentoCarattere">
    <w:name w:val="Soggetto commento Carattere"/>
    <w:basedOn w:val="TestocommentoCarattere"/>
    <w:link w:val="Soggettocommento"/>
    <w:uiPriority w:val="99"/>
    <w:semiHidden/>
    <w:rsid w:val="001F4751"/>
    <w:rPr>
      <w:b/>
      <w:bCs/>
      <w:sz w:val="20"/>
      <w:szCs w:val="20"/>
    </w:rPr>
  </w:style>
  <w:style w:type="paragraph" w:styleId="Revisione">
    <w:name w:val="Revision"/>
    <w:hidden/>
    <w:uiPriority w:val="99"/>
    <w:semiHidden/>
    <w:rsid w:val="00892E4C"/>
  </w:style>
  <w:style w:type="paragraph" w:styleId="Testofumetto">
    <w:name w:val="Balloon Text"/>
    <w:basedOn w:val="Normale"/>
    <w:link w:val="TestofumettoCarattere"/>
    <w:uiPriority w:val="99"/>
    <w:semiHidden/>
    <w:unhideWhenUsed/>
    <w:rsid w:val="00A164F1"/>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A164F1"/>
    <w:rPr>
      <w:rFonts w:ascii="Lucida Grande" w:hAnsi="Lucida Grande" w:cs="Lucida Grande"/>
      <w:sz w:val="18"/>
      <w:szCs w:val="18"/>
    </w:rPr>
  </w:style>
  <w:style w:type="character" w:styleId="Collegamentoipertestuale">
    <w:name w:val="Hyperlink"/>
    <w:basedOn w:val="Carpredefinitoparagrafo"/>
    <w:uiPriority w:val="99"/>
    <w:unhideWhenUsed/>
    <w:rsid w:val="00B921F3"/>
    <w:rPr>
      <w:color w:val="0563C1" w:themeColor="hyperlink"/>
      <w:u w:val="single"/>
    </w:rPr>
  </w:style>
  <w:style w:type="character" w:styleId="Collegamentovisitato">
    <w:name w:val="FollowedHyperlink"/>
    <w:basedOn w:val="Carpredefinitoparagrafo"/>
    <w:uiPriority w:val="99"/>
    <w:semiHidden/>
    <w:unhideWhenUsed/>
    <w:rsid w:val="0061233F"/>
    <w:rPr>
      <w:color w:val="954F72" w:themeColor="followedHyperlink"/>
      <w:u w:val="single"/>
    </w:rPr>
  </w:style>
  <w:style w:type="paragraph" w:styleId="Paragrafoelenco">
    <w:name w:val="List Paragraph"/>
    <w:basedOn w:val="Normale"/>
    <w:uiPriority w:val="34"/>
    <w:qFormat/>
    <w:rsid w:val="00303705"/>
    <w:pPr>
      <w:ind w:left="720"/>
      <w:contextualSpacing/>
    </w:pPr>
  </w:style>
  <w:style w:type="paragraph" w:styleId="NormaleWeb">
    <w:name w:val="Normal (Web)"/>
    <w:basedOn w:val="Normale"/>
    <w:uiPriority w:val="99"/>
    <w:semiHidden/>
    <w:unhideWhenUsed/>
    <w:rsid w:val="00F56612"/>
  </w:style>
  <w:style w:type="character" w:customStyle="1" w:styleId="Titolo1Carattere">
    <w:name w:val="Titolo 1 Carattere"/>
    <w:basedOn w:val="Carpredefinitoparagrafo"/>
    <w:link w:val="Titolo1"/>
    <w:uiPriority w:val="9"/>
    <w:rsid w:val="00C62F27"/>
    <w:rPr>
      <w:rFonts w:ascii="Times New Roman" w:eastAsia="Times New Roman" w:hAnsi="Times New Roman" w:cs="Times New Roman"/>
      <w:b/>
      <w:bCs/>
      <w:kern w:val="36"/>
      <w:sz w:val="48"/>
      <w:szCs w:val="4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161146">
      <w:bodyDiv w:val="1"/>
      <w:marLeft w:val="0"/>
      <w:marRight w:val="0"/>
      <w:marTop w:val="0"/>
      <w:marBottom w:val="0"/>
      <w:divBdr>
        <w:top w:val="none" w:sz="0" w:space="0" w:color="auto"/>
        <w:left w:val="none" w:sz="0" w:space="0" w:color="auto"/>
        <w:bottom w:val="none" w:sz="0" w:space="0" w:color="auto"/>
        <w:right w:val="none" w:sz="0" w:space="0" w:color="auto"/>
      </w:divBdr>
    </w:div>
    <w:div w:id="20011299">
      <w:bodyDiv w:val="1"/>
      <w:marLeft w:val="0"/>
      <w:marRight w:val="0"/>
      <w:marTop w:val="0"/>
      <w:marBottom w:val="0"/>
      <w:divBdr>
        <w:top w:val="none" w:sz="0" w:space="0" w:color="auto"/>
        <w:left w:val="none" w:sz="0" w:space="0" w:color="auto"/>
        <w:bottom w:val="none" w:sz="0" w:space="0" w:color="auto"/>
        <w:right w:val="none" w:sz="0" w:space="0" w:color="auto"/>
      </w:divBdr>
      <w:divsChild>
        <w:div w:id="812521640">
          <w:marLeft w:val="0"/>
          <w:marRight w:val="0"/>
          <w:marTop w:val="0"/>
          <w:marBottom w:val="0"/>
          <w:divBdr>
            <w:top w:val="none" w:sz="0" w:space="0" w:color="auto"/>
            <w:left w:val="none" w:sz="0" w:space="0" w:color="auto"/>
            <w:bottom w:val="none" w:sz="0" w:space="0" w:color="auto"/>
            <w:right w:val="none" w:sz="0" w:space="0" w:color="auto"/>
          </w:divBdr>
          <w:divsChild>
            <w:div w:id="630553456">
              <w:marLeft w:val="0"/>
              <w:marRight w:val="0"/>
              <w:marTop w:val="0"/>
              <w:marBottom w:val="0"/>
              <w:divBdr>
                <w:top w:val="none" w:sz="0" w:space="0" w:color="auto"/>
                <w:left w:val="none" w:sz="0" w:space="0" w:color="auto"/>
                <w:bottom w:val="none" w:sz="0" w:space="0" w:color="auto"/>
                <w:right w:val="none" w:sz="0" w:space="0" w:color="auto"/>
              </w:divBdr>
              <w:divsChild>
                <w:div w:id="1776943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69852">
      <w:bodyDiv w:val="1"/>
      <w:marLeft w:val="0"/>
      <w:marRight w:val="0"/>
      <w:marTop w:val="0"/>
      <w:marBottom w:val="0"/>
      <w:divBdr>
        <w:top w:val="none" w:sz="0" w:space="0" w:color="auto"/>
        <w:left w:val="none" w:sz="0" w:space="0" w:color="auto"/>
        <w:bottom w:val="none" w:sz="0" w:space="0" w:color="auto"/>
        <w:right w:val="none" w:sz="0" w:space="0" w:color="auto"/>
      </w:divBdr>
      <w:divsChild>
        <w:div w:id="1175875922">
          <w:marLeft w:val="0"/>
          <w:marRight w:val="0"/>
          <w:marTop w:val="0"/>
          <w:marBottom w:val="0"/>
          <w:divBdr>
            <w:top w:val="none" w:sz="0" w:space="0" w:color="auto"/>
            <w:left w:val="none" w:sz="0" w:space="0" w:color="auto"/>
            <w:bottom w:val="none" w:sz="0" w:space="0" w:color="auto"/>
            <w:right w:val="none" w:sz="0" w:space="0" w:color="auto"/>
          </w:divBdr>
          <w:divsChild>
            <w:div w:id="625434883">
              <w:marLeft w:val="0"/>
              <w:marRight w:val="0"/>
              <w:marTop w:val="0"/>
              <w:marBottom w:val="0"/>
              <w:divBdr>
                <w:top w:val="none" w:sz="0" w:space="0" w:color="auto"/>
                <w:left w:val="none" w:sz="0" w:space="0" w:color="auto"/>
                <w:bottom w:val="none" w:sz="0" w:space="0" w:color="auto"/>
                <w:right w:val="none" w:sz="0" w:space="0" w:color="auto"/>
              </w:divBdr>
              <w:divsChild>
                <w:div w:id="768358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45562">
      <w:bodyDiv w:val="1"/>
      <w:marLeft w:val="0"/>
      <w:marRight w:val="0"/>
      <w:marTop w:val="0"/>
      <w:marBottom w:val="0"/>
      <w:divBdr>
        <w:top w:val="none" w:sz="0" w:space="0" w:color="auto"/>
        <w:left w:val="none" w:sz="0" w:space="0" w:color="auto"/>
        <w:bottom w:val="none" w:sz="0" w:space="0" w:color="auto"/>
        <w:right w:val="none" w:sz="0" w:space="0" w:color="auto"/>
      </w:divBdr>
    </w:div>
    <w:div w:id="81343202">
      <w:bodyDiv w:val="1"/>
      <w:marLeft w:val="0"/>
      <w:marRight w:val="0"/>
      <w:marTop w:val="0"/>
      <w:marBottom w:val="0"/>
      <w:divBdr>
        <w:top w:val="none" w:sz="0" w:space="0" w:color="auto"/>
        <w:left w:val="none" w:sz="0" w:space="0" w:color="auto"/>
        <w:bottom w:val="none" w:sz="0" w:space="0" w:color="auto"/>
        <w:right w:val="none" w:sz="0" w:space="0" w:color="auto"/>
      </w:divBdr>
    </w:div>
    <w:div w:id="135992424">
      <w:bodyDiv w:val="1"/>
      <w:marLeft w:val="0"/>
      <w:marRight w:val="0"/>
      <w:marTop w:val="0"/>
      <w:marBottom w:val="0"/>
      <w:divBdr>
        <w:top w:val="none" w:sz="0" w:space="0" w:color="auto"/>
        <w:left w:val="none" w:sz="0" w:space="0" w:color="auto"/>
        <w:bottom w:val="none" w:sz="0" w:space="0" w:color="auto"/>
        <w:right w:val="none" w:sz="0" w:space="0" w:color="auto"/>
      </w:divBdr>
      <w:divsChild>
        <w:div w:id="1029337980">
          <w:marLeft w:val="0"/>
          <w:marRight w:val="0"/>
          <w:marTop w:val="0"/>
          <w:marBottom w:val="0"/>
          <w:divBdr>
            <w:top w:val="none" w:sz="0" w:space="0" w:color="auto"/>
            <w:left w:val="none" w:sz="0" w:space="0" w:color="auto"/>
            <w:bottom w:val="none" w:sz="0" w:space="0" w:color="auto"/>
            <w:right w:val="none" w:sz="0" w:space="0" w:color="auto"/>
          </w:divBdr>
          <w:divsChild>
            <w:div w:id="654142913">
              <w:marLeft w:val="0"/>
              <w:marRight w:val="0"/>
              <w:marTop w:val="0"/>
              <w:marBottom w:val="0"/>
              <w:divBdr>
                <w:top w:val="none" w:sz="0" w:space="0" w:color="auto"/>
                <w:left w:val="none" w:sz="0" w:space="0" w:color="auto"/>
                <w:bottom w:val="none" w:sz="0" w:space="0" w:color="auto"/>
                <w:right w:val="none" w:sz="0" w:space="0" w:color="auto"/>
              </w:divBdr>
              <w:divsChild>
                <w:div w:id="65079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99455">
      <w:bodyDiv w:val="1"/>
      <w:marLeft w:val="0"/>
      <w:marRight w:val="0"/>
      <w:marTop w:val="0"/>
      <w:marBottom w:val="0"/>
      <w:divBdr>
        <w:top w:val="none" w:sz="0" w:space="0" w:color="auto"/>
        <w:left w:val="none" w:sz="0" w:space="0" w:color="auto"/>
        <w:bottom w:val="none" w:sz="0" w:space="0" w:color="auto"/>
        <w:right w:val="none" w:sz="0" w:space="0" w:color="auto"/>
      </w:divBdr>
      <w:divsChild>
        <w:div w:id="1955207320">
          <w:marLeft w:val="0"/>
          <w:marRight w:val="0"/>
          <w:marTop w:val="0"/>
          <w:marBottom w:val="0"/>
          <w:divBdr>
            <w:top w:val="none" w:sz="0" w:space="0" w:color="auto"/>
            <w:left w:val="none" w:sz="0" w:space="0" w:color="auto"/>
            <w:bottom w:val="none" w:sz="0" w:space="0" w:color="auto"/>
            <w:right w:val="none" w:sz="0" w:space="0" w:color="auto"/>
          </w:divBdr>
          <w:divsChild>
            <w:div w:id="704987981">
              <w:marLeft w:val="0"/>
              <w:marRight w:val="0"/>
              <w:marTop w:val="0"/>
              <w:marBottom w:val="0"/>
              <w:divBdr>
                <w:top w:val="none" w:sz="0" w:space="0" w:color="auto"/>
                <w:left w:val="none" w:sz="0" w:space="0" w:color="auto"/>
                <w:bottom w:val="none" w:sz="0" w:space="0" w:color="auto"/>
                <w:right w:val="none" w:sz="0" w:space="0" w:color="auto"/>
              </w:divBdr>
              <w:divsChild>
                <w:div w:id="20465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48719">
      <w:bodyDiv w:val="1"/>
      <w:marLeft w:val="0"/>
      <w:marRight w:val="0"/>
      <w:marTop w:val="0"/>
      <w:marBottom w:val="0"/>
      <w:divBdr>
        <w:top w:val="none" w:sz="0" w:space="0" w:color="auto"/>
        <w:left w:val="none" w:sz="0" w:space="0" w:color="auto"/>
        <w:bottom w:val="none" w:sz="0" w:space="0" w:color="auto"/>
        <w:right w:val="none" w:sz="0" w:space="0" w:color="auto"/>
      </w:divBdr>
      <w:divsChild>
        <w:div w:id="97069489">
          <w:marLeft w:val="0"/>
          <w:marRight w:val="0"/>
          <w:marTop w:val="0"/>
          <w:marBottom w:val="0"/>
          <w:divBdr>
            <w:top w:val="none" w:sz="0" w:space="0" w:color="auto"/>
            <w:left w:val="none" w:sz="0" w:space="0" w:color="auto"/>
            <w:bottom w:val="none" w:sz="0" w:space="0" w:color="auto"/>
            <w:right w:val="none" w:sz="0" w:space="0" w:color="auto"/>
          </w:divBdr>
          <w:divsChild>
            <w:div w:id="1137181663">
              <w:marLeft w:val="0"/>
              <w:marRight w:val="0"/>
              <w:marTop w:val="0"/>
              <w:marBottom w:val="0"/>
              <w:divBdr>
                <w:top w:val="none" w:sz="0" w:space="0" w:color="auto"/>
                <w:left w:val="none" w:sz="0" w:space="0" w:color="auto"/>
                <w:bottom w:val="none" w:sz="0" w:space="0" w:color="auto"/>
                <w:right w:val="none" w:sz="0" w:space="0" w:color="auto"/>
              </w:divBdr>
              <w:divsChild>
                <w:div w:id="44816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04234">
      <w:bodyDiv w:val="1"/>
      <w:marLeft w:val="0"/>
      <w:marRight w:val="0"/>
      <w:marTop w:val="0"/>
      <w:marBottom w:val="0"/>
      <w:divBdr>
        <w:top w:val="none" w:sz="0" w:space="0" w:color="auto"/>
        <w:left w:val="none" w:sz="0" w:space="0" w:color="auto"/>
        <w:bottom w:val="none" w:sz="0" w:space="0" w:color="auto"/>
        <w:right w:val="none" w:sz="0" w:space="0" w:color="auto"/>
      </w:divBdr>
    </w:div>
    <w:div w:id="174391470">
      <w:bodyDiv w:val="1"/>
      <w:marLeft w:val="0"/>
      <w:marRight w:val="0"/>
      <w:marTop w:val="0"/>
      <w:marBottom w:val="0"/>
      <w:divBdr>
        <w:top w:val="none" w:sz="0" w:space="0" w:color="auto"/>
        <w:left w:val="none" w:sz="0" w:space="0" w:color="auto"/>
        <w:bottom w:val="none" w:sz="0" w:space="0" w:color="auto"/>
        <w:right w:val="none" w:sz="0" w:space="0" w:color="auto"/>
      </w:divBdr>
    </w:div>
    <w:div w:id="176047840">
      <w:bodyDiv w:val="1"/>
      <w:marLeft w:val="0"/>
      <w:marRight w:val="0"/>
      <w:marTop w:val="0"/>
      <w:marBottom w:val="0"/>
      <w:divBdr>
        <w:top w:val="none" w:sz="0" w:space="0" w:color="auto"/>
        <w:left w:val="none" w:sz="0" w:space="0" w:color="auto"/>
        <w:bottom w:val="none" w:sz="0" w:space="0" w:color="auto"/>
        <w:right w:val="none" w:sz="0" w:space="0" w:color="auto"/>
      </w:divBdr>
    </w:div>
    <w:div w:id="262342002">
      <w:bodyDiv w:val="1"/>
      <w:marLeft w:val="0"/>
      <w:marRight w:val="0"/>
      <w:marTop w:val="0"/>
      <w:marBottom w:val="0"/>
      <w:divBdr>
        <w:top w:val="none" w:sz="0" w:space="0" w:color="auto"/>
        <w:left w:val="none" w:sz="0" w:space="0" w:color="auto"/>
        <w:bottom w:val="none" w:sz="0" w:space="0" w:color="auto"/>
        <w:right w:val="none" w:sz="0" w:space="0" w:color="auto"/>
      </w:divBdr>
      <w:divsChild>
        <w:div w:id="2020614337">
          <w:marLeft w:val="0"/>
          <w:marRight w:val="0"/>
          <w:marTop w:val="0"/>
          <w:marBottom w:val="0"/>
          <w:divBdr>
            <w:top w:val="none" w:sz="0" w:space="0" w:color="auto"/>
            <w:left w:val="none" w:sz="0" w:space="0" w:color="auto"/>
            <w:bottom w:val="none" w:sz="0" w:space="0" w:color="auto"/>
            <w:right w:val="none" w:sz="0" w:space="0" w:color="auto"/>
          </w:divBdr>
          <w:divsChild>
            <w:div w:id="514808558">
              <w:marLeft w:val="0"/>
              <w:marRight w:val="0"/>
              <w:marTop w:val="0"/>
              <w:marBottom w:val="0"/>
              <w:divBdr>
                <w:top w:val="none" w:sz="0" w:space="0" w:color="auto"/>
                <w:left w:val="none" w:sz="0" w:space="0" w:color="auto"/>
                <w:bottom w:val="none" w:sz="0" w:space="0" w:color="auto"/>
                <w:right w:val="none" w:sz="0" w:space="0" w:color="auto"/>
              </w:divBdr>
              <w:divsChild>
                <w:div w:id="113556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389731">
      <w:bodyDiv w:val="1"/>
      <w:marLeft w:val="0"/>
      <w:marRight w:val="0"/>
      <w:marTop w:val="0"/>
      <w:marBottom w:val="0"/>
      <w:divBdr>
        <w:top w:val="none" w:sz="0" w:space="0" w:color="auto"/>
        <w:left w:val="none" w:sz="0" w:space="0" w:color="auto"/>
        <w:bottom w:val="none" w:sz="0" w:space="0" w:color="auto"/>
        <w:right w:val="none" w:sz="0" w:space="0" w:color="auto"/>
      </w:divBdr>
      <w:divsChild>
        <w:div w:id="1218904898">
          <w:marLeft w:val="0"/>
          <w:marRight w:val="0"/>
          <w:marTop w:val="0"/>
          <w:marBottom w:val="0"/>
          <w:divBdr>
            <w:top w:val="none" w:sz="0" w:space="0" w:color="auto"/>
            <w:left w:val="none" w:sz="0" w:space="0" w:color="auto"/>
            <w:bottom w:val="none" w:sz="0" w:space="0" w:color="auto"/>
            <w:right w:val="none" w:sz="0" w:space="0" w:color="auto"/>
          </w:divBdr>
          <w:divsChild>
            <w:div w:id="1381326776">
              <w:marLeft w:val="0"/>
              <w:marRight w:val="0"/>
              <w:marTop w:val="0"/>
              <w:marBottom w:val="0"/>
              <w:divBdr>
                <w:top w:val="none" w:sz="0" w:space="0" w:color="auto"/>
                <w:left w:val="none" w:sz="0" w:space="0" w:color="auto"/>
                <w:bottom w:val="none" w:sz="0" w:space="0" w:color="auto"/>
                <w:right w:val="none" w:sz="0" w:space="0" w:color="auto"/>
              </w:divBdr>
              <w:divsChild>
                <w:div w:id="1141850355">
                  <w:marLeft w:val="0"/>
                  <w:marRight w:val="0"/>
                  <w:marTop w:val="0"/>
                  <w:marBottom w:val="0"/>
                  <w:divBdr>
                    <w:top w:val="none" w:sz="0" w:space="0" w:color="auto"/>
                    <w:left w:val="none" w:sz="0" w:space="0" w:color="auto"/>
                    <w:bottom w:val="none" w:sz="0" w:space="0" w:color="auto"/>
                    <w:right w:val="none" w:sz="0" w:space="0" w:color="auto"/>
                  </w:divBdr>
                  <w:divsChild>
                    <w:div w:id="2575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0252024">
      <w:bodyDiv w:val="1"/>
      <w:marLeft w:val="0"/>
      <w:marRight w:val="0"/>
      <w:marTop w:val="0"/>
      <w:marBottom w:val="0"/>
      <w:divBdr>
        <w:top w:val="none" w:sz="0" w:space="0" w:color="auto"/>
        <w:left w:val="none" w:sz="0" w:space="0" w:color="auto"/>
        <w:bottom w:val="none" w:sz="0" w:space="0" w:color="auto"/>
        <w:right w:val="none" w:sz="0" w:space="0" w:color="auto"/>
      </w:divBdr>
    </w:div>
    <w:div w:id="310983978">
      <w:bodyDiv w:val="1"/>
      <w:marLeft w:val="0"/>
      <w:marRight w:val="0"/>
      <w:marTop w:val="0"/>
      <w:marBottom w:val="0"/>
      <w:divBdr>
        <w:top w:val="none" w:sz="0" w:space="0" w:color="auto"/>
        <w:left w:val="none" w:sz="0" w:space="0" w:color="auto"/>
        <w:bottom w:val="none" w:sz="0" w:space="0" w:color="auto"/>
        <w:right w:val="none" w:sz="0" w:space="0" w:color="auto"/>
      </w:divBdr>
    </w:div>
    <w:div w:id="325327174">
      <w:bodyDiv w:val="1"/>
      <w:marLeft w:val="0"/>
      <w:marRight w:val="0"/>
      <w:marTop w:val="0"/>
      <w:marBottom w:val="0"/>
      <w:divBdr>
        <w:top w:val="none" w:sz="0" w:space="0" w:color="auto"/>
        <w:left w:val="none" w:sz="0" w:space="0" w:color="auto"/>
        <w:bottom w:val="none" w:sz="0" w:space="0" w:color="auto"/>
        <w:right w:val="none" w:sz="0" w:space="0" w:color="auto"/>
      </w:divBdr>
      <w:divsChild>
        <w:div w:id="1150055716">
          <w:marLeft w:val="0"/>
          <w:marRight w:val="0"/>
          <w:marTop w:val="0"/>
          <w:marBottom w:val="0"/>
          <w:divBdr>
            <w:top w:val="none" w:sz="0" w:space="0" w:color="auto"/>
            <w:left w:val="none" w:sz="0" w:space="0" w:color="auto"/>
            <w:bottom w:val="none" w:sz="0" w:space="0" w:color="auto"/>
            <w:right w:val="none" w:sz="0" w:space="0" w:color="auto"/>
          </w:divBdr>
          <w:divsChild>
            <w:div w:id="247540117">
              <w:marLeft w:val="0"/>
              <w:marRight w:val="0"/>
              <w:marTop w:val="0"/>
              <w:marBottom w:val="0"/>
              <w:divBdr>
                <w:top w:val="none" w:sz="0" w:space="0" w:color="auto"/>
                <w:left w:val="none" w:sz="0" w:space="0" w:color="auto"/>
                <w:bottom w:val="none" w:sz="0" w:space="0" w:color="auto"/>
                <w:right w:val="none" w:sz="0" w:space="0" w:color="auto"/>
              </w:divBdr>
              <w:divsChild>
                <w:div w:id="1296831129">
                  <w:marLeft w:val="0"/>
                  <w:marRight w:val="0"/>
                  <w:marTop w:val="0"/>
                  <w:marBottom w:val="0"/>
                  <w:divBdr>
                    <w:top w:val="none" w:sz="0" w:space="0" w:color="auto"/>
                    <w:left w:val="none" w:sz="0" w:space="0" w:color="auto"/>
                    <w:bottom w:val="none" w:sz="0" w:space="0" w:color="auto"/>
                    <w:right w:val="none" w:sz="0" w:space="0" w:color="auto"/>
                  </w:divBdr>
                  <w:divsChild>
                    <w:div w:id="155053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8122553">
      <w:bodyDiv w:val="1"/>
      <w:marLeft w:val="0"/>
      <w:marRight w:val="0"/>
      <w:marTop w:val="0"/>
      <w:marBottom w:val="0"/>
      <w:divBdr>
        <w:top w:val="none" w:sz="0" w:space="0" w:color="auto"/>
        <w:left w:val="none" w:sz="0" w:space="0" w:color="auto"/>
        <w:bottom w:val="none" w:sz="0" w:space="0" w:color="auto"/>
        <w:right w:val="none" w:sz="0" w:space="0" w:color="auto"/>
      </w:divBdr>
    </w:div>
    <w:div w:id="343092161">
      <w:bodyDiv w:val="1"/>
      <w:marLeft w:val="0"/>
      <w:marRight w:val="0"/>
      <w:marTop w:val="0"/>
      <w:marBottom w:val="0"/>
      <w:divBdr>
        <w:top w:val="none" w:sz="0" w:space="0" w:color="auto"/>
        <w:left w:val="none" w:sz="0" w:space="0" w:color="auto"/>
        <w:bottom w:val="none" w:sz="0" w:space="0" w:color="auto"/>
        <w:right w:val="none" w:sz="0" w:space="0" w:color="auto"/>
      </w:divBdr>
    </w:div>
    <w:div w:id="345257220">
      <w:bodyDiv w:val="1"/>
      <w:marLeft w:val="0"/>
      <w:marRight w:val="0"/>
      <w:marTop w:val="0"/>
      <w:marBottom w:val="0"/>
      <w:divBdr>
        <w:top w:val="none" w:sz="0" w:space="0" w:color="auto"/>
        <w:left w:val="none" w:sz="0" w:space="0" w:color="auto"/>
        <w:bottom w:val="none" w:sz="0" w:space="0" w:color="auto"/>
        <w:right w:val="none" w:sz="0" w:space="0" w:color="auto"/>
      </w:divBdr>
      <w:divsChild>
        <w:div w:id="1362242040">
          <w:marLeft w:val="0"/>
          <w:marRight w:val="0"/>
          <w:marTop w:val="0"/>
          <w:marBottom w:val="0"/>
          <w:divBdr>
            <w:top w:val="none" w:sz="0" w:space="0" w:color="auto"/>
            <w:left w:val="none" w:sz="0" w:space="0" w:color="auto"/>
            <w:bottom w:val="none" w:sz="0" w:space="0" w:color="auto"/>
            <w:right w:val="none" w:sz="0" w:space="0" w:color="auto"/>
          </w:divBdr>
          <w:divsChild>
            <w:div w:id="1211921108">
              <w:marLeft w:val="0"/>
              <w:marRight w:val="0"/>
              <w:marTop w:val="0"/>
              <w:marBottom w:val="0"/>
              <w:divBdr>
                <w:top w:val="none" w:sz="0" w:space="0" w:color="auto"/>
                <w:left w:val="none" w:sz="0" w:space="0" w:color="auto"/>
                <w:bottom w:val="none" w:sz="0" w:space="0" w:color="auto"/>
                <w:right w:val="none" w:sz="0" w:space="0" w:color="auto"/>
              </w:divBdr>
              <w:divsChild>
                <w:div w:id="710351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694608">
      <w:bodyDiv w:val="1"/>
      <w:marLeft w:val="0"/>
      <w:marRight w:val="0"/>
      <w:marTop w:val="0"/>
      <w:marBottom w:val="0"/>
      <w:divBdr>
        <w:top w:val="none" w:sz="0" w:space="0" w:color="auto"/>
        <w:left w:val="none" w:sz="0" w:space="0" w:color="auto"/>
        <w:bottom w:val="none" w:sz="0" w:space="0" w:color="auto"/>
        <w:right w:val="none" w:sz="0" w:space="0" w:color="auto"/>
      </w:divBdr>
      <w:divsChild>
        <w:div w:id="859663315">
          <w:marLeft w:val="0"/>
          <w:marRight w:val="0"/>
          <w:marTop w:val="0"/>
          <w:marBottom w:val="0"/>
          <w:divBdr>
            <w:top w:val="none" w:sz="0" w:space="0" w:color="auto"/>
            <w:left w:val="none" w:sz="0" w:space="0" w:color="auto"/>
            <w:bottom w:val="none" w:sz="0" w:space="0" w:color="auto"/>
            <w:right w:val="none" w:sz="0" w:space="0" w:color="auto"/>
          </w:divBdr>
          <w:divsChild>
            <w:div w:id="985086277">
              <w:marLeft w:val="0"/>
              <w:marRight w:val="0"/>
              <w:marTop w:val="0"/>
              <w:marBottom w:val="0"/>
              <w:divBdr>
                <w:top w:val="none" w:sz="0" w:space="0" w:color="auto"/>
                <w:left w:val="none" w:sz="0" w:space="0" w:color="auto"/>
                <w:bottom w:val="none" w:sz="0" w:space="0" w:color="auto"/>
                <w:right w:val="none" w:sz="0" w:space="0" w:color="auto"/>
              </w:divBdr>
              <w:divsChild>
                <w:div w:id="178920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374476">
      <w:bodyDiv w:val="1"/>
      <w:marLeft w:val="0"/>
      <w:marRight w:val="0"/>
      <w:marTop w:val="0"/>
      <w:marBottom w:val="0"/>
      <w:divBdr>
        <w:top w:val="none" w:sz="0" w:space="0" w:color="auto"/>
        <w:left w:val="none" w:sz="0" w:space="0" w:color="auto"/>
        <w:bottom w:val="none" w:sz="0" w:space="0" w:color="auto"/>
        <w:right w:val="none" w:sz="0" w:space="0" w:color="auto"/>
      </w:divBdr>
    </w:div>
    <w:div w:id="370962367">
      <w:bodyDiv w:val="1"/>
      <w:marLeft w:val="0"/>
      <w:marRight w:val="0"/>
      <w:marTop w:val="0"/>
      <w:marBottom w:val="0"/>
      <w:divBdr>
        <w:top w:val="none" w:sz="0" w:space="0" w:color="auto"/>
        <w:left w:val="none" w:sz="0" w:space="0" w:color="auto"/>
        <w:bottom w:val="none" w:sz="0" w:space="0" w:color="auto"/>
        <w:right w:val="none" w:sz="0" w:space="0" w:color="auto"/>
      </w:divBdr>
      <w:divsChild>
        <w:div w:id="1924337665">
          <w:marLeft w:val="0"/>
          <w:marRight w:val="0"/>
          <w:marTop w:val="0"/>
          <w:marBottom w:val="0"/>
          <w:divBdr>
            <w:top w:val="none" w:sz="0" w:space="0" w:color="auto"/>
            <w:left w:val="none" w:sz="0" w:space="0" w:color="auto"/>
            <w:bottom w:val="none" w:sz="0" w:space="0" w:color="auto"/>
            <w:right w:val="none" w:sz="0" w:space="0" w:color="auto"/>
          </w:divBdr>
          <w:divsChild>
            <w:div w:id="2090341427">
              <w:marLeft w:val="0"/>
              <w:marRight w:val="0"/>
              <w:marTop w:val="0"/>
              <w:marBottom w:val="0"/>
              <w:divBdr>
                <w:top w:val="none" w:sz="0" w:space="0" w:color="auto"/>
                <w:left w:val="none" w:sz="0" w:space="0" w:color="auto"/>
                <w:bottom w:val="none" w:sz="0" w:space="0" w:color="auto"/>
                <w:right w:val="none" w:sz="0" w:space="0" w:color="auto"/>
              </w:divBdr>
              <w:divsChild>
                <w:div w:id="15711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809021">
      <w:bodyDiv w:val="1"/>
      <w:marLeft w:val="0"/>
      <w:marRight w:val="0"/>
      <w:marTop w:val="0"/>
      <w:marBottom w:val="0"/>
      <w:divBdr>
        <w:top w:val="none" w:sz="0" w:space="0" w:color="auto"/>
        <w:left w:val="none" w:sz="0" w:space="0" w:color="auto"/>
        <w:bottom w:val="none" w:sz="0" w:space="0" w:color="auto"/>
        <w:right w:val="none" w:sz="0" w:space="0" w:color="auto"/>
      </w:divBdr>
      <w:divsChild>
        <w:div w:id="1375502325">
          <w:marLeft w:val="0"/>
          <w:marRight w:val="0"/>
          <w:marTop w:val="0"/>
          <w:marBottom w:val="0"/>
          <w:divBdr>
            <w:top w:val="none" w:sz="0" w:space="0" w:color="auto"/>
            <w:left w:val="none" w:sz="0" w:space="0" w:color="auto"/>
            <w:bottom w:val="none" w:sz="0" w:space="0" w:color="auto"/>
            <w:right w:val="none" w:sz="0" w:space="0" w:color="auto"/>
          </w:divBdr>
          <w:divsChild>
            <w:div w:id="1718357592">
              <w:marLeft w:val="0"/>
              <w:marRight w:val="0"/>
              <w:marTop w:val="0"/>
              <w:marBottom w:val="0"/>
              <w:divBdr>
                <w:top w:val="none" w:sz="0" w:space="0" w:color="auto"/>
                <w:left w:val="none" w:sz="0" w:space="0" w:color="auto"/>
                <w:bottom w:val="none" w:sz="0" w:space="0" w:color="auto"/>
                <w:right w:val="none" w:sz="0" w:space="0" w:color="auto"/>
              </w:divBdr>
              <w:divsChild>
                <w:div w:id="4110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826663">
      <w:bodyDiv w:val="1"/>
      <w:marLeft w:val="0"/>
      <w:marRight w:val="0"/>
      <w:marTop w:val="0"/>
      <w:marBottom w:val="0"/>
      <w:divBdr>
        <w:top w:val="none" w:sz="0" w:space="0" w:color="auto"/>
        <w:left w:val="none" w:sz="0" w:space="0" w:color="auto"/>
        <w:bottom w:val="none" w:sz="0" w:space="0" w:color="auto"/>
        <w:right w:val="none" w:sz="0" w:space="0" w:color="auto"/>
      </w:divBdr>
    </w:div>
    <w:div w:id="389306138">
      <w:bodyDiv w:val="1"/>
      <w:marLeft w:val="0"/>
      <w:marRight w:val="0"/>
      <w:marTop w:val="0"/>
      <w:marBottom w:val="0"/>
      <w:divBdr>
        <w:top w:val="none" w:sz="0" w:space="0" w:color="auto"/>
        <w:left w:val="none" w:sz="0" w:space="0" w:color="auto"/>
        <w:bottom w:val="none" w:sz="0" w:space="0" w:color="auto"/>
        <w:right w:val="none" w:sz="0" w:space="0" w:color="auto"/>
      </w:divBdr>
      <w:divsChild>
        <w:div w:id="1709332987">
          <w:marLeft w:val="0"/>
          <w:marRight w:val="0"/>
          <w:marTop w:val="0"/>
          <w:marBottom w:val="0"/>
          <w:divBdr>
            <w:top w:val="none" w:sz="0" w:space="0" w:color="auto"/>
            <w:left w:val="none" w:sz="0" w:space="0" w:color="auto"/>
            <w:bottom w:val="none" w:sz="0" w:space="0" w:color="auto"/>
            <w:right w:val="none" w:sz="0" w:space="0" w:color="auto"/>
          </w:divBdr>
          <w:divsChild>
            <w:div w:id="1483425856">
              <w:marLeft w:val="0"/>
              <w:marRight w:val="0"/>
              <w:marTop w:val="0"/>
              <w:marBottom w:val="0"/>
              <w:divBdr>
                <w:top w:val="none" w:sz="0" w:space="0" w:color="auto"/>
                <w:left w:val="none" w:sz="0" w:space="0" w:color="auto"/>
                <w:bottom w:val="none" w:sz="0" w:space="0" w:color="auto"/>
                <w:right w:val="none" w:sz="0" w:space="0" w:color="auto"/>
              </w:divBdr>
              <w:divsChild>
                <w:div w:id="1396589431">
                  <w:marLeft w:val="0"/>
                  <w:marRight w:val="0"/>
                  <w:marTop w:val="0"/>
                  <w:marBottom w:val="0"/>
                  <w:divBdr>
                    <w:top w:val="none" w:sz="0" w:space="0" w:color="auto"/>
                    <w:left w:val="none" w:sz="0" w:space="0" w:color="auto"/>
                    <w:bottom w:val="none" w:sz="0" w:space="0" w:color="auto"/>
                    <w:right w:val="none" w:sz="0" w:space="0" w:color="auto"/>
                  </w:divBdr>
                  <w:divsChild>
                    <w:div w:id="111486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2603248">
      <w:bodyDiv w:val="1"/>
      <w:marLeft w:val="0"/>
      <w:marRight w:val="0"/>
      <w:marTop w:val="0"/>
      <w:marBottom w:val="0"/>
      <w:divBdr>
        <w:top w:val="none" w:sz="0" w:space="0" w:color="auto"/>
        <w:left w:val="none" w:sz="0" w:space="0" w:color="auto"/>
        <w:bottom w:val="none" w:sz="0" w:space="0" w:color="auto"/>
        <w:right w:val="none" w:sz="0" w:space="0" w:color="auto"/>
      </w:divBdr>
      <w:divsChild>
        <w:div w:id="1255896193">
          <w:marLeft w:val="0"/>
          <w:marRight w:val="0"/>
          <w:marTop w:val="0"/>
          <w:marBottom w:val="0"/>
          <w:divBdr>
            <w:top w:val="none" w:sz="0" w:space="0" w:color="auto"/>
            <w:left w:val="none" w:sz="0" w:space="0" w:color="auto"/>
            <w:bottom w:val="none" w:sz="0" w:space="0" w:color="auto"/>
            <w:right w:val="none" w:sz="0" w:space="0" w:color="auto"/>
          </w:divBdr>
          <w:divsChild>
            <w:div w:id="1527020812">
              <w:marLeft w:val="0"/>
              <w:marRight w:val="0"/>
              <w:marTop w:val="0"/>
              <w:marBottom w:val="0"/>
              <w:divBdr>
                <w:top w:val="none" w:sz="0" w:space="0" w:color="auto"/>
                <w:left w:val="none" w:sz="0" w:space="0" w:color="auto"/>
                <w:bottom w:val="none" w:sz="0" w:space="0" w:color="auto"/>
                <w:right w:val="none" w:sz="0" w:space="0" w:color="auto"/>
              </w:divBdr>
              <w:divsChild>
                <w:div w:id="1730180973">
                  <w:marLeft w:val="0"/>
                  <w:marRight w:val="0"/>
                  <w:marTop w:val="0"/>
                  <w:marBottom w:val="0"/>
                  <w:divBdr>
                    <w:top w:val="none" w:sz="0" w:space="0" w:color="auto"/>
                    <w:left w:val="none" w:sz="0" w:space="0" w:color="auto"/>
                    <w:bottom w:val="none" w:sz="0" w:space="0" w:color="auto"/>
                    <w:right w:val="none" w:sz="0" w:space="0" w:color="auto"/>
                  </w:divBdr>
                </w:div>
                <w:div w:id="1030836619">
                  <w:marLeft w:val="0"/>
                  <w:marRight w:val="0"/>
                  <w:marTop w:val="0"/>
                  <w:marBottom w:val="0"/>
                  <w:divBdr>
                    <w:top w:val="none" w:sz="0" w:space="0" w:color="auto"/>
                    <w:left w:val="none" w:sz="0" w:space="0" w:color="auto"/>
                    <w:bottom w:val="none" w:sz="0" w:space="0" w:color="auto"/>
                    <w:right w:val="none" w:sz="0" w:space="0" w:color="auto"/>
                  </w:divBdr>
                </w:div>
              </w:divsChild>
            </w:div>
            <w:div w:id="588731149">
              <w:marLeft w:val="0"/>
              <w:marRight w:val="0"/>
              <w:marTop w:val="0"/>
              <w:marBottom w:val="0"/>
              <w:divBdr>
                <w:top w:val="none" w:sz="0" w:space="0" w:color="auto"/>
                <w:left w:val="none" w:sz="0" w:space="0" w:color="auto"/>
                <w:bottom w:val="none" w:sz="0" w:space="0" w:color="auto"/>
                <w:right w:val="none" w:sz="0" w:space="0" w:color="auto"/>
              </w:divBdr>
              <w:divsChild>
                <w:div w:id="182465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314639">
      <w:bodyDiv w:val="1"/>
      <w:marLeft w:val="0"/>
      <w:marRight w:val="0"/>
      <w:marTop w:val="0"/>
      <w:marBottom w:val="0"/>
      <w:divBdr>
        <w:top w:val="none" w:sz="0" w:space="0" w:color="auto"/>
        <w:left w:val="none" w:sz="0" w:space="0" w:color="auto"/>
        <w:bottom w:val="none" w:sz="0" w:space="0" w:color="auto"/>
        <w:right w:val="none" w:sz="0" w:space="0" w:color="auto"/>
      </w:divBdr>
      <w:divsChild>
        <w:div w:id="1297028762">
          <w:marLeft w:val="0"/>
          <w:marRight w:val="0"/>
          <w:marTop w:val="0"/>
          <w:marBottom w:val="0"/>
          <w:divBdr>
            <w:top w:val="none" w:sz="0" w:space="0" w:color="auto"/>
            <w:left w:val="none" w:sz="0" w:space="0" w:color="auto"/>
            <w:bottom w:val="none" w:sz="0" w:space="0" w:color="auto"/>
            <w:right w:val="none" w:sz="0" w:space="0" w:color="auto"/>
          </w:divBdr>
          <w:divsChild>
            <w:div w:id="647634237">
              <w:marLeft w:val="0"/>
              <w:marRight w:val="0"/>
              <w:marTop w:val="0"/>
              <w:marBottom w:val="0"/>
              <w:divBdr>
                <w:top w:val="none" w:sz="0" w:space="0" w:color="auto"/>
                <w:left w:val="none" w:sz="0" w:space="0" w:color="auto"/>
                <w:bottom w:val="none" w:sz="0" w:space="0" w:color="auto"/>
                <w:right w:val="none" w:sz="0" w:space="0" w:color="auto"/>
              </w:divBdr>
              <w:divsChild>
                <w:div w:id="202821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296551">
      <w:bodyDiv w:val="1"/>
      <w:marLeft w:val="0"/>
      <w:marRight w:val="0"/>
      <w:marTop w:val="0"/>
      <w:marBottom w:val="0"/>
      <w:divBdr>
        <w:top w:val="none" w:sz="0" w:space="0" w:color="auto"/>
        <w:left w:val="none" w:sz="0" w:space="0" w:color="auto"/>
        <w:bottom w:val="none" w:sz="0" w:space="0" w:color="auto"/>
        <w:right w:val="none" w:sz="0" w:space="0" w:color="auto"/>
      </w:divBdr>
      <w:divsChild>
        <w:div w:id="1121219936">
          <w:marLeft w:val="1080"/>
          <w:marRight w:val="0"/>
          <w:marTop w:val="100"/>
          <w:marBottom w:val="0"/>
          <w:divBdr>
            <w:top w:val="none" w:sz="0" w:space="0" w:color="auto"/>
            <w:left w:val="none" w:sz="0" w:space="0" w:color="auto"/>
            <w:bottom w:val="none" w:sz="0" w:space="0" w:color="auto"/>
            <w:right w:val="none" w:sz="0" w:space="0" w:color="auto"/>
          </w:divBdr>
        </w:div>
        <w:div w:id="1920600095">
          <w:marLeft w:val="1080"/>
          <w:marRight w:val="0"/>
          <w:marTop w:val="100"/>
          <w:marBottom w:val="0"/>
          <w:divBdr>
            <w:top w:val="none" w:sz="0" w:space="0" w:color="auto"/>
            <w:left w:val="none" w:sz="0" w:space="0" w:color="auto"/>
            <w:bottom w:val="none" w:sz="0" w:space="0" w:color="auto"/>
            <w:right w:val="none" w:sz="0" w:space="0" w:color="auto"/>
          </w:divBdr>
        </w:div>
        <w:div w:id="419916071">
          <w:marLeft w:val="1080"/>
          <w:marRight w:val="0"/>
          <w:marTop w:val="100"/>
          <w:marBottom w:val="0"/>
          <w:divBdr>
            <w:top w:val="none" w:sz="0" w:space="0" w:color="auto"/>
            <w:left w:val="none" w:sz="0" w:space="0" w:color="auto"/>
            <w:bottom w:val="none" w:sz="0" w:space="0" w:color="auto"/>
            <w:right w:val="none" w:sz="0" w:space="0" w:color="auto"/>
          </w:divBdr>
        </w:div>
        <w:div w:id="727649501">
          <w:marLeft w:val="1080"/>
          <w:marRight w:val="0"/>
          <w:marTop w:val="100"/>
          <w:marBottom w:val="0"/>
          <w:divBdr>
            <w:top w:val="none" w:sz="0" w:space="0" w:color="auto"/>
            <w:left w:val="none" w:sz="0" w:space="0" w:color="auto"/>
            <w:bottom w:val="none" w:sz="0" w:space="0" w:color="auto"/>
            <w:right w:val="none" w:sz="0" w:space="0" w:color="auto"/>
          </w:divBdr>
        </w:div>
      </w:divsChild>
    </w:div>
    <w:div w:id="440609152">
      <w:bodyDiv w:val="1"/>
      <w:marLeft w:val="0"/>
      <w:marRight w:val="0"/>
      <w:marTop w:val="0"/>
      <w:marBottom w:val="0"/>
      <w:divBdr>
        <w:top w:val="none" w:sz="0" w:space="0" w:color="auto"/>
        <w:left w:val="none" w:sz="0" w:space="0" w:color="auto"/>
        <w:bottom w:val="none" w:sz="0" w:space="0" w:color="auto"/>
        <w:right w:val="none" w:sz="0" w:space="0" w:color="auto"/>
      </w:divBdr>
    </w:div>
    <w:div w:id="463274912">
      <w:bodyDiv w:val="1"/>
      <w:marLeft w:val="0"/>
      <w:marRight w:val="0"/>
      <w:marTop w:val="0"/>
      <w:marBottom w:val="0"/>
      <w:divBdr>
        <w:top w:val="none" w:sz="0" w:space="0" w:color="auto"/>
        <w:left w:val="none" w:sz="0" w:space="0" w:color="auto"/>
        <w:bottom w:val="none" w:sz="0" w:space="0" w:color="auto"/>
        <w:right w:val="none" w:sz="0" w:space="0" w:color="auto"/>
      </w:divBdr>
    </w:div>
    <w:div w:id="470752058">
      <w:bodyDiv w:val="1"/>
      <w:marLeft w:val="0"/>
      <w:marRight w:val="0"/>
      <w:marTop w:val="0"/>
      <w:marBottom w:val="0"/>
      <w:divBdr>
        <w:top w:val="none" w:sz="0" w:space="0" w:color="auto"/>
        <w:left w:val="none" w:sz="0" w:space="0" w:color="auto"/>
        <w:bottom w:val="none" w:sz="0" w:space="0" w:color="auto"/>
        <w:right w:val="none" w:sz="0" w:space="0" w:color="auto"/>
      </w:divBdr>
      <w:divsChild>
        <w:div w:id="1193420096">
          <w:marLeft w:val="0"/>
          <w:marRight w:val="0"/>
          <w:marTop w:val="0"/>
          <w:marBottom w:val="0"/>
          <w:divBdr>
            <w:top w:val="none" w:sz="0" w:space="0" w:color="auto"/>
            <w:left w:val="none" w:sz="0" w:space="0" w:color="auto"/>
            <w:bottom w:val="none" w:sz="0" w:space="0" w:color="auto"/>
            <w:right w:val="none" w:sz="0" w:space="0" w:color="auto"/>
          </w:divBdr>
          <w:divsChild>
            <w:div w:id="1479881193">
              <w:marLeft w:val="0"/>
              <w:marRight w:val="0"/>
              <w:marTop w:val="0"/>
              <w:marBottom w:val="0"/>
              <w:divBdr>
                <w:top w:val="none" w:sz="0" w:space="0" w:color="auto"/>
                <w:left w:val="none" w:sz="0" w:space="0" w:color="auto"/>
                <w:bottom w:val="none" w:sz="0" w:space="0" w:color="auto"/>
                <w:right w:val="none" w:sz="0" w:space="0" w:color="auto"/>
              </w:divBdr>
              <w:divsChild>
                <w:div w:id="149044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4489475">
      <w:bodyDiv w:val="1"/>
      <w:marLeft w:val="0"/>
      <w:marRight w:val="0"/>
      <w:marTop w:val="0"/>
      <w:marBottom w:val="0"/>
      <w:divBdr>
        <w:top w:val="none" w:sz="0" w:space="0" w:color="auto"/>
        <w:left w:val="none" w:sz="0" w:space="0" w:color="auto"/>
        <w:bottom w:val="none" w:sz="0" w:space="0" w:color="auto"/>
        <w:right w:val="none" w:sz="0" w:space="0" w:color="auto"/>
      </w:divBdr>
      <w:divsChild>
        <w:div w:id="1306164220">
          <w:marLeft w:val="0"/>
          <w:marRight w:val="0"/>
          <w:marTop w:val="0"/>
          <w:marBottom w:val="0"/>
          <w:divBdr>
            <w:top w:val="none" w:sz="0" w:space="0" w:color="auto"/>
            <w:left w:val="none" w:sz="0" w:space="0" w:color="auto"/>
            <w:bottom w:val="none" w:sz="0" w:space="0" w:color="auto"/>
            <w:right w:val="none" w:sz="0" w:space="0" w:color="auto"/>
          </w:divBdr>
          <w:divsChild>
            <w:div w:id="889417144">
              <w:marLeft w:val="0"/>
              <w:marRight w:val="0"/>
              <w:marTop w:val="0"/>
              <w:marBottom w:val="0"/>
              <w:divBdr>
                <w:top w:val="none" w:sz="0" w:space="0" w:color="auto"/>
                <w:left w:val="none" w:sz="0" w:space="0" w:color="auto"/>
                <w:bottom w:val="none" w:sz="0" w:space="0" w:color="auto"/>
                <w:right w:val="none" w:sz="0" w:space="0" w:color="auto"/>
              </w:divBdr>
              <w:divsChild>
                <w:div w:id="196411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677238">
      <w:bodyDiv w:val="1"/>
      <w:marLeft w:val="0"/>
      <w:marRight w:val="0"/>
      <w:marTop w:val="0"/>
      <w:marBottom w:val="0"/>
      <w:divBdr>
        <w:top w:val="none" w:sz="0" w:space="0" w:color="auto"/>
        <w:left w:val="none" w:sz="0" w:space="0" w:color="auto"/>
        <w:bottom w:val="none" w:sz="0" w:space="0" w:color="auto"/>
        <w:right w:val="none" w:sz="0" w:space="0" w:color="auto"/>
      </w:divBdr>
      <w:divsChild>
        <w:div w:id="987630533">
          <w:marLeft w:val="0"/>
          <w:marRight w:val="0"/>
          <w:marTop w:val="0"/>
          <w:marBottom w:val="0"/>
          <w:divBdr>
            <w:top w:val="none" w:sz="0" w:space="0" w:color="auto"/>
            <w:left w:val="none" w:sz="0" w:space="0" w:color="auto"/>
            <w:bottom w:val="none" w:sz="0" w:space="0" w:color="auto"/>
            <w:right w:val="none" w:sz="0" w:space="0" w:color="auto"/>
          </w:divBdr>
          <w:divsChild>
            <w:div w:id="1559364072">
              <w:marLeft w:val="0"/>
              <w:marRight w:val="0"/>
              <w:marTop w:val="0"/>
              <w:marBottom w:val="0"/>
              <w:divBdr>
                <w:top w:val="none" w:sz="0" w:space="0" w:color="auto"/>
                <w:left w:val="none" w:sz="0" w:space="0" w:color="auto"/>
                <w:bottom w:val="none" w:sz="0" w:space="0" w:color="auto"/>
                <w:right w:val="none" w:sz="0" w:space="0" w:color="auto"/>
              </w:divBdr>
              <w:divsChild>
                <w:div w:id="1915041398">
                  <w:marLeft w:val="0"/>
                  <w:marRight w:val="0"/>
                  <w:marTop w:val="0"/>
                  <w:marBottom w:val="0"/>
                  <w:divBdr>
                    <w:top w:val="none" w:sz="0" w:space="0" w:color="auto"/>
                    <w:left w:val="none" w:sz="0" w:space="0" w:color="auto"/>
                    <w:bottom w:val="none" w:sz="0" w:space="0" w:color="auto"/>
                    <w:right w:val="none" w:sz="0" w:space="0" w:color="auto"/>
                  </w:divBdr>
                  <w:divsChild>
                    <w:div w:id="670065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66399">
      <w:bodyDiv w:val="1"/>
      <w:marLeft w:val="0"/>
      <w:marRight w:val="0"/>
      <w:marTop w:val="0"/>
      <w:marBottom w:val="0"/>
      <w:divBdr>
        <w:top w:val="none" w:sz="0" w:space="0" w:color="auto"/>
        <w:left w:val="none" w:sz="0" w:space="0" w:color="auto"/>
        <w:bottom w:val="none" w:sz="0" w:space="0" w:color="auto"/>
        <w:right w:val="none" w:sz="0" w:space="0" w:color="auto"/>
      </w:divBdr>
      <w:divsChild>
        <w:div w:id="1342510302">
          <w:marLeft w:val="0"/>
          <w:marRight w:val="0"/>
          <w:marTop w:val="0"/>
          <w:marBottom w:val="0"/>
          <w:divBdr>
            <w:top w:val="none" w:sz="0" w:space="0" w:color="auto"/>
            <w:left w:val="none" w:sz="0" w:space="0" w:color="auto"/>
            <w:bottom w:val="none" w:sz="0" w:space="0" w:color="auto"/>
            <w:right w:val="none" w:sz="0" w:space="0" w:color="auto"/>
          </w:divBdr>
        </w:div>
      </w:divsChild>
    </w:div>
    <w:div w:id="509563278">
      <w:bodyDiv w:val="1"/>
      <w:marLeft w:val="0"/>
      <w:marRight w:val="0"/>
      <w:marTop w:val="0"/>
      <w:marBottom w:val="0"/>
      <w:divBdr>
        <w:top w:val="none" w:sz="0" w:space="0" w:color="auto"/>
        <w:left w:val="none" w:sz="0" w:space="0" w:color="auto"/>
        <w:bottom w:val="none" w:sz="0" w:space="0" w:color="auto"/>
        <w:right w:val="none" w:sz="0" w:space="0" w:color="auto"/>
      </w:divBdr>
    </w:div>
    <w:div w:id="539244062">
      <w:bodyDiv w:val="1"/>
      <w:marLeft w:val="0"/>
      <w:marRight w:val="0"/>
      <w:marTop w:val="0"/>
      <w:marBottom w:val="0"/>
      <w:divBdr>
        <w:top w:val="none" w:sz="0" w:space="0" w:color="auto"/>
        <w:left w:val="none" w:sz="0" w:space="0" w:color="auto"/>
        <w:bottom w:val="none" w:sz="0" w:space="0" w:color="auto"/>
        <w:right w:val="none" w:sz="0" w:space="0" w:color="auto"/>
      </w:divBdr>
    </w:div>
    <w:div w:id="544606995">
      <w:bodyDiv w:val="1"/>
      <w:marLeft w:val="0"/>
      <w:marRight w:val="0"/>
      <w:marTop w:val="0"/>
      <w:marBottom w:val="0"/>
      <w:divBdr>
        <w:top w:val="none" w:sz="0" w:space="0" w:color="auto"/>
        <w:left w:val="none" w:sz="0" w:space="0" w:color="auto"/>
        <w:bottom w:val="none" w:sz="0" w:space="0" w:color="auto"/>
        <w:right w:val="none" w:sz="0" w:space="0" w:color="auto"/>
      </w:divBdr>
    </w:div>
    <w:div w:id="568729082">
      <w:bodyDiv w:val="1"/>
      <w:marLeft w:val="0"/>
      <w:marRight w:val="0"/>
      <w:marTop w:val="0"/>
      <w:marBottom w:val="0"/>
      <w:divBdr>
        <w:top w:val="none" w:sz="0" w:space="0" w:color="auto"/>
        <w:left w:val="none" w:sz="0" w:space="0" w:color="auto"/>
        <w:bottom w:val="none" w:sz="0" w:space="0" w:color="auto"/>
        <w:right w:val="none" w:sz="0" w:space="0" w:color="auto"/>
      </w:divBdr>
    </w:div>
    <w:div w:id="603418503">
      <w:bodyDiv w:val="1"/>
      <w:marLeft w:val="0"/>
      <w:marRight w:val="0"/>
      <w:marTop w:val="0"/>
      <w:marBottom w:val="0"/>
      <w:divBdr>
        <w:top w:val="none" w:sz="0" w:space="0" w:color="auto"/>
        <w:left w:val="none" w:sz="0" w:space="0" w:color="auto"/>
        <w:bottom w:val="none" w:sz="0" w:space="0" w:color="auto"/>
        <w:right w:val="none" w:sz="0" w:space="0" w:color="auto"/>
      </w:divBdr>
    </w:div>
    <w:div w:id="619191449">
      <w:bodyDiv w:val="1"/>
      <w:marLeft w:val="0"/>
      <w:marRight w:val="0"/>
      <w:marTop w:val="0"/>
      <w:marBottom w:val="0"/>
      <w:divBdr>
        <w:top w:val="none" w:sz="0" w:space="0" w:color="auto"/>
        <w:left w:val="none" w:sz="0" w:space="0" w:color="auto"/>
        <w:bottom w:val="none" w:sz="0" w:space="0" w:color="auto"/>
        <w:right w:val="none" w:sz="0" w:space="0" w:color="auto"/>
      </w:divBdr>
    </w:div>
    <w:div w:id="624044833">
      <w:bodyDiv w:val="1"/>
      <w:marLeft w:val="0"/>
      <w:marRight w:val="0"/>
      <w:marTop w:val="0"/>
      <w:marBottom w:val="0"/>
      <w:divBdr>
        <w:top w:val="none" w:sz="0" w:space="0" w:color="auto"/>
        <w:left w:val="none" w:sz="0" w:space="0" w:color="auto"/>
        <w:bottom w:val="none" w:sz="0" w:space="0" w:color="auto"/>
        <w:right w:val="none" w:sz="0" w:space="0" w:color="auto"/>
      </w:divBdr>
      <w:divsChild>
        <w:div w:id="1736119575">
          <w:marLeft w:val="0"/>
          <w:marRight w:val="0"/>
          <w:marTop w:val="0"/>
          <w:marBottom w:val="0"/>
          <w:divBdr>
            <w:top w:val="none" w:sz="0" w:space="0" w:color="auto"/>
            <w:left w:val="none" w:sz="0" w:space="0" w:color="auto"/>
            <w:bottom w:val="none" w:sz="0" w:space="0" w:color="auto"/>
            <w:right w:val="none" w:sz="0" w:space="0" w:color="auto"/>
          </w:divBdr>
          <w:divsChild>
            <w:div w:id="1908763605">
              <w:marLeft w:val="0"/>
              <w:marRight w:val="0"/>
              <w:marTop w:val="0"/>
              <w:marBottom w:val="0"/>
              <w:divBdr>
                <w:top w:val="none" w:sz="0" w:space="0" w:color="auto"/>
                <w:left w:val="none" w:sz="0" w:space="0" w:color="auto"/>
                <w:bottom w:val="none" w:sz="0" w:space="0" w:color="auto"/>
                <w:right w:val="none" w:sz="0" w:space="0" w:color="auto"/>
              </w:divBdr>
              <w:divsChild>
                <w:div w:id="146434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476800">
      <w:bodyDiv w:val="1"/>
      <w:marLeft w:val="0"/>
      <w:marRight w:val="0"/>
      <w:marTop w:val="0"/>
      <w:marBottom w:val="0"/>
      <w:divBdr>
        <w:top w:val="none" w:sz="0" w:space="0" w:color="auto"/>
        <w:left w:val="none" w:sz="0" w:space="0" w:color="auto"/>
        <w:bottom w:val="none" w:sz="0" w:space="0" w:color="auto"/>
        <w:right w:val="none" w:sz="0" w:space="0" w:color="auto"/>
      </w:divBdr>
      <w:divsChild>
        <w:div w:id="1506936046">
          <w:marLeft w:val="0"/>
          <w:marRight w:val="0"/>
          <w:marTop w:val="0"/>
          <w:marBottom w:val="0"/>
          <w:divBdr>
            <w:top w:val="none" w:sz="0" w:space="0" w:color="auto"/>
            <w:left w:val="none" w:sz="0" w:space="0" w:color="auto"/>
            <w:bottom w:val="none" w:sz="0" w:space="0" w:color="auto"/>
            <w:right w:val="none" w:sz="0" w:space="0" w:color="auto"/>
          </w:divBdr>
          <w:divsChild>
            <w:div w:id="1547910908">
              <w:marLeft w:val="0"/>
              <w:marRight w:val="0"/>
              <w:marTop w:val="0"/>
              <w:marBottom w:val="0"/>
              <w:divBdr>
                <w:top w:val="none" w:sz="0" w:space="0" w:color="auto"/>
                <w:left w:val="none" w:sz="0" w:space="0" w:color="auto"/>
                <w:bottom w:val="none" w:sz="0" w:space="0" w:color="auto"/>
                <w:right w:val="none" w:sz="0" w:space="0" w:color="auto"/>
              </w:divBdr>
              <w:divsChild>
                <w:div w:id="1420755734">
                  <w:marLeft w:val="0"/>
                  <w:marRight w:val="0"/>
                  <w:marTop w:val="0"/>
                  <w:marBottom w:val="0"/>
                  <w:divBdr>
                    <w:top w:val="none" w:sz="0" w:space="0" w:color="auto"/>
                    <w:left w:val="none" w:sz="0" w:space="0" w:color="auto"/>
                    <w:bottom w:val="none" w:sz="0" w:space="0" w:color="auto"/>
                    <w:right w:val="none" w:sz="0" w:space="0" w:color="auto"/>
                  </w:divBdr>
                  <w:divsChild>
                    <w:div w:id="59081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6162542">
      <w:bodyDiv w:val="1"/>
      <w:marLeft w:val="0"/>
      <w:marRight w:val="0"/>
      <w:marTop w:val="0"/>
      <w:marBottom w:val="0"/>
      <w:divBdr>
        <w:top w:val="none" w:sz="0" w:space="0" w:color="auto"/>
        <w:left w:val="none" w:sz="0" w:space="0" w:color="auto"/>
        <w:bottom w:val="none" w:sz="0" w:space="0" w:color="auto"/>
        <w:right w:val="none" w:sz="0" w:space="0" w:color="auto"/>
      </w:divBdr>
      <w:divsChild>
        <w:div w:id="1355306124">
          <w:marLeft w:val="0"/>
          <w:marRight w:val="0"/>
          <w:marTop w:val="0"/>
          <w:marBottom w:val="0"/>
          <w:divBdr>
            <w:top w:val="none" w:sz="0" w:space="0" w:color="auto"/>
            <w:left w:val="none" w:sz="0" w:space="0" w:color="auto"/>
            <w:bottom w:val="none" w:sz="0" w:space="0" w:color="auto"/>
            <w:right w:val="none" w:sz="0" w:space="0" w:color="auto"/>
          </w:divBdr>
          <w:divsChild>
            <w:div w:id="778794191">
              <w:marLeft w:val="0"/>
              <w:marRight w:val="0"/>
              <w:marTop w:val="0"/>
              <w:marBottom w:val="0"/>
              <w:divBdr>
                <w:top w:val="none" w:sz="0" w:space="0" w:color="auto"/>
                <w:left w:val="none" w:sz="0" w:space="0" w:color="auto"/>
                <w:bottom w:val="none" w:sz="0" w:space="0" w:color="auto"/>
                <w:right w:val="none" w:sz="0" w:space="0" w:color="auto"/>
              </w:divBdr>
              <w:divsChild>
                <w:div w:id="67510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149856">
      <w:bodyDiv w:val="1"/>
      <w:marLeft w:val="0"/>
      <w:marRight w:val="0"/>
      <w:marTop w:val="0"/>
      <w:marBottom w:val="0"/>
      <w:divBdr>
        <w:top w:val="none" w:sz="0" w:space="0" w:color="auto"/>
        <w:left w:val="none" w:sz="0" w:space="0" w:color="auto"/>
        <w:bottom w:val="none" w:sz="0" w:space="0" w:color="auto"/>
        <w:right w:val="none" w:sz="0" w:space="0" w:color="auto"/>
      </w:divBdr>
    </w:div>
    <w:div w:id="647511743">
      <w:bodyDiv w:val="1"/>
      <w:marLeft w:val="0"/>
      <w:marRight w:val="0"/>
      <w:marTop w:val="0"/>
      <w:marBottom w:val="0"/>
      <w:divBdr>
        <w:top w:val="none" w:sz="0" w:space="0" w:color="auto"/>
        <w:left w:val="none" w:sz="0" w:space="0" w:color="auto"/>
        <w:bottom w:val="none" w:sz="0" w:space="0" w:color="auto"/>
        <w:right w:val="none" w:sz="0" w:space="0" w:color="auto"/>
      </w:divBdr>
      <w:divsChild>
        <w:div w:id="1942687893">
          <w:marLeft w:val="0"/>
          <w:marRight w:val="0"/>
          <w:marTop w:val="0"/>
          <w:marBottom w:val="0"/>
          <w:divBdr>
            <w:top w:val="none" w:sz="0" w:space="0" w:color="auto"/>
            <w:left w:val="none" w:sz="0" w:space="0" w:color="auto"/>
            <w:bottom w:val="none" w:sz="0" w:space="0" w:color="auto"/>
            <w:right w:val="none" w:sz="0" w:space="0" w:color="auto"/>
          </w:divBdr>
          <w:divsChild>
            <w:div w:id="1133211659">
              <w:marLeft w:val="0"/>
              <w:marRight w:val="0"/>
              <w:marTop w:val="0"/>
              <w:marBottom w:val="0"/>
              <w:divBdr>
                <w:top w:val="none" w:sz="0" w:space="0" w:color="auto"/>
                <w:left w:val="none" w:sz="0" w:space="0" w:color="auto"/>
                <w:bottom w:val="none" w:sz="0" w:space="0" w:color="auto"/>
                <w:right w:val="none" w:sz="0" w:space="0" w:color="auto"/>
              </w:divBdr>
              <w:divsChild>
                <w:div w:id="88371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852566">
      <w:bodyDiv w:val="1"/>
      <w:marLeft w:val="0"/>
      <w:marRight w:val="0"/>
      <w:marTop w:val="0"/>
      <w:marBottom w:val="0"/>
      <w:divBdr>
        <w:top w:val="none" w:sz="0" w:space="0" w:color="auto"/>
        <w:left w:val="none" w:sz="0" w:space="0" w:color="auto"/>
        <w:bottom w:val="none" w:sz="0" w:space="0" w:color="auto"/>
        <w:right w:val="none" w:sz="0" w:space="0" w:color="auto"/>
      </w:divBdr>
      <w:divsChild>
        <w:div w:id="731850792">
          <w:marLeft w:val="0"/>
          <w:marRight w:val="0"/>
          <w:marTop w:val="0"/>
          <w:marBottom w:val="0"/>
          <w:divBdr>
            <w:top w:val="none" w:sz="0" w:space="0" w:color="auto"/>
            <w:left w:val="none" w:sz="0" w:space="0" w:color="auto"/>
            <w:bottom w:val="none" w:sz="0" w:space="0" w:color="auto"/>
            <w:right w:val="none" w:sz="0" w:space="0" w:color="auto"/>
          </w:divBdr>
          <w:divsChild>
            <w:div w:id="943195704">
              <w:marLeft w:val="0"/>
              <w:marRight w:val="0"/>
              <w:marTop w:val="0"/>
              <w:marBottom w:val="0"/>
              <w:divBdr>
                <w:top w:val="none" w:sz="0" w:space="0" w:color="auto"/>
                <w:left w:val="none" w:sz="0" w:space="0" w:color="auto"/>
                <w:bottom w:val="none" w:sz="0" w:space="0" w:color="auto"/>
                <w:right w:val="none" w:sz="0" w:space="0" w:color="auto"/>
              </w:divBdr>
              <w:divsChild>
                <w:div w:id="1207794735">
                  <w:marLeft w:val="0"/>
                  <w:marRight w:val="0"/>
                  <w:marTop w:val="0"/>
                  <w:marBottom w:val="0"/>
                  <w:divBdr>
                    <w:top w:val="none" w:sz="0" w:space="0" w:color="auto"/>
                    <w:left w:val="none" w:sz="0" w:space="0" w:color="auto"/>
                    <w:bottom w:val="none" w:sz="0" w:space="0" w:color="auto"/>
                    <w:right w:val="none" w:sz="0" w:space="0" w:color="auto"/>
                  </w:divBdr>
                  <w:divsChild>
                    <w:div w:id="80428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9285996">
      <w:bodyDiv w:val="1"/>
      <w:marLeft w:val="0"/>
      <w:marRight w:val="0"/>
      <w:marTop w:val="0"/>
      <w:marBottom w:val="0"/>
      <w:divBdr>
        <w:top w:val="none" w:sz="0" w:space="0" w:color="auto"/>
        <w:left w:val="none" w:sz="0" w:space="0" w:color="auto"/>
        <w:bottom w:val="none" w:sz="0" w:space="0" w:color="auto"/>
        <w:right w:val="none" w:sz="0" w:space="0" w:color="auto"/>
      </w:divBdr>
    </w:div>
    <w:div w:id="712735993">
      <w:bodyDiv w:val="1"/>
      <w:marLeft w:val="0"/>
      <w:marRight w:val="0"/>
      <w:marTop w:val="0"/>
      <w:marBottom w:val="0"/>
      <w:divBdr>
        <w:top w:val="none" w:sz="0" w:space="0" w:color="auto"/>
        <w:left w:val="none" w:sz="0" w:space="0" w:color="auto"/>
        <w:bottom w:val="none" w:sz="0" w:space="0" w:color="auto"/>
        <w:right w:val="none" w:sz="0" w:space="0" w:color="auto"/>
      </w:divBdr>
      <w:divsChild>
        <w:div w:id="1082796833">
          <w:marLeft w:val="0"/>
          <w:marRight w:val="0"/>
          <w:marTop w:val="0"/>
          <w:marBottom w:val="0"/>
          <w:divBdr>
            <w:top w:val="none" w:sz="0" w:space="0" w:color="auto"/>
            <w:left w:val="none" w:sz="0" w:space="0" w:color="auto"/>
            <w:bottom w:val="none" w:sz="0" w:space="0" w:color="auto"/>
            <w:right w:val="none" w:sz="0" w:space="0" w:color="auto"/>
          </w:divBdr>
          <w:divsChild>
            <w:div w:id="105277822">
              <w:marLeft w:val="0"/>
              <w:marRight w:val="0"/>
              <w:marTop w:val="0"/>
              <w:marBottom w:val="0"/>
              <w:divBdr>
                <w:top w:val="none" w:sz="0" w:space="0" w:color="auto"/>
                <w:left w:val="none" w:sz="0" w:space="0" w:color="auto"/>
                <w:bottom w:val="none" w:sz="0" w:space="0" w:color="auto"/>
                <w:right w:val="none" w:sz="0" w:space="0" w:color="auto"/>
              </w:divBdr>
              <w:divsChild>
                <w:div w:id="40357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19536">
      <w:bodyDiv w:val="1"/>
      <w:marLeft w:val="0"/>
      <w:marRight w:val="0"/>
      <w:marTop w:val="0"/>
      <w:marBottom w:val="0"/>
      <w:divBdr>
        <w:top w:val="none" w:sz="0" w:space="0" w:color="auto"/>
        <w:left w:val="none" w:sz="0" w:space="0" w:color="auto"/>
        <w:bottom w:val="none" w:sz="0" w:space="0" w:color="auto"/>
        <w:right w:val="none" w:sz="0" w:space="0" w:color="auto"/>
      </w:divBdr>
      <w:divsChild>
        <w:div w:id="1843087967">
          <w:marLeft w:val="0"/>
          <w:marRight w:val="0"/>
          <w:marTop w:val="0"/>
          <w:marBottom w:val="0"/>
          <w:divBdr>
            <w:top w:val="none" w:sz="0" w:space="0" w:color="auto"/>
            <w:left w:val="none" w:sz="0" w:space="0" w:color="auto"/>
            <w:bottom w:val="none" w:sz="0" w:space="0" w:color="auto"/>
            <w:right w:val="none" w:sz="0" w:space="0" w:color="auto"/>
          </w:divBdr>
          <w:divsChild>
            <w:div w:id="1319461254">
              <w:marLeft w:val="0"/>
              <w:marRight w:val="0"/>
              <w:marTop w:val="0"/>
              <w:marBottom w:val="0"/>
              <w:divBdr>
                <w:top w:val="none" w:sz="0" w:space="0" w:color="auto"/>
                <w:left w:val="none" w:sz="0" w:space="0" w:color="auto"/>
                <w:bottom w:val="none" w:sz="0" w:space="0" w:color="auto"/>
                <w:right w:val="none" w:sz="0" w:space="0" w:color="auto"/>
              </w:divBdr>
              <w:divsChild>
                <w:div w:id="2003389904">
                  <w:marLeft w:val="0"/>
                  <w:marRight w:val="0"/>
                  <w:marTop w:val="0"/>
                  <w:marBottom w:val="0"/>
                  <w:divBdr>
                    <w:top w:val="none" w:sz="0" w:space="0" w:color="auto"/>
                    <w:left w:val="none" w:sz="0" w:space="0" w:color="auto"/>
                    <w:bottom w:val="none" w:sz="0" w:space="0" w:color="auto"/>
                    <w:right w:val="none" w:sz="0" w:space="0" w:color="auto"/>
                  </w:divBdr>
                  <w:divsChild>
                    <w:div w:id="139211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2606212">
      <w:bodyDiv w:val="1"/>
      <w:marLeft w:val="0"/>
      <w:marRight w:val="0"/>
      <w:marTop w:val="0"/>
      <w:marBottom w:val="0"/>
      <w:divBdr>
        <w:top w:val="none" w:sz="0" w:space="0" w:color="auto"/>
        <w:left w:val="none" w:sz="0" w:space="0" w:color="auto"/>
        <w:bottom w:val="none" w:sz="0" w:space="0" w:color="auto"/>
        <w:right w:val="none" w:sz="0" w:space="0" w:color="auto"/>
      </w:divBdr>
      <w:divsChild>
        <w:div w:id="186523294">
          <w:marLeft w:val="0"/>
          <w:marRight w:val="0"/>
          <w:marTop w:val="0"/>
          <w:marBottom w:val="0"/>
          <w:divBdr>
            <w:top w:val="none" w:sz="0" w:space="0" w:color="auto"/>
            <w:left w:val="none" w:sz="0" w:space="0" w:color="auto"/>
            <w:bottom w:val="none" w:sz="0" w:space="0" w:color="auto"/>
            <w:right w:val="none" w:sz="0" w:space="0" w:color="auto"/>
          </w:divBdr>
          <w:divsChild>
            <w:div w:id="1013415141">
              <w:marLeft w:val="0"/>
              <w:marRight w:val="0"/>
              <w:marTop w:val="0"/>
              <w:marBottom w:val="0"/>
              <w:divBdr>
                <w:top w:val="none" w:sz="0" w:space="0" w:color="auto"/>
                <w:left w:val="none" w:sz="0" w:space="0" w:color="auto"/>
                <w:bottom w:val="none" w:sz="0" w:space="0" w:color="auto"/>
                <w:right w:val="none" w:sz="0" w:space="0" w:color="auto"/>
              </w:divBdr>
              <w:divsChild>
                <w:div w:id="115706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095417">
      <w:bodyDiv w:val="1"/>
      <w:marLeft w:val="0"/>
      <w:marRight w:val="0"/>
      <w:marTop w:val="0"/>
      <w:marBottom w:val="0"/>
      <w:divBdr>
        <w:top w:val="none" w:sz="0" w:space="0" w:color="auto"/>
        <w:left w:val="none" w:sz="0" w:space="0" w:color="auto"/>
        <w:bottom w:val="none" w:sz="0" w:space="0" w:color="auto"/>
        <w:right w:val="none" w:sz="0" w:space="0" w:color="auto"/>
      </w:divBdr>
      <w:divsChild>
        <w:div w:id="334236647">
          <w:marLeft w:val="1080"/>
          <w:marRight w:val="0"/>
          <w:marTop w:val="100"/>
          <w:marBottom w:val="0"/>
          <w:divBdr>
            <w:top w:val="none" w:sz="0" w:space="0" w:color="auto"/>
            <w:left w:val="none" w:sz="0" w:space="0" w:color="auto"/>
            <w:bottom w:val="none" w:sz="0" w:space="0" w:color="auto"/>
            <w:right w:val="none" w:sz="0" w:space="0" w:color="auto"/>
          </w:divBdr>
        </w:div>
      </w:divsChild>
    </w:div>
    <w:div w:id="792797219">
      <w:bodyDiv w:val="1"/>
      <w:marLeft w:val="0"/>
      <w:marRight w:val="0"/>
      <w:marTop w:val="0"/>
      <w:marBottom w:val="0"/>
      <w:divBdr>
        <w:top w:val="none" w:sz="0" w:space="0" w:color="auto"/>
        <w:left w:val="none" w:sz="0" w:space="0" w:color="auto"/>
        <w:bottom w:val="none" w:sz="0" w:space="0" w:color="auto"/>
        <w:right w:val="none" w:sz="0" w:space="0" w:color="auto"/>
      </w:divBdr>
    </w:div>
    <w:div w:id="794715076">
      <w:bodyDiv w:val="1"/>
      <w:marLeft w:val="0"/>
      <w:marRight w:val="0"/>
      <w:marTop w:val="0"/>
      <w:marBottom w:val="0"/>
      <w:divBdr>
        <w:top w:val="none" w:sz="0" w:space="0" w:color="auto"/>
        <w:left w:val="none" w:sz="0" w:space="0" w:color="auto"/>
        <w:bottom w:val="none" w:sz="0" w:space="0" w:color="auto"/>
        <w:right w:val="none" w:sz="0" w:space="0" w:color="auto"/>
      </w:divBdr>
      <w:divsChild>
        <w:div w:id="349990444">
          <w:marLeft w:val="0"/>
          <w:marRight w:val="0"/>
          <w:marTop w:val="0"/>
          <w:marBottom w:val="0"/>
          <w:divBdr>
            <w:top w:val="none" w:sz="0" w:space="0" w:color="auto"/>
            <w:left w:val="none" w:sz="0" w:space="0" w:color="auto"/>
            <w:bottom w:val="none" w:sz="0" w:space="0" w:color="auto"/>
            <w:right w:val="none" w:sz="0" w:space="0" w:color="auto"/>
          </w:divBdr>
          <w:divsChild>
            <w:div w:id="643432542">
              <w:marLeft w:val="0"/>
              <w:marRight w:val="0"/>
              <w:marTop w:val="0"/>
              <w:marBottom w:val="0"/>
              <w:divBdr>
                <w:top w:val="none" w:sz="0" w:space="0" w:color="auto"/>
                <w:left w:val="none" w:sz="0" w:space="0" w:color="auto"/>
                <w:bottom w:val="none" w:sz="0" w:space="0" w:color="auto"/>
                <w:right w:val="none" w:sz="0" w:space="0" w:color="auto"/>
              </w:divBdr>
              <w:divsChild>
                <w:div w:id="211478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406932">
      <w:bodyDiv w:val="1"/>
      <w:marLeft w:val="0"/>
      <w:marRight w:val="0"/>
      <w:marTop w:val="0"/>
      <w:marBottom w:val="0"/>
      <w:divBdr>
        <w:top w:val="none" w:sz="0" w:space="0" w:color="auto"/>
        <w:left w:val="none" w:sz="0" w:space="0" w:color="auto"/>
        <w:bottom w:val="none" w:sz="0" w:space="0" w:color="auto"/>
        <w:right w:val="none" w:sz="0" w:space="0" w:color="auto"/>
      </w:divBdr>
    </w:div>
    <w:div w:id="909852685">
      <w:bodyDiv w:val="1"/>
      <w:marLeft w:val="0"/>
      <w:marRight w:val="0"/>
      <w:marTop w:val="0"/>
      <w:marBottom w:val="0"/>
      <w:divBdr>
        <w:top w:val="none" w:sz="0" w:space="0" w:color="auto"/>
        <w:left w:val="none" w:sz="0" w:space="0" w:color="auto"/>
        <w:bottom w:val="none" w:sz="0" w:space="0" w:color="auto"/>
        <w:right w:val="none" w:sz="0" w:space="0" w:color="auto"/>
      </w:divBdr>
      <w:divsChild>
        <w:div w:id="1051225704">
          <w:marLeft w:val="0"/>
          <w:marRight w:val="0"/>
          <w:marTop w:val="0"/>
          <w:marBottom w:val="0"/>
          <w:divBdr>
            <w:top w:val="none" w:sz="0" w:space="0" w:color="auto"/>
            <w:left w:val="none" w:sz="0" w:space="0" w:color="auto"/>
            <w:bottom w:val="none" w:sz="0" w:space="0" w:color="auto"/>
            <w:right w:val="none" w:sz="0" w:space="0" w:color="auto"/>
          </w:divBdr>
          <w:divsChild>
            <w:div w:id="886374438">
              <w:marLeft w:val="0"/>
              <w:marRight w:val="0"/>
              <w:marTop w:val="0"/>
              <w:marBottom w:val="0"/>
              <w:divBdr>
                <w:top w:val="none" w:sz="0" w:space="0" w:color="auto"/>
                <w:left w:val="none" w:sz="0" w:space="0" w:color="auto"/>
                <w:bottom w:val="none" w:sz="0" w:space="0" w:color="auto"/>
                <w:right w:val="none" w:sz="0" w:space="0" w:color="auto"/>
              </w:divBdr>
              <w:divsChild>
                <w:div w:id="102187431">
                  <w:marLeft w:val="0"/>
                  <w:marRight w:val="0"/>
                  <w:marTop w:val="0"/>
                  <w:marBottom w:val="0"/>
                  <w:divBdr>
                    <w:top w:val="none" w:sz="0" w:space="0" w:color="auto"/>
                    <w:left w:val="none" w:sz="0" w:space="0" w:color="auto"/>
                    <w:bottom w:val="none" w:sz="0" w:space="0" w:color="auto"/>
                    <w:right w:val="none" w:sz="0" w:space="0" w:color="auto"/>
                  </w:divBdr>
                  <w:divsChild>
                    <w:div w:id="4597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9876538">
      <w:bodyDiv w:val="1"/>
      <w:marLeft w:val="0"/>
      <w:marRight w:val="0"/>
      <w:marTop w:val="0"/>
      <w:marBottom w:val="0"/>
      <w:divBdr>
        <w:top w:val="none" w:sz="0" w:space="0" w:color="auto"/>
        <w:left w:val="none" w:sz="0" w:space="0" w:color="auto"/>
        <w:bottom w:val="none" w:sz="0" w:space="0" w:color="auto"/>
        <w:right w:val="none" w:sz="0" w:space="0" w:color="auto"/>
      </w:divBdr>
      <w:divsChild>
        <w:div w:id="1338002178">
          <w:marLeft w:val="0"/>
          <w:marRight w:val="0"/>
          <w:marTop w:val="0"/>
          <w:marBottom w:val="0"/>
          <w:divBdr>
            <w:top w:val="none" w:sz="0" w:space="0" w:color="auto"/>
            <w:left w:val="none" w:sz="0" w:space="0" w:color="auto"/>
            <w:bottom w:val="none" w:sz="0" w:space="0" w:color="auto"/>
            <w:right w:val="none" w:sz="0" w:space="0" w:color="auto"/>
          </w:divBdr>
          <w:divsChild>
            <w:div w:id="583802177">
              <w:marLeft w:val="0"/>
              <w:marRight w:val="0"/>
              <w:marTop w:val="0"/>
              <w:marBottom w:val="0"/>
              <w:divBdr>
                <w:top w:val="none" w:sz="0" w:space="0" w:color="auto"/>
                <w:left w:val="none" w:sz="0" w:space="0" w:color="auto"/>
                <w:bottom w:val="none" w:sz="0" w:space="0" w:color="auto"/>
                <w:right w:val="none" w:sz="0" w:space="0" w:color="auto"/>
              </w:divBdr>
              <w:divsChild>
                <w:div w:id="1485314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002938">
      <w:bodyDiv w:val="1"/>
      <w:marLeft w:val="0"/>
      <w:marRight w:val="0"/>
      <w:marTop w:val="0"/>
      <w:marBottom w:val="0"/>
      <w:divBdr>
        <w:top w:val="none" w:sz="0" w:space="0" w:color="auto"/>
        <w:left w:val="none" w:sz="0" w:space="0" w:color="auto"/>
        <w:bottom w:val="none" w:sz="0" w:space="0" w:color="auto"/>
        <w:right w:val="none" w:sz="0" w:space="0" w:color="auto"/>
      </w:divBdr>
      <w:divsChild>
        <w:div w:id="963118505">
          <w:marLeft w:val="0"/>
          <w:marRight w:val="0"/>
          <w:marTop w:val="0"/>
          <w:marBottom w:val="0"/>
          <w:divBdr>
            <w:top w:val="none" w:sz="0" w:space="0" w:color="auto"/>
            <w:left w:val="none" w:sz="0" w:space="0" w:color="auto"/>
            <w:bottom w:val="none" w:sz="0" w:space="0" w:color="auto"/>
            <w:right w:val="none" w:sz="0" w:space="0" w:color="auto"/>
          </w:divBdr>
          <w:divsChild>
            <w:div w:id="583030168">
              <w:marLeft w:val="0"/>
              <w:marRight w:val="0"/>
              <w:marTop w:val="0"/>
              <w:marBottom w:val="0"/>
              <w:divBdr>
                <w:top w:val="none" w:sz="0" w:space="0" w:color="auto"/>
                <w:left w:val="none" w:sz="0" w:space="0" w:color="auto"/>
                <w:bottom w:val="none" w:sz="0" w:space="0" w:color="auto"/>
                <w:right w:val="none" w:sz="0" w:space="0" w:color="auto"/>
              </w:divBdr>
              <w:divsChild>
                <w:div w:id="1850171329">
                  <w:marLeft w:val="0"/>
                  <w:marRight w:val="0"/>
                  <w:marTop w:val="0"/>
                  <w:marBottom w:val="0"/>
                  <w:divBdr>
                    <w:top w:val="none" w:sz="0" w:space="0" w:color="auto"/>
                    <w:left w:val="none" w:sz="0" w:space="0" w:color="auto"/>
                    <w:bottom w:val="none" w:sz="0" w:space="0" w:color="auto"/>
                    <w:right w:val="none" w:sz="0" w:space="0" w:color="auto"/>
                  </w:divBdr>
                  <w:divsChild>
                    <w:div w:id="58433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442010">
      <w:bodyDiv w:val="1"/>
      <w:marLeft w:val="0"/>
      <w:marRight w:val="0"/>
      <w:marTop w:val="0"/>
      <w:marBottom w:val="0"/>
      <w:divBdr>
        <w:top w:val="none" w:sz="0" w:space="0" w:color="auto"/>
        <w:left w:val="none" w:sz="0" w:space="0" w:color="auto"/>
        <w:bottom w:val="none" w:sz="0" w:space="0" w:color="auto"/>
        <w:right w:val="none" w:sz="0" w:space="0" w:color="auto"/>
      </w:divBdr>
      <w:divsChild>
        <w:div w:id="88430416">
          <w:marLeft w:val="0"/>
          <w:marRight w:val="0"/>
          <w:marTop w:val="0"/>
          <w:marBottom w:val="0"/>
          <w:divBdr>
            <w:top w:val="none" w:sz="0" w:space="0" w:color="auto"/>
            <w:left w:val="none" w:sz="0" w:space="0" w:color="auto"/>
            <w:bottom w:val="none" w:sz="0" w:space="0" w:color="auto"/>
            <w:right w:val="none" w:sz="0" w:space="0" w:color="auto"/>
          </w:divBdr>
          <w:divsChild>
            <w:div w:id="1358313820">
              <w:marLeft w:val="0"/>
              <w:marRight w:val="0"/>
              <w:marTop w:val="0"/>
              <w:marBottom w:val="0"/>
              <w:divBdr>
                <w:top w:val="none" w:sz="0" w:space="0" w:color="auto"/>
                <w:left w:val="none" w:sz="0" w:space="0" w:color="auto"/>
                <w:bottom w:val="none" w:sz="0" w:space="0" w:color="auto"/>
                <w:right w:val="none" w:sz="0" w:space="0" w:color="auto"/>
              </w:divBdr>
              <w:divsChild>
                <w:div w:id="1439982351">
                  <w:marLeft w:val="0"/>
                  <w:marRight w:val="0"/>
                  <w:marTop w:val="0"/>
                  <w:marBottom w:val="0"/>
                  <w:divBdr>
                    <w:top w:val="none" w:sz="0" w:space="0" w:color="auto"/>
                    <w:left w:val="none" w:sz="0" w:space="0" w:color="auto"/>
                    <w:bottom w:val="none" w:sz="0" w:space="0" w:color="auto"/>
                    <w:right w:val="none" w:sz="0" w:space="0" w:color="auto"/>
                  </w:divBdr>
                  <w:divsChild>
                    <w:div w:id="176522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5911606">
      <w:bodyDiv w:val="1"/>
      <w:marLeft w:val="0"/>
      <w:marRight w:val="0"/>
      <w:marTop w:val="0"/>
      <w:marBottom w:val="0"/>
      <w:divBdr>
        <w:top w:val="none" w:sz="0" w:space="0" w:color="auto"/>
        <w:left w:val="none" w:sz="0" w:space="0" w:color="auto"/>
        <w:bottom w:val="none" w:sz="0" w:space="0" w:color="auto"/>
        <w:right w:val="none" w:sz="0" w:space="0" w:color="auto"/>
      </w:divBdr>
    </w:div>
    <w:div w:id="985085682">
      <w:bodyDiv w:val="1"/>
      <w:marLeft w:val="0"/>
      <w:marRight w:val="0"/>
      <w:marTop w:val="0"/>
      <w:marBottom w:val="0"/>
      <w:divBdr>
        <w:top w:val="none" w:sz="0" w:space="0" w:color="auto"/>
        <w:left w:val="none" w:sz="0" w:space="0" w:color="auto"/>
        <w:bottom w:val="none" w:sz="0" w:space="0" w:color="auto"/>
        <w:right w:val="none" w:sz="0" w:space="0" w:color="auto"/>
      </w:divBdr>
    </w:div>
    <w:div w:id="997001439">
      <w:bodyDiv w:val="1"/>
      <w:marLeft w:val="0"/>
      <w:marRight w:val="0"/>
      <w:marTop w:val="0"/>
      <w:marBottom w:val="0"/>
      <w:divBdr>
        <w:top w:val="none" w:sz="0" w:space="0" w:color="auto"/>
        <w:left w:val="none" w:sz="0" w:space="0" w:color="auto"/>
        <w:bottom w:val="none" w:sz="0" w:space="0" w:color="auto"/>
        <w:right w:val="none" w:sz="0" w:space="0" w:color="auto"/>
      </w:divBdr>
    </w:div>
    <w:div w:id="1020274444">
      <w:bodyDiv w:val="1"/>
      <w:marLeft w:val="0"/>
      <w:marRight w:val="0"/>
      <w:marTop w:val="0"/>
      <w:marBottom w:val="0"/>
      <w:divBdr>
        <w:top w:val="none" w:sz="0" w:space="0" w:color="auto"/>
        <w:left w:val="none" w:sz="0" w:space="0" w:color="auto"/>
        <w:bottom w:val="none" w:sz="0" w:space="0" w:color="auto"/>
        <w:right w:val="none" w:sz="0" w:space="0" w:color="auto"/>
      </w:divBdr>
      <w:divsChild>
        <w:div w:id="543369374">
          <w:marLeft w:val="0"/>
          <w:marRight w:val="0"/>
          <w:marTop w:val="0"/>
          <w:marBottom w:val="0"/>
          <w:divBdr>
            <w:top w:val="none" w:sz="0" w:space="0" w:color="auto"/>
            <w:left w:val="none" w:sz="0" w:space="0" w:color="auto"/>
            <w:bottom w:val="none" w:sz="0" w:space="0" w:color="auto"/>
            <w:right w:val="none" w:sz="0" w:space="0" w:color="auto"/>
          </w:divBdr>
          <w:divsChild>
            <w:div w:id="582451103">
              <w:marLeft w:val="0"/>
              <w:marRight w:val="0"/>
              <w:marTop w:val="0"/>
              <w:marBottom w:val="0"/>
              <w:divBdr>
                <w:top w:val="none" w:sz="0" w:space="0" w:color="auto"/>
                <w:left w:val="none" w:sz="0" w:space="0" w:color="auto"/>
                <w:bottom w:val="none" w:sz="0" w:space="0" w:color="auto"/>
                <w:right w:val="none" w:sz="0" w:space="0" w:color="auto"/>
              </w:divBdr>
              <w:divsChild>
                <w:div w:id="1506898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506533">
      <w:bodyDiv w:val="1"/>
      <w:marLeft w:val="0"/>
      <w:marRight w:val="0"/>
      <w:marTop w:val="0"/>
      <w:marBottom w:val="0"/>
      <w:divBdr>
        <w:top w:val="none" w:sz="0" w:space="0" w:color="auto"/>
        <w:left w:val="none" w:sz="0" w:space="0" w:color="auto"/>
        <w:bottom w:val="none" w:sz="0" w:space="0" w:color="auto"/>
        <w:right w:val="none" w:sz="0" w:space="0" w:color="auto"/>
      </w:divBdr>
      <w:divsChild>
        <w:div w:id="21128267">
          <w:marLeft w:val="0"/>
          <w:marRight w:val="0"/>
          <w:marTop w:val="0"/>
          <w:marBottom w:val="0"/>
          <w:divBdr>
            <w:top w:val="none" w:sz="0" w:space="0" w:color="auto"/>
            <w:left w:val="none" w:sz="0" w:space="0" w:color="auto"/>
            <w:bottom w:val="none" w:sz="0" w:space="0" w:color="auto"/>
            <w:right w:val="none" w:sz="0" w:space="0" w:color="auto"/>
          </w:divBdr>
          <w:divsChild>
            <w:div w:id="792864557">
              <w:marLeft w:val="0"/>
              <w:marRight w:val="0"/>
              <w:marTop w:val="0"/>
              <w:marBottom w:val="0"/>
              <w:divBdr>
                <w:top w:val="none" w:sz="0" w:space="0" w:color="auto"/>
                <w:left w:val="none" w:sz="0" w:space="0" w:color="auto"/>
                <w:bottom w:val="none" w:sz="0" w:space="0" w:color="auto"/>
                <w:right w:val="none" w:sz="0" w:space="0" w:color="auto"/>
              </w:divBdr>
              <w:divsChild>
                <w:div w:id="961838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322070">
      <w:bodyDiv w:val="1"/>
      <w:marLeft w:val="0"/>
      <w:marRight w:val="0"/>
      <w:marTop w:val="0"/>
      <w:marBottom w:val="0"/>
      <w:divBdr>
        <w:top w:val="none" w:sz="0" w:space="0" w:color="auto"/>
        <w:left w:val="none" w:sz="0" w:space="0" w:color="auto"/>
        <w:bottom w:val="none" w:sz="0" w:space="0" w:color="auto"/>
        <w:right w:val="none" w:sz="0" w:space="0" w:color="auto"/>
      </w:divBdr>
    </w:div>
    <w:div w:id="1129786327">
      <w:bodyDiv w:val="1"/>
      <w:marLeft w:val="0"/>
      <w:marRight w:val="0"/>
      <w:marTop w:val="0"/>
      <w:marBottom w:val="0"/>
      <w:divBdr>
        <w:top w:val="none" w:sz="0" w:space="0" w:color="auto"/>
        <w:left w:val="none" w:sz="0" w:space="0" w:color="auto"/>
        <w:bottom w:val="none" w:sz="0" w:space="0" w:color="auto"/>
        <w:right w:val="none" w:sz="0" w:space="0" w:color="auto"/>
      </w:divBdr>
      <w:divsChild>
        <w:div w:id="1361123585">
          <w:marLeft w:val="0"/>
          <w:marRight w:val="0"/>
          <w:marTop w:val="0"/>
          <w:marBottom w:val="0"/>
          <w:divBdr>
            <w:top w:val="none" w:sz="0" w:space="0" w:color="auto"/>
            <w:left w:val="none" w:sz="0" w:space="0" w:color="auto"/>
            <w:bottom w:val="none" w:sz="0" w:space="0" w:color="auto"/>
            <w:right w:val="none" w:sz="0" w:space="0" w:color="auto"/>
          </w:divBdr>
          <w:divsChild>
            <w:div w:id="1275401673">
              <w:marLeft w:val="0"/>
              <w:marRight w:val="0"/>
              <w:marTop w:val="0"/>
              <w:marBottom w:val="0"/>
              <w:divBdr>
                <w:top w:val="none" w:sz="0" w:space="0" w:color="auto"/>
                <w:left w:val="none" w:sz="0" w:space="0" w:color="auto"/>
                <w:bottom w:val="none" w:sz="0" w:space="0" w:color="auto"/>
                <w:right w:val="none" w:sz="0" w:space="0" w:color="auto"/>
              </w:divBdr>
              <w:divsChild>
                <w:div w:id="2113502475">
                  <w:marLeft w:val="0"/>
                  <w:marRight w:val="0"/>
                  <w:marTop w:val="0"/>
                  <w:marBottom w:val="0"/>
                  <w:divBdr>
                    <w:top w:val="none" w:sz="0" w:space="0" w:color="auto"/>
                    <w:left w:val="none" w:sz="0" w:space="0" w:color="auto"/>
                    <w:bottom w:val="none" w:sz="0" w:space="0" w:color="auto"/>
                    <w:right w:val="none" w:sz="0" w:space="0" w:color="auto"/>
                  </w:divBdr>
                  <w:divsChild>
                    <w:div w:id="180905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376098">
      <w:bodyDiv w:val="1"/>
      <w:marLeft w:val="0"/>
      <w:marRight w:val="0"/>
      <w:marTop w:val="0"/>
      <w:marBottom w:val="0"/>
      <w:divBdr>
        <w:top w:val="none" w:sz="0" w:space="0" w:color="auto"/>
        <w:left w:val="none" w:sz="0" w:space="0" w:color="auto"/>
        <w:bottom w:val="none" w:sz="0" w:space="0" w:color="auto"/>
        <w:right w:val="none" w:sz="0" w:space="0" w:color="auto"/>
      </w:divBdr>
    </w:div>
    <w:div w:id="1214657710">
      <w:bodyDiv w:val="1"/>
      <w:marLeft w:val="0"/>
      <w:marRight w:val="0"/>
      <w:marTop w:val="0"/>
      <w:marBottom w:val="0"/>
      <w:divBdr>
        <w:top w:val="none" w:sz="0" w:space="0" w:color="auto"/>
        <w:left w:val="none" w:sz="0" w:space="0" w:color="auto"/>
        <w:bottom w:val="none" w:sz="0" w:space="0" w:color="auto"/>
        <w:right w:val="none" w:sz="0" w:space="0" w:color="auto"/>
      </w:divBdr>
      <w:divsChild>
        <w:div w:id="1763453817">
          <w:marLeft w:val="0"/>
          <w:marRight w:val="0"/>
          <w:marTop w:val="0"/>
          <w:marBottom w:val="0"/>
          <w:divBdr>
            <w:top w:val="none" w:sz="0" w:space="0" w:color="auto"/>
            <w:left w:val="none" w:sz="0" w:space="0" w:color="auto"/>
            <w:bottom w:val="none" w:sz="0" w:space="0" w:color="auto"/>
            <w:right w:val="none" w:sz="0" w:space="0" w:color="auto"/>
          </w:divBdr>
          <w:divsChild>
            <w:div w:id="1778868607">
              <w:marLeft w:val="0"/>
              <w:marRight w:val="0"/>
              <w:marTop w:val="0"/>
              <w:marBottom w:val="0"/>
              <w:divBdr>
                <w:top w:val="none" w:sz="0" w:space="0" w:color="auto"/>
                <w:left w:val="none" w:sz="0" w:space="0" w:color="auto"/>
                <w:bottom w:val="none" w:sz="0" w:space="0" w:color="auto"/>
                <w:right w:val="none" w:sz="0" w:space="0" w:color="auto"/>
              </w:divBdr>
              <w:divsChild>
                <w:div w:id="743338869">
                  <w:marLeft w:val="0"/>
                  <w:marRight w:val="0"/>
                  <w:marTop w:val="0"/>
                  <w:marBottom w:val="0"/>
                  <w:divBdr>
                    <w:top w:val="none" w:sz="0" w:space="0" w:color="auto"/>
                    <w:left w:val="none" w:sz="0" w:space="0" w:color="auto"/>
                    <w:bottom w:val="none" w:sz="0" w:space="0" w:color="auto"/>
                    <w:right w:val="none" w:sz="0" w:space="0" w:color="auto"/>
                  </w:divBdr>
                  <w:divsChild>
                    <w:div w:id="66554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7034891">
      <w:bodyDiv w:val="1"/>
      <w:marLeft w:val="0"/>
      <w:marRight w:val="0"/>
      <w:marTop w:val="0"/>
      <w:marBottom w:val="0"/>
      <w:divBdr>
        <w:top w:val="none" w:sz="0" w:space="0" w:color="auto"/>
        <w:left w:val="none" w:sz="0" w:space="0" w:color="auto"/>
        <w:bottom w:val="none" w:sz="0" w:space="0" w:color="auto"/>
        <w:right w:val="none" w:sz="0" w:space="0" w:color="auto"/>
      </w:divBdr>
    </w:div>
    <w:div w:id="1236159423">
      <w:bodyDiv w:val="1"/>
      <w:marLeft w:val="0"/>
      <w:marRight w:val="0"/>
      <w:marTop w:val="0"/>
      <w:marBottom w:val="0"/>
      <w:divBdr>
        <w:top w:val="none" w:sz="0" w:space="0" w:color="auto"/>
        <w:left w:val="none" w:sz="0" w:space="0" w:color="auto"/>
        <w:bottom w:val="none" w:sz="0" w:space="0" w:color="auto"/>
        <w:right w:val="none" w:sz="0" w:space="0" w:color="auto"/>
      </w:divBdr>
    </w:div>
    <w:div w:id="1293243974">
      <w:bodyDiv w:val="1"/>
      <w:marLeft w:val="0"/>
      <w:marRight w:val="0"/>
      <w:marTop w:val="0"/>
      <w:marBottom w:val="0"/>
      <w:divBdr>
        <w:top w:val="none" w:sz="0" w:space="0" w:color="auto"/>
        <w:left w:val="none" w:sz="0" w:space="0" w:color="auto"/>
        <w:bottom w:val="none" w:sz="0" w:space="0" w:color="auto"/>
        <w:right w:val="none" w:sz="0" w:space="0" w:color="auto"/>
      </w:divBdr>
      <w:divsChild>
        <w:div w:id="1256132140">
          <w:marLeft w:val="0"/>
          <w:marRight w:val="0"/>
          <w:marTop w:val="0"/>
          <w:marBottom w:val="0"/>
          <w:divBdr>
            <w:top w:val="none" w:sz="0" w:space="0" w:color="auto"/>
            <w:left w:val="none" w:sz="0" w:space="0" w:color="auto"/>
            <w:bottom w:val="none" w:sz="0" w:space="0" w:color="auto"/>
            <w:right w:val="none" w:sz="0" w:space="0" w:color="auto"/>
          </w:divBdr>
          <w:divsChild>
            <w:div w:id="1458134698">
              <w:marLeft w:val="0"/>
              <w:marRight w:val="0"/>
              <w:marTop w:val="0"/>
              <w:marBottom w:val="0"/>
              <w:divBdr>
                <w:top w:val="none" w:sz="0" w:space="0" w:color="auto"/>
                <w:left w:val="none" w:sz="0" w:space="0" w:color="auto"/>
                <w:bottom w:val="none" w:sz="0" w:space="0" w:color="auto"/>
                <w:right w:val="none" w:sz="0" w:space="0" w:color="auto"/>
              </w:divBdr>
              <w:divsChild>
                <w:div w:id="1400133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319925">
      <w:bodyDiv w:val="1"/>
      <w:marLeft w:val="0"/>
      <w:marRight w:val="0"/>
      <w:marTop w:val="0"/>
      <w:marBottom w:val="0"/>
      <w:divBdr>
        <w:top w:val="none" w:sz="0" w:space="0" w:color="auto"/>
        <w:left w:val="none" w:sz="0" w:space="0" w:color="auto"/>
        <w:bottom w:val="none" w:sz="0" w:space="0" w:color="auto"/>
        <w:right w:val="none" w:sz="0" w:space="0" w:color="auto"/>
      </w:divBdr>
    </w:div>
    <w:div w:id="1324629703">
      <w:bodyDiv w:val="1"/>
      <w:marLeft w:val="0"/>
      <w:marRight w:val="0"/>
      <w:marTop w:val="0"/>
      <w:marBottom w:val="0"/>
      <w:divBdr>
        <w:top w:val="none" w:sz="0" w:space="0" w:color="auto"/>
        <w:left w:val="none" w:sz="0" w:space="0" w:color="auto"/>
        <w:bottom w:val="none" w:sz="0" w:space="0" w:color="auto"/>
        <w:right w:val="none" w:sz="0" w:space="0" w:color="auto"/>
      </w:divBdr>
      <w:divsChild>
        <w:div w:id="1714111958">
          <w:marLeft w:val="0"/>
          <w:marRight w:val="0"/>
          <w:marTop w:val="0"/>
          <w:marBottom w:val="0"/>
          <w:divBdr>
            <w:top w:val="none" w:sz="0" w:space="0" w:color="auto"/>
            <w:left w:val="none" w:sz="0" w:space="0" w:color="auto"/>
            <w:bottom w:val="none" w:sz="0" w:space="0" w:color="auto"/>
            <w:right w:val="none" w:sz="0" w:space="0" w:color="auto"/>
          </w:divBdr>
          <w:divsChild>
            <w:div w:id="1174802936">
              <w:marLeft w:val="0"/>
              <w:marRight w:val="0"/>
              <w:marTop w:val="0"/>
              <w:marBottom w:val="0"/>
              <w:divBdr>
                <w:top w:val="none" w:sz="0" w:space="0" w:color="auto"/>
                <w:left w:val="none" w:sz="0" w:space="0" w:color="auto"/>
                <w:bottom w:val="none" w:sz="0" w:space="0" w:color="auto"/>
                <w:right w:val="none" w:sz="0" w:space="0" w:color="auto"/>
              </w:divBdr>
              <w:divsChild>
                <w:div w:id="775716184">
                  <w:marLeft w:val="0"/>
                  <w:marRight w:val="0"/>
                  <w:marTop w:val="0"/>
                  <w:marBottom w:val="0"/>
                  <w:divBdr>
                    <w:top w:val="none" w:sz="0" w:space="0" w:color="auto"/>
                    <w:left w:val="none" w:sz="0" w:space="0" w:color="auto"/>
                    <w:bottom w:val="none" w:sz="0" w:space="0" w:color="auto"/>
                    <w:right w:val="none" w:sz="0" w:space="0" w:color="auto"/>
                  </w:divBdr>
                  <w:divsChild>
                    <w:div w:id="728839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0431605">
      <w:bodyDiv w:val="1"/>
      <w:marLeft w:val="0"/>
      <w:marRight w:val="0"/>
      <w:marTop w:val="0"/>
      <w:marBottom w:val="0"/>
      <w:divBdr>
        <w:top w:val="none" w:sz="0" w:space="0" w:color="auto"/>
        <w:left w:val="none" w:sz="0" w:space="0" w:color="auto"/>
        <w:bottom w:val="none" w:sz="0" w:space="0" w:color="auto"/>
        <w:right w:val="none" w:sz="0" w:space="0" w:color="auto"/>
      </w:divBdr>
      <w:divsChild>
        <w:div w:id="1078792929">
          <w:marLeft w:val="0"/>
          <w:marRight w:val="0"/>
          <w:marTop w:val="0"/>
          <w:marBottom w:val="0"/>
          <w:divBdr>
            <w:top w:val="none" w:sz="0" w:space="0" w:color="auto"/>
            <w:left w:val="none" w:sz="0" w:space="0" w:color="auto"/>
            <w:bottom w:val="none" w:sz="0" w:space="0" w:color="auto"/>
            <w:right w:val="none" w:sz="0" w:space="0" w:color="auto"/>
          </w:divBdr>
          <w:divsChild>
            <w:div w:id="653991706">
              <w:marLeft w:val="0"/>
              <w:marRight w:val="0"/>
              <w:marTop w:val="0"/>
              <w:marBottom w:val="0"/>
              <w:divBdr>
                <w:top w:val="none" w:sz="0" w:space="0" w:color="auto"/>
                <w:left w:val="none" w:sz="0" w:space="0" w:color="auto"/>
                <w:bottom w:val="none" w:sz="0" w:space="0" w:color="auto"/>
                <w:right w:val="none" w:sz="0" w:space="0" w:color="auto"/>
              </w:divBdr>
              <w:divsChild>
                <w:div w:id="163814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438004">
      <w:bodyDiv w:val="1"/>
      <w:marLeft w:val="0"/>
      <w:marRight w:val="0"/>
      <w:marTop w:val="0"/>
      <w:marBottom w:val="0"/>
      <w:divBdr>
        <w:top w:val="none" w:sz="0" w:space="0" w:color="auto"/>
        <w:left w:val="none" w:sz="0" w:space="0" w:color="auto"/>
        <w:bottom w:val="none" w:sz="0" w:space="0" w:color="auto"/>
        <w:right w:val="none" w:sz="0" w:space="0" w:color="auto"/>
      </w:divBdr>
    </w:div>
    <w:div w:id="1359159407">
      <w:bodyDiv w:val="1"/>
      <w:marLeft w:val="0"/>
      <w:marRight w:val="0"/>
      <w:marTop w:val="0"/>
      <w:marBottom w:val="0"/>
      <w:divBdr>
        <w:top w:val="none" w:sz="0" w:space="0" w:color="auto"/>
        <w:left w:val="none" w:sz="0" w:space="0" w:color="auto"/>
        <w:bottom w:val="none" w:sz="0" w:space="0" w:color="auto"/>
        <w:right w:val="none" w:sz="0" w:space="0" w:color="auto"/>
      </w:divBdr>
      <w:divsChild>
        <w:div w:id="513955284">
          <w:marLeft w:val="0"/>
          <w:marRight w:val="0"/>
          <w:marTop w:val="0"/>
          <w:marBottom w:val="0"/>
          <w:divBdr>
            <w:top w:val="none" w:sz="0" w:space="0" w:color="auto"/>
            <w:left w:val="none" w:sz="0" w:space="0" w:color="auto"/>
            <w:bottom w:val="none" w:sz="0" w:space="0" w:color="auto"/>
            <w:right w:val="none" w:sz="0" w:space="0" w:color="auto"/>
          </w:divBdr>
          <w:divsChild>
            <w:div w:id="916785760">
              <w:marLeft w:val="0"/>
              <w:marRight w:val="0"/>
              <w:marTop w:val="0"/>
              <w:marBottom w:val="0"/>
              <w:divBdr>
                <w:top w:val="none" w:sz="0" w:space="0" w:color="auto"/>
                <w:left w:val="none" w:sz="0" w:space="0" w:color="auto"/>
                <w:bottom w:val="none" w:sz="0" w:space="0" w:color="auto"/>
                <w:right w:val="none" w:sz="0" w:space="0" w:color="auto"/>
              </w:divBdr>
              <w:divsChild>
                <w:div w:id="137963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448207">
      <w:bodyDiv w:val="1"/>
      <w:marLeft w:val="0"/>
      <w:marRight w:val="0"/>
      <w:marTop w:val="0"/>
      <w:marBottom w:val="0"/>
      <w:divBdr>
        <w:top w:val="none" w:sz="0" w:space="0" w:color="auto"/>
        <w:left w:val="none" w:sz="0" w:space="0" w:color="auto"/>
        <w:bottom w:val="none" w:sz="0" w:space="0" w:color="auto"/>
        <w:right w:val="none" w:sz="0" w:space="0" w:color="auto"/>
      </w:divBdr>
    </w:div>
    <w:div w:id="1445072523">
      <w:bodyDiv w:val="1"/>
      <w:marLeft w:val="0"/>
      <w:marRight w:val="0"/>
      <w:marTop w:val="0"/>
      <w:marBottom w:val="0"/>
      <w:divBdr>
        <w:top w:val="none" w:sz="0" w:space="0" w:color="auto"/>
        <w:left w:val="none" w:sz="0" w:space="0" w:color="auto"/>
        <w:bottom w:val="none" w:sz="0" w:space="0" w:color="auto"/>
        <w:right w:val="none" w:sz="0" w:space="0" w:color="auto"/>
      </w:divBdr>
      <w:divsChild>
        <w:div w:id="94904187">
          <w:marLeft w:val="0"/>
          <w:marRight w:val="0"/>
          <w:marTop w:val="0"/>
          <w:marBottom w:val="0"/>
          <w:divBdr>
            <w:top w:val="none" w:sz="0" w:space="0" w:color="auto"/>
            <w:left w:val="none" w:sz="0" w:space="0" w:color="auto"/>
            <w:bottom w:val="none" w:sz="0" w:space="0" w:color="auto"/>
            <w:right w:val="none" w:sz="0" w:space="0" w:color="auto"/>
          </w:divBdr>
          <w:divsChild>
            <w:div w:id="264463951">
              <w:marLeft w:val="0"/>
              <w:marRight w:val="0"/>
              <w:marTop w:val="0"/>
              <w:marBottom w:val="0"/>
              <w:divBdr>
                <w:top w:val="none" w:sz="0" w:space="0" w:color="auto"/>
                <w:left w:val="none" w:sz="0" w:space="0" w:color="auto"/>
                <w:bottom w:val="none" w:sz="0" w:space="0" w:color="auto"/>
                <w:right w:val="none" w:sz="0" w:space="0" w:color="auto"/>
              </w:divBdr>
              <w:divsChild>
                <w:div w:id="14859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627830">
      <w:bodyDiv w:val="1"/>
      <w:marLeft w:val="0"/>
      <w:marRight w:val="0"/>
      <w:marTop w:val="0"/>
      <w:marBottom w:val="0"/>
      <w:divBdr>
        <w:top w:val="none" w:sz="0" w:space="0" w:color="auto"/>
        <w:left w:val="none" w:sz="0" w:space="0" w:color="auto"/>
        <w:bottom w:val="none" w:sz="0" w:space="0" w:color="auto"/>
        <w:right w:val="none" w:sz="0" w:space="0" w:color="auto"/>
      </w:divBdr>
    </w:div>
    <w:div w:id="1488937696">
      <w:bodyDiv w:val="1"/>
      <w:marLeft w:val="0"/>
      <w:marRight w:val="0"/>
      <w:marTop w:val="0"/>
      <w:marBottom w:val="0"/>
      <w:divBdr>
        <w:top w:val="none" w:sz="0" w:space="0" w:color="auto"/>
        <w:left w:val="none" w:sz="0" w:space="0" w:color="auto"/>
        <w:bottom w:val="none" w:sz="0" w:space="0" w:color="auto"/>
        <w:right w:val="none" w:sz="0" w:space="0" w:color="auto"/>
      </w:divBdr>
    </w:div>
    <w:div w:id="1493567971">
      <w:bodyDiv w:val="1"/>
      <w:marLeft w:val="0"/>
      <w:marRight w:val="0"/>
      <w:marTop w:val="0"/>
      <w:marBottom w:val="0"/>
      <w:divBdr>
        <w:top w:val="none" w:sz="0" w:space="0" w:color="auto"/>
        <w:left w:val="none" w:sz="0" w:space="0" w:color="auto"/>
        <w:bottom w:val="none" w:sz="0" w:space="0" w:color="auto"/>
        <w:right w:val="none" w:sz="0" w:space="0" w:color="auto"/>
      </w:divBdr>
    </w:div>
    <w:div w:id="1502892288">
      <w:bodyDiv w:val="1"/>
      <w:marLeft w:val="0"/>
      <w:marRight w:val="0"/>
      <w:marTop w:val="0"/>
      <w:marBottom w:val="0"/>
      <w:divBdr>
        <w:top w:val="none" w:sz="0" w:space="0" w:color="auto"/>
        <w:left w:val="none" w:sz="0" w:space="0" w:color="auto"/>
        <w:bottom w:val="none" w:sz="0" w:space="0" w:color="auto"/>
        <w:right w:val="none" w:sz="0" w:space="0" w:color="auto"/>
      </w:divBdr>
    </w:div>
    <w:div w:id="1519614798">
      <w:bodyDiv w:val="1"/>
      <w:marLeft w:val="0"/>
      <w:marRight w:val="0"/>
      <w:marTop w:val="0"/>
      <w:marBottom w:val="0"/>
      <w:divBdr>
        <w:top w:val="none" w:sz="0" w:space="0" w:color="auto"/>
        <w:left w:val="none" w:sz="0" w:space="0" w:color="auto"/>
        <w:bottom w:val="none" w:sz="0" w:space="0" w:color="auto"/>
        <w:right w:val="none" w:sz="0" w:space="0" w:color="auto"/>
      </w:divBdr>
      <w:divsChild>
        <w:div w:id="2018535817">
          <w:marLeft w:val="1080"/>
          <w:marRight w:val="0"/>
          <w:marTop w:val="100"/>
          <w:marBottom w:val="0"/>
          <w:divBdr>
            <w:top w:val="none" w:sz="0" w:space="0" w:color="auto"/>
            <w:left w:val="none" w:sz="0" w:space="0" w:color="auto"/>
            <w:bottom w:val="none" w:sz="0" w:space="0" w:color="auto"/>
            <w:right w:val="none" w:sz="0" w:space="0" w:color="auto"/>
          </w:divBdr>
        </w:div>
      </w:divsChild>
    </w:div>
    <w:div w:id="1532179952">
      <w:bodyDiv w:val="1"/>
      <w:marLeft w:val="0"/>
      <w:marRight w:val="0"/>
      <w:marTop w:val="0"/>
      <w:marBottom w:val="0"/>
      <w:divBdr>
        <w:top w:val="none" w:sz="0" w:space="0" w:color="auto"/>
        <w:left w:val="none" w:sz="0" w:space="0" w:color="auto"/>
        <w:bottom w:val="none" w:sz="0" w:space="0" w:color="auto"/>
        <w:right w:val="none" w:sz="0" w:space="0" w:color="auto"/>
      </w:divBdr>
    </w:div>
    <w:div w:id="1533810731">
      <w:bodyDiv w:val="1"/>
      <w:marLeft w:val="0"/>
      <w:marRight w:val="0"/>
      <w:marTop w:val="0"/>
      <w:marBottom w:val="0"/>
      <w:divBdr>
        <w:top w:val="none" w:sz="0" w:space="0" w:color="auto"/>
        <w:left w:val="none" w:sz="0" w:space="0" w:color="auto"/>
        <w:bottom w:val="none" w:sz="0" w:space="0" w:color="auto"/>
        <w:right w:val="none" w:sz="0" w:space="0" w:color="auto"/>
      </w:divBdr>
    </w:div>
    <w:div w:id="1570264854">
      <w:bodyDiv w:val="1"/>
      <w:marLeft w:val="0"/>
      <w:marRight w:val="0"/>
      <w:marTop w:val="0"/>
      <w:marBottom w:val="0"/>
      <w:divBdr>
        <w:top w:val="none" w:sz="0" w:space="0" w:color="auto"/>
        <w:left w:val="none" w:sz="0" w:space="0" w:color="auto"/>
        <w:bottom w:val="none" w:sz="0" w:space="0" w:color="auto"/>
        <w:right w:val="none" w:sz="0" w:space="0" w:color="auto"/>
      </w:divBdr>
    </w:div>
    <w:div w:id="1579289687">
      <w:bodyDiv w:val="1"/>
      <w:marLeft w:val="0"/>
      <w:marRight w:val="0"/>
      <w:marTop w:val="0"/>
      <w:marBottom w:val="0"/>
      <w:divBdr>
        <w:top w:val="none" w:sz="0" w:space="0" w:color="auto"/>
        <w:left w:val="none" w:sz="0" w:space="0" w:color="auto"/>
        <w:bottom w:val="none" w:sz="0" w:space="0" w:color="auto"/>
        <w:right w:val="none" w:sz="0" w:space="0" w:color="auto"/>
      </w:divBdr>
    </w:div>
    <w:div w:id="1590040784">
      <w:bodyDiv w:val="1"/>
      <w:marLeft w:val="0"/>
      <w:marRight w:val="0"/>
      <w:marTop w:val="0"/>
      <w:marBottom w:val="0"/>
      <w:divBdr>
        <w:top w:val="none" w:sz="0" w:space="0" w:color="auto"/>
        <w:left w:val="none" w:sz="0" w:space="0" w:color="auto"/>
        <w:bottom w:val="none" w:sz="0" w:space="0" w:color="auto"/>
        <w:right w:val="none" w:sz="0" w:space="0" w:color="auto"/>
      </w:divBdr>
      <w:divsChild>
        <w:div w:id="1402557805">
          <w:marLeft w:val="0"/>
          <w:marRight w:val="0"/>
          <w:marTop w:val="0"/>
          <w:marBottom w:val="0"/>
          <w:divBdr>
            <w:top w:val="none" w:sz="0" w:space="0" w:color="auto"/>
            <w:left w:val="none" w:sz="0" w:space="0" w:color="auto"/>
            <w:bottom w:val="none" w:sz="0" w:space="0" w:color="auto"/>
            <w:right w:val="none" w:sz="0" w:space="0" w:color="auto"/>
          </w:divBdr>
          <w:divsChild>
            <w:div w:id="2134905693">
              <w:marLeft w:val="0"/>
              <w:marRight w:val="0"/>
              <w:marTop w:val="0"/>
              <w:marBottom w:val="0"/>
              <w:divBdr>
                <w:top w:val="none" w:sz="0" w:space="0" w:color="auto"/>
                <w:left w:val="none" w:sz="0" w:space="0" w:color="auto"/>
                <w:bottom w:val="none" w:sz="0" w:space="0" w:color="auto"/>
                <w:right w:val="none" w:sz="0" w:space="0" w:color="auto"/>
              </w:divBdr>
              <w:divsChild>
                <w:div w:id="126288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888688">
      <w:bodyDiv w:val="1"/>
      <w:marLeft w:val="0"/>
      <w:marRight w:val="0"/>
      <w:marTop w:val="0"/>
      <w:marBottom w:val="0"/>
      <w:divBdr>
        <w:top w:val="none" w:sz="0" w:space="0" w:color="auto"/>
        <w:left w:val="none" w:sz="0" w:space="0" w:color="auto"/>
        <w:bottom w:val="none" w:sz="0" w:space="0" w:color="auto"/>
        <w:right w:val="none" w:sz="0" w:space="0" w:color="auto"/>
      </w:divBdr>
      <w:divsChild>
        <w:div w:id="1421292043">
          <w:marLeft w:val="0"/>
          <w:marRight w:val="0"/>
          <w:marTop w:val="0"/>
          <w:marBottom w:val="0"/>
          <w:divBdr>
            <w:top w:val="none" w:sz="0" w:space="0" w:color="auto"/>
            <w:left w:val="none" w:sz="0" w:space="0" w:color="auto"/>
            <w:bottom w:val="none" w:sz="0" w:space="0" w:color="auto"/>
            <w:right w:val="none" w:sz="0" w:space="0" w:color="auto"/>
          </w:divBdr>
          <w:divsChild>
            <w:div w:id="2026209064">
              <w:marLeft w:val="0"/>
              <w:marRight w:val="0"/>
              <w:marTop w:val="0"/>
              <w:marBottom w:val="0"/>
              <w:divBdr>
                <w:top w:val="none" w:sz="0" w:space="0" w:color="auto"/>
                <w:left w:val="none" w:sz="0" w:space="0" w:color="auto"/>
                <w:bottom w:val="none" w:sz="0" w:space="0" w:color="auto"/>
                <w:right w:val="none" w:sz="0" w:space="0" w:color="auto"/>
              </w:divBdr>
              <w:divsChild>
                <w:div w:id="32266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463071">
      <w:bodyDiv w:val="1"/>
      <w:marLeft w:val="0"/>
      <w:marRight w:val="0"/>
      <w:marTop w:val="0"/>
      <w:marBottom w:val="0"/>
      <w:divBdr>
        <w:top w:val="none" w:sz="0" w:space="0" w:color="auto"/>
        <w:left w:val="none" w:sz="0" w:space="0" w:color="auto"/>
        <w:bottom w:val="none" w:sz="0" w:space="0" w:color="auto"/>
        <w:right w:val="none" w:sz="0" w:space="0" w:color="auto"/>
      </w:divBdr>
      <w:divsChild>
        <w:div w:id="619072903">
          <w:marLeft w:val="0"/>
          <w:marRight w:val="0"/>
          <w:marTop w:val="0"/>
          <w:marBottom w:val="0"/>
          <w:divBdr>
            <w:top w:val="none" w:sz="0" w:space="0" w:color="auto"/>
            <w:left w:val="none" w:sz="0" w:space="0" w:color="auto"/>
            <w:bottom w:val="none" w:sz="0" w:space="0" w:color="auto"/>
            <w:right w:val="none" w:sz="0" w:space="0" w:color="auto"/>
          </w:divBdr>
          <w:divsChild>
            <w:div w:id="1959487770">
              <w:marLeft w:val="0"/>
              <w:marRight w:val="0"/>
              <w:marTop w:val="0"/>
              <w:marBottom w:val="0"/>
              <w:divBdr>
                <w:top w:val="none" w:sz="0" w:space="0" w:color="auto"/>
                <w:left w:val="none" w:sz="0" w:space="0" w:color="auto"/>
                <w:bottom w:val="none" w:sz="0" w:space="0" w:color="auto"/>
                <w:right w:val="none" w:sz="0" w:space="0" w:color="auto"/>
              </w:divBdr>
              <w:divsChild>
                <w:div w:id="25706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895071">
      <w:bodyDiv w:val="1"/>
      <w:marLeft w:val="0"/>
      <w:marRight w:val="0"/>
      <w:marTop w:val="0"/>
      <w:marBottom w:val="0"/>
      <w:divBdr>
        <w:top w:val="none" w:sz="0" w:space="0" w:color="auto"/>
        <w:left w:val="none" w:sz="0" w:space="0" w:color="auto"/>
        <w:bottom w:val="none" w:sz="0" w:space="0" w:color="auto"/>
        <w:right w:val="none" w:sz="0" w:space="0" w:color="auto"/>
      </w:divBdr>
      <w:divsChild>
        <w:div w:id="566114504">
          <w:marLeft w:val="0"/>
          <w:marRight w:val="0"/>
          <w:marTop w:val="0"/>
          <w:marBottom w:val="0"/>
          <w:divBdr>
            <w:top w:val="none" w:sz="0" w:space="0" w:color="auto"/>
            <w:left w:val="none" w:sz="0" w:space="0" w:color="auto"/>
            <w:bottom w:val="none" w:sz="0" w:space="0" w:color="auto"/>
            <w:right w:val="none" w:sz="0" w:space="0" w:color="auto"/>
          </w:divBdr>
          <w:divsChild>
            <w:div w:id="1799909678">
              <w:marLeft w:val="0"/>
              <w:marRight w:val="0"/>
              <w:marTop w:val="0"/>
              <w:marBottom w:val="0"/>
              <w:divBdr>
                <w:top w:val="none" w:sz="0" w:space="0" w:color="auto"/>
                <w:left w:val="none" w:sz="0" w:space="0" w:color="auto"/>
                <w:bottom w:val="none" w:sz="0" w:space="0" w:color="auto"/>
                <w:right w:val="none" w:sz="0" w:space="0" w:color="auto"/>
              </w:divBdr>
              <w:divsChild>
                <w:div w:id="41078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180427">
      <w:bodyDiv w:val="1"/>
      <w:marLeft w:val="0"/>
      <w:marRight w:val="0"/>
      <w:marTop w:val="0"/>
      <w:marBottom w:val="0"/>
      <w:divBdr>
        <w:top w:val="none" w:sz="0" w:space="0" w:color="auto"/>
        <w:left w:val="none" w:sz="0" w:space="0" w:color="auto"/>
        <w:bottom w:val="none" w:sz="0" w:space="0" w:color="auto"/>
        <w:right w:val="none" w:sz="0" w:space="0" w:color="auto"/>
      </w:divBdr>
      <w:divsChild>
        <w:div w:id="175929328">
          <w:marLeft w:val="0"/>
          <w:marRight w:val="0"/>
          <w:marTop w:val="0"/>
          <w:marBottom w:val="0"/>
          <w:divBdr>
            <w:top w:val="none" w:sz="0" w:space="0" w:color="auto"/>
            <w:left w:val="none" w:sz="0" w:space="0" w:color="auto"/>
            <w:bottom w:val="none" w:sz="0" w:space="0" w:color="auto"/>
            <w:right w:val="none" w:sz="0" w:space="0" w:color="auto"/>
          </w:divBdr>
          <w:divsChild>
            <w:div w:id="1271354744">
              <w:marLeft w:val="0"/>
              <w:marRight w:val="0"/>
              <w:marTop w:val="0"/>
              <w:marBottom w:val="0"/>
              <w:divBdr>
                <w:top w:val="none" w:sz="0" w:space="0" w:color="auto"/>
                <w:left w:val="none" w:sz="0" w:space="0" w:color="auto"/>
                <w:bottom w:val="none" w:sz="0" w:space="0" w:color="auto"/>
                <w:right w:val="none" w:sz="0" w:space="0" w:color="auto"/>
              </w:divBdr>
              <w:divsChild>
                <w:div w:id="1235974902">
                  <w:marLeft w:val="0"/>
                  <w:marRight w:val="0"/>
                  <w:marTop w:val="0"/>
                  <w:marBottom w:val="0"/>
                  <w:divBdr>
                    <w:top w:val="none" w:sz="0" w:space="0" w:color="auto"/>
                    <w:left w:val="none" w:sz="0" w:space="0" w:color="auto"/>
                    <w:bottom w:val="none" w:sz="0" w:space="0" w:color="auto"/>
                    <w:right w:val="none" w:sz="0" w:space="0" w:color="auto"/>
                  </w:divBdr>
                  <w:divsChild>
                    <w:div w:id="139777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4818232">
      <w:bodyDiv w:val="1"/>
      <w:marLeft w:val="0"/>
      <w:marRight w:val="0"/>
      <w:marTop w:val="0"/>
      <w:marBottom w:val="0"/>
      <w:divBdr>
        <w:top w:val="none" w:sz="0" w:space="0" w:color="auto"/>
        <w:left w:val="none" w:sz="0" w:space="0" w:color="auto"/>
        <w:bottom w:val="none" w:sz="0" w:space="0" w:color="auto"/>
        <w:right w:val="none" w:sz="0" w:space="0" w:color="auto"/>
      </w:divBdr>
      <w:divsChild>
        <w:div w:id="1677607833">
          <w:marLeft w:val="0"/>
          <w:marRight w:val="0"/>
          <w:marTop w:val="0"/>
          <w:marBottom w:val="0"/>
          <w:divBdr>
            <w:top w:val="none" w:sz="0" w:space="0" w:color="auto"/>
            <w:left w:val="none" w:sz="0" w:space="0" w:color="auto"/>
            <w:bottom w:val="none" w:sz="0" w:space="0" w:color="auto"/>
            <w:right w:val="none" w:sz="0" w:space="0" w:color="auto"/>
          </w:divBdr>
          <w:divsChild>
            <w:div w:id="908266759">
              <w:marLeft w:val="0"/>
              <w:marRight w:val="0"/>
              <w:marTop w:val="0"/>
              <w:marBottom w:val="0"/>
              <w:divBdr>
                <w:top w:val="none" w:sz="0" w:space="0" w:color="auto"/>
                <w:left w:val="none" w:sz="0" w:space="0" w:color="auto"/>
                <w:bottom w:val="none" w:sz="0" w:space="0" w:color="auto"/>
                <w:right w:val="none" w:sz="0" w:space="0" w:color="auto"/>
              </w:divBdr>
              <w:divsChild>
                <w:div w:id="125390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690649">
      <w:bodyDiv w:val="1"/>
      <w:marLeft w:val="0"/>
      <w:marRight w:val="0"/>
      <w:marTop w:val="0"/>
      <w:marBottom w:val="0"/>
      <w:divBdr>
        <w:top w:val="none" w:sz="0" w:space="0" w:color="auto"/>
        <w:left w:val="none" w:sz="0" w:space="0" w:color="auto"/>
        <w:bottom w:val="none" w:sz="0" w:space="0" w:color="auto"/>
        <w:right w:val="none" w:sz="0" w:space="0" w:color="auto"/>
      </w:divBdr>
      <w:divsChild>
        <w:div w:id="1748378162">
          <w:marLeft w:val="0"/>
          <w:marRight w:val="0"/>
          <w:marTop w:val="0"/>
          <w:marBottom w:val="0"/>
          <w:divBdr>
            <w:top w:val="none" w:sz="0" w:space="0" w:color="auto"/>
            <w:left w:val="none" w:sz="0" w:space="0" w:color="auto"/>
            <w:bottom w:val="none" w:sz="0" w:space="0" w:color="auto"/>
            <w:right w:val="none" w:sz="0" w:space="0" w:color="auto"/>
          </w:divBdr>
          <w:divsChild>
            <w:div w:id="986014713">
              <w:marLeft w:val="0"/>
              <w:marRight w:val="0"/>
              <w:marTop w:val="0"/>
              <w:marBottom w:val="0"/>
              <w:divBdr>
                <w:top w:val="none" w:sz="0" w:space="0" w:color="auto"/>
                <w:left w:val="none" w:sz="0" w:space="0" w:color="auto"/>
                <w:bottom w:val="none" w:sz="0" w:space="0" w:color="auto"/>
                <w:right w:val="none" w:sz="0" w:space="0" w:color="auto"/>
              </w:divBdr>
              <w:divsChild>
                <w:div w:id="429593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421421">
      <w:bodyDiv w:val="1"/>
      <w:marLeft w:val="0"/>
      <w:marRight w:val="0"/>
      <w:marTop w:val="0"/>
      <w:marBottom w:val="0"/>
      <w:divBdr>
        <w:top w:val="none" w:sz="0" w:space="0" w:color="auto"/>
        <w:left w:val="none" w:sz="0" w:space="0" w:color="auto"/>
        <w:bottom w:val="none" w:sz="0" w:space="0" w:color="auto"/>
        <w:right w:val="none" w:sz="0" w:space="0" w:color="auto"/>
      </w:divBdr>
      <w:divsChild>
        <w:div w:id="2056926034">
          <w:marLeft w:val="0"/>
          <w:marRight w:val="0"/>
          <w:marTop w:val="0"/>
          <w:marBottom w:val="0"/>
          <w:divBdr>
            <w:top w:val="none" w:sz="0" w:space="0" w:color="auto"/>
            <w:left w:val="none" w:sz="0" w:space="0" w:color="auto"/>
            <w:bottom w:val="none" w:sz="0" w:space="0" w:color="auto"/>
            <w:right w:val="none" w:sz="0" w:space="0" w:color="auto"/>
          </w:divBdr>
          <w:divsChild>
            <w:div w:id="1092705376">
              <w:marLeft w:val="0"/>
              <w:marRight w:val="0"/>
              <w:marTop w:val="0"/>
              <w:marBottom w:val="0"/>
              <w:divBdr>
                <w:top w:val="none" w:sz="0" w:space="0" w:color="auto"/>
                <w:left w:val="none" w:sz="0" w:space="0" w:color="auto"/>
                <w:bottom w:val="none" w:sz="0" w:space="0" w:color="auto"/>
                <w:right w:val="none" w:sz="0" w:space="0" w:color="auto"/>
              </w:divBdr>
              <w:divsChild>
                <w:div w:id="194930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273616">
      <w:bodyDiv w:val="1"/>
      <w:marLeft w:val="0"/>
      <w:marRight w:val="0"/>
      <w:marTop w:val="0"/>
      <w:marBottom w:val="0"/>
      <w:divBdr>
        <w:top w:val="none" w:sz="0" w:space="0" w:color="auto"/>
        <w:left w:val="none" w:sz="0" w:space="0" w:color="auto"/>
        <w:bottom w:val="none" w:sz="0" w:space="0" w:color="auto"/>
        <w:right w:val="none" w:sz="0" w:space="0" w:color="auto"/>
      </w:divBdr>
      <w:divsChild>
        <w:div w:id="1421482399">
          <w:marLeft w:val="0"/>
          <w:marRight w:val="0"/>
          <w:marTop w:val="0"/>
          <w:marBottom w:val="0"/>
          <w:divBdr>
            <w:top w:val="none" w:sz="0" w:space="0" w:color="auto"/>
            <w:left w:val="none" w:sz="0" w:space="0" w:color="auto"/>
            <w:bottom w:val="none" w:sz="0" w:space="0" w:color="auto"/>
            <w:right w:val="none" w:sz="0" w:space="0" w:color="auto"/>
          </w:divBdr>
          <w:divsChild>
            <w:div w:id="582103186">
              <w:marLeft w:val="0"/>
              <w:marRight w:val="0"/>
              <w:marTop w:val="0"/>
              <w:marBottom w:val="0"/>
              <w:divBdr>
                <w:top w:val="none" w:sz="0" w:space="0" w:color="auto"/>
                <w:left w:val="none" w:sz="0" w:space="0" w:color="auto"/>
                <w:bottom w:val="none" w:sz="0" w:space="0" w:color="auto"/>
                <w:right w:val="none" w:sz="0" w:space="0" w:color="auto"/>
              </w:divBdr>
              <w:divsChild>
                <w:div w:id="120667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741395">
      <w:bodyDiv w:val="1"/>
      <w:marLeft w:val="0"/>
      <w:marRight w:val="0"/>
      <w:marTop w:val="0"/>
      <w:marBottom w:val="0"/>
      <w:divBdr>
        <w:top w:val="none" w:sz="0" w:space="0" w:color="auto"/>
        <w:left w:val="none" w:sz="0" w:space="0" w:color="auto"/>
        <w:bottom w:val="none" w:sz="0" w:space="0" w:color="auto"/>
        <w:right w:val="none" w:sz="0" w:space="0" w:color="auto"/>
      </w:divBdr>
      <w:divsChild>
        <w:div w:id="1623075102">
          <w:marLeft w:val="0"/>
          <w:marRight w:val="0"/>
          <w:marTop w:val="0"/>
          <w:marBottom w:val="0"/>
          <w:divBdr>
            <w:top w:val="none" w:sz="0" w:space="0" w:color="auto"/>
            <w:left w:val="none" w:sz="0" w:space="0" w:color="auto"/>
            <w:bottom w:val="none" w:sz="0" w:space="0" w:color="auto"/>
            <w:right w:val="none" w:sz="0" w:space="0" w:color="auto"/>
          </w:divBdr>
          <w:divsChild>
            <w:div w:id="797264166">
              <w:marLeft w:val="0"/>
              <w:marRight w:val="0"/>
              <w:marTop w:val="0"/>
              <w:marBottom w:val="0"/>
              <w:divBdr>
                <w:top w:val="none" w:sz="0" w:space="0" w:color="auto"/>
                <w:left w:val="none" w:sz="0" w:space="0" w:color="auto"/>
                <w:bottom w:val="none" w:sz="0" w:space="0" w:color="auto"/>
                <w:right w:val="none" w:sz="0" w:space="0" w:color="auto"/>
              </w:divBdr>
              <w:divsChild>
                <w:div w:id="319506595">
                  <w:marLeft w:val="0"/>
                  <w:marRight w:val="0"/>
                  <w:marTop w:val="0"/>
                  <w:marBottom w:val="0"/>
                  <w:divBdr>
                    <w:top w:val="none" w:sz="0" w:space="0" w:color="auto"/>
                    <w:left w:val="none" w:sz="0" w:space="0" w:color="auto"/>
                    <w:bottom w:val="none" w:sz="0" w:space="0" w:color="auto"/>
                    <w:right w:val="none" w:sz="0" w:space="0" w:color="auto"/>
                  </w:divBdr>
                  <w:divsChild>
                    <w:div w:id="535043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2903186">
      <w:bodyDiv w:val="1"/>
      <w:marLeft w:val="0"/>
      <w:marRight w:val="0"/>
      <w:marTop w:val="0"/>
      <w:marBottom w:val="0"/>
      <w:divBdr>
        <w:top w:val="none" w:sz="0" w:space="0" w:color="auto"/>
        <w:left w:val="none" w:sz="0" w:space="0" w:color="auto"/>
        <w:bottom w:val="none" w:sz="0" w:space="0" w:color="auto"/>
        <w:right w:val="none" w:sz="0" w:space="0" w:color="auto"/>
      </w:divBdr>
    </w:div>
    <w:div w:id="1784306245">
      <w:bodyDiv w:val="1"/>
      <w:marLeft w:val="0"/>
      <w:marRight w:val="0"/>
      <w:marTop w:val="0"/>
      <w:marBottom w:val="0"/>
      <w:divBdr>
        <w:top w:val="none" w:sz="0" w:space="0" w:color="auto"/>
        <w:left w:val="none" w:sz="0" w:space="0" w:color="auto"/>
        <w:bottom w:val="none" w:sz="0" w:space="0" w:color="auto"/>
        <w:right w:val="none" w:sz="0" w:space="0" w:color="auto"/>
      </w:divBdr>
      <w:divsChild>
        <w:div w:id="1938757429">
          <w:marLeft w:val="0"/>
          <w:marRight w:val="0"/>
          <w:marTop w:val="0"/>
          <w:marBottom w:val="0"/>
          <w:divBdr>
            <w:top w:val="none" w:sz="0" w:space="0" w:color="auto"/>
            <w:left w:val="none" w:sz="0" w:space="0" w:color="auto"/>
            <w:bottom w:val="none" w:sz="0" w:space="0" w:color="auto"/>
            <w:right w:val="none" w:sz="0" w:space="0" w:color="auto"/>
          </w:divBdr>
          <w:divsChild>
            <w:div w:id="1336686799">
              <w:marLeft w:val="0"/>
              <w:marRight w:val="0"/>
              <w:marTop w:val="0"/>
              <w:marBottom w:val="0"/>
              <w:divBdr>
                <w:top w:val="none" w:sz="0" w:space="0" w:color="auto"/>
                <w:left w:val="none" w:sz="0" w:space="0" w:color="auto"/>
                <w:bottom w:val="none" w:sz="0" w:space="0" w:color="auto"/>
                <w:right w:val="none" w:sz="0" w:space="0" w:color="auto"/>
              </w:divBdr>
              <w:divsChild>
                <w:div w:id="1028991404">
                  <w:marLeft w:val="0"/>
                  <w:marRight w:val="0"/>
                  <w:marTop w:val="0"/>
                  <w:marBottom w:val="0"/>
                  <w:divBdr>
                    <w:top w:val="none" w:sz="0" w:space="0" w:color="auto"/>
                    <w:left w:val="none" w:sz="0" w:space="0" w:color="auto"/>
                    <w:bottom w:val="none" w:sz="0" w:space="0" w:color="auto"/>
                    <w:right w:val="none" w:sz="0" w:space="0" w:color="auto"/>
                  </w:divBdr>
                  <w:divsChild>
                    <w:div w:id="1731078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9571220">
      <w:bodyDiv w:val="1"/>
      <w:marLeft w:val="0"/>
      <w:marRight w:val="0"/>
      <w:marTop w:val="0"/>
      <w:marBottom w:val="0"/>
      <w:divBdr>
        <w:top w:val="none" w:sz="0" w:space="0" w:color="auto"/>
        <w:left w:val="none" w:sz="0" w:space="0" w:color="auto"/>
        <w:bottom w:val="none" w:sz="0" w:space="0" w:color="auto"/>
        <w:right w:val="none" w:sz="0" w:space="0" w:color="auto"/>
      </w:divBdr>
      <w:divsChild>
        <w:div w:id="1359773417">
          <w:marLeft w:val="0"/>
          <w:marRight w:val="0"/>
          <w:marTop w:val="0"/>
          <w:marBottom w:val="0"/>
          <w:divBdr>
            <w:top w:val="none" w:sz="0" w:space="0" w:color="auto"/>
            <w:left w:val="none" w:sz="0" w:space="0" w:color="auto"/>
            <w:bottom w:val="none" w:sz="0" w:space="0" w:color="auto"/>
            <w:right w:val="none" w:sz="0" w:space="0" w:color="auto"/>
          </w:divBdr>
          <w:divsChild>
            <w:div w:id="1906793450">
              <w:marLeft w:val="0"/>
              <w:marRight w:val="0"/>
              <w:marTop w:val="0"/>
              <w:marBottom w:val="0"/>
              <w:divBdr>
                <w:top w:val="none" w:sz="0" w:space="0" w:color="auto"/>
                <w:left w:val="none" w:sz="0" w:space="0" w:color="auto"/>
                <w:bottom w:val="none" w:sz="0" w:space="0" w:color="auto"/>
                <w:right w:val="none" w:sz="0" w:space="0" w:color="auto"/>
              </w:divBdr>
              <w:divsChild>
                <w:div w:id="112136790">
                  <w:marLeft w:val="0"/>
                  <w:marRight w:val="0"/>
                  <w:marTop w:val="0"/>
                  <w:marBottom w:val="0"/>
                  <w:divBdr>
                    <w:top w:val="none" w:sz="0" w:space="0" w:color="auto"/>
                    <w:left w:val="none" w:sz="0" w:space="0" w:color="auto"/>
                    <w:bottom w:val="none" w:sz="0" w:space="0" w:color="auto"/>
                    <w:right w:val="none" w:sz="0" w:space="0" w:color="auto"/>
                  </w:divBdr>
                  <w:divsChild>
                    <w:div w:id="127771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780910">
      <w:bodyDiv w:val="1"/>
      <w:marLeft w:val="0"/>
      <w:marRight w:val="0"/>
      <w:marTop w:val="0"/>
      <w:marBottom w:val="0"/>
      <w:divBdr>
        <w:top w:val="none" w:sz="0" w:space="0" w:color="auto"/>
        <w:left w:val="none" w:sz="0" w:space="0" w:color="auto"/>
        <w:bottom w:val="none" w:sz="0" w:space="0" w:color="auto"/>
        <w:right w:val="none" w:sz="0" w:space="0" w:color="auto"/>
      </w:divBdr>
    </w:div>
    <w:div w:id="1915699949">
      <w:bodyDiv w:val="1"/>
      <w:marLeft w:val="0"/>
      <w:marRight w:val="0"/>
      <w:marTop w:val="0"/>
      <w:marBottom w:val="0"/>
      <w:divBdr>
        <w:top w:val="none" w:sz="0" w:space="0" w:color="auto"/>
        <w:left w:val="none" w:sz="0" w:space="0" w:color="auto"/>
        <w:bottom w:val="none" w:sz="0" w:space="0" w:color="auto"/>
        <w:right w:val="none" w:sz="0" w:space="0" w:color="auto"/>
      </w:divBdr>
      <w:divsChild>
        <w:div w:id="2073387401">
          <w:marLeft w:val="0"/>
          <w:marRight w:val="0"/>
          <w:marTop w:val="0"/>
          <w:marBottom w:val="0"/>
          <w:divBdr>
            <w:top w:val="none" w:sz="0" w:space="0" w:color="auto"/>
            <w:left w:val="none" w:sz="0" w:space="0" w:color="auto"/>
            <w:bottom w:val="none" w:sz="0" w:space="0" w:color="auto"/>
            <w:right w:val="none" w:sz="0" w:space="0" w:color="auto"/>
          </w:divBdr>
          <w:divsChild>
            <w:div w:id="1066681852">
              <w:marLeft w:val="0"/>
              <w:marRight w:val="0"/>
              <w:marTop w:val="0"/>
              <w:marBottom w:val="0"/>
              <w:divBdr>
                <w:top w:val="none" w:sz="0" w:space="0" w:color="auto"/>
                <w:left w:val="none" w:sz="0" w:space="0" w:color="auto"/>
                <w:bottom w:val="none" w:sz="0" w:space="0" w:color="auto"/>
                <w:right w:val="none" w:sz="0" w:space="0" w:color="auto"/>
              </w:divBdr>
              <w:divsChild>
                <w:div w:id="209940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194255">
      <w:bodyDiv w:val="1"/>
      <w:marLeft w:val="0"/>
      <w:marRight w:val="0"/>
      <w:marTop w:val="0"/>
      <w:marBottom w:val="0"/>
      <w:divBdr>
        <w:top w:val="none" w:sz="0" w:space="0" w:color="auto"/>
        <w:left w:val="none" w:sz="0" w:space="0" w:color="auto"/>
        <w:bottom w:val="none" w:sz="0" w:space="0" w:color="auto"/>
        <w:right w:val="none" w:sz="0" w:space="0" w:color="auto"/>
      </w:divBdr>
      <w:divsChild>
        <w:div w:id="540629668">
          <w:marLeft w:val="0"/>
          <w:marRight w:val="0"/>
          <w:marTop w:val="0"/>
          <w:marBottom w:val="0"/>
          <w:divBdr>
            <w:top w:val="none" w:sz="0" w:space="0" w:color="auto"/>
            <w:left w:val="none" w:sz="0" w:space="0" w:color="auto"/>
            <w:bottom w:val="none" w:sz="0" w:space="0" w:color="auto"/>
            <w:right w:val="none" w:sz="0" w:space="0" w:color="auto"/>
          </w:divBdr>
          <w:divsChild>
            <w:div w:id="1037776093">
              <w:marLeft w:val="0"/>
              <w:marRight w:val="0"/>
              <w:marTop w:val="0"/>
              <w:marBottom w:val="0"/>
              <w:divBdr>
                <w:top w:val="none" w:sz="0" w:space="0" w:color="auto"/>
                <w:left w:val="none" w:sz="0" w:space="0" w:color="auto"/>
                <w:bottom w:val="none" w:sz="0" w:space="0" w:color="auto"/>
                <w:right w:val="none" w:sz="0" w:space="0" w:color="auto"/>
              </w:divBdr>
              <w:divsChild>
                <w:div w:id="799343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937910">
      <w:bodyDiv w:val="1"/>
      <w:marLeft w:val="0"/>
      <w:marRight w:val="0"/>
      <w:marTop w:val="0"/>
      <w:marBottom w:val="0"/>
      <w:divBdr>
        <w:top w:val="none" w:sz="0" w:space="0" w:color="auto"/>
        <w:left w:val="none" w:sz="0" w:space="0" w:color="auto"/>
        <w:bottom w:val="none" w:sz="0" w:space="0" w:color="auto"/>
        <w:right w:val="none" w:sz="0" w:space="0" w:color="auto"/>
      </w:divBdr>
    </w:div>
    <w:div w:id="2050564925">
      <w:bodyDiv w:val="1"/>
      <w:marLeft w:val="0"/>
      <w:marRight w:val="0"/>
      <w:marTop w:val="0"/>
      <w:marBottom w:val="0"/>
      <w:divBdr>
        <w:top w:val="none" w:sz="0" w:space="0" w:color="auto"/>
        <w:left w:val="none" w:sz="0" w:space="0" w:color="auto"/>
        <w:bottom w:val="none" w:sz="0" w:space="0" w:color="auto"/>
        <w:right w:val="none" w:sz="0" w:space="0" w:color="auto"/>
      </w:divBdr>
      <w:divsChild>
        <w:div w:id="869685898">
          <w:marLeft w:val="0"/>
          <w:marRight w:val="0"/>
          <w:marTop w:val="0"/>
          <w:marBottom w:val="0"/>
          <w:divBdr>
            <w:top w:val="none" w:sz="0" w:space="0" w:color="auto"/>
            <w:left w:val="none" w:sz="0" w:space="0" w:color="auto"/>
            <w:bottom w:val="none" w:sz="0" w:space="0" w:color="auto"/>
            <w:right w:val="none" w:sz="0" w:space="0" w:color="auto"/>
          </w:divBdr>
          <w:divsChild>
            <w:div w:id="1864708184">
              <w:marLeft w:val="0"/>
              <w:marRight w:val="0"/>
              <w:marTop w:val="0"/>
              <w:marBottom w:val="0"/>
              <w:divBdr>
                <w:top w:val="none" w:sz="0" w:space="0" w:color="auto"/>
                <w:left w:val="none" w:sz="0" w:space="0" w:color="auto"/>
                <w:bottom w:val="none" w:sz="0" w:space="0" w:color="auto"/>
                <w:right w:val="none" w:sz="0" w:space="0" w:color="auto"/>
              </w:divBdr>
              <w:divsChild>
                <w:div w:id="118648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819183">
      <w:bodyDiv w:val="1"/>
      <w:marLeft w:val="0"/>
      <w:marRight w:val="0"/>
      <w:marTop w:val="0"/>
      <w:marBottom w:val="0"/>
      <w:divBdr>
        <w:top w:val="none" w:sz="0" w:space="0" w:color="auto"/>
        <w:left w:val="none" w:sz="0" w:space="0" w:color="auto"/>
        <w:bottom w:val="none" w:sz="0" w:space="0" w:color="auto"/>
        <w:right w:val="none" w:sz="0" w:space="0" w:color="auto"/>
      </w:divBdr>
    </w:div>
    <w:div w:id="2059473480">
      <w:bodyDiv w:val="1"/>
      <w:marLeft w:val="0"/>
      <w:marRight w:val="0"/>
      <w:marTop w:val="0"/>
      <w:marBottom w:val="0"/>
      <w:divBdr>
        <w:top w:val="none" w:sz="0" w:space="0" w:color="auto"/>
        <w:left w:val="none" w:sz="0" w:space="0" w:color="auto"/>
        <w:bottom w:val="none" w:sz="0" w:space="0" w:color="auto"/>
        <w:right w:val="none" w:sz="0" w:space="0" w:color="auto"/>
      </w:divBdr>
      <w:divsChild>
        <w:div w:id="241647650">
          <w:marLeft w:val="0"/>
          <w:marRight w:val="0"/>
          <w:marTop w:val="0"/>
          <w:marBottom w:val="0"/>
          <w:divBdr>
            <w:top w:val="none" w:sz="0" w:space="0" w:color="auto"/>
            <w:left w:val="none" w:sz="0" w:space="0" w:color="auto"/>
            <w:bottom w:val="none" w:sz="0" w:space="0" w:color="auto"/>
            <w:right w:val="none" w:sz="0" w:space="0" w:color="auto"/>
          </w:divBdr>
          <w:divsChild>
            <w:div w:id="1469586357">
              <w:marLeft w:val="0"/>
              <w:marRight w:val="0"/>
              <w:marTop w:val="0"/>
              <w:marBottom w:val="0"/>
              <w:divBdr>
                <w:top w:val="none" w:sz="0" w:space="0" w:color="auto"/>
                <w:left w:val="none" w:sz="0" w:space="0" w:color="auto"/>
                <w:bottom w:val="none" w:sz="0" w:space="0" w:color="auto"/>
                <w:right w:val="none" w:sz="0" w:space="0" w:color="auto"/>
              </w:divBdr>
              <w:divsChild>
                <w:div w:id="167549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747396">
      <w:bodyDiv w:val="1"/>
      <w:marLeft w:val="0"/>
      <w:marRight w:val="0"/>
      <w:marTop w:val="0"/>
      <w:marBottom w:val="0"/>
      <w:divBdr>
        <w:top w:val="none" w:sz="0" w:space="0" w:color="auto"/>
        <w:left w:val="none" w:sz="0" w:space="0" w:color="auto"/>
        <w:bottom w:val="none" w:sz="0" w:space="0" w:color="auto"/>
        <w:right w:val="none" w:sz="0" w:space="0" w:color="auto"/>
      </w:divBdr>
      <w:divsChild>
        <w:div w:id="1452240733">
          <w:marLeft w:val="0"/>
          <w:marRight w:val="0"/>
          <w:marTop w:val="0"/>
          <w:marBottom w:val="0"/>
          <w:divBdr>
            <w:top w:val="none" w:sz="0" w:space="0" w:color="auto"/>
            <w:left w:val="none" w:sz="0" w:space="0" w:color="auto"/>
            <w:bottom w:val="none" w:sz="0" w:space="0" w:color="auto"/>
            <w:right w:val="none" w:sz="0" w:space="0" w:color="auto"/>
          </w:divBdr>
          <w:divsChild>
            <w:div w:id="302544376">
              <w:marLeft w:val="0"/>
              <w:marRight w:val="0"/>
              <w:marTop w:val="0"/>
              <w:marBottom w:val="0"/>
              <w:divBdr>
                <w:top w:val="none" w:sz="0" w:space="0" w:color="auto"/>
                <w:left w:val="none" w:sz="0" w:space="0" w:color="auto"/>
                <w:bottom w:val="none" w:sz="0" w:space="0" w:color="auto"/>
                <w:right w:val="none" w:sz="0" w:space="0" w:color="auto"/>
              </w:divBdr>
              <w:divsChild>
                <w:div w:id="1444769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266130">
      <w:bodyDiv w:val="1"/>
      <w:marLeft w:val="0"/>
      <w:marRight w:val="0"/>
      <w:marTop w:val="0"/>
      <w:marBottom w:val="0"/>
      <w:divBdr>
        <w:top w:val="none" w:sz="0" w:space="0" w:color="auto"/>
        <w:left w:val="none" w:sz="0" w:space="0" w:color="auto"/>
        <w:bottom w:val="none" w:sz="0" w:space="0" w:color="auto"/>
        <w:right w:val="none" w:sz="0" w:space="0" w:color="auto"/>
      </w:divBdr>
      <w:divsChild>
        <w:div w:id="866600955">
          <w:marLeft w:val="0"/>
          <w:marRight w:val="0"/>
          <w:marTop w:val="0"/>
          <w:marBottom w:val="0"/>
          <w:divBdr>
            <w:top w:val="none" w:sz="0" w:space="0" w:color="auto"/>
            <w:left w:val="none" w:sz="0" w:space="0" w:color="auto"/>
            <w:bottom w:val="none" w:sz="0" w:space="0" w:color="auto"/>
            <w:right w:val="none" w:sz="0" w:space="0" w:color="auto"/>
          </w:divBdr>
          <w:divsChild>
            <w:div w:id="1832407841">
              <w:marLeft w:val="0"/>
              <w:marRight w:val="0"/>
              <w:marTop w:val="0"/>
              <w:marBottom w:val="0"/>
              <w:divBdr>
                <w:top w:val="none" w:sz="0" w:space="0" w:color="auto"/>
                <w:left w:val="none" w:sz="0" w:space="0" w:color="auto"/>
                <w:bottom w:val="none" w:sz="0" w:space="0" w:color="auto"/>
                <w:right w:val="none" w:sz="0" w:space="0" w:color="auto"/>
              </w:divBdr>
              <w:divsChild>
                <w:div w:id="146820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BA9E87-BBF7-C444-A292-BB32E156F5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20</Pages>
  <Words>72016</Words>
  <Characters>410496</Characters>
  <Application>Microsoft Office Word</Application>
  <DocSecurity>0</DocSecurity>
  <Lines>3420</Lines>
  <Paragraphs>963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481549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Davide Leardini - davide.leardini3@studio.unibo.it</dc:creator>
  <cp:keywords/>
  <dc:description/>
  <cp:lastModifiedBy>Francesco Baccelli</cp:lastModifiedBy>
  <cp:revision>33</cp:revision>
  <dcterms:created xsi:type="dcterms:W3CDTF">2025-04-17T05:39:00Z</dcterms:created>
  <dcterms:modified xsi:type="dcterms:W3CDTF">2025-05-16T05:22:00Z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http://www.zotero.org/styles/blood</vt:lpwstr>
  </property>
  <property fmtid="{D5CDD505-2E9C-101B-9397-08002B2CF9AE}" pid="9" name="Mendeley Recent Style Name 3_1">
    <vt:lpwstr>Blood</vt:lpwstr>
  </property>
  <property fmtid="{D5CDD505-2E9C-101B-9397-08002B2CF9AE}" pid="10" name="Mendeley Recent Style Id 4_1">
    <vt:lpwstr>http://www.zotero.org/styles/bone-marrow-transplantation</vt:lpwstr>
  </property>
  <property fmtid="{D5CDD505-2E9C-101B-9397-08002B2CF9AE}" pid="11" name="Mendeley Recent Style Name 4_1">
    <vt:lpwstr>Bone Marrow Transplantation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http://www.zotero.org/styles/national-library-of-medicine</vt:lpwstr>
  </property>
  <property fmtid="{D5CDD505-2E9C-101B-9397-08002B2CF9AE}" pid="19" name="Mendeley Recent Style Name 8_1">
    <vt:lpwstr>National Library of Medicine</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d0789ec9-a72a-35cf-9e31-dfc966cb6bb3</vt:lpwstr>
  </property>
  <property fmtid="{D5CDD505-2E9C-101B-9397-08002B2CF9AE}" pid="24" name="Mendeley Citation Style_1">
    <vt:lpwstr>http://www.zotero.org/styles/nature</vt:lpwstr>
  </property>
</Properties>
</file>