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3C716" w14:textId="35CEA3E6" w:rsidR="002B1D80" w:rsidRPr="006918BF" w:rsidRDefault="002B1D80" w:rsidP="006918B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B1D80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213A5911" w14:textId="77777777" w:rsidR="006918BF" w:rsidRDefault="006918BF" w:rsidP="006918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EC34AA" w14:textId="0E5D029F" w:rsidR="006918BF" w:rsidRPr="006918BF" w:rsidRDefault="006918BF" w:rsidP="006918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18BF">
        <w:rPr>
          <w:rFonts w:ascii="Times New Roman" w:hAnsi="Times New Roman" w:cs="Times New Roman"/>
          <w:sz w:val="24"/>
          <w:szCs w:val="24"/>
          <w:lang w:val="en-US"/>
        </w:rPr>
        <w:t>The volume of food ingested during oral acute exposure was strongly influenced by the concentration of biopesticide in the solution (β = -0.6113 ± 0.1139 SE, z = -5.365, p &lt; 0.001). Therefore, the main conclusions of the manuscript were drawn using data from females that consumed more than 50% of the offered volume.</w:t>
      </w:r>
    </w:p>
    <w:p w14:paraId="408B36A2" w14:textId="62B5D45E" w:rsidR="006918BF" w:rsidRPr="006918BF" w:rsidRDefault="006918BF" w:rsidP="006918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18BF">
        <w:rPr>
          <w:rFonts w:ascii="Times New Roman" w:hAnsi="Times New Roman" w:cs="Times New Roman"/>
          <w:sz w:val="24"/>
          <w:szCs w:val="24"/>
          <w:lang w:val="en-US"/>
        </w:rPr>
        <w:t>Subsequently, ingestion level was treated as a categorical variable to evaluate whether survival probability differed across levels. All pairwise comparisons resulted in p-values &gt; 0.05, indicating that ingestion level did not affect the response within each concentration. Accordingly, models for oral exposure were fitted using the full dataset.</w:t>
      </w:r>
    </w:p>
    <w:p w14:paraId="365B3CCD" w14:textId="77777777" w:rsidR="00F25A6E" w:rsidRDefault="006918BF" w:rsidP="00F25A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18BF">
        <w:rPr>
          <w:rFonts w:ascii="Times New Roman" w:hAnsi="Times New Roman" w:cs="Times New Roman"/>
          <w:sz w:val="24"/>
          <w:szCs w:val="24"/>
          <w:lang w:val="en-US"/>
        </w:rPr>
        <w:t xml:space="preserve">For survival data, mortality increased with biopesticide concentration (β = 0.5725 ± 0.1718 SE, z = 3.332, p = 0.00086; Figure S1), resulting in an LC20 of </w:t>
      </w:r>
      <w:r w:rsidR="007D5B9C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6918BF">
        <w:rPr>
          <w:rFonts w:ascii="Times New Roman" w:hAnsi="Times New Roman" w:cs="Times New Roman"/>
          <w:sz w:val="24"/>
          <w:szCs w:val="24"/>
          <w:lang w:val="en-US"/>
        </w:rPr>
        <w:t xml:space="preserve">87% (95% CI: </w:t>
      </w:r>
      <w:r w:rsidR="002C1B8F">
        <w:rPr>
          <w:rFonts w:ascii="Times New Roman" w:hAnsi="Times New Roman" w:cs="Times New Roman"/>
          <w:sz w:val="24"/>
          <w:szCs w:val="24"/>
          <w:lang w:val="en-US"/>
        </w:rPr>
        <w:t>1.00-</w:t>
      </w:r>
      <w:r w:rsidRPr="006918BF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2C1B8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918B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C1B8F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6918B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8146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81468" w:rsidRPr="00981468">
        <w:rPr>
          <w:rFonts w:ascii="Times New Roman" w:hAnsi="Times New Roman" w:cs="Times New Roman"/>
          <w:sz w:val="24"/>
          <w:szCs w:val="24"/>
          <w:lang w:val="en-US"/>
        </w:rPr>
        <w:t>biopesticide. The LC50 could not be estimated within the tested concentration range, as model predictions indicated a median lethal concentration above 20%.</w:t>
      </w:r>
    </w:p>
    <w:p w14:paraId="3E0B3289" w14:textId="465141EF" w:rsidR="002B1D80" w:rsidRPr="002B1D80" w:rsidRDefault="006918BF" w:rsidP="00F25A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18BF">
        <w:rPr>
          <w:rFonts w:ascii="Times New Roman" w:hAnsi="Times New Roman" w:cs="Times New Roman"/>
          <w:sz w:val="24"/>
          <w:szCs w:val="24"/>
          <w:lang w:val="en-US"/>
        </w:rPr>
        <w:t>For reproductive responses, biopesticide concentration did not affect the number of eggs laid (χ² = 9.943, df = 13, p = 0.699; Figure S2a) or the pupation rate (χ² = 17.337, df = 13, p = 0.184; Figure S2b).</w:t>
      </w:r>
    </w:p>
    <w:p w14:paraId="2A2CBA82" w14:textId="77777777" w:rsidR="002B1D80" w:rsidRPr="002B1D80" w:rsidRDefault="002B1D80" w:rsidP="002B1D8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673F09E" w14:textId="7EF0AB57" w:rsidR="002B1D80" w:rsidRPr="002B1D80" w:rsidRDefault="00D55EBC" w:rsidP="002B1D8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BD4DB9A" wp14:editId="078E7379">
            <wp:extent cx="4529455" cy="2870835"/>
            <wp:effectExtent l="0" t="0" r="4445" b="5715"/>
            <wp:docPr id="374529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0322F" w14:textId="32AA6D0A" w:rsidR="002B1D80" w:rsidRPr="002B1D80" w:rsidRDefault="002B1D80" w:rsidP="002B1D8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1D80">
        <w:rPr>
          <w:rFonts w:ascii="Times New Roman" w:hAnsi="Times New Roman" w:cs="Times New Roman"/>
          <w:sz w:val="24"/>
          <w:szCs w:val="24"/>
          <w:lang w:val="en-US"/>
        </w:rPr>
        <w:t xml:space="preserve">Figure S1. Mortality curve for </w:t>
      </w:r>
      <w:r w:rsidRPr="002B1D80">
        <w:rPr>
          <w:rFonts w:ascii="Times New Roman" w:hAnsi="Times New Roman" w:cs="Times New Roman"/>
          <w:i/>
          <w:iCs/>
          <w:sz w:val="24"/>
          <w:szCs w:val="24"/>
          <w:lang w:val="en-US"/>
        </w:rPr>
        <w:t>E. larvarum</w:t>
      </w:r>
      <w:r w:rsidRPr="002B1D80">
        <w:rPr>
          <w:rFonts w:ascii="Times New Roman" w:hAnsi="Times New Roman" w:cs="Times New Roman"/>
          <w:sz w:val="24"/>
          <w:szCs w:val="24"/>
          <w:lang w:val="en-US"/>
        </w:rPr>
        <w:t xml:space="preserve"> adult females following oral exposure to oil-based biopesticide. The shaded gray area indicates the 95% confidence interval of the fitted model (blue line). Dots represent the raw data per cage. The dashed line indicates LC20. The dose–response curve was fitted using individual-level binary data of mortality for all individuals and cage as random effect.</w:t>
      </w:r>
    </w:p>
    <w:p w14:paraId="28A8E232" w14:textId="77777777" w:rsidR="002B1D80" w:rsidRPr="002B1D80" w:rsidRDefault="002B1D80" w:rsidP="002B1D8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339F31" w14:textId="123A8CED" w:rsidR="002B1D80" w:rsidRPr="002B1D80" w:rsidRDefault="002B1D80" w:rsidP="002B1D8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1D8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C1C4AA1" wp14:editId="1D02BA0B">
            <wp:extent cx="5400040" cy="1734820"/>
            <wp:effectExtent l="0" t="0" r="0" b="0"/>
            <wp:docPr id="9474104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37021" w14:textId="08F33100" w:rsidR="002B1D80" w:rsidRPr="002B1D80" w:rsidRDefault="002B1D80" w:rsidP="002B1D8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1D80">
        <w:rPr>
          <w:rFonts w:ascii="Times New Roman" w:hAnsi="Times New Roman" w:cs="Times New Roman"/>
          <w:sz w:val="24"/>
          <w:szCs w:val="24"/>
          <w:lang w:val="en-US"/>
        </w:rPr>
        <w:t xml:space="preserve">Figure S2. Reproductive responses of </w:t>
      </w:r>
      <w:r w:rsidRPr="002B1D80">
        <w:rPr>
          <w:rFonts w:ascii="Times New Roman" w:hAnsi="Times New Roman" w:cs="Times New Roman"/>
          <w:i/>
          <w:iCs/>
          <w:sz w:val="24"/>
          <w:szCs w:val="24"/>
          <w:lang w:val="en-US"/>
        </w:rPr>
        <w:t>E. larvarum</w:t>
      </w:r>
      <w:r w:rsidRPr="002B1D80">
        <w:rPr>
          <w:rFonts w:ascii="Times New Roman" w:hAnsi="Times New Roman" w:cs="Times New Roman"/>
          <w:sz w:val="24"/>
          <w:szCs w:val="24"/>
          <w:lang w:val="en-US"/>
        </w:rPr>
        <w:t xml:space="preserve"> after oral exposure of mated females. All females were included. Dots represent the raw data per cage, black error bars indicate the model-estimated means ± 95% confidence intervals, and colors represent the ingestion level of the offered solution: 1 = consumed &lt;50% of the volume, 2 = consumed &gt;50%, and 3 = consumed 100% of the offered solution. (a) Number of eggs laid per female; (b) Proportion of eggs reaching the pupal stage.</w:t>
      </w:r>
    </w:p>
    <w:sectPr w:rsidR="002B1D80" w:rsidRPr="002B1D80" w:rsidSect="009430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DQyNTA2NzAwMrE0MjZV0lEKTi0uzszPAykwqgUA+9Uz8CwAAAA="/>
  </w:docVars>
  <w:rsids>
    <w:rsidRoot w:val="002B1D80"/>
    <w:rsid w:val="00090310"/>
    <w:rsid w:val="000C336F"/>
    <w:rsid w:val="002B1D80"/>
    <w:rsid w:val="002C1B8F"/>
    <w:rsid w:val="00505AFD"/>
    <w:rsid w:val="005250B7"/>
    <w:rsid w:val="00626AE6"/>
    <w:rsid w:val="006918BF"/>
    <w:rsid w:val="00771AEB"/>
    <w:rsid w:val="007D5B9C"/>
    <w:rsid w:val="009430F3"/>
    <w:rsid w:val="00981468"/>
    <w:rsid w:val="00AE247A"/>
    <w:rsid w:val="00BB7650"/>
    <w:rsid w:val="00C63155"/>
    <w:rsid w:val="00D213DE"/>
    <w:rsid w:val="00D55EBC"/>
    <w:rsid w:val="00D61B4F"/>
    <w:rsid w:val="00E222F6"/>
    <w:rsid w:val="00F055E5"/>
    <w:rsid w:val="00F21D08"/>
    <w:rsid w:val="00F2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7C49"/>
  <w15:chartTrackingRefBased/>
  <w15:docId w15:val="{4FED81FC-4BDA-4D96-BEBC-B7947D5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1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D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D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D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D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D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D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D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D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D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D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D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D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D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D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D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D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D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D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D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D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</dc:creator>
  <cp:keywords/>
  <dc:description/>
  <cp:lastModifiedBy>Rafaela</cp:lastModifiedBy>
  <cp:revision>12</cp:revision>
  <dcterms:created xsi:type="dcterms:W3CDTF">2026-02-25T13:35:00Z</dcterms:created>
  <dcterms:modified xsi:type="dcterms:W3CDTF">2026-05-18T10:36:00Z</dcterms:modified>
</cp:coreProperties>
</file>