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C12FB9" w14:textId="2817229A" w:rsidR="00F4107C" w:rsidRPr="000C5A81" w:rsidRDefault="000148B5" w:rsidP="00F91683">
      <w:pPr>
        <w:pStyle w:val="Titolo1"/>
        <w:spacing w:before="0" w:line="36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  <w:lang w:val="en-US"/>
        </w:rPr>
      </w:pPr>
      <w:r w:rsidRPr="000C5A81">
        <w:rPr>
          <w:rFonts w:ascii="Times New Roman" w:hAnsi="Times New Roman" w:cs="Times New Roman"/>
          <w:b/>
          <w:bCs/>
          <w:color w:val="auto"/>
          <w:sz w:val="24"/>
          <w:szCs w:val="24"/>
          <w:lang w:val="en-US"/>
        </w:rPr>
        <w:t>SUPPLEMENTARY FIGURES</w:t>
      </w:r>
    </w:p>
    <w:p w14:paraId="531195DD" w14:textId="73896BB4" w:rsidR="00D5587A" w:rsidRPr="000C5A81" w:rsidRDefault="00D5587A" w:rsidP="00F91683">
      <w:pPr>
        <w:pStyle w:val="Titolo2"/>
        <w:spacing w:before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bookmarkStart w:id="0" w:name="_Toc227258755"/>
      <w:r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Supplementary figure </w:t>
      </w:r>
      <w:r w:rsidR="000269C3"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1</w:t>
      </w:r>
      <w:r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. Propensity score distribution according to chemotherapy use</w:t>
      </w:r>
      <w:bookmarkEnd w:id="0"/>
    </w:p>
    <w:p w14:paraId="64AF1BBF" w14:textId="77777777" w:rsidR="00D5587A" w:rsidRPr="000C5A81" w:rsidRDefault="00D5587A" w:rsidP="00F91683">
      <w:pPr>
        <w:spacing w:line="360" w:lineRule="auto"/>
        <w:jc w:val="both"/>
        <w:rPr>
          <w:lang w:eastAsia="en-US"/>
        </w:rPr>
      </w:pPr>
      <w:r w:rsidRPr="000C5A81">
        <w:rPr>
          <w:noProof/>
          <w:lang w:eastAsia="en-US"/>
        </w:rPr>
        <w:drawing>
          <wp:inline distT="0" distB="0" distL="0" distR="0" wp14:anchorId="1B5C612D" wp14:editId="4208B052">
            <wp:extent cx="5731510" cy="252984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529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84DC6" w14:textId="77777777" w:rsidR="00D5587A" w:rsidRPr="000C5A81" w:rsidRDefault="00D5587A" w:rsidP="00F91683">
      <w:pPr>
        <w:spacing w:line="360" w:lineRule="auto"/>
        <w:jc w:val="both"/>
        <w:rPr>
          <w:sz w:val="20"/>
          <w:szCs w:val="20"/>
          <w:lang w:eastAsia="en-US"/>
        </w:rPr>
      </w:pPr>
      <w:r w:rsidRPr="000C5A81">
        <w:rPr>
          <w:b/>
          <w:bCs/>
          <w:sz w:val="20"/>
          <w:szCs w:val="20"/>
          <w:lang w:eastAsia="en-US"/>
        </w:rPr>
        <w:t>Legend.</w:t>
      </w:r>
      <w:r w:rsidRPr="000C5A81">
        <w:rPr>
          <w:sz w:val="20"/>
          <w:szCs w:val="20"/>
          <w:lang w:eastAsia="en-US"/>
        </w:rPr>
        <w:t xml:space="preserve"> CT: chemotherapy; 0: CT-naive; 1: CT-treated. </w:t>
      </w:r>
    </w:p>
    <w:p w14:paraId="7543BAAB" w14:textId="77777777" w:rsidR="00DC390E" w:rsidRPr="000C5A81" w:rsidRDefault="00DC390E" w:rsidP="00F91683">
      <w:pPr>
        <w:pStyle w:val="Titolo2"/>
        <w:spacing w:before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sectPr w:rsidR="00DC390E" w:rsidRPr="000C5A81">
          <w:footerReference w:type="even" r:id="rId7"/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21417AB1" w14:textId="77777777" w:rsidR="002E5930" w:rsidRPr="000C5A81" w:rsidRDefault="002E5930" w:rsidP="00F91683">
      <w:pPr>
        <w:pStyle w:val="Titolo2"/>
        <w:spacing w:before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sectPr w:rsidR="002E5930" w:rsidRPr="000C5A81" w:rsidSect="002E5930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E2B2B8B" w14:textId="22869CFE" w:rsidR="00DC390E" w:rsidRPr="000C5A81" w:rsidRDefault="00DC390E" w:rsidP="00F91683">
      <w:pPr>
        <w:pStyle w:val="Titolo2"/>
        <w:spacing w:before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bookmarkStart w:id="1" w:name="_Toc227258756"/>
      <w:r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lastRenderedPageBreak/>
        <w:t xml:space="preserve">Supplementary figure </w:t>
      </w:r>
      <w:r w:rsidR="000269C3"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2</w:t>
      </w:r>
      <w:r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. GnRHa use and CT benefit according to nodal status and ROR class in the non-high risk population</w:t>
      </w:r>
      <w:bookmarkEnd w:id="1"/>
    </w:p>
    <w:p w14:paraId="481E8150" w14:textId="13DF95AC" w:rsidR="00DC390E" w:rsidRPr="000C5A81" w:rsidRDefault="00126487" w:rsidP="0090631F">
      <w:pPr>
        <w:spacing w:line="360" w:lineRule="auto"/>
        <w:ind w:hanging="567"/>
        <w:jc w:val="both"/>
        <w:rPr>
          <w:lang w:eastAsia="en-US"/>
        </w:rPr>
      </w:pPr>
      <w:r w:rsidRPr="000C5A81">
        <w:rPr>
          <w:noProof/>
          <w:lang w:eastAsia="en-US"/>
        </w:rPr>
        <w:drawing>
          <wp:inline distT="0" distB="0" distL="0" distR="0" wp14:anchorId="037D9D96" wp14:editId="76E0A0D2">
            <wp:extent cx="6500329" cy="4281460"/>
            <wp:effectExtent l="0" t="0" r="254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55115" cy="4317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D086EF" w14:textId="638B8C58" w:rsidR="00DC390E" w:rsidRPr="000C5A81" w:rsidRDefault="00DC390E" w:rsidP="000C17B2">
      <w:pPr>
        <w:spacing w:line="360" w:lineRule="auto"/>
        <w:jc w:val="both"/>
        <w:rPr>
          <w:sz w:val="20"/>
          <w:szCs w:val="20"/>
          <w:lang w:eastAsia="en-US"/>
        </w:rPr>
        <w:sectPr w:rsidR="00DC390E" w:rsidRPr="000C5A81" w:rsidSect="00F91683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0C5A81">
        <w:rPr>
          <w:b/>
          <w:bCs/>
          <w:sz w:val="20"/>
          <w:szCs w:val="20"/>
          <w:lang w:eastAsia="en-US"/>
        </w:rPr>
        <w:t xml:space="preserve">Legend.  </w:t>
      </w:r>
      <w:r w:rsidR="00EB61D4" w:rsidRPr="000C5A81">
        <w:rPr>
          <w:b/>
          <w:bCs/>
          <w:sz w:val="20"/>
          <w:szCs w:val="20"/>
        </w:rPr>
        <w:t>A</w:t>
      </w:r>
      <w:r w:rsidR="00EB61D4" w:rsidRPr="000C5A81">
        <w:rPr>
          <w:sz w:val="20"/>
          <w:szCs w:val="20"/>
        </w:rPr>
        <w:t xml:space="preserve">: EFS according to chemotherapy use in premenopausal N0/RI patients </w:t>
      </w:r>
      <w:r w:rsidR="000E11D8" w:rsidRPr="000C5A81">
        <w:rPr>
          <w:sz w:val="20"/>
          <w:szCs w:val="20"/>
        </w:rPr>
        <w:t xml:space="preserve">not </w:t>
      </w:r>
      <w:r w:rsidR="00EB61D4" w:rsidRPr="000C5A81">
        <w:rPr>
          <w:sz w:val="20"/>
          <w:szCs w:val="20"/>
        </w:rPr>
        <w:t xml:space="preserve">treated with adjuvant GnRHa; </w:t>
      </w:r>
      <w:r w:rsidR="00EB61D4" w:rsidRPr="000C5A81">
        <w:rPr>
          <w:b/>
          <w:bCs/>
          <w:sz w:val="20"/>
          <w:szCs w:val="20"/>
        </w:rPr>
        <w:t>B</w:t>
      </w:r>
      <w:r w:rsidR="00EB61D4" w:rsidRPr="000C5A81">
        <w:rPr>
          <w:sz w:val="20"/>
          <w:szCs w:val="20"/>
        </w:rPr>
        <w:t xml:space="preserve">: EFS according to chemotherapy use in premenopausal N0/RI patients treated with adjuvant GnRHa; </w:t>
      </w:r>
      <w:r w:rsidR="00EB61D4" w:rsidRPr="000C5A81">
        <w:rPr>
          <w:b/>
          <w:bCs/>
          <w:sz w:val="20"/>
          <w:szCs w:val="20"/>
        </w:rPr>
        <w:t>C</w:t>
      </w:r>
      <w:r w:rsidR="00EB61D4" w:rsidRPr="000C5A81">
        <w:rPr>
          <w:sz w:val="20"/>
          <w:szCs w:val="20"/>
        </w:rPr>
        <w:t xml:space="preserve">: EFS according to chemotherapy use in premenopausal N1/RL-RI patients treated with adjuvant GnRHa; </w:t>
      </w:r>
      <w:r w:rsidR="00EB61D4" w:rsidRPr="000C5A81">
        <w:rPr>
          <w:b/>
          <w:bCs/>
          <w:sz w:val="20"/>
          <w:szCs w:val="20"/>
        </w:rPr>
        <w:t>D</w:t>
      </w:r>
      <w:r w:rsidR="00EB61D4" w:rsidRPr="000C5A81">
        <w:rPr>
          <w:sz w:val="20"/>
          <w:szCs w:val="20"/>
        </w:rPr>
        <w:t xml:space="preserve">: EFS according to chemotherapy use in premenopausal N1/RL-RI patients not treated with adjuvant GnRHa. </w:t>
      </w:r>
      <w:r w:rsidRPr="000C5A81">
        <w:rPr>
          <w:sz w:val="20"/>
          <w:szCs w:val="20"/>
          <w:lang w:eastAsia="en-US"/>
        </w:rPr>
        <w:t xml:space="preserve">CT: chemotherapy; </w:t>
      </w:r>
      <w:r w:rsidR="00EB61D4" w:rsidRPr="000C5A81">
        <w:rPr>
          <w:sz w:val="20"/>
          <w:szCs w:val="20"/>
          <w:lang w:eastAsia="en-US"/>
        </w:rPr>
        <w:t xml:space="preserve">EFS: event-free survival; </w:t>
      </w:r>
      <w:r w:rsidRPr="000C5A81">
        <w:rPr>
          <w:sz w:val="20"/>
          <w:szCs w:val="20"/>
          <w:lang w:eastAsia="en-US"/>
        </w:rPr>
        <w:t>GnRHa: gonadotropin releasing hormone analogue</w:t>
      </w:r>
      <w:r w:rsidR="00EB61D4" w:rsidRPr="000C5A81">
        <w:rPr>
          <w:sz w:val="20"/>
          <w:szCs w:val="20"/>
          <w:lang w:eastAsia="en-US"/>
        </w:rPr>
        <w:t xml:space="preserve">; N.: number. </w:t>
      </w:r>
    </w:p>
    <w:p w14:paraId="4B613311" w14:textId="6C9FD96F" w:rsidR="00D74D48" w:rsidRPr="000C5A81" w:rsidRDefault="004362C0" w:rsidP="00F91683">
      <w:pPr>
        <w:pStyle w:val="Titolo2"/>
        <w:spacing w:before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bookmarkStart w:id="2" w:name="_Toc227258757"/>
      <w:r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lastRenderedPageBreak/>
        <w:t xml:space="preserve">Supplementary figure </w:t>
      </w:r>
      <w:r w:rsidR="000269C3"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3</w:t>
      </w:r>
      <w:r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. </w:t>
      </w:r>
      <w:r w:rsidR="00D74D48" w:rsidRPr="000C5A8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Chemotherapy effect on EFS according to GnRHa use in Luminal A subtype</w:t>
      </w:r>
      <w:bookmarkEnd w:id="2"/>
    </w:p>
    <w:p w14:paraId="6AF0DFFA" w14:textId="39382A87" w:rsidR="00D74D48" w:rsidRPr="000C5A81" w:rsidRDefault="004B7BC2" w:rsidP="0090631F">
      <w:pPr>
        <w:spacing w:line="360" w:lineRule="auto"/>
        <w:ind w:hanging="851"/>
        <w:jc w:val="both"/>
      </w:pPr>
      <w:r w:rsidRPr="000C5A81">
        <w:rPr>
          <w:noProof/>
        </w:rPr>
        <w:drawing>
          <wp:inline distT="0" distB="0" distL="0" distR="0" wp14:anchorId="3AC44640" wp14:editId="7A737B49">
            <wp:extent cx="6870752" cy="6618789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00625" cy="6647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CD5AA1" w14:textId="2583EC9A" w:rsidR="00D74D48" w:rsidRPr="000C5A81" w:rsidRDefault="00D74D48" w:rsidP="00F91683">
      <w:pPr>
        <w:spacing w:line="360" w:lineRule="auto"/>
        <w:ind w:right="-46"/>
        <w:jc w:val="both"/>
        <w:rPr>
          <w:sz w:val="20"/>
          <w:szCs w:val="20"/>
        </w:rPr>
      </w:pPr>
      <w:r w:rsidRPr="000C5A81">
        <w:rPr>
          <w:b/>
          <w:bCs/>
          <w:sz w:val="20"/>
          <w:szCs w:val="20"/>
        </w:rPr>
        <w:t>Legend.</w:t>
      </w:r>
      <w:r w:rsidRPr="000C5A81">
        <w:rPr>
          <w:sz w:val="20"/>
          <w:szCs w:val="20"/>
        </w:rPr>
        <w:t xml:space="preserve"> </w:t>
      </w:r>
      <w:r w:rsidRPr="000C5A81">
        <w:rPr>
          <w:b/>
          <w:bCs/>
          <w:sz w:val="20"/>
          <w:szCs w:val="20"/>
        </w:rPr>
        <w:t>A</w:t>
      </w:r>
      <w:r w:rsidRPr="000C5A81">
        <w:rPr>
          <w:sz w:val="20"/>
          <w:szCs w:val="20"/>
        </w:rPr>
        <w:t xml:space="preserve">: </w:t>
      </w:r>
      <w:r w:rsidR="002D5446" w:rsidRPr="000C5A81">
        <w:rPr>
          <w:sz w:val="20"/>
          <w:szCs w:val="20"/>
        </w:rPr>
        <w:t>EFS</w:t>
      </w:r>
      <w:r w:rsidRPr="000C5A81">
        <w:rPr>
          <w:sz w:val="20"/>
          <w:szCs w:val="20"/>
        </w:rPr>
        <w:t xml:space="preserve"> according to chemotherapy use in premenopausal Luminal A patients treated with adjuvant GnRHa; </w:t>
      </w:r>
      <w:r w:rsidRPr="000C5A81">
        <w:rPr>
          <w:b/>
          <w:bCs/>
          <w:sz w:val="20"/>
          <w:szCs w:val="20"/>
        </w:rPr>
        <w:t>B</w:t>
      </w:r>
      <w:r w:rsidRPr="000C5A81">
        <w:rPr>
          <w:sz w:val="20"/>
          <w:szCs w:val="20"/>
        </w:rPr>
        <w:t xml:space="preserve">: </w:t>
      </w:r>
      <w:r w:rsidR="002D5446" w:rsidRPr="000C5A81">
        <w:rPr>
          <w:sz w:val="20"/>
          <w:szCs w:val="20"/>
        </w:rPr>
        <w:t>EFS</w:t>
      </w:r>
      <w:r w:rsidRPr="000C5A81">
        <w:rPr>
          <w:sz w:val="20"/>
          <w:szCs w:val="20"/>
        </w:rPr>
        <w:t xml:space="preserve"> according to chemotherapy use in premenopausal Luminal A patients not treated with adjuvant GnRHa; </w:t>
      </w:r>
      <w:r w:rsidRPr="000C5A81">
        <w:rPr>
          <w:b/>
          <w:bCs/>
          <w:sz w:val="20"/>
          <w:szCs w:val="20"/>
        </w:rPr>
        <w:t>C</w:t>
      </w:r>
      <w:r w:rsidRPr="000C5A81">
        <w:rPr>
          <w:sz w:val="20"/>
          <w:szCs w:val="20"/>
        </w:rPr>
        <w:t xml:space="preserve">: </w:t>
      </w:r>
      <w:r w:rsidR="002D5446" w:rsidRPr="000C5A81">
        <w:rPr>
          <w:sz w:val="20"/>
          <w:szCs w:val="20"/>
        </w:rPr>
        <w:t>EFS</w:t>
      </w:r>
      <w:r w:rsidRPr="000C5A81">
        <w:rPr>
          <w:sz w:val="20"/>
          <w:szCs w:val="20"/>
        </w:rPr>
        <w:t xml:space="preserve"> according to chemotherapy use in premenopausal N0 Luminal A patients treated with adjuvant GnRHa; </w:t>
      </w:r>
      <w:r w:rsidRPr="000C5A81">
        <w:rPr>
          <w:b/>
          <w:bCs/>
          <w:sz w:val="20"/>
          <w:szCs w:val="20"/>
        </w:rPr>
        <w:t>D</w:t>
      </w:r>
      <w:r w:rsidRPr="000C5A81">
        <w:rPr>
          <w:sz w:val="20"/>
          <w:szCs w:val="20"/>
        </w:rPr>
        <w:t xml:space="preserve">: </w:t>
      </w:r>
      <w:r w:rsidR="002D5446" w:rsidRPr="000C5A81">
        <w:rPr>
          <w:sz w:val="20"/>
          <w:szCs w:val="20"/>
        </w:rPr>
        <w:t>EFS</w:t>
      </w:r>
      <w:r w:rsidRPr="000C5A81">
        <w:rPr>
          <w:sz w:val="20"/>
          <w:szCs w:val="20"/>
        </w:rPr>
        <w:t xml:space="preserve"> according to chemotherapy use in premenopausal N0 Luminal A patients not treated with adjuvant GnRHa; </w:t>
      </w:r>
      <w:r w:rsidRPr="000C5A81">
        <w:rPr>
          <w:b/>
          <w:bCs/>
          <w:sz w:val="20"/>
          <w:szCs w:val="20"/>
        </w:rPr>
        <w:t>E</w:t>
      </w:r>
      <w:r w:rsidRPr="000C5A81">
        <w:rPr>
          <w:sz w:val="20"/>
          <w:szCs w:val="20"/>
        </w:rPr>
        <w:t xml:space="preserve">: </w:t>
      </w:r>
      <w:r w:rsidR="002D5446" w:rsidRPr="000C5A81">
        <w:rPr>
          <w:sz w:val="20"/>
          <w:szCs w:val="20"/>
        </w:rPr>
        <w:t>EFS</w:t>
      </w:r>
      <w:r w:rsidRPr="000C5A81">
        <w:rPr>
          <w:sz w:val="20"/>
          <w:szCs w:val="20"/>
        </w:rPr>
        <w:t xml:space="preserve"> according to chemotherapy use in premenopausal N1 Luminal A patients treated with adjuvant GnRHa; </w:t>
      </w:r>
      <w:r w:rsidRPr="000C5A81">
        <w:rPr>
          <w:b/>
          <w:bCs/>
          <w:sz w:val="20"/>
          <w:szCs w:val="20"/>
        </w:rPr>
        <w:t>F</w:t>
      </w:r>
      <w:r w:rsidRPr="000C5A81">
        <w:rPr>
          <w:sz w:val="20"/>
          <w:szCs w:val="20"/>
        </w:rPr>
        <w:t xml:space="preserve">: </w:t>
      </w:r>
      <w:r w:rsidR="002D5446" w:rsidRPr="000C5A81">
        <w:rPr>
          <w:sz w:val="20"/>
          <w:szCs w:val="20"/>
        </w:rPr>
        <w:t>EFS</w:t>
      </w:r>
      <w:r w:rsidRPr="000C5A81">
        <w:rPr>
          <w:sz w:val="20"/>
          <w:szCs w:val="20"/>
        </w:rPr>
        <w:t xml:space="preserve"> according to chemotherapy use in premenopausal N1 Luminal A patients not treated with adjuvant GnRHa. CT: chemotherapy; </w:t>
      </w:r>
      <w:r w:rsidR="002D5446" w:rsidRPr="000C5A81">
        <w:rPr>
          <w:sz w:val="20"/>
          <w:szCs w:val="20"/>
        </w:rPr>
        <w:t>EFS</w:t>
      </w:r>
      <w:r w:rsidRPr="000C5A81">
        <w:rPr>
          <w:sz w:val="20"/>
          <w:szCs w:val="20"/>
        </w:rPr>
        <w:t xml:space="preserve">: </w:t>
      </w:r>
      <w:r w:rsidR="002D5446" w:rsidRPr="000C5A81">
        <w:rPr>
          <w:sz w:val="20"/>
          <w:szCs w:val="20"/>
        </w:rPr>
        <w:t>event</w:t>
      </w:r>
      <w:r w:rsidRPr="000C5A81">
        <w:rPr>
          <w:sz w:val="20"/>
          <w:szCs w:val="20"/>
        </w:rPr>
        <w:t>-free survival, N.: number.</w:t>
      </w:r>
    </w:p>
    <w:sectPr w:rsidR="00D74D48" w:rsidRPr="000C5A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1F931" w14:textId="77777777" w:rsidR="00A93558" w:rsidRDefault="00A93558" w:rsidP="00020E3A">
      <w:r>
        <w:separator/>
      </w:r>
    </w:p>
  </w:endnote>
  <w:endnote w:type="continuationSeparator" w:id="0">
    <w:p w14:paraId="73E1129A" w14:textId="77777777" w:rsidR="00A93558" w:rsidRDefault="00A93558" w:rsidP="00020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172839253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0CEAB926" w14:textId="248FEC35" w:rsidR="00020E3A" w:rsidRDefault="00020E3A" w:rsidP="00E74CA3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401F541D" w14:textId="77777777" w:rsidR="00020E3A" w:rsidRDefault="00020E3A" w:rsidP="00020E3A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921910573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3471FE8E" w14:textId="753F931C" w:rsidR="00020E3A" w:rsidRDefault="00020E3A" w:rsidP="00E74CA3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74FD4CA3" w14:textId="77777777" w:rsidR="00020E3A" w:rsidRDefault="00020E3A" w:rsidP="00020E3A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9BB3F" w14:textId="77777777" w:rsidR="00A93558" w:rsidRDefault="00A93558" w:rsidP="00020E3A">
      <w:r>
        <w:separator/>
      </w:r>
    </w:p>
  </w:footnote>
  <w:footnote w:type="continuationSeparator" w:id="0">
    <w:p w14:paraId="0B754830" w14:textId="77777777" w:rsidR="00A93558" w:rsidRDefault="00A93558" w:rsidP="00020E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40D"/>
    <w:rsid w:val="000073EE"/>
    <w:rsid w:val="000148B5"/>
    <w:rsid w:val="00020496"/>
    <w:rsid w:val="00020E3A"/>
    <w:rsid w:val="00021F96"/>
    <w:rsid w:val="000269C3"/>
    <w:rsid w:val="0003326B"/>
    <w:rsid w:val="00034A7C"/>
    <w:rsid w:val="000350BF"/>
    <w:rsid w:val="00044F9F"/>
    <w:rsid w:val="00086F1A"/>
    <w:rsid w:val="00092C11"/>
    <w:rsid w:val="000A3AE9"/>
    <w:rsid w:val="000A578B"/>
    <w:rsid w:val="000B1D30"/>
    <w:rsid w:val="000C1068"/>
    <w:rsid w:val="000C17B2"/>
    <w:rsid w:val="000C5A81"/>
    <w:rsid w:val="000D1510"/>
    <w:rsid w:val="000D2634"/>
    <w:rsid w:val="000D2B4F"/>
    <w:rsid w:val="000E11D8"/>
    <w:rsid w:val="000F7D92"/>
    <w:rsid w:val="00100E03"/>
    <w:rsid w:val="0010507A"/>
    <w:rsid w:val="00105407"/>
    <w:rsid w:val="00106444"/>
    <w:rsid w:val="001118DB"/>
    <w:rsid w:val="001246E2"/>
    <w:rsid w:val="00126487"/>
    <w:rsid w:val="00127791"/>
    <w:rsid w:val="00135A68"/>
    <w:rsid w:val="00173534"/>
    <w:rsid w:val="0017735D"/>
    <w:rsid w:val="001855C5"/>
    <w:rsid w:val="00192E84"/>
    <w:rsid w:val="00192FD1"/>
    <w:rsid w:val="001A554F"/>
    <w:rsid w:val="001C219E"/>
    <w:rsid w:val="001C6979"/>
    <w:rsid w:val="001D5EFC"/>
    <w:rsid w:val="001F7829"/>
    <w:rsid w:val="00205D47"/>
    <w:rsid w:val="002178D4"/>
    <w:rsid w:val="002712C0"/>
    <w:rsid w:val="00277DDA"/>
    <w:rsid w:val="002B520B"/>
    <w:rsid w:val="002B64D5"/>
    <w:rsid w:val="002D5446"/>
    <w:rsid w:val="002D6BC2"/>
    <w:rsid w:val="002E2906"/>
    <w:rsid w:val="002E5930"/>
    <w:rsid w:val="002F3DF2"/>
    <w:rsid w:val="0030388F"/>
    <w:rsid w:val="0030686B"/>
    <w:rsid w:val="00320BFC"/>
    <w:rsid w:val="00325F74"/>
    <w:rsid w:val="00335B22"/>
    <w:rsid w:val="00342A8B"/>
    <w:rsid w:val="00347BE0"/>
    <w:rsid w:val="00352A44"/>
    <w:rsid w:val="003613B9"/>
    <w:rsid w:val="00370FF7"/>
    <w:rsid w:val="00374B0F"/>
    <w:rsid w:val="00393A1E"/>
    <w:rsid w:val="0039528F"/>
    <w:rsid w:val="00397FCD"/>
    <w:rsid w:val="003D74E3"/>
    <w:rsid w:val="003E4498"/>
    <w:rsid w:val="003E6DC5"/>
    <w:rsid w:val="00401746"/>
    <w:rsid w:val="0043111C"/>
    <w:rsid w:val="00431449"/>
    <w:rsid w:val="00434638"/>
    <w:rsid w:val="004362C0"/>
    <w:rsid w:val="00437C6D"/>
    <w:rsid w:val="00460FB4"/>
    <w:rsid w:val="004837D8"/>
    <w:rsid w:val="004B7BC2"/>
    <w:rsid w:val="004D39DC"/>
    <w:rsid w:val="004D49A7"/>
    <w:rsid w:val="00502CC6"/>
    <w:rsid w:val="0050369A"/>
    <w:rsid w:val="00512427"/>
    <w:rsid w:val="00533700"/>
    <w:rsid w:val="005414DE"/>
    <w:rsid w:val="00545618"/>
    <w:rsid w:val="005459B9"/>
    <w:rsid w:val="005546F8"/>
    <w:rsid w:val="0058389A"/>
    <w:rsid w:val="00585008"/>
    <w:rsid w:val="00590C02"/>
    <w:rsid w:val="00595468"/>
    <w:rsid w:val="005E2101"/>
    <w:rsid w:val="005F0CCA"/>
    <w:rsid w:val="005F2B9C"/>
    <w:rsid w:val="005F72A9"/>
    <w:rsid w:val="00603EC5"/>
    <w:rsid w:val="00605CC2"/>
    <w:rsid w:val="006375C6"/>
    <w:rsid w:val="006467B6"/>
    <w:rsid w:val="0065347D"/>
    <w:rsid w:val="0068670D"/>
    <w:rsid w:val="00690319"/>
    <w:rsid w:val="006939F1"/>
    <w:rsid w:val="006A1C05"/>
    <w:rsid w:val="006A4D8A"/>
    <w:rsid w:val="006B2915"/>
    <w:rsid w:val="006C316C"/>
    <w:rsid w:val="006D00A0"/>
    <w:rsid w:val="006D2DB7"/>
    <w:rsid w:val="00703D00"/>
    <w:rsid w:val="00706054"/>
    <w:rsid w:val="0070687B"/>
    <w:rsid w:val="00733D5D"/>
    <w:rsid w:val="00741644"/>
    <w:rsid w:val="0074429D"/>
    <w:rsid w:val="00793395"/>
    <w:rsid w:val="00794282"/>
    <w:rsid w:val="007C03BD"/>
    <w:rsid w:val="007E387C"/>
    <w:rsid w:val="007F064F"/>
    <w:rsid w:val="007F52E9"/>
    <w:rsid w:val="007F6958"/>
    <w:rsid w:val="007F751D"/>
    <w:rsid w:val="00854703"/>
    <w:rsid w:val="008624DA"/>
    <w:rsid w:val="00864A21"/>
    <w:rsid w:val="00880042"/>
    <w:rsid w:val="008916F5"/>
    <w:rsid w:val="00896803"/>
    <w:rsid w:val="008D580C"/>
    <w:rsid w:val="008F1447"/>
    <w:rsid w:val="0090631F"/>
    <w:rsid w:val="009315D5"/>
    <w:rsid w:val="00955CD8"/>
    <w:rsid w:val="009A7358"/>
    <w:rsid w:val="009B3FB4"/>
    <w:rsid w:val="009E7E54"/>
    <w:rsid w:val="00A00955"/>
    <w:rsid w:val="00A246CA"/>
    <w:rsid w:val="00A32CD5"/>
    <w:rsid w:val="00A50E63"/>
    <w:rsid w:val="00A530CE"/>
    <w:rsid w:val="00A65A56"/>
    <w:rsid w:val="00A774DB"/>
    <w:rsid w:val="00A8173B"/>
    <w:rsid w:val="00A90F02"/>
    <w:rsid w:val="00A93558"/>
    <w:rsid w:val="00AB4A80"/>
    <w:rsid w:val="00AB76EE"/>
    <w:rsid w:val="00AC7AA4"/>
    <w:rsid w:val="00AE2860"/>
    <w:rsid w:val="00AE3A17"/>
    <w:rsid w:val="00AE48BF"/>
    <w:rsid w:val="00AF330E"/>
    <w:rsid w:val="00B06009"/>
    <w:rsid w:val="00B131C1"/>
    <w:rsid w:val="00B33DA1"/>
    <w:rsid w:val="00B46931"/>
    <w:rsid w:val="00B561D4"/>
    <w:rsid w:val="00B6139A"/>
    <w:rsid w:val="00BA5BE2"/>
    <w:rsid w:val="00BB0596"/>
    <w:rsid w:val="00BB2188"/>
    <w:rsid w:val="00BC74C1"/>
    <w:rsid w:val="00BE0320"/>
    <w:rsid w:val="00BE7E5B"/>
    <w:rsid w:val="00C00EC8"/>
    <w:rsid w:val="00C1048F"/>
    <w:rsid w:val="00C17271"/>
    <w:rsid w:val="00C44BF1"/>
    <w:rsid w:val="00C45593"/>
    <w:rsid w:val="00C51177"/>
    <w:rsid w:val="00C642AD"/>
    <w:rsid w:val="00C66C68"/>
    <w:rsid w:val="00C7730E"/>
    <w:rsid w:val="00C838DB"/>
    <w:rsid w:val="00C93FF5"/>
    <w:rsid w:val="00C95CC4"/>
    <w:rsid w:val="00CC1639"/>
    <w:rsid w:val="00CD5BAF"/>
    <w:rsid w:val="00CD69C9"/>
    <w:rsid w:val="00CF064C"/>
    <w:rsid w:val="00D1457E"/>
    <w:rsid w:val="00D3277A"/>
    <w:rsid w:val="00D33DCD"/>
    <w:rsid w:val="00D37200"/>
    <w:rsid w:val="00D4378C"/>
    <w:rsid w:val="00D46878"/>
    <w:rsid w:val="00D46DFE"/>
    <w:rsid w:val="00D52FFA"/>
    <w:rsid w:val="00D5587A"/>
    <w:rsid w:val="00D61A11"/>
    <w:rsid w:val="00D74D48"/>
    <w:rsid w:val="00D772F5"/>
    <w:rsid w:val="00D83F4E"/>
    <w:rsid w:val="00DB07B3"/>
    <w:rsid w:val="00DC30D7"/>
    <w:rsid w:val="00DC390E"/>
    <w:rsid w:val="00E05D06"/>
    <w:rsid w:val="00E11E16"/>
    <w:rsid w:val="00E44D6D"/>
    <w:rsid w:val="00E52A6B"/>
    <w:rsid w:val="00E5683D"/>
    <w:rsid w:val="00E6411C"/>
    <w:rsid w:val="00E75A6F"/>
    <w:rsid w:val="00E92B10"/>
    <w:rsid w:val="00E970F9"/>
    <w:rsid w:val="00EA023D"/>
    <w:rsid w:val="00EB1371"/>
    <w:rsid w:val="00EB240D"/>
    <w:rsid w:val="00EB61D4"/>
    <w:rsid w:val="00ED28DC"/>
    <w:rsid w:val="00ED7356"/>
    <w:rsid w:val="00EF048C"/>
    <w:rsid w:val="00F02578"/>
    <w:rsid w:val="00F03BEA"/>
    <w:rsid w:val="00F15221"/>
    <w:rsid w:val="00F15A65"/>
    <w:rsid w:val="00F23C41"/>
    <w:rsid w:val="00F25E7F"/>
    <w:rsid w:val="00F4107C"/>
    <w:rsid w:val="00F41A45"/>
    <w:rsid w:val="00F41EB7"/>
    <w:rsid w:val="00F543C7"/>
    <w:rsid w:val="00F71682"/>
    <w:rsid w:val="00F74FD3"/>
    <w:rsid w:val="00F80E60"/>
    <w:rsid w:val="00F83F60"/>
    <w:rsid w:val="00F91683"/>
    <w:rsid w:val="00FB4813"/>
    <w:rsid w:val="00FC1424"/>
    <w:rsid w:val="00FC27ED"/>
    <w:rsid w:val="00FD0543"/>
    <w:rsid w:val="00FD4866"/>
    <w:rsid w:val="00FF40AA"/>
    <w:rsid w:val="00FF5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122A371"/>
  <w15:chartTrackingRefBased/>
  <w15:docId w15:val="{4BE7395E-1041-104C-901F-9B54FFA0C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27791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C7AA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ES" w:eastAsia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B3FB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E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9B3FB4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E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C7AA4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ES"/>
    </w:rPr>
  </w:style>
  <w:style w:type="character" w:styleId="Rimandocommento">
    <w:name w:val="annotation reference"/>
    <w:basedOn w:val="Carpredefinitoparagrafo"/>
    <w:uiPriority w:val="99"/>
    <w:semiHidden/>
    <w:unhideWhenUsed/>
    <w:rsid w:val="00D772F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772F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772F5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772F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772F5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Revisione">
    <w:name w:val="Revision"/>
    <w:hidden/>
    <w:uiPriority w:val="99"/>
    <w:semiHidden/>
    <w:rsid w:val="00434638"/>
    <w:rPr>
      <w:rFonts w:ascii="Times New Roman" w:eastAsia="Times New Roman" w:hAnsi="Times New Roman" w:cs="Times New Roman"/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020E3A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Sommario2">
    <w:name w:val="toc 2"/>
    <w:basedOn w:val="Normale"/>
    <w:next w:val="Normale"/>
    <w:autoRedefine/>
    <w:uiPriority w:val="39"/>
    <w:unhideWhenUsed/>
    <w:rsid w:val="00DB07B3"/>
    <w:pPr>
      <w:ind w:left="240"/>
    </w:pPr>
    <w:rPr>
      <w:rFonts w:asciiTheme="minorHAnsi" w:hAnsiTheme="minorHAnsi" w:cstheme="minorHAnsi"/>
      <w:smallCap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020E3A"/>
    <w:rPr>
      <w:color w:val="0563C1" w:themeColor="hyperlink"/>
      <w:u w:val="single"/>
    </w:rPr>
  </w:style>
  <w:style w:type="paragraph" w:styleId="Sommario3">
    <w:name w:val="toc 3"/>
    <w:basedOn w:val="Normale"/>
    <w:next w:val="Normale"/>
    <w:autoRedefine/>
    <w:uiPriority w:val="39"/>
    <w:unhideWhenUsed/>
    <w:rsid w:val="00020E3A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020E3A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020E3A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020E3A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020E3A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020E3A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020E3A"/>
    <w:pPr>
      <w:ind w:left="1920"/>
    </w:pPr>
    <w:rPr>
      <w:rFonts w:asciiTheme="minorHAnsi" w:hAnsiTheme="minorHAnsi" w:cstheme="minorHAnsi"/>
      <w:sz w:val="18"/>
      <w:szCs w:val="18"/>
    </w:rPr>
  </w:style>
  <w:style w:type="paragraph" w:styleId="Pidipagina">
    <w:name w:val="footer"/>
    <w:basedOn w:val="Normale"/>
    <w:link w:val="PidipaginaCarattere"/>
    <w:uiPriority w:val="99"/>
    <w:unhideWhenUsed/>
    <w:rsid w:val="00020E3A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0E3A"/>
    <w:rPr>
      <w:rFonts w:ascii="Times New Roman" w:eastAsia="Times New Roman" w:hAnsi="Times New Roman" w:cs="Times New Roman"/>
      <w:lang w:eastAsia="it-IT"/>
    </w:rPr>
  </w:style>
  <w:style w:type="character" w:styleId="Numeropagina">
    <w:name w:val="page number"/>
    <w:basedOn w:val="Carpredefinitoparagrafo"/>
    <w:uiPriority w:val="99"/>
    <w:semiHidden/>
    <w:unhideWhenUsed/>
    <w:rsid w:val="00020E3A"/>
  </w:style>
  <w:style w:type="paragraph" w:styleId="Bibliografia">
    <w:name w:val="Bibliography"/>
    <w:basedOn w:val="Normale"/>
    <w:next w:val="Normale"/>
    <w:uiPriority w:val="37"/>
    <w:unhideWhenUsed/>
    <w:rsid w:val="00044F9F"/>
    <w:pPr>
      <w:tabs>
        <w:tab w:val="left" w:pos="380"/>
      </w:tabs>
      <w:ind w:left="384" w:hanging="38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11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8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83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9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0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3.emf"/><Relationship Id="rId4" Type="http://schemas.openxmlformats.org/officeDocument/2006/relationships/footnotes" Target="footnote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SCHETTINI</dc:creator>
  <cp:keywords/>
  <dc:description/>
  <cp:lastModifiedBy>FRANCESCO SCHETTINI</cp:lastModifiedBy>
  <cp:revision>3</cp:revision>
  <dcterms:created xsi:type="dcterms:W3CDTF">2026-04-19T08:55:00Z</dcterms:created>
  <dcterms:modified xsi:type="dcterms:W3CDTF">2026-04-19T08:57:00Z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ad0b24d-6422-44b0-b3de-abb3a9e8c81a_Enabled">
    <vt:lpwstr>true</vt:lpwstr>
  </property>
  <property fmtid="{D5CDD505-2E9C-101B-9397-08002B2CF9AE}" pid="3" name="MSIP_Label_2ad0b24d-6422-44b0-b3de-abb3a9e8c81a_SetDate">
    <vt:lpwstr>2025-07-23T16:56:00Z</vt:lpwstr>
  </property>
  <property fmtid="{D5CDD505-2E9C-101B-9397-08002B2CF9AE}" pid="4" name="MSIP_Label_2ad0b24d-6422-44b0-b3de-abb3a9e8c81a_Method">
    <vt:lpwstr>Standard</vt:lpwstr>
  </property>
  <property fmtid="{D5CDD505-2E9C-101B-9397-08002B2CF9AE}" pid="5" name="MSIP_Label_2ad0b24d-6422-44b0-b3de-abb3a9e8c81a_Name">
    <vt:lpwstr>defa4170-0d19-0005-0004-bc88714345d2</vt:lpwstr>
  </property>
  <property fmtid="{D5CDD505-2E9C-101B-9397-08002B2CF9AE}" pid="6" name="MSIP_Label_2ad0b24d-6422-44b0-b3de-abb3a9e8c81a_SiteId">
    <vt:lpwstr>2fcfe26a-bb62-46b0-b1e3-28f9da0c45fd</vt:lpwstr>
  </property>
  <property fmtid="{D5CDD505-2E9C-101B-9397-08002B2CF9AE}" pid="7" name="MSIP_Label_2ad0b24d-6422-44b0-b3de-abb3a9e8c81a_ActionId">
    <vt:lpwstr>579c6c7f-28dc-45bc-9548-89e87b3089cd</vt:lpwstr>
  </property>
  <property fmtid="{D5CDD505-2E9C-101B-9397-08002B2CF9AE}" pid="8" name="MSIP_Label_2ad0b24d-6422-44b0-b3de-abb3a9e8c81a_ContentBits">
    <vt:lpwstr>0</vt:lpwstr>
  </property>
  <property fmtid="{D5CDD505-2E9C-101B-9397-08002B2CF9AE}" pid="9" name="ZOTERO_PREF_1">
    <vt:lpwstr>&lt;data data-version="3" zotero-version="7.0.32"&gt;&lt;session id="idQbSlFy"/&gt;&lt;style id="http://www.zotero.org/styles/european-journal-of-cancer" hasBibliography="1" bibliographyStyleHasBeenSet="1"/&gt;&lt;prefs&gt;&lt;pref name="fieldType" value="Field"/&gt;&lt;/prefs&gt;&lt;/data&gt;</vt:lpwstr>
  </property>
</Properties>
</file>