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F55C58" w14:textId="2D6D1DB5" w:rsidR="00D53495" w:rsidRPr="002E7205" w:rsidRDefault="00D53495" w:rsidP="00605CFE">
      <w:pPr>
        <w:spacing w:line="480" w:lineRule="auto"/>
        <w:rPr>
          <w:rFonts w:ascii="Arial" w:hAnsi="Arial" w:cs="Arial"/>
          <w:b/>
          <w:bCs/>
          <w:sz w:val="22"/>
          <w:szCs w:val="22"/>
        </w:rPr>
      </w:pPr>
      <w:bookmarkStart w:id="0" w:name="_GoBack"/>
      <w:r w:rsidRPr="002E7205">
        <w:rPr>
          <w:rFonts w:ascii="Arial" w:hAnsi="Arial" w:cs="Arial"/>
          <w:b/>
          <w:bCs/>
          <w:sz w:val="22"/>
          <w:szCs w:val="22"/>
        </w:rPr>
        <w:t xml:space="preserve">Supplementary </w:t>
      </w:r>
      <w:proofErr w:type="spellStart"/>
      <w:r w:rsidRPr="002E7205">
        <w:rPr>
          <w:rFonts w:ascii="Arial" w:hAnsi="Arial" w:cs="Arial"/>
          <w:b/>
          <w:bCs/>
          <w:sz w:val="22"/>
          <w:szCs w:val="22"/>
        </w:rPr>
        <w:t>file</w:t>
      </w:r>
      <w:r w:rsidR="005C15B0" w:rsidRPr="002E7205">
        <w:rPr>
          <w:rFonts w:ascii="Arial" w:hAnsi="Arial" w:cs="Arial"/>
          <w:b/>
          <w:bCs/>
          <w:sz w:val="22"/>
          <w:szCs w:val="22"/>
        </w:rPr>
        <w:t>_case</w:t>
      </w:r>
      <w:proofErr w:type="spellEnd"/>
      <w:r w:rsidR="005C15B0" w:rsidRPr="002E7205">
        <w:rPr>
          <w:rFonts w:ascii="Arial" w:hAnsi="Arial" w:cs="Arial"/>
          <w:b/>
          <w:bCs/>
          <w:sz w:val="22"/>
          <w:szCs w:val="22"/>
        </w:rPr>
        <w:t xml:space="preserve"> report</w:t>
      </w:r>
      <w:r w:rsidR="007F1B2D" w:rsidRPr="002E7205">
        <w:rPr>
          <w:rFonts w:ascii="Arial" w:hAnsi="Arial" w:cs="Arial"/>
          <w:b/>
          <w:bCs/>
          <w:sz w:val="22"/>
          <w:szCs w:val="22"/>
        </w:rPr>
        <w:t xml:space="preserve"> (study II)</w:t>
      </w:r>
    </w:p>
    <w:p w14:paraId="54B36984" w14:textId="01E3C3A6" w:rsidR="00D53495" w:rsidRPr="002E7205" w:rsidRDefault="00D53495" w:rsidP="00605CFE">
      <w:pPr>
        <w:spacing w:line="480" w:lineRule="auto"/>
        <w:rPr>
          <w:sz w:val="22"/>
          <w:szCs w:val="22"/>
        </w:rPr>
      </w:pPr>
    </w:p>
    <w:p w14:paraId="4DB362C0" w14:textId="77777777" w:rsidR="00D53495" w:rsidRPr="002E7205" w:rsidRDefault="00D53495" w:rsidP="00605CFE">
      <w:pPr>
        <w:shd w:val="clear" w:color="auto" w:fill="FFFFFF"/>
        <w:spacing w:line="480" w:lineRule="auto"/>
        <w:jc w:val="both"/>
        <w:rPr>
          <w:rFonts w:ascii="Arial" w:eastAsia="Times New Roman" w:hAnsi="Arial" w:cs="Arial"/>
          <w:b/>
          <w:sz w:val="22"/>
          <w:szCs w:val="22"/>
          <w:lang w:eastAsia="de-AT"/>
        </w:rPr>
      </w:pPr>
      <w:r w:rsidRPr="002E7205">
        <w:rPr>
          <w:rFonts w:ascii="Arial" w:eastAsia="Times New Roman" w:hAnsi="Arial" w:cs="Arial"/>
          <w:b/>
          <w:sz w:val="22"/>
          <w:szCs w:val="22"/>
          <w:lang w:eastAsia="de-AT"/>
        </w:rPr>
        <w:t xml:space="preserve">Chronic effect of metreleptin on hepatic steatosis after liver transplantation in a young female patient with congenital generalized lipodystrophy type 2 </w:t>
      </w:r>
    </w:p>
    <w:p w14:paraId="75E02CA0" w14:textId="10984D88" w:rsidR="00D53495" w:rsidRPr="002E7205" w:rsidRDefault="00D53495" w:rsidP="0096044B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2E7205">
        <w:rPr>
          <w:rFonts w:ascii="Arial" w:hAnsi="Arial" w:cs="Arial"/>
          <w:sz w:val="22"/>
          <w:szCs w:val="22"/>
        </w:rPr>
        <w:t xml:space="preserve">This 17-year-old girl was diagnosed with congenital generalized lipodystrophy type 2 due to a homozygous mutation in the </w:t>
      </w:r>
      <w:proofErr w:type="spellStart"/>
      <w:r w:rsidRPr="002E7205">
        <w:rPr>
          <w:rFonts w:ascii="Arial" w:hAnsi="Arial" w:cs="Arial"/>
          <w:sz w:val="22"/>
          <w:szCs w:val="22"/>
        </w:rPr>
        <w:t>seipin</w:t>
      </w:r>
      <w:proofErr w:type="spellEnd"/>
      <w:r w:rsidRPr="002E7205">
        <w:rPr>
          <w:rFonts w:ascii="Arial" w:hAnsi="Arial" w:cs="Arial"/>
          <w:sz w:val="22"/>
          <w:szCs w:val="22"/>
        </w:rPr>
        <w:t xml:space="preserve"> gene </w:t>
      </w:r>
      <w:r w:rsidRPr="002E7205">
        <w:rPr>
          <w:rFonts w:ascii="Arial" w:hAnsi="Arial" w:cs="Arial"/>
          <w:i/>
          <w:iCs/>
          <w:sz w:val="22"/>
          <w:szCs w:val="22"/>
        </w:rPr>
        <w:t>BSCL2</w:t>
      </w:r>
      <w:r w:rsidRPr="002E7205">
        <w:rPr>
          <w:rFonts w:ascii="Arial" w:hAnsi="Arial" w:cs="Arial"/>
          <w:sz w:val="22"/>
          <w:szCs w:val="22"/>
        </w:rPr>
        <w:t xml:space="preserve"> (IVS2+2 T&gt;C, c.316+2T&gt;C) at the age of 3 years. Her leptin levels were undetectable. At the age of 7 she developed hepatic steatosis with elevated liver enzymes, suggesting the presence of </w:t>
      </w:r>
      <w:r w:rsidR="00AB711E" w:rsidRPr="002E7205">
        <w:rPr>
          <w:rFonts w:ascii="Arial" w:hAnsi="Arial" w:cs="Arial"/>
          <w:sz w:val="22"/>
          <w:szCs w:val="22"/>
        </w:rPr>
        <w:t xml:space="preserve">steatotic liver disease, </w:t>
      </w:r>
      <w:r w:rsidRPr="002E7205">
        <w:rPr>
          <w:rFonts w:ascii="Arial" w:hAnsi="Arial" w:cs="Arial"/>
          <w:sz w:val="22"/>
          <w:szCs w:val="22"/>
        </w:rPr>
        <w:t>however no liver biopsy or imaging studies were performed (</w:t>
      </w:r>
      <w:r w:rsidRPr="002E7205">
        <w:rPr>
          <w:rFonts w:ascii="Arial" w:hAnsi="Arial" w:cs="Arial"/>
          <w:b/>
          <w:sz w:val="22"/>
          <w:szCs w:val="22"/>
        </w:rPr>
        <w:t xml:space="preserve">figure </w:t>
      </w:r>
      <w:r w:rsidR="00F94049" w:rsidRPr="002E7205">
        <w:rPr>
          <w:rFonts w:ascii="Arial" w:hAnsi="Arial" w:cs="Arial"/>
          <w:b/>
          <w:sz w:val="22"/>
          <w:szCs w:val="22"/>
        </w:rPr>
        <w:t>S</w:t>
      </w:r>
      <w:r w:rsidR="00771116" w:rsidRPr="002E7205">
        <w:rPr>
          <w:rFonts w:ascii="Arial" w:hAnsi="Arial" w:cs="Arial"/>
          <w:b/>
          <w:sz w:val="22"/>
          <w:szCs w:val="22"/>
        </w:rPr>
        <w:t>3</w:t>
      </w:r>
      <w:r w:rsidR="00F94049" w:rsidRPr="002E7205">
        <w:rPr>
          <w:rFonts w:ascii="Arial" w:hAnsi="Arial" w:cs="Arial"/>
          <w:b/>
          <w:sz w:val="22"/>
          <w:szCs w:val="22"/>
        </w:rPr>
        <w:t>A</w:t>
      </w:r>
      <w:r w:rsidRPr="002E7205">
        <w:rPr>
          <w:rFonts w:ascii="Arial" w:hAnsi="Arial" w:cs="Arial"/>
          <w:sz w:val="22"/>
          <w:szCs w:val="22"/>
        </w:rPr>
        <w:t>). Due to a diagnosis of diabetes mellitus type 2 at the age of 9, a metformin and insulin glargine were started. Her triglyceride levels started to markedly rise at the age of 12 (</w:t>
      </w:r>
      <w:r w:rsidRPr="002E7205">
        <w:rPr>
          <w:rFonts w:ascii="Arial" w:hAnsi="Arial" w:cs="Arial"/>
          <w:b/>
          <w:sz w:val="22"/>
          <w:szCs w:val="22"/>
        </w:rPr>
        <w:t xml:space="preserve">figure </w:t>
      </w:r>
      <w:r w:rsidR="00F94049" w:rsidRPr="002E7205">
        <w:rPr>
          <w:rFonts w:ascii="Arial" w:hAnsi="Arial" w:cs="Arial"/>
          <w:b/>
          <w:sz w:val="22"/>
          <w:szCs w:val="22"/>
        </w:rPr>
        <w:t>S</w:t>
      </w:r>
      <w:r w:rsidR="00771116" w:rsidRPr="002E7205">
        <w:rPr>
          <w:rFonts w:ascii="Arial" w:hAnsi="Arial" w:cs="Arial"/>
          <w:b/>
          <w:sz w:val="22"/>
          <w:szCs w:val="22"/>
        </w:rPr>
        <w:t>3</w:t>
      </w:r>
      <w:r w:rsidR="002367C3" w:rsidRPr="002E7205">
        <w:rPr>
          <w:rFonts w:ascii="Arial" w:hAnsi="Arial" w:cs="Arial"/>
          <w:b/>
          <w:sz w:val="22"/>
          <w:szCs w:val="22"/>
        </w:rPr>
        <w:t>B</w:t>
      </w:r>
      <w:r w:rsidRPr="002E7205">
        <w:rPr>
          <w:rFonts w:ascii="Arial" w:hAnsi="Arial" w:cs="Arial"/>
          <w:sz w:val="22"/>
          <w:szCs w:val="22"/>
        </w:rPr>
        <w:t xml:space="preserve">). </w:t>
      </w:r>
    </w:p>
    <w:p w14:paraId="341CDDE7" w14:textId="780DA070" w:rsidR="00D53495" w:rsidRPr="002E7205" w:rsidRDefault="00D53495" w:rsidP="0096044B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2E7205">
        <w:rPr>
          <w:rFonts w:ascii="Arial" w:hAnsi="Arial" w:cs="Arial"/>
          <w:sz w:val="22"/>
          <w:szCs w:val="22"/>
        </w:rPr>
        <w:t>Over time, the liver condition worsened resulting in advanced liver cirrhosis with 12 years which resulted in a liver transplant</w:t>
      </w:r>
      <w:r w:rsidR="00582A92" w:rsidRPr="002E7205">
        <w:rPr>
          <w:rFonts w:ascii="Arial" w:hAnsi="Arial" w:cs="Arial"/>
          <w:sz w:val="22"/>
          <w:szCs w:val="22"/>
        </w:rPr>
        <w:t>ation</w:t>
      </w:r>
      <w:r w:rsidRPr="002E7205">
        <w:rPr>
          <w:rFonts w:ascii="Arial" w:hAnsi="Arial" w:cs="Arial"/>
          <w:sz w:val="22"/>
          <w:szCs w:val="22"/>
        </w:rPr>
        <w:t xml:space="preserve"> from her brother. </w:t>
      </w:r>
      <w:r w:rsidR="00B60939" w:rsidRPr="002E7205">
        <w:rPr>
          <w:rFonts w:ascii="Arial" w:hAnsi="Arial" w:cs="Arial"/>
          <w:sz w:val="22"/>
          <w:szCs w:val="22"/>
        </w:rPr>
        <w:t>The Body Mass Index Standard Deviation Score (BMI-SDS) was -1.37 at liver transplant</w:t>
      </w:r>
      <w:r w:rsidR="00582A92" w:rsidRPr="002E7205">
        <w:rPr>
          <w:rFonts w:ascii="Arial" w:hAnsi="Arial" w:cs="Arial"/>
          <w:sz w:val="22"/>
          <w:szCs w:val="22"/>
        </w:rPr>
        <w:t>ation</w:t>
      </w:r>
      <w:r w:rsidR="00B60939" w:rsidRPr="002E7205">
        <w:rPr>
          <w:rFonts w:ascii="Arial" w:hAnsi="Arial" w:cs="Arial"/>
          <w:sz w:val="22"/>
          <w:szCs w:val="22"/>
        </w:rPr>
        <w:t xml:space="preserve"> </w:t>
      </w:r>
      <w:r w:rsidR="00F51166" w:rsidRPr="002E7205">
        <w:rPr>
          <w:rFonts w:ascii="Arial" w:hAnsi="Arial" w:cs="Arial"/>
          <w:noProof/>
          <w:sz w:val="22"/>
          <w:szCs w:val="22"/>
        </w:rPr>
        <w:t>(1)</w:t>
      </w:r>
      <w:r w:rsidR="00B60939" w:rsidRPr="002E7205">
        <w:rPr>
          <w:rFonts w:ascii="Arial" w:hAnsi="Arial" w:cs="Arial"/>
          <w:sz w:val="22"/>
          <w:szCs w:val="22"/>
        </w:rPr>
        <w:t xml:space="preserve">. </w:t>
      </w:r>
      <w:r w:rsidRPr="002E7205">
        <w:rPr>
          <w:rFonts w:ascii="Arial" w:hAnsi="Arial" w:cs="Arial"/>
          <w:sz w:val="22"/>
          <w:szCs w:val="22"/>
        </w:rPr>
        <w:t>After surgery, she discontinued metformin and insulin glargine.</w:t>
      </w:r>
      <w:r w:rsidR="00B932CC" w:rsidRPr="002E7205">
        <w:rPr>
          <w:rFonts w:ascii="Arial" w:hAnsi="Arial" w:cs="Arial"/>
          <w:sz w:val="22"/>
          <w:szCs w:val="22"/>
        </w:rPr>
        <w:t xml:space="preserve"> Her post-transplant immunosuppressive treatment included </w:t>
      </w:r>
      <w:bookmarkStart w:id="1" w:name="_Hlk177025764"/>
      <w:r w:rsidR="00066791" w:rsidRPr="002E7205">
        <w:rPr>
          <w:rFonts w:ascii="Arial" w:hAnsi="Arial" w:cs="Arial"/>
          <w:sz w:val="22"/>
          <w:szCs w:val="22"/>
        </w:rPr>
        <w:t xml:space="preserve">tacrolimus and, for the first 9 months after the transplant, also </w:t>
      </w:r>
      <w:r w:rsidR="00B932CC" w:rsidRPr="002E7205">
        <w:rPr>
          <w:rFonts w:ascii="Arial" w:hAnsi="Arial" w:cs="Arial"/>
          <w:sz w:val="22"/>
          <w:szCs w:val="22"/>
        </w:rPr>
        <w:t xml:space="preserve">dexamethasone </w:t>
      </w:r>
      <w:r w:rsidR="008B2B2F" w:rsidRPr="002E7205">
        <w:rPr>
          <w:rFonts w:ascii="Arial" w:hAnsi="Arial" w:cs="Arial"/>
          <w:sz w:val="22"/>
          <w:szCs w:val="22"/>
        </w:rPr>
        <w:t>and mycophenolate mofetil</w:t>
      </w:r>
      <w:bookmarkEnd w:id="1"/>
      <w:r w:rsidR="00B932CC" w:rsidRPr="002E7205">
        <w:rPr>
          <w:rFonts w:ascii="Arial" w:hAnsi="Arial" w:cs="Arial"/>
          <w:sz w:val="22"/>
          <w:szCs w:val="22"/>
        </w:rPr>
        <w:t xml:space="preserve">. </w:t>
      </w:r>
      <w:r w:rsidRPr="002E7205">
        <w:rPr>
          <w:rFonts w:ascii="Arial" w:hAnsi="Arial" w:cs="Arial"/>
          <w:sz w:val="22"/>
          <w:szCs w:val="22"/>
        </w:rPr>
        <w:t>A liver MRI performed 9 months after the transplant</w:t>
      </w:r>
      <w:r w:rsidR="00582A92" w:rsidRPr="002E7205">
        <w:rPr>
          <w:rFonts w:ascii="Arial" w:hAnsi="Arial" w:cs="Arial"/>
          <w:sz w:val="22"/>
          <w:szCs w:val="22"/>
        </w:rPr>
        <w:t>ation</w:t>
      </w:r>
      <w:r w:rsidRPr="002E7205">
        <w:rPr>
          <w:rFonts w:ascii="Arial" w:hAnsi="Arial" w:cs="Arial"/>
          <w:sz w:val="22"/>
          <w:szCs w:val="22"/>
        </w:rPr>
        <w:t xml:space="preserve"> showed hepatic steatosis in the transplanted liver. A follow-up MRI performed 30 months after the liver transplant</w:t>
      </w:r>
      <w:r w:rsidR="00582A92" w:rsidRPr="002E7205">
        <w:rPr>
          <w:rFonts w:ascii="Arial" w:hAnsi="Arial" w:cs="Arial"/>
          <w:sz w:val="22"/>
          <w:szCs w:val="22"/>
        </w:rPr>
        <w:t>ation</w:t>
      </w:r>
      <w:r w:rsidRPr="002E7205">
        <w:rPr>
          <w:rFonts w:ascii="Arial" w:hAnsi="Arial" w:cs="Arial"/>
          <w:sz w:val="22"/>
          <w:szCs w:val="22"/>
        </w:rPr>
        <w:t xml:space="preserve"> detected a parenchymal signal intensity loss of 45% consistent with severe hepatic steatosis </w:t>
      </w:r>
      <w:r w:rsidR="00F51166" w:rsidRPr="002E7205">
        <w:rPr>
          <w:rFonts w:ascii="Arial" w:hAnsi="Arial" w:cs="Arial"/>
          <w:noProof/>
          <w:sz w:val="22"/>
          <w:szCs w:val="22"/>
        </w:rPr>
        <w:t>(2)</w:t>
      </w:r>
      <w:r w:rsidRPr="002E7205">
        <w:rPr>
          <w:rFonts w:ascii="Arial" w:hAnsi="Arial" w:cs="Arial"/>
          <w:sz w:val="22"/>
          <w:szCs w:val="22"/>
        </w:rPr>
        <w:t xml:space="preserve"> (</w:t>
      </w:r>
      <w:r w:rsidRPr="002E7205">
        <w:rPr>
          <w:rFonts w:ascii="Arial" w:hAnsi="Arial" w:cs="Arial"/>
          <w:b/>
          <w:sz w:val="22"/>
          <w:szCs w:val="22"/>
        </w:rPr>
        <w:t xml:space="preserve">figure </w:t>
      </w:r>
      <w:r w:rsidR="00F94049" w:rsidRPr="002E7205">
        <w:rPr>
          <w:rFonts w:ascii="Arial" w:hAnsi="Arial" w:cs="Arial"/>
          <w:b/>
          <w:sz w:val="22"/>
          <w:szCs w:val="22"/>
        </w:rPr>
        <w:t>S</w:t>
      </w:r>
      <w:r w:rsidR="00771116" w:rsidRPr="002E7205">
        <w:rPr>
          <w:rFonts w:ascii="Arial" w:hAnsi="Arial" w:cs="Arial"/>
          <w:b/>
          <w:sz w:val="22"/>
          <w:szCs w:val="22"/>
        </w:rPr>
        <w:t>3</w:t>
      </w:r>
      <w:r w:rsidR="00F94049" w:rsidRPr="002E7205">
        <w:rPr>
          <w:rFonts w:ascii="Arial" w:hAnsi="Arial" w:cs="Arial"/>
          <w:b/>
          <w:sz w:val="22"/>
          <w:szCs w:val="22"/>
        </w:rPr>
        <w:t>C</w:t>
      </w:r>
      <w:r w:rsidRPr="002E7205">
        <w:rPr>
          <w:rFonts w:ascii="Arial" w:hAnsi="Arial" w:cs="Arial"/>
          <w:sz w:val="22"/>
          <w:szCs w:val="22"/>
        </w:rPr>
        <w:t xml:space="preserve">, MR images available in </w:t>
      </w:r>
      <w:r w:rsidRPr="002E7205">
        <w:rPr>
          <w:rFonts w:ascii="Arial" w:hAnsi="Arial" w:cs="Arial"/>
          <w:b/>
          <w:sz w:val="22"/>
          <w:szCs w:val="22"/>
        </w:rPr>
        <w:t>figure S</w:t>
      </w:r>
      <w:r w:rsidR="00771116" w:rsidRPr="002E7205">
        <w:rPr>
          <w:rFonts w:ascii="Arial" w:hAnsi="Arial" w:cs="Arial"/>
          <w:b/>
          <w:sz w:val="22"/>
          <w:szCs w:val="22"/>
        </w:rPr>
        <w:t>4</w:t>
      </w:r>
      <w:r w:rsidRPr="002E7205">
        <w:rPr>
          <w:rFonts w:ascii="Arial" w:hAnsi="Arial" w:cs="Arial"/>
          <w:sz w:val="22"/>
          <w:szCs w:val="22"/>
        </w:rPr>
        <w:t xml:space="preserve">). With regard to her </w:t>
      </w:r>
      <w:r w:rsidR="00066791" w:rsidRPr="002E7205">
        <w:rPr>
          <w:rFonts w:ascii="Arial" w:hAnsi="Arial" w:cs="Arial"/>
          <w:sz w:val="22"/>
          <w:szCs w:val="22"/>
        </w:rPr>
        <w:t>diabetes mellitus type 2</w:t>
      </w:r>
      <w:r w:rsidRPr="002E7205">
        <w:rPr>
          <w:rFonts w:ascii="Arial" w:hAnsi="Arial" w:cs="Arial"/>
          <w:sz w:val="22"/>
          <w:szCs w:val="22"/>
        </w:rPr>
        <w:t>, after an initial improvement the glycemic control worsened again requiring the reintroduction of insulin therapy 14 months after the liver transplantation. The patient switched to a multiple dose regimen due to a further increase in HbA1c levels.</w:t>
      </w:r>
    </w:p>
    <w:p w14:paraId="5279B06C" w14:textId="2F86B021" w:rsidR="00D53495" w:rsidRPr="002E7205" w:rsidRDefault="00D53495" w:rsidP="0096044B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2E7205">
        <w:rPr>
          <w:rFonts w:ascii="Arial" w:hAnsi="Arial" w:cs="Arial"/>
          <w:sz w:val="22"/>
          <w:szCs w:val="22"/>
        </w:rPr>
        <w:t>At the age of 15 (35 months after the transplant</w:t>
      </w:r>
      <w:r w:rsidR="00582A92" w:rsidRPr="002E7205">
        <w:rPr>
          <w:rFonts w:ascii="Arial" w:hAnsi="Arial" w:cs="Arial"/>
          <w:sz w:val="22"/>
          <w:szCs w:val="22"/>
        </w:rPr>
        <w:t>ation</w:t>
      </w:r>
      <w:r w:rsidRPr="002E7205">
        <w:rPr>
          <w:rFonts w:ascii="Arial" w:hAnsi="Arial" w:cs="Arial"/>
          <w:sz w:val="22"/>
          <w:szCs w:val="22"/>
        </w:rPr>
        <w:t>), the patient started metreleptin treatment at a dose of 3.75 mg/day</w:t>
      </w:r>
      <w:r w:rsidR="00B60939" w:rsidRPr="002E7205">
        <w:rPr>
          <w:rFonts w:ascii="Arial" w:hAnsi="Arial" w:cs="Arial"/>
          <w:sz w:val="22"/>
          <w:szCs w:val="22"/>
        </w:rPr>
        <w:t xml:space="preserve"> at a BMI-SDS of -2.54</w:t>
      </w:r>
      <w:r w:rsidRPr="002E7205">
        <w:rPr>
          <w:rFonts w:ascii="Arial" w:hAnsi="Arial" w:cs="Arial"/>
          <w:sz w:val="22"/>
          <w:szCs w:val="22"/>
        </w:rPr>
        <w:t xml:space="preserve">. Overall, the patient complied with metreleptin treatment. No injection reactions, serious infections, loss of efficacy, or any other clinically significant adverse events were detected. Treatment with metreleptin led to improvements in </w:t>
      </w:r>
      <w:r w:rsidRPr="002E7205">
        <w:rPr>
          <w:rFonts w:ascii="Arial" w:hAnsi="Arial" w:cs="Arial"/>
          <w:sz w:val="22"/>
          <w:szCs w:val="22"/>
        </w:rPr>
        <w:lastRenderedPageBreak/>
        <w:t>appetite control and triglyceride levels as well as in glycemic control, although HbA1c levels remained above 7% despite the use of insulin along with metreleptin (</w:t>
      </w:r>
      <w:r w:rsidRPr="002E7205">
        <w:rPr>
          <w:rFonts w:ascii="Arial" w:hAnsi="Arial" w:cs="Arial"/>
          <w:b/>
          <w:sz w:val="22"/>
          <w:szCs w:val="22"/>
        </w:rPr>
        <w:t xml:space="preserve">figure </w:t>
      </w:r>
      <w:r w:rsidR="00F94049" w:rsidRPr="002E7205">
        <w:rPr>
          <w:rFonts w:ascii="Arial" w:hAnsi="Arial" w:cs="Arial"/>
          <w:b/>
          <w:sz w:val="22"/>
          <w:szCs w:val="22"/>
        </w:rPr>
        <w:t>S</w:t>
      </w:r>
      <w:r w:rsidR="00771116" w:rsidRPr="002E7205">
        <w:rPr>
          <w:rFonts w:ascii="Arial" w:hAnsi="Arial" w:cs="Arial"/>
          <w:b/>
          <w:sz w:val="22"/>
          <w:szCs w:val="22"/>
        </w:rPr>
        <w:t>3</w:t>
      </w:r>
      <w:r w:rsidR="00F94049" w:rsidRPr="002E7205">
        <w:rPr>
          <w:rFonts w:ascii="Arial" w:hAnsi="Arial" w:cs="Arial"/>
          <w:b/>
          <w:sz w:val="22"/>
          <w:szCs w:val="22"/>
        </w:rPr>
        <w:t>B</w:t>
      </w:r>
      <w:r w:rsidRPr="002E7205">
        <w:rPr>
          <w:rFonts w:ascii="Arial" w:hAnsi="Arial" w:cs="Arial"/>
          <w:sz w:val="22"/>
          <w:szCs w:val="22"/>
        </w:rPr>
        <w:t xml:space="preserve">). After the initiation with metreleptin liver enzymes </w:t>
      </w:r>
      <w:r w:rsidR="008D7AC2" w:rsidRPr="002E7205">
        <w:rPr>
          <w:rFonts w:ascii="Arial" w:hAnsi="Arial" w:cs="Arial"/>
          <w:sz w:val="22"/>
          <w:szCs w:val="22"/>
        </w:rPr>
        <w:t>remained slightly increased but were stable over time</w:t>
      </w:r>
      <w:r w:rsidRPr="002E7205">
        <w:rPr>
          <w:rFonts w:ascii="Arial" w:hAnsi="Arial" w:cs="Arial"/>
          <w:sz w:val="22"/>
          <w:szCs w:val="22"/>
        </w:rPr>
        <w:t xml:space="preserve"> </w:t>
      </w:r>
      <w:r w:rsidR="00F94049" w:rsidRPr="002E7205">
        <w:rPr>
          <w:rFonts w:ascii="Arial" w:hAnsi="Arial" w:cs="Arial"/>
          <w:sz w:val="22"/>
          <w:szCs w:val="22"/>
        </w:rPr>
        <w:t>(</w:t>
      </w:r>
      <w:r w:rsidR="00F94049" w:rsidRPr="002E7205">
        <w:rPr>
          <w:rFonts w:ascii="Arial" w:hAnsi="Arial" w:cs="Arial"/>
          <w:b/>
          <w:sz w:val="22"/>
          <w:szCs w:val="22"/>
        </w:rPr>
        <w:t>figure S</w:t>
      </w:r>
      <w:r w:rsidR="00771116" w:rsidRPr="002E7205">
        <w:rPr>
          <w:rFonts w:ascii="Arial" w:hAnsi="Arial" w:cs="Arial"/>
          <w:b/>
          <w:sz w:val="22"/>
          <w:szCs w:val="22"/>
        </w:rPr>
        <w:t>3</w:t>
      </w:r>
      <w:r w:rsidR="00F94049" w:rsidRPr="002E7205">
        <w:rPr>
          <w:rFonts w:ascii="Arial" w:hAnsi="Arial" w:cs="Arial"/>
          <w:b/>
          <w:sz w:val="22"/>
          <w:szCs w:val="22"/>
        </w:rPr>
        <w:t>A</w:t>
      </w:r>
      <w:r w:rsidR="00F94049" w:rsidRPr="002E7205">
        <w:rPr>
          <w:rFonts w:ascii="Arial" w:hAnsi="Arial" w:cs="Arial"/>
          <w:sz w:val="22"/>
          <w:szCs w:val="22"/>
        </w:rPr>
        <w:t>)</w:t>
      </w:r>
      <w:r w:rsidRPr="002E7205">
        <w:rPr>
          <w:rFonts w:ascii="Arial" w:hAnsi="Arial" w:cs="Arial"/>
          <w:sz w:val="22"/>
          <w:szCs w:val="22"/>
        </w:rPr>
        <w:t>. An MRI performed 1 year after metreleptin initiation (44 months after the transplant</w:t>
      </w:r>
      <w:r w:rsidR="00582A92" w:rsidRPr="002E7205">
        <w:rPr>
          <w:rFonts w:ascii="Arial" w:hAnsi="Arial" w:cs="Arial"/>
          <w:sz w:val="22"/>
          <w:szCs w:val="22"/>
        </w:rPr>
        <w:t>ation</w:t>
      </w:r>
      <w:r w:rsidRPr="002E7205">
        <w:rPr>
          <w:rFonts w:ascii="Arial" w:hAnsi="Arial" w:cs="Arial"/>
          <w:sz w:val="22"/>
          <w:szCs w:val="22"/>
        </w:rPr>
        <w:t xml:space="preserve">) showed diffuse </w:t>
      </w:r>
      <w:r w:rsidR="00AB711E" w:rsidRPr="002E7205">
        <w:rPr>
          <w:rFonts w:ascii="Arial" w:hAnsi="Arial" w:cs="Arial"/>
          <w:sz w:val="22"/>
          <w:szCs w:val="22"/>
        </w:rPr>
        <w:t>hepatic steatosis</w:t>
      </w:r>
      <w:r w:rsidRPr="002E7205">
        <w:rPr>
          <w:rFonts w:ascii="Arial" w:hAnsi="Arial" w:cs="Arial"/>
          <w:sz w:val="22"/>
          <w:szCs w:val="22"/>
        </w:rPr>
        <w:t xml:space="preserve"> with a parenchymal signal intensity loss of 36% (</w:t>
      </w:r>
      <w:r w:rsidRPr="002E7205">
        <w:rPr>
          <w:rFonts w:ascii="Arial" w:hAnsi="Arial" w:cs="Arial"/>
          <w:b/>
          <w:sz w:val="22"/>
          <w:szCs w:val="22"/>
        </w:rPr>
        <w:t xml:space="preserve">figure </w:t>
      </w:r>
      <w:r w:rsidR="00F94049" w:rsidRPr="002E7205">
        <w:rPr>
          <w:rFonts w:ascii="Arial" w:hAnsi="Arial" w:cs="Arial"/>
          <w:b/>
          <w:sz w:val="22"/>
          <w:szCs w:val="22"/>
        </w:rPr>
        <w:t>S</w:t>
      </w:r>
      <w:r w:rsidR="00771116" w:rsidRPr="002E7205">
        <w:rPr>
          <w:rFonts w:ascii="Arial" w:hAnsi="Arial" w:cs="Arial"/>
          <w:b/>
          <w:sz w:val="22"/>
          <w:szCs w:val="22"/>
        </w:rPr>
        <w:t>3</w:t>
      </w:r>
      <w:r w:rsidR="00F94049" w:rsidRPr="002E7205">
        <w:rPr>
          <w:rFonts w:ascii="Arial" w:hAnsi="Arial" w:cs="Arial"/>
          <w:b/>
          <w:sz w:val="22"/>
          <w:szCs w:val="22"/>
        </w:rPr>
        <w:t>C</w:t>
      </w:r>
      <w:r w:rsidRPr="002E7205">
        <w:rPr>
          <w:rFonts w:ascii="Arial" w:hAnsi="Arial" w:cs="Arial"/>
          <w:sz w:val="22"/>
          <w:szCs w:val="22"/>
        </w:rPr>
        <w:t xml:space="preserve">, MR images available in </w:t>
      </w:r>
      <w:r w:rsidRPr="002E7205">
        <w:rPr>
          <w:rFonts w:ascii="Arial" w:hAnsi="Arial" w:cs="Arial"/>
          <w:b/>
          <w:sz w:val="22"/>
          <w:szCs w:val="22"/>
        </w:rPr>
        <w:t>figure S</w:t>
      </w:r>
      <w:r w:rsidR="00771116" w:rsidRPr="002E7205">
        <w:rPr>
          <w:rFonts w:ascii="Arial" w:hAnsi="Arial" w:cs="Arial"/>
          <w:b/>
          <w:sz w:val="22"/>
          <w:szCs w:val="22"/>
        </w:rPr>
        <w:t>4</w:t>
      </w:r>
      <w:r w:rsidRPr="002E7205">
        <w:rPr>
          <w:rFonts w:ascii="Arial" w:hAnsi="Arial" w:cs="Arial"/>
          <w:sz w:val="22"/>
          <w:szCs w:val="22"/>
        </w:rPr>
        <w:t xml:space="preserve">). </w:t>
      </w:r>
      <w:r w:rsidR="00B60939" w:rsidRPr="002E7205">
        <w:rPr>
          <w:rFonts w:ascii="Arial" w:hAnsi="Arial" w:cs="Arial"/>
          <w:sz w:val="22"/>
          <w:szCs w:val="22"/>
        </w:rPr>
        <w:t xml:space="preserve">The BMI-SDS remained stable with -2.6. </w:t>
      </w:r>
      <w:r w:rsidRPr="002E7205">
        <w:rPr>
          <w:rFonts w:ascii="Arial" w:hAnsi="Arial" w:cs="Arial"/>
          <w:sz w:val="22"/>
          <w:szCs w:val="22"/>
        </w:rPr>
        <w:t>A severe hepatic steatosis a parenchymal signal intensity loss of 50% was confirmed in a follow-up MRI performed 2 years after metreleptin initiation (56 months after the transplant</w:t>
      </w:r>
      <w:r w:rsidR="00AA217D" w:rsidRPr="002E7205">
        <w:rPr>
          <w:rFonts w:ascii="Arial" w:hAnsi="Arial" w:cs="Arial"/>
          <w:sz w:val="22"/>
          <w:szCs w:val="22"/>
        </w:rPr>
        <w:t>ation</w:t>
      </w:r>
      <w:r w:rsidRPr="002E7205">
        <w:rPr>
          <w:rFonts w:ascii="Arial" w:hAnsi="Arial" w:cs="Arial"/>
          <w:sz w:val="22"/>
          <w:szCs w:val="22"/>
        </w:rPr>
        <w:t>) (</w:t>
      </w:r>
      <w:r w:rsidRPr="002E7205">
        <w:rPr>
          <w:rFonts w:ascii="Arial" w:hAnsi="Arial" w:cs="Arial"/>
          <w:b/>
          <w:sz w:val="22"/>
          <w:szCs w:val="22"/>
        </w:rPr>
        <w:t xml:space="preserve">figure </w:t>
      </w:r>
      <w:r w:rsidR="00F94049" w:rsidRPr="002E7205">
        <w:rPr>
          <w:rFonts w:ascii="Arial" w:hAnsi="Arial" w:cs="Arial"/>
          <w:b/>
          <w:sz w:val="22"/>
          <w:szCs w:val="22"/>
        </w:rPr>
        <w:t>S</w:t>
      </w:r>
      <w:r w:rsidR="00771116" w:rsidRPr="002E7205">
        <w:rPr>
          <w:rFonts w:ascii="Arial" w:hAnsi="Arial" w:cs="Arial"/>
          <w:b/>
          <w:sz w:val="22"/>
          <w:szCs w:val="22"/>
        </w:rPr>
        <w:t>3</w:t>
      </w:r>
      <w:r w:rsidR="00F94049" w:rsidRPr="002E7205">
        <w:rPr>
          <w:rFonts w:ascii="Arial" w:hAnsi="Arial" w:cs="Arial"/>
          <w:b/>
          <w:sz w:val="22"/>
          <w:szCs w:val="22"/>
        </w:rPr>
        <w:t>C</w:t>
      </w:r>
      <w:r w:rsidRPr="002E7205">
        <w:rPr>
          <w:rFonts w:ascii="Arial" w:hAnsi="Arial" w:cs="Arial"/>
          <w:sz w:val="22"/>
          <w:szCs w:val="22"/>
        </w:rPr>
        <w:t xml:space="preserve">, MR images available in </w:t>
      </w:r>
      <w:r w:rsidRPr="002E7205">
        <w:rPr>
          <w:rFonts w:ascii="Arial" w:hAnsi="Arial" w:cs="Arial"/>
          <w:b/>
          <w:sz w:val="22"/>
          <w:szCs w:val="22"/>
        </w:rPr>
        <w:t>figure S</w:t>
      </w:r>
      <w:r w:rsidR="00771116" w:rsidRPr="002E7205">
        <w:rPr>
          <w:rFonts w:ascii="Arial" w:hAnsi="Arial" w:cs="Arial"/>
          <w:b/>
          <w:sz w:val="22"/>
          <w:szCs w:val="22"/>
        </w:rPr>
        <w:t>4</w:t>
      </w:r>
      <w:r w:rsidRPr="002E7205">
        <w:rPr>
          <w:rFonts w:ascii="Arial" w:hAnsi="Arial" w:cs="Arial"/>
          <w:sz w:val="22"/>
          <w:szCs w:val="22"/>
        </w:rPr>
        <w:t>).</w:t>
      </w:r>
    </w:p>
    <w:p w14:paraId="002318B0" w14:textId="65FF3653" w:rsidR="00D53495" w:rsidRPr="002E7205" w:rsidRDefault="00D53495" w:rsidP="00605CFE">
      <w:pPr>
        <w:spacing w:line="480" w:lineRule="auto"/>
        <w:rPr>
          <w:rFonts w:ascii="Arial" w:hAnsi="Arial" w:cs="Arial"/>
          <w:sz w:val="22"/>
          <w:szCs w:val="22"/>
        </w:rPr>
      </w:pPr>
    </w:p>
    <w:p w14:paraId="311316EF" w14:textId="52C94182" w:rsidR="00D53495" w:rsidRPr="002E7205" w:rsidRDefault="00130E85" w:rsidP="00605CFE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2E7205">
        <w:rPr>
          <w:rFonts w:ascii="Arial" w:hAnsi="Arial" w:cs="Arial"/>
          <w:b/>
          <w:sz w:val="22"/>
          <w:szCs w:val="22"/>
        </w:rPr>
        <w:t>References</w:t>
      </w:r>
    </w:p>
    <w:p w14:paraId="3E9FE4A5" w14:textId="01B7C7DF" w:rsidR="00F51166" w:rsidRPr="002E7205" w:rsidRDefault="00F51166" w:rsidP="00605CFE">
      <w:pPr>
        <w:pStyle w:val="EndNoteBibliography"/>
        <w:spacing w:line="480" w:lineRule="auto"/>
        <w:ind w:left="720" w:hanging="720"/>
        <w:rPr>
          <w:rFonts w:ascii="Arial" w:hAnsi="Arial" w:cs="Arial"/>
          <w:noProof/>
          <w:sz w:val="22"/>
          <w:szCs w:val="22"/>
        </w:rPr>
      </w:pPr>
      <w:r w:rsidRPr="002E7205">
        <w:rPr>
          <w:rFonts w:ascii="Arial" w:hAnsi="Arial" w:cs="Arial"/>
          <w:noProof/>
          <w:sz w:val="22"/>
          <w:szCs w:val="22"/>
        </w:rPr>
        <w:t>1.</w:t>
      </w:r>
      <w:r w:rsidRPr="002E7205">
        <w:rPr>
          <w:rFonts w:ascii="Arial" w:hAnsi="Arial" w:cs="Arial"/>
          <w:noProof/>
          <w:sz w:val="22"/>
          <w:szCs w:val="22"/>
        </w:rPr>
        <w:tab/>
        <w:t xml:space="preserve">Neyzi O, Bundak R, Gokcay G, Gunoz H, Furman A, Darendeliler F, et al. Reference Values for Weight, Height, Head Circumference, and Body Mass Index in Turkish Children. </w:t>
      </w:r>
      <w:r w:rsidRPr="002E7205">
        <w:rPr>
          <w:rFonts w:ascii="Arial" w:hAnsi="Arial" w:cs="Arial"/>
          <w:i/>
          <w:noProof/>
          <w:sz w:val="22"/>
          <w:szCs w:val="22"/>
        </w:rPr>
        <w:t>J Clin Res Pediatr Endocrinol.</w:t>
      </w:r>
      <w:r w:rsidRPr="002E7205">
        <w:rPr>
          <w:rFonts w:ascii="Arial" w:hAnsi="Arial" w:cs="Arial"/>
          <w:noProof/>
          <w:sz w:val="22"/>
          <w:szCs w:val="22"/>
        </w:rPr>
        <w:t xml:space="preserve"> 2015;7(4):280-93.</w:t>
      </w:r>
    </w:p>
    <w:p w14:paraId="7C99A2F6" w14:textId="77777777" w:rsidR="00F51166" w:rsidRPr="002E7205" w:rsidRDefault="00F51166" w:rsidP="00605CFE">
      <w:pPr>
        <w:pStyle w:val="EndNoteBibliography"/>
        <w:spacing w:line="480" w:lineRule="auto"/>
        <w:ind w:left="720" w:hanging="720"/>
        <w:rPr>
          <w:rFonts w:ascii="Arial" w:hAnsi="Arial" w:cs="Arial"/>
          <w:noProof/>
          <w:sz w:val="22"/>
          <w:szCs w:val="22"/>
        </w:rPr>
      </w:pPr>
      <w:r w:rsidRPr="002E7205">
        <w:rPr>
          <w:rFonts w:ascii="Arial" w:hAnsi="Arial" w:cs="Arial"/>
          <w:noProof/>
          <w:sz w:val="22"/>
          <w:szCs w:val="22"/>
        </w:rPr>
        <w:t>2.</w:t>
      </w:r>
      <w:r w:rsidRPr="002E7205">
        <w:rPr>
          <w:rFonts w:ascii="Arial" w:hAnsi="Arial" w:cs="Arial"/>
          <w:noProof/>
          <w:sz w:val="22"/>
          <w:szCs w:val="22"/>
        </w:rPr>
        <w:tab/>
        <w:t xml:space="preserve">Qayyum A, Nystrom M, Noworolski SM, Chu P, Mohanty A, and Merriman R. MRI steatosis grading: development and initial validation of a color mapping system. </w:t>
      </w:r>
      <w:r w:rsidRPr="002E7205">
        <w:rPr>
          <w:rFonts w:ascii="Arial" w:hAnsi="Arial" w:cs="Arial"/>
          <w:i/>
          <w:noProof/>
          <w:sz w:val="22"/>
          <w:szCs w:val="22"/>
        </w:rPr>
        <w:t>AJR Am J Roentgenol.</w:t>
      </w:r>
      <w:r w:rsidRPr="002E7205">
        <w:rPr>
          <w:rFonts w:ascii="Arial" w:hAnsi="Arial" w:cs="Arial"/>
          <w:noProof/>
          <w:sz w:val="22"/>
          <w:szCs w:val="22"/>
        </w:rPr>
        <w:t xml:space="preserve"> 2012;198(3):582-8.</w:t>
      </w:r>
    </w:p>
    <w:p w14:paraId="19D570DA" w14:textId="18C61246" w:rsidR="00D53495" w:rsidRPr="002E7205" w:rsidRDefault="00D53495" w:rsidP="00605CFE">
      <w:pPr>
        <w:spacing w:line="480" w:lineRule="auto"/>
        <w:rPr>
          <w:rFonts w:ascii="Arial" w:hAnsi="Arial" w:cs="Arial"/>
          <w:sz w:val="22"/>
          <w:szCs w:val="22"/>
        </w:rPr>
      </w:pPr>
    </w:p>
    <w:bookmarkEnd w:id="0"/>
    <w:p w14:paraId="0A888333" w14:textId="412E1FAA" w:rsidR="008D7AC2" w:rsidRPr="002E7205" w:rsidRDefault="008D7AC2" w:rsidP="00605CFE">
      <w:pPr>
        <w:spacing w:line="480" w:lineRule="auto"/>
      </w:pPr>
    </w:p>
    <w:sectPr w:rsidR="008D7AC2" w:rsidRPr="002E7205" w:rsidSect="002E720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oNotTrackFormatting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Layout" w:val="&lt;ENLayout&gt;&lt;Style&gt;J Clinical Investigation&lt;/Style&gt;&lt;LeftDelim&gt;{&lt;/LeftDelim&gt;&lt;RightDelim&gt;}&lt;/RightDelim&gt;&lt;FontName&gt;Calibri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0ze2epv5ee90ssefaavpd0f9s9z5wxp0apwr&quot;&gt;PKU-Converted&lt;record-ids&gt;&lt;item&gt;1810&lt;/item&gt;&lt;/record-ids&gt;&lt;/item&gt;&lt;/Libraries&gt;"/>
  </w:docVars>
  <w:rsids>
    <w:rsidRoot w:val="00D53495"/>
    <w:rsid w:val="0002387F"/>
    <w:rsid w:val="00033328"/>
    <w:rsid w:val="00046753"/>
    <w:rsid w:val="00066791"/>
    <w:rsid w:val="000E7DD7"/>
    <w:rsid w:val="000F6C8F"/>
    <w:rsid w:val="00125CD5"/>
    <w:rsid w:val="00130E85"/>
    <w:rsid w:val="001335E8"/>
    <w:rsid w:val="00137EB9"/>
    <w:rsid w:val="001473D3"/>
    <w:rsid w:val="00174338"/>
    <w:rsid w:val="00176B77"/>
    <w:rsid w:val="00190854"/>
    <w:rsid w:val="001D0363"/>
    <w:rsid w:val="001D5007"/>
    <w:rsid w:val="001F24C8"/>
    <w:rsid w:val="001F3F4E"/>
    <w:rsid w:val="00222F62"/>
    <w:rsid w:val="0023162C"/>
    <w:rsid w:val="002367C3"/>
    <w:rsid w:val="00244E2C"/>
    <w:rsid w:val="00257492"/>
    <w:rsid w:val="00272F7C"/>
    <w:rsid w:val="002C47F8"/>
    <w:rsid w:val="002D5761"/>
    <w:rsid w:val="002E7205"/>
    <w:rsid w:val="00315EDA"/>
    <w:rsid w:val="003237BD"/>
    <w:rsid w:val="00335563"/>
    <w:rsid w:val="00341F0F"/>
    <w:rsid w:val="00356A3F"/>
    <w:rsid w:val="0037311A"/>
    <w:rsid w:val="003D31DA"/>
    <w:rsid w:val="003E3466"/>
    <w:rsid w:val="003E34E9"/>
    <w:rsid w:val="003F3F2B"/>
    <w:rsid w:val="00400F38"/>
    <w:rsid w:val="00433C6C"/>
    <w:rsid w:val="0045178B"/>
    <w:rsid w:val="00451B2E"/>
    <w:rsid w:val="00494FC1"/>
    <w:rsid w:val="00495674"/>
    <w:rsid w:val="004C431B"/>
    <w:rsid w:val="004D3431"/>
    <w:rsid w:val="004D536A"/>
    <w:rsid w:val="00521E17"/>
    <w:rsid w:val="00530EC8"/>
    <w:rsid w:val="00582A92"/>
    <w:rsid w:val="005A1399"/>
    <w:rsid w:val="005A2F14"/>
    <w:rsid w:val="005B3081"/>
    <w:rsid w:val="005C15B0"/>
    <w:rsid w:val="00605CFE"/>
    <w:rsid w:val="00623526"/>
    <w:rsid w:val="00676982"/>
    <w:rsid w:val="00677861"/>
    <w:rsid w:val="00693502"/>
    <w:rsid w:val="006D77D9"/>
    <w:rsid w:val="006F578C"/>
    <w:rsid w:val="00700C54"/>
    <w:rsid w:val="00703450"/>
    <w:rsid w:val="00706267"/>
    <w:rsid w:val="00730D76"/>
    <w:rsid w:val="00771116"/>
    <w:rsid w:val="007765D6"/>
    <w:rsid w:val="007A10C0"/>
    <w:rsid w:val="007A1D7A"/>
    <w:rsid w:val="007C078E"/>
    <w:rsid w:val="007F1B2D"/>
    <w:rsid w:val="008224C4"/>
    <w:rsid w:val="008616CB"/>
    <w:rsid w:val="008B2B2F"/>
    <w:rsid w:val="008C1049"/>
    <w:rsid w:val="008D7AC2"/>
    <w:rsid w:val="008E5A2C"/>
    <w:rsid w:val="008E7878"/>
    <w:rsid w:val="00913B24"/>
    <w:rsid w:val="00914B47"/>
    <w:rsid w:val="0096044B"/>
    <w:rsid w:val="009B3EC3"/>
    <w:rsid w:val="009D1AD2"/>
    <w:rsid w:val="009D5341"/>
    <w:rsid w:val="00A3647E"/>
    <w:rsid w:val="00AA217D"/>
    <w:rsid w:val="00AA4255"/>
    <w:rsid w:val="00AB711E"/>
    <w:rsid w:val="00AC3EDD"/>
    <w:rsid w:val="00AC4559"/>
    <w:rsid w:val="00B12474"/>
    <w:rsid w:val="00B15F09"/>
    <w:rsid w:val="00B21722"/>
    <w:rsid w:val="00B60939"/>
    <w:rsid w:val="00B77F1C"/>
    <w:rsid w:val="00B932CC"/>
    <w:rsid w:val="00B93BD9"/>
    <w:rsid w:val="00BF2F7D"/>
    <w:rsid w:val="00C060BE"/>
    <w:rsid w:val="00C13021"/>
    <w:rsid w:val="00C55FB2"/>
    <w:rsid w:val="00C57C20"/>
    <w:rsid w:val="00C62A7E"/>
    <w:rsid w:val="00C86E09"/>
    <w:rsid w:val="00C86F80"/>
    <w:rsid w:val="00C9209D"/>
    <w:rsid w:val="00CB69FD"/>
    <w:rsid w:val="00D1290A"/>
    <w:rsid w:val="00D53495"/>
    <w:rsid w:val="00D53A2E"/>
    <w:rsid w:val="00D54E55"/>
    <w:rsid w:val="00DA11BE"/>
    <w:rsid w:val="00DA5A30"/>
    <w:rsid w:val="00DE3B7E"/>
    <w:rsid w:val="00DF39AD"/>
    <w:rsid w:val="00E1605C"/>
    <w:rsid w:val="00E35044"/>
    <w:rsid w:val="00E5173F"/>
    <w:rsid w:val="00E759DB"/>
    <w:rsid w:val="00E766D0"/>
    <w:rsid w:val="00E86C20"/>
    <w:rsid w:val="00EB17AD"/>
    <w:rsid w:val="00EC61B2"/>
    <w:rsid w:val="00EE2C0B"/>
    <w:rsid w:val="00EE6450"/>
    <w:rsid w:val="00F51166"/>
    <w:rsid w:val="00F55BA8"/>
    <w:rsid w:val="00F71167"/>
    <w:rsid w:val="00F94049"/>
    <w:rsid w:val="00FC13B5"/>
    <w:rsid w:val="00FD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82160"/>
  <w15:chartTrackingRefBased/>
  <w15:docId w15:val="{AB0AC28F-E590-5E4A-8EE3-D6A93A2A6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534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3495"/>
    <w:pPr>
      <w:spacing w:after="160"/>
    </w:pPr>
    <w:rPr>
      <w:sz w:val="20"/>
      <w:szCs w:val="20"/>
      <w:lang w:val="de-AT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3495"/>
    <w:rPr>
      <w:sz w:val="20"/>
      <w:szCs w:val="20"/>
      <w:lang w:val="de-AT"/>
    </w:rPr>
  </w:style>
  <w:style w:type="paragraph" w:customStyle="1" w:styleId="EndNoteBibliographyTitle">
    <w:name w:val="EndNote Bibliography Title"/>
    <w:basedOn w:val="Normal"/>
    <w:link w:val="EndNoteBibliographyTitleChar"/>
    <w:rsid w:val="00D53495"/>
    <w:pPr>
      <w:jc w:val="center"/>
    </w:pPr>
    <w:rPr>
      <w:rFonts w:ascii="Calibri" w:hAnsi="Calibri" w:cs="Calibri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D53495"/>
    <w:rPr>
      <w:rFonts w:ascii="Calibri" w:hAnsi="Calibri" w:cs="Calibri"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D53495"/>
    <w:rPr>
      <w:rFonts w:ascii="Calibri" w:hAnsi="Calibri" w:cs="Calibri"/>
    </w:rPr>
  </w:style>
  <w:style w:type="character" w:customStyle="1" w:styleId="EndNoteBibliographyChar">
    <w:name w:val="EndNote Bibliography Char"/>
    <w:basedOn w:val="DefaultParagraphFont"/>
    <w:link w:val="EndNoteBibliography"/>
    <w:rsid w:val="00D53495"/>
    <w:rPr>
      <w:rFonts w:ascii="Calibri" w:hAnsi="Calibri" w:cs="Calibri"/>
      <w:lang w:val="en-US"/>
    </w:rPr>
  </w:style>
  <w:style w:type="character" w:styleId="LineNumber">
    <w:name w:val="line number"/>
    <w:basedOn w:val="DefaultParagraphFont"/>
    <w:uiPriority w:val="99"/>
    <w:semiHidden/>
    <w:unhideWhenUsed/>
    <w:rsid w:val="00D53495"/>
  </w:style>
  <w:style w:type="paragraph" w:styleId="BalloonText">
    <w:name w:val="Balloon Text"/>
    <w:basedOn w:val="Normal"/>
    <w:link w:val="BalloonTextChar"/>
    <w:uiPriority w:val="99"/>
    <w:semiHidden/>
    <w:unhideWhenUsed/>
    <w:rsid w:val="00F511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16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82A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Beghini</dc:creator>
  <cp:keywords/>
  <dc:description/>
  <cp:lastModifiedBy>Arden Marie Badon</cp:lastModifiedBy>
  <cp:revision>5</cp:revision>
  <dcterms:created xsi:type="dcterms:W3CDTF">2024-10-11T16:02:00Z</dcterms:created>
  <dcterms:modified xsi:type="dcterms:W3CDTF">2025-04-07T01:52:00Z</dcterms:modified>
</cp:coreProperties>
</file>