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CA69F" w14:textId="3C40F9CE" w:rsidR="006469A3" w:rsidRPr="005F058A" w:rsidRDefault="006469A3" w:rsidP="006469A3">
      <w:pPr>
        <w:autoSpaceDE w:val="0"/>
        <w:autoSpaceDN w:val="0"/>
        <w:adjustRightInd w:val="0"/>
        <w:spacing w:before="240" w:line="480" w:lineRule="auto"/>
        <w:rPr>
          <w:rFonts w:eastAsia="Calibri" w:cs="Times New Roman"/>
          <w:b/>
          <w:sz w:val="24"/>
        </w:rPr>
      </w:pPr>
      <w:r>
        <w:rPr>
          <w:rFonts w:eastAsia="Calibri" w:cs="Times New Roman"/>
          <w:b/>
          <w:sz w:val="24"/>
        </w:rPr>
        <w:t>Supplemental Methods</w:t>
      </w:r>
    </w:p>
    <w:p w14:paraId="60C8DFDA" w14:textId="77777777" w:rsidR="006469A3" w:rsidRPr="005F058A" w:rsidRDefault="006469A3" w:rsidP="006469A3">
      <w:pPr>
        <w:spacing w:before="240" w:line="480" w:lineRule="auto"/>
        <w:rPr>
          <w:rFonts w:eastAsia="Calibri" w:cs="Times New Roman"/>
          <w:b/>
          <w:iCs/>
          <w:sz w:val="24"/>
        </w:rPr>
      </w:pPr>
      <w:r w:rsidRPr="005F058A">
        <w:rPr>
          <w:rFonts w:eastAsia="Calibri" w:cs="Times New Roman"/>
          <w:b/>
          <w:iCs/>
          <w:sz w:val="24"/>
        </w:rPr>
        <w:t>Study eligibility and treatment</w:t>
      </w:r>
    </w:p>
    <w:p w14:paraId="15409347" w14:textId="7ED84CA5" w:rsidR="006469A3" w:rsidRPr="005F058A" w:rsidRDefault="006469A3" w:rsidP="006469A3">
      <w:pPr>
        <w:spacing w:after="240" w:line="480" w:lineRule="auto"/>
        <w:rPr>
          <w:rFonts w:eastAsia="Calibri" w:cs="Times New Roman"/>
          <w:bCs/>
          <w:iCs/>
          <w:sz w:val="24"/>
        </w:rPr>
      </w:pPr>
      <w:r w:rsidRPr="005F058A">
        <w:rPr>
          <w:rFonts w:eastAsia="Calibri" w:cs="Times New Roman"/>
          <w:bCs/>
          <w:iCs/>
          <w:sz w:val="24"/>
        </w:rPr>
        <w:t>Eligible patients were a</w:t>
      </w:r>
      <w:r w:rsidRPr="005F058A">
        <w:rPr>
          <w:rFonts w:cs="Times New Roman"/>
          <w:sz w:val="24"/>
        </w:rPr>
        <w:t>dults (aged ≥18 years) with</w:t>
      </w:r>
      <w:r w:rsidR="008A605D" w:rsidRPr="008A605D">
        <w:t xml:space="preserve"> </w:t>
      </w:r>
      <w:r w:rsidR="008A605D" w:rsidRPr="008A605D">
        <w:rPr>
          <w:rFonts w:cs="Times New Roman"/>
          <w:sz w:val="24"/>
        </w:rPr>
        <w:t>classical Hodgkin lymphoma</w:t>
      </w:r>
      <w:r w:rsidRPr="005F058A">
        <w:rPr>
          <w:rFonts w:cs="Times New Roman"/>
          <w:sz w:val="24"/>
        </w:rPr>
        <w:t xml:space="preserve"> </w:t>
      </w:r>
      <w:r w:rsidRPr="005F058A">
        <w:rPr>
          <w:rFonts w:eastAsia="Calibri" w:cs="Times New Roman"/>
          <w:bCs/>
          <w:iCs/>
          <w:sz w:val="24"/>
        </w:rPr>
        <w:t>who either experienced disease progression (relapsed) or did not respond to the most recent therapy (refractory), had measurable disease and an Eastern Cooperative Oncology Group performance status of 0 or 1, and received ≥1 prior multiagent chemotherapy regimen. Patients had previously received therapy with</w:t>
      </w:r>
      <w:r w:rsidR="008A605D" w:rsidRPr="008A605D">
        <w:t xml:space="preserve"> </w:t>
      </w:r>
      <w:r w:rsidR="008A605D" w:rsidRPr="008A605D">
        <w:rPr>
          <w:rFonts w:eastAsia="Calibri" w:cs="Times New Roman"/>
          <w:bCs/>
          <w:iCs/>
          <w:sz w:val="24"/>
        </w:rPr>
        <w:t>autologous stem cell transplantation</w:t>
      </w:r>
      <w:r w:rsidRPr="005F058A">
        <w:rPr>
          <w:rFonts w:eastAsia="Calibri" w:cs="Times New Roman"/>
          <w:bCs/>
          <w:iCs/>
          <w:sz w:val="24"/>
        </w:rPr>
        <w:t xml:space="preserve"> </w:t>
      </w:r>
      <w:r w:rsidR="008A605D">
        <w:rPr>
          <w:rFonts w:eastAsia="Calibri" w:cs="Times New Roman"/>
          <w:bCs/>
          <w:iCs/>
          <w:sz w:val="24"/>
        </w:rPr>
        <w:t>(</w:t>
      </w:r>
      <w:r w:rsidRPr="005F058A">
        <w:rPr>
          <w:rFonts w:eastAsia="Calibri" w:cs="Times New Roman"/>
          <w:bCs/>
          <w:iCs/>
          <w:sz w:val="24"/>
        </w:rPr>
        <w:t>ASCT</w:t>
      </w:r>
      <w:r w:rsidR="008A605D">
        <w:rPr>
          <w:rFonts w:eastAsia="Calibri" w:cs="Times New Roman"/>
          <w:bCs/>
          <w:iCs/>
          <w:sz w:val="24"/>
        </w:rPr>
        <w:t>)</w:t>
      </w:r>
      <w:r w:rsidRPr="005F058A">
        <w:rPr>
          <w:rFonts w:eastAsia="Calibri" w:cs="Times New Roman"/>
          <w:bCs/>
          <w:iCs/>
          <w:sz w:val="24"/>
        </w:rPr>
        <w:t xml:space="preserve"> or were ineligible for ASCT, and p</w:t>
      </w:r>
      <w:r w:rsidRPr="005F058A">
        <w:rPr>
          <w:rFonts w:cs="Times New Roman"/>
          <w:sz w:val="24"/>
        </w:rPr>
        <w:t>atients naive to</w:t>
      </w:r>
      <w:r w:rsidR="008A605D" w:rsidRPr="008A605D">
        <w:t xml:space="preserve"> </w:t>
      </w:r>
      <w:r w:rsidR="008A605D" w:rsidRPr="008A605D">
        <w:rPr>
          <w:rFonts w:cs="Times New Roman"/>
          <w:sz w:val="24"/>
        </w:rPr>
        <w:t>brentuximab vedotin</w:t>
      </w:r>
      <w:r w:rsidRPr="005F058A">
        <w:rPr>
          <w:rFonts w:cs="Times New Roman"/>
          <w:sz w:val="24"/>
        </w:rPr>
        <w:t xml:space="preserve"> </w:t>
      </w:r>
      <w:r w:rsidR="008A605D">
        <w:rPr>
          <w:rFonts w:cs="Times New Roman"/>
          <w:sz w:val="24"/>
        </w:rPr>
        <w:t>(</w:t>
      </w:r>
      <w:r w:rsidRPr="005F058A">
        <w:rPr>
          <w:rFonts w:cs="Times New Roman"/>
          <w:sz w:val="24"/>
        </w:rPr>
        <w:t>BV</w:t>
      </w:r>
      <w:r w:rsidR="008A605D">
        <w:rPr>
          <w:rFonts w:cs="Times New Roman"/>
          <w:sz w:val="24"/>
        </w:rPr>
        <w:t>)</w:t>
      </w:r>
      <w:r w:rsidRPr="005F058A">
        <w:rPr>
          <w:rFonts w:cs="Times New Roman"/>
          <w:sz w:val="24"/>
        </w:rPr>
        <w:t xml:space="preserve"> and those who responded to prior treatment with BV were eligible</w:t>
      </w:r>
      <w:r w:rsidRPr="005F058A">
        <w:rPr>
          <w:rFonts w:eastAsia="Calibri" w:cs="Times New Roman"/>
          <w:bCs/>
          <w:iCs/>
          <w:sz w:val="24"/>
        </w:rPr>
        <w:t>. Patients were randomly assigned 1:1 to receive pembrolizumab (200 mg intravenously [IV] every 3 weeks) or BV (1.8 mg/kg IV every 3 weeks). Treatment continued for up to 35 weeks until disease progression, unacceptable toxicity, or investigator decision to withdraw the participant.</w:t>
      </w:r>
      <w:r w:rsidRPr="005F058A">
        <w:t xml:space="preserve"> </w:t>
      </w:r>
      <w:r w:rsidR="008A605D">
        <w:t>Patient-reported outcomes (</w:t>
      </w:r>
      <w:r w:rsidRPr="005F058A">
        <w:rPr>
          <w:rFonts w:eastAsia="Calibri" w:cs="Times New Roman"/>
          <w:bCs/>
          <w:iCs/>
          <w:sz w:val="24"/>
        </w:rPr>
        <w:t>PROs</w:t>
      </w:r>
      <w:r w:rsidR="008A605D">
        <w:rPr>
          <w:rFonts w:eastAsia="Calibri" w:cs="Times New Roman"/>
          <w:bCs/>
          <w:iCs/>
          <w:sz w:val="24"/>
        </w:rPr>
        <w:t>)</w:t>
      </w:r>
      <w:r w:rsidRPr="005F058A">
        <w:rPr>
          <w:rFonts w:eastAsia="Calibri" w:cs="Times New Roman"/>
          <w:bCs/>
          <w:iCs/>
          <w:sz w:val="24"/>
        </w:rPr>
        <w:t xml:space="preserve"> were assessed as predefined exploratory end points.</w:t>
      </w:r>
    </w:p>
    <w:p w14:paraId="695EBF8A" w14:textId="77777777" w:rsidR="006469A3" w:rsidRPr="005F058A" w:rsidRDefault="006469A3" w:rsidP="006469A3">
      <w:pPr>
        <w:spacing w:before="240" w:line="480" w:lineRule="auto"/>
        <w:rPr>
          <w:rFonts w:eastAsia="Calibri" w:cs="Times New Roman"/>
          <w:b/>
          <w:iCs/>
          <w:sz w:val="24"/>
        </w:rPr>
      </w:pPr>
      <w:r w:rsidRPr="005F058A">
        <w:rPr>
          <w:rFonts w:eastAsia="Calibri" w:cs="Times New Roman"/>
          <w:b/>
          <w:iCs/>
          <w:sz w:val="24"/>
        </w:rPr>
        <w:t>PRO assessments</w:t>
      </w:r>
    </w:p>
    <w:p w14:paraId="72E70C89" w14:textId="063FAD4B" w:rsidR="006469A3" w:rsidRPr="005F058A" w:rsidRDefault="006469A3" w:rsidP="006469A3">
      <w:pPr>
        <w:spacing w:before="240" w:line="480" w:lineRule="auto"/>
        <w:rPr>
          <w:rFonts w:eastAsia="Calibri" w:cs="Times New Roman"/>
          <w:bCs/>
          <w:iCs/>
          <w:sz w:val="24"/>
        </w:rPr>
      </w:pPr>
      <w:r w:rsidRPr="005F058A">
        <w:rPr>
          <w:rFonts w:eastAsia="Calibri" w:cs="Times New Roman"/>
          <w:bCs/>
          <w:iCs/>
          <w:sz w:val="24"/>
        </w:rPr>
        <w:t xml:space="preserve">The </w:t>
      </w:r>
      <w:proofErr w:type="spellStart"/>
      <w:r w:rsidR="00BD317F" w:rsidRPr="005E6070">
        <w:rPr>
          <w:rFonts w:eastAsia="Calibri" w:cs="Times New Roman"/>
          <w:bCs/>
          <w:sz w:val="24"/>
        </w:rPr>
        <w:t>EuroQoL</w:t>
      </w:r>
      <w:proofErr w:type="spellEnd"/>
      <w:r w:rsidR="00BD317F" w:rsidRPr="005E6070">
        <w:rPr>
          <w:rFonts w:eastAsia="Calibri" w:cs="Times New Roman"/>
          <w:bCs/>
          <w:sz w:val="24"/>
        </w:rPr>
        <w:t xml:space="preserve"> EQ-5D-3L </w:t>
      </w:r>
      <w:r w:rsidR="00BD317F">
        <w:rPr>
          <w:rFonts w:eastAsia="Calibri" w:cs="Times New Roman"/>
          <w:bCs/>
          <w:sz w:val="24"/>
        </w:rPr>
        <w:t>(</w:t>
      </w:r>
      <w:r w:rsidRPr="005F058A">
        <w:rPr>
          <w:rFonts w:eastAsia="Calibri" w:cs="Times New Roman"/>
          <w:bCs/>
          <w:iCs/>
          <w:sz w:val="24"/>
        </w:rPr>
        <w:t>EQ-5D</w:t>
      </w:r>
      <w:r w:rsidR="00BD317F">
        <w:rPr>
          <w:rFonts w:eastAsia="Calibri" w:cs="Times New Roman"/>
          <w:bCs/>
          <w:iCs/>
          <w:sz w:val="24"/>
        </w:rPr>
        <w:t>)</w:t>
      </w:r>
      <w:r w:rsidRPr="005F058A">
        <w:rPr>
          <w:rFonts w:eastAsia="Calibri" w:cs="Times New Roman"/>
          <w:bCs/>
          <w:iCs/>
          <w:sz w:val="24"/>
        </w:rPr>
        <w:t xml:space="preserve"> general health outcomes questionnaire addressed 5 dimensions of </w:t>
      </w:r>
      <w:r w:rsidR="00BD317F">
        <w:rPr>
          <w:rFonts w:eastAsia="Calibri" w:cs="Times New Roman"/>
          <w:bCs/>
          <w:iCs/>
          <w:sz w:val="24"/>
        </w:rPr>
        <w:t>health-related quality of life (</w:t>
      </w:r>
      <w:r w:rsidRPr="005F058A">
        <w:rPr>
          <w:rFonts w:eastAsia="Calibri" w:cs="Times New Roman"/>
          <w:bCs/>
          <w:iCs/>
          <w:sz w:val="24"/>
        </w:rPr>
        <w:t>HRQoL</w:t>
      </w:r>
      <w:r w:rsidR="00BD317F">
        <w:rPr>
          <w:rFonts w:eastAsia="Calibri" w:cs="Times New Roman"/>
          <w:bCs/>
          <w:iCs/>
          <w:sz w:val="24"/>
        </w:rPr>
        <w:t>)</w:t>
      </w:r>
      <w:r w:rsidRPr="005F058A">
        <w:rPr>
          <w:rFonts w:eastAsia="Calibri" w:cs="Times New Roman"/>
          <w:bCs/>
          <w:iCs/>
          <w:sz w:val="24"/>
        </w:rPr>
        <w:t xml:space="preserve"> (mobility, self-care, usual activities, pain/discomfort, and anxiety/depression), each scored at 3 levels (no problems, some problems, extreme problems).</w:t>
      </w:r>
      <w:r w:rsidRPr="005F058A">
        <w:rPr>
          <w:rFonts w:eastAsia="Calibri" w:cs="Times New Roman"/>
          <w:bCs/>
          <w:iCs/>
          <w:sz w:val="24"/>
        </w:rPr>
        <w:fldChar w:fldCharType="begin"/>
      </w:r>
      <w:r w:rsidRPr="005F058A">
        <w:rPr>
          <w:rFonts w:eastAsia="Calibri" w:cs="Times New Roman"/>
          <w:bCs/>
          <w:iCs/>
          <w:sz w:val="24"/>
        </w:rPr>
        <w:instrText xml:space="preserve"> ADDIN EN.CITE &lt;EndNote&gt;&lt;Cite&gt;&lt;Author&gt;Foundation&lt;/Author&gt;&lt;Year&gt;2020&lt;/Year&gt;&lt;RecNum&gt;83540&lt;/RecNum&gt;&lt;IDText&gt;Y96193&lt;/IDText&gt;&lt;DisplayText&gt;&lt;style face="superscript"&gt;19&lt;/style&gt;&lt;/DisplayText&gt;&lt;record&gt;&lt;rec-number&gt;83540&lt;/rec-number&gt;&lt;foreign-keys&gt;&lt;key app="EN" db-id="p5zaz2arofp9r9exd0mpr0ebefarp5rewdve" timestamp="1614623069" guid="14148b0d-4f86-4c3b-8723-3b7ac9cc69cd"&gt;83540&lt;/key&gt;&lt;/foreign-keys&gt;&lt;ref-type name="Web Page"&gt;12&lt;/ref-type&gt;&lt;contributors&gt;&lt;authors&gt;&lt;author&gt;EuroQuol Research Foundation&lt;/author&gt;&lt;/authors&gt;&lt;/contributors&gt;&lt;titles&gt;&lt;title&gt;EQ-5D user guide&lt;/title&gt;&lt;/titles&gt;&lt;volume&gt;2020&lt;/volume&gt;&lt;number&gt;07/07/2020&lt;/number&gt;&lt;dates&gt;&lt;year&gt;2020&lt;/year&gt;&lt;/dates&gt;&lt;pub-location&gt;The Netherlands&lt;/pub-location&gt;&lt;publisher&gt;EuroQuol Research Foundation&lt;/publisher&gt;&lt;label&gt;Y96193&lt;/label&gt;&lt;urls&gt;&lt;related-urls&gt;&lt;url&gt;https://euroqol.org/publications/user-guides/&lt;/url&gt;&lt;/related-urls&gt;&lt;/urls&gt;&lt;/record&gt;&lt;/Cite&gt;&lt;/EndNote&gt;</w:instrText>
      </w:r>
      <w:r w:rsidRPr="005F058A">
        <w:rPr>
          <w:rFonts w:eastAsia="Calibri" w:cs="Times New Roman"/>
          <w:bCs/>
          <w:iCs/>
          <w:sz w:val="24"/>
        </w:rPr>
        <w:fldChar w:fldCharType="separate"/>
      </w:r>
      <w:r w:rsidRPr="005F058A">
        <w:rPr>
          <w:rFonts w:eastAsia="Calibri" w:cs="Times New Roman"/>
          <w:bCs/>
          <w:iCs/>
          <w:noProof/>
          <w:sz w:val="24"/>
          <w:vertAlign w:val="superscript"/>
        </w:rPr>
        <w:t>1</w:t>
      </w:r>
      <w:r w:rsidRPr="005F058A">
        <w:rPr>
          <w:rFonts w:eastAsia="Calibri" w:cs="Times New Roman"/>
          <w:bCs/>
          <w:iCs/>
          <w:sz w:val="24"/>
        </w:rPr>
        <w:fldChar w:fldCharType="end"/>
      </w:r>
      <w:r w:rsidRPr="005F058A" w:rsidDel="00133A66">
        <w:rPr>
          <w:rFonts w:eastAsia="Calibri" w:cs="Times New Roman"/>
          <w:bCs/>
          <w:iCs/>
          <w:sz w:val="24"/>
        </w:rPr>
        <w:t xml:space="preserve"> </w:t>
      </w:r>
      <w:r w:rsidRPr="005F058A">
        <w:rPr>
          <w:rFonts w:eastAsia="Calibri" w:cs="Times New Roman"/>
          <w:bCs/>
          <w:iCs/>
          <w:sz w:val="24"/>
        </w:rPr>
        <w:t>An overall utility score was calculated from th</w:t>
      </w:r>
      <w:r w:rsidR="00F12EDC">
        <w:rPr>
          <w:rFonts w:eastAsia="Calibri" w:cs="Times New Roman"/>
          <w:bCs/>
          <w:iCs/>
          <w:sz w:val="24"/>
        </w:rPr>
        <w:t>o</w:t>
      </w:r>
      <w:r w:rsidRPr="005F058A">
        <w:rPr>
          <w:rFonts w:eastAsia="Calibri" w:cs="Times New Roman"/>
          <w:bCs/>
          <w:iCs/>
          <w:sz w:val="24"/>
        </w:rPr>
        <w:t>se with no problems in any dimension, giving the maximum score of 1.</w:t>
      </w:r>
      <w:r w:rsidRPr="005F058A">
        <w:rPr>
          <w:rFonts w:eastAsia="Calibri" w:cs="Times New Roman"/>
          <w:bCs/>
          <w:iCs/>
          <w:sz w:val="24"/>
        </w:rPr>
        <w:fldChar w:fldCharType="begin"/>
      </w:r>
      <w:r w:rsidRPr="005F058A">
        <w:rPr>
          <w:rFonts w:eastAsia="Calibri" w:cs="Times New Roman"/>
          <w:bCs/>
          <w:iCs/>
          <w:sz w:val="24"/>
        </w:rPr>
        <w:instrText xml:space="preserve"> ADDIN EN.CITE &lt;EndNote&gt;&lt;Cite&gt;&lt;Author&gt;Foundation&lt;/Author&gt;&lt;Year&gt;2020&lt;/Year&gt;&lt;RecNum&gt;83540&lt;/RecNum&gt;&lt;IDText&gt;Y96193&lt;/IDText&gt;&lt;DisplayText&gt;&lt;style face="superscript"&gt;19&lt;/style&gt;&lt;/DisplayText&gt;&lt;record&gt;&lt;rec-number&gt;83540&lt;/rec-number&gt;&lt;foreign-keys&gt;&lt;key app="EN" db-id="p5zaz2arofp9r9exd0mpr0ebefarp5rewdve" timestamp="1614623069" guid="14148b0d-4f86-4c3b-8723-3b7ac9cc69cd"&gt;83540&lt;/key&gt;&lt;/foreign-keys&gt;&lt;ref-type name="Web Page"&gt;12&lt;/ref-type&gt;&lt;contributors&gt;&lt;authors&gt;&lt;author&gt;EuroQuol Research Foundation&lt;/author&gt;&lt;/authors&gt;&lt;/contributors&gt;&lt;titles&gt;&lt;title&gt;EQ-5D user guide&lt;/title&gt;&lt;/titles&gt;&lt;volume&gt;2020&lt;/volume&gt;&lt;number&gt;07/07/2020&lt;/number&gt;&lt;dates&gt;&lt;year&gt;2020&lt;/year&gt;&lt;/dates&gt;&lt;pub-location&gt;The Netherlands&lt;/pub-location&gt;&lt;publisher&gt;EuroQuol Research Foundation&lt;/publisher&gt;&lt;label&gt;Y96193&lt;/label&gt;&lt;urls&gt;&lt;related-urls&gt;&lt;url&gt;https://euroqol.org/publications/user-guides/&lt;/url&gt;&lt;/related-urls&gt;&lt;/urls&gt;&lt;/record&gt;&lt;/Cite&gt;&lt;/EndNote&gt;</w:instrText>
      </w:r>
      <w:r w:rsidRPr="005F058A">
        <w:rPr>
          <w:rFonts w:eastAsia="Calibri" w:cs="Times New Roman"/>
          <w:bCs/>
          <w:iCs/>
          <w:sz w:val="24"/>
        </w:rPr>
        <w:fldChar w:fldCharType="separate"/>
      </w:r>
      <w:r w:rsidRPr="005F058A">
        <w:rPr>
          <w:rFonts w:eastAsia="Calibri" w:cs="Times New Roman"/>
          <w:bCs/>
          <w:iCs/>
          <w:noProof/>
          <w:sz w:val="24"/>
          <w:vertAlign w:val="superscript"/>
        </w:rPr>
        <w:t>1</w:t>
      </w:r>
      <w:r w:rsidRPr="005F058A">
        <w:rPr>
          <w:rFonts w:eastAsia="Calibri" w:cs="Times New Roman"/>
          <w:bCs/>
          <w:iCs/>
          <w:sz w:val="24"/>
        </w:rPr>
        <w:fldChar w:fldCharType="end"/>
      </w:r>
      <w:r w:rsidRPr="005F058A">
        <w:rPr>
          <w:rFonts w:eastAsia="Calibri" w:cs="Times New Roman"/>
          <w:bCs/>
          <w:iCs/>
          <w:sz w:val="24"/>
        </w:rPr>
        <w:t xml:space="preserve"> </w:t>
      </w:r>
      <w:r w:rsidR="00D44E1D">
        <w:rPr>
          <w:rFonts w:eastAsia="Calibri" w:cs="Times New Roman"/>
          <w:bCs/>
          <w:iCs/>
          <w:sz w:val="24"/>
        </w:rPr>
        <w:t>A c</w:t>
      </w:r>
      <w:r w:rsidRPr="005F058A">
        <w:rPr>
          <w:rFonts w:eastAsia="Calibri" w:cs="Times New Roman"/>
          <w:bCs/>
          <w:iCs/>
          <w:sz w:val="24"/>
        </w:rPr>
        <w:t>hange in utility score of ≥0.06 points (US index value) or ≥0.08 (UK index value) was considered clinically meaningful.</w:t>
      </w:r>
      <w:r w:rsidRPr="005F058A">
        <w:rPr>
          <w:rFonts w:eastAsia="Calibri" w:cs="Times New Roman"/>
          <w:bCs/>
          <w:iCs/>
          <w:sz w:val="24"/>
        </w:rPr>
        <w:fldChar w:fldCharType="begin">
          <w:fldData xml:space="preserve">PEVuZE5vdGU+PENpdGU+PEF1dGhvcj5QaWNrYXJkPC9BdXRob3I+PFllYXI+MjAwNzwvWWVhcj48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==
</w:fldData>
        </w:fldChar>
      </w:r>
      <w:r w:rsidRPr="005F058A">
        <w:rPr>
          <w:rFonts w:eastAsia="Calibri" w:cs="Times New Roman"/>
          <w:bCs/>
          <w:iCs/>
          <w:sz w:val="24"/>
        </w:rPr>
        <w:instrText xml:space="preserve"> ADDIN EN.CITE </w:instrText>
      </w:r>
      <w:r w:rsidRPr="005F058A">
        <w:rPr>
          <w:rFonts w:eastAsia="Calibri" w:cs="Times New Roman"/>
          <w:bCs/>
          <w:iCs/>
          <w:sz w:val="24"/>
        </w:rPr>
        <w:fldChar w:fldCharType="begin">
          <w:fldData xml:space="preserve">PEVuZE5vdGU+PENpdGU+PEF1dGhvcj5QaWNrYXJkPC9BdXRob3I+PFllYXI+MjAwNzwvWWVhcj48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==
</w:fldData>
        </w:fldChar>
      </w:r>
      <w:r w:rsidRPr="005F058A">
        <w:rPr>
          <w:rFonts w:eastAsia="Calibri" w:cs="Times New Roman"/>
          <w:bCs/>
          <w:iCs/>
          <w:sz w:val="24"/>
        </w:rPr>
        <w:instrText xml:space="preserve"> ADDIN EN.CITE.DATA </w:instrText>
      </w:r>
      <w:r w:rsidRPr="005F058A">
        <w:rPr>
          <w:rFonts w:eastAsia="Calibri" w:cs="Times New Roman"/>
          <w:bCs/>
          <w:iCs/>
          <w:sz w:val="24"/>
        </w:rPr>
      </w:r>
      <w:r w:rsidRPr="005F058A">
        <w:rPr>
          <w:rFonts w:eastAsia="Calibri" w:cs="Times New Roman"/>
          <w:bCs/>
          <w:iCs/>
          <w:sz w:val="24"/>
        </w:rPr>
        <w:fldChar w:fldCharType="end"/>
      </w:r>
      <w:r w:rsidRPr="005F058A">
        <w:rPr>
          <w:rFonts w:eastAsia="Calibri" w:cs="Times New Roman"/>
          <w:bCs/>
          <w:iCs/>
          <w:sz w:val="24"/>
        </w:rPr>
      </w:r>
      <w:r w:rsidRPr="005F058A">
        <w:rPr>
          <w:rFonts w:eastAsia="Calibri" w:cs="Times New Roman"/>
          <w:bCs/>
          <w:iCs/>
          <w:sz w:val="24"/>
        </w:rPr>
        <w:fldChar w:fldCharType="separate"/>
      </w:r>
      <w:r w:rsidRPr="005F058A">
        <w:rPr>
          <w:rFonts w:eastAsia="Calibri" w:cs="Times New Roman"/>
          <w:bCs/>
          <w:iCs/>
          <w:noProof/>
          <w:sz w:val="24"/>
          <w:vertAlign w:val="superscript"/>
        </w:rPr>
        <w:t>2</w:t>
      </w:r>
      <w:r w:rsidRPr="005F058A">
        <w:rPr>
          <w:rFonts w:eastAsia="Calibri" w:cs="Times New Roman"/>
          <w:bCs/>
          <w:iCs/>
          <w:sz w:val="24"/>
        </w:rPr>
        <w:fldChar w:fldCharType="end"/>
      </w:r>
      <w:r w:rsidRPr="005F058A">
        <w:rPr>
          <w:rFonts w:eastAsia="Calibri" w:cs="Times New Roman"/>
          <w:bCs/>
          <w:iCs/>
          <w:sz w:val="24"/>
        </w:rPr>
        <w:t xml:space="preserve"> Also included was a visual analog scale (VAS) of self-rated health (0-100), with score increases corresponding to improvements in HRQoL. </w:t>
      </w:r>
      <w:r w:rsidR="00713485">
        <w:rPr>
          <w:rFonts w:eastAsia="Calibri" w:cs="Times New Roman"/>
          <w:bCs/>
          <w:iCs/>
          <w:sz w:val="24"/>
        </w:rPr>
        <w:t>A c</w:t>
      </w:r>
      <w:r w:rsidRPr="005F058A">
        <w:rPr>
          <w:rFonts w:eastAsia="Calibri" w:cs="Times New Roman"/>
          <w:bCs/>
          <w:iCs/>
          <w:sz w:val="24"/>
        </w:rPr>
        <w:t>hange in VAS of 7 points was considered clinically meaningful.</w:t>
      </w:r>
      <w:r w:rsidRPr="005F058A">
        <w:rPr>
          <w:rFonts w:eastAsia="Calibri" w:cs="Times New Roman"/>
          <w:bCs/>
          <w:iCs/>
          <w:sz w:val="24"/>
        </w:rPr>
        <w:fldChar w:fldCharType="begin">
          <w:fldData xml:space="preserve">PEVuZE5vdGU+PENpdGU+PEF1dGhvcj5QaWNrYXJkPC9BdXRob3I+PFllYXI+MjAwNzwvWWVhcj48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==
</w:fldData>
        </w:fldChar>
      </w:r>
      <w:r w:rsidRPr="005F058A">
        <w:rPr>
          <w:rFonts w:eastAsia="Calibri" w:cs="Times New Roman"/>
          <w:bCs/>
          <w:iCs/>
          <w:sz w:val="24"/>
        </w:rPr>
        <w:instrText xml:space="preserve"> ADDIN EN.CITE </w:instrText>
      </w:r>
      <w:r w:rsidRPr="005F058A">
        <w:rPr>
          <w:rFonts w:eastAsia="Calibri" w:cs="Times New Roman"/>
          <w:bCs/>
          <w:iCs/>
          <w:sz w:val="24"/>
        </w:rPr>
        <w:fldChar w:fldCharType="begin">
          <w:fldData xml:space="preserve">PEVuZE5vdGU+PENpdGU+PEF1dGhvcj5QaWNrYXJkPC9BdXRob3I+PFllYXI+MjAwNzwvWWVhcj48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==
</w:fldData>
        </w:fldChar>
      </w:r>
      <w:r w:rsidRPr="005F058A">
        <w:rPr>
          <w:rFonts w:eastAsia="Calibri" w:cs="Times New Roman"/>
          <w:bCs/>
          <w:iCs/>
          <w:sz w:val="24"/>
        </w:rPr>
        <w:instrText xml:space="preserve"> ADDIN EN.CITE.DATA </w:instrText>
      </w:r>
      <w:r w:rsidRPr="005F058A">
        <w:rPr>
          <w:rFonts w:eastAsia="Calibri" w:cs="Times New Roman"/>
          <w:bCs/>
          <w:iCs/>
          <w:sz w:val="24"/>
        </w:rPr>
      </w:r>
      <w:r w:rsidRPr="005F058A">
        <w:rPr>
          <w:rFonts w:eastAsia="Calibri" w:cs="Times New Roman"/>
          <w:bCs/>
          <w:iCs/>
          <w:sz w:val="24"/>
        </w:rPr>
        <w:fldChar w:fldCharType="end"/>
      </w:r>
      <w:r w:rsidRPr="005F058A">
        <w:rPr>
          <w:rFonts w:eastAsia="Calibri" w:cs="Times New Roman"/>
          <w:bCs/>
          <w:iCs/>
          <w:sz w:val="24"/>
        </w:rPr>
      </w:r>
      <w:r w:rsidRPr="005F058A">
        <w:rPr>
          <w:rFonts w:eastAsia="Calibri" w:cs="Times New Roman"/>
          <w:bCs/>
          <w:iCs/>
          <w:sz w:val="24"/>
        </w:rPr>
        <w:fldChar w:fldCharType="separate"/>
      </w:r>
      <w:r w:rsidRPr="005F058A">
        <w:rPr>
          <w:rFonts w:eastAsia="Calibri" w:cs="Times New Roman"/>
          <w:bCs/>
          <w:iCs/>
          <w:noProof/>
          <w:sz w:val="24"/>
          <w:vertAlign w:val="superscript"/>
        </w:rPr>
        <w:t>2</w:t>
      </w:r>
      <w:r w:rsidRPr="005F058A">
        <w:rPr>
          <w:rFonts w:eastAsia="Calibri" w:cs="Times New Roman"/>
          <w:bCs/>
          <w:iCs/>
          <w:sz w:val="24"/>
        </w:rPr>
        <w:fldChar w:fldCharType="end"/>
      </w:r>
      <w:r w:rsidRPr="005F058A">
        <w:rPr>
          <w:rFonts w:eastAsia="Calibri" w:cs="Times New Roman"/>
          <w:bCs/>
          <w:iCs/>
          <w:sz w:val="24"/>
        </w:rPr>
        <w:t xml:space="preserve"> </w:t>
      </w:r>
      <w:r w:rsidRPr="005F058A">
        <w:rPr>
          <w:rFonts w:eastAsia="Calibri" w:cs="Times New Roman"/>
          <w:bCs/>
          <w:iCs/>
          <w:sz w:val="24"/>
        </w:rPr>
        <w:lastRenderedPageBreak/>
        <w:t>The EQ-5D, which took approximately 5 minutes to finish, queried patients’ experiences on the day they were completing it.</w:t>
      </w:r>
    </w:p>
    <w:p w14:paraId="24D8EA31" w14:textId="7C556558" w:rsidR="006469A3" w:rsidRPr="005F058A" w:rsidRDefault="006469A3" w:rsidP="006469A3">
      <w:pPr>
        <w:spacing w:before="240" w:line="480" w:lineRule="auto"/>
        <w:rPr>
          <w:rFonts w:eastAsia="Calibri" w:cs="Times New Roman"/>
          <w:bCs/>
          <w:iCs/>
          <w:sz w:val="24"/>
        </w:rPr>
      </w:pPr>
      <w:r w:rsidRPr="005F058A">
        <w:rPr>
          <w:rFonts w:eastAsia="Calibri" w:cs="Times New Roman"/>
          <w:bCs/>
          <w:iCs/>
          <w:sz w:val="24"/>
        </w:rPr>
        <w:t xml:space="preserve">The </w:t>
      </w:r>
      <w:r w:rsidR="008A605D" w:rsidRPr="008A605D">
        <w:rPr>
          <w:rFonts w:eastAsia="Calibri" w:cs="Times New Roman"/>
          <w:bCs/>
          <w:iCs/>
          <w:sz w:val="24"/>
        </w:rPr>
        <w:t xml:space="preserve">QoL Questionnaire Core 30 </w:t>
      </w:r>
      <w:r w:rsidR="008A605D">
        <w:rPr>
          <w:rFonts w:eastAsia="Calibri" w:cs="Times New Roman"/>
          <w:bCs/>
          <w:iCs/>
          <w:sz w:val="24"/>
        </w:rPr>
        <w:t>(</w:t>
      </w:r>
      <w:r w:rsidRPr="005F058A">
        <w:rPr>
          <w:rFonts w:eastAsia="Calibri" w:cs="Times New Roman"/>
          <w:bCs/>
          <w:iCs/>
          <w:sz w:val="24"/>
        </w:rPr>
        <w:t>QLQ-C30</w:t>
      </w:r>
      <w:r w:rsidR="008A605D">
        <w:rPr>
          <w:rFonts w:eastAsia="Calibri" w:cs="Times New Roman"/>
          <w:bCs/>
          <w:iCs/>
          <w:sz w:val="24"/>
        </w:rPr>
        <w:t>)</w:t>
      </w:r>
      <w:r w:rsidRPr="005F058A">
        <w:rPr>
          <w:rFonts w:eastAsia="Calibri" w:cs="Times New Roman"/>
          <w:bCs/>
          <w:iCs/>
          <w:sz w:val="24"/>
        </w:rPr>
        <w:fldChar w:fldCharType="begin"/>
      </w:r>
      <w:r w:rsidRPr="005F058A">
        <w:rPr>
          <w:rFonts w:eastAsia="Calibri" w:cs="Times New Roman"/>
          <w:bCs/>
          <w:iCs/>
          <w:sz w:val="24"/>
        </w:rPr>
        <w:instrText xml:space="preserve"> ADDIN EN.CITE &lt;EndNote&gt;&lt;Cite ExcludeYear="1"&gt;&lt;Author&gt;EORTC Quality of Life Group&lt;/Author&gt;&lt;Year&gt;1995&lt;/Year&gt;&lt;RecNum&gt;86790&lt;/RecNum&gt;&lt;IDText&gt;Y55584&lt;/IDText&gt;&lt;DisplayText&gt;&lt;style face="superscript"&gt;33&lt;/style&gt;&lt;/DisplayText&gt;&lt;record&gt;&lt;rec-number&gt;86790&lt;/rec-number&gt;&lt;foreign-keys&gt;&lt;key app="EN" db-id="p5zaz2arofp9r9exd0mpr0ebefarp5rewdve" timestamp="1614623472" guid="fa9417e5-8593-4737-8921-2ff3c9839631"&gt;86790&lt;/key&gt;&lt;/foreign-keys&gt;&lt;ref-type name="Pamphlet"&gt;24&lt;/ref-type&gt;&lt;contributors&gt;&lt;authors&gt;&lt;author&gt;EORTC Quality of Life Group,&lt;/author&gt;&lt;/authors&gt;&lt;/contributors&gt;&lt;titles&gt;&lt;title&gt;EORTC QLQ-C30 (version 3)&lt;/title&gt;&lt;/titles&gt;&lt;reprint-edition&gt;In File&lt;/reprint-edition&gt;&lt;keywords&gt;&lt;keyword&gt;3&lt;/keyword&gt;&lt;/keywords&gt;&lt;dates&gt;&lt;year&gt;1995&lt;/year&gt;&lt;pub-dates&gt;&lt;date&gt;1995&lt;/date&gt;&lt;/pub-dates&gt;&lt;/dates&gt;&lt;label&gt;Y55584&lt;/label&gt;&lt;urls&gt;&lt;/urls&gt;&lt;access-date&gt;8/14/2012&lt;/access-date&gt;&lt;/record&gt;&lt;/Cite&gt;&lt;/EndNote&gt;</w:instrText>
      </w:r>
      <w:r w:rsidRPr="005F058A">
        <w:rPr>
          <w:rFonts w:eastAsia="Calibri" w:cs="Times New Roman"/>
          <w:bCs/>
          <w:iCs/>
          <w:sz w:val="24"/>
        </w:rPr>
        <w:fldChar w:fldCharType="separate"/>
      </w:r>
      <w:r w:rsidRPr="005F058A">
        <w:rPr>
          <w:rFonts w:eastAsia="Calibri" w:cs="Times New Roman"/>
          <w:bCs/>
          <w:iCs/>
          <w:noProof/>
          <w:sz w:val="24"/>
          <w:vertAlign w:val="superscript"/>
        </w:rPr>
        <w:t>3</w:t>
      </w:r>
      <w:r w:rsidRPr="005F058A">
        <w:rPr>
          <w:rFonts w:eastAsia="Calibri" w:cs="Times New Roman"/>
          <w:bCs/>
          <w:iCs/>
          <w:sz w:val="24"/>
        </w:rPr>
        <w:fldChar w:fldCharType="end"/>
      </w:r>
      <w:r w:rsidRPr="005F058A">
        <w:rPr>
          <w:rFonts w:eastAsia="Calibri" w:cs="Times New Roman"/>
          <w:bCs/>
          <w:iCs/>
          <w:sz w:val="24"/>
        </w:rPr>
        <w:t xml:space="preserve"> was used to capture </w:t>
      </w:r>
      <w:r w:rsidR="008A605D">
        <w:rPr>
          <w:rFonts w:eastAsia="Calibri" w:cs="Times New Roman"/>
          <w:bCs/>
          <w:iCs/>
          <w:sz w:val="24"/>
        </w:rPr>
        <w:t>quality-of-life (</w:t>
      </w:r>
      <w:r w:rsidRPr="005F058A">
        <w:rPr>
          <w:rFonts w:eastAsia="Calibri" w:cs="Times New Roman"/>
          <w:bCs/>
          <w:iCs/>
          <w:sz w:val="24"/>
        </w:rPr>
        <w:t>QoL</w:t>
      </w:r>
      <w:r w:rsidR="008A605D">
        <w:rPr>
          <w:rFonts w:eastAsia="Calibri" w:cs="Times New Roman"/>
          <w:bCs/>
          <w:iCs/>
          <w:sz w:val="24"/>
        </w:rPr>
        <w:t>)</w:t>
      </w:r>
      <w:r w:rsidRPr="005F058A">
        <w:rPr>
          <w:rFonts w:eastAsia="Calibri" w:cs="Times New Roman"/>
          <w:bCs/>
          <w:iCs/>
          <w:sz w:val="24"/>
        </w:rPr>
        <w:t xml:space="preserve"> metrics specific to cancer and its treatment. This assessment took about 10 minutes to complete and asked patients to report outcomes based on the past week’s experiences. The QLQ-C30 is split into 5 functioning domains (physical, role, cognitive, emotional, and social), 3 symptom domains (fatigue, nausea, pain), 6 single items (constipation, diarrhea, insomnia, dyspnea, appetite loss, and financial difficulties), and 2 global measures (QoL and overall health). Functioning and symptom domains, as well as the single HRQoL items, were assessed on a 4-point scoring system (“not at all</w:t>
      </w:r>
      <w:r w:rsidR="000725B4">
        <w:rPr>
          <w:rFonts w:eastAsia="Calibri" w:cs="Times New Roman"/>
          <w:bCs/>
          <w:iCs/>
          <w:sz w:val="24"/>
        </w:rPr>
        <w:t>”</w:t>
      </w:r>
      <w:r w:rsidRPr="005F058A">
        <w:rPr>
          <w:rFonts w:eastAsia="Calibri" w:cs="Times New Roman"/>
          <w:bCs/>
          <w:iCs/>
          <w:sz w:val="24"/>
        </w:rPr>
        <w:t xml:space="preserve"> to “very much”), with increases in functioning scores corresponding with </w:t>
      </w:r>
      <w:r w:rsidR="00590D8A">
        <w:rPr>
          <w:rFonts w:eastAsia="Calibri" w:cs="Times New Roman"/>
          <w:bCs/>
          <w:iCs/>
          <w:sz w:val="24"/>
        </w:rPr>
        <w:t xml:space="preserve">an </w:t>
      </w:r>
      <w:r w:rsidRPr="005F058A">
        <w:rPr>
          <w:rFonts w:eastAsia="Calibri" w:cs="Times New Roman"/>
          <w:bCs/>
          <w:iCs/>
          <w:sz w:val="24"/>
        </w:rPr>
        <w:t xml:space="preserve">improvement in HRQoL and increases in symptom or single-item scores corresponding with </w:t>
      </w:r>
      <w:r w:rsidR="00590D8A">
        <w:rPr>
          <w:rFonts w:eastAsia="Calibri" w:cs="Times New Roman"/>
          <w:bCs/>
          <w:iCs/>
          <w:sz w:val="24"/>
        </w:rPr>
        <w:t xml:space="preserve">a </w:t>
      </w:r>
      <w:r w:rsidRPr="005F058A">
        <w:rPr>
          <w:rFonts w:eastAsia="Calibri" w:cs="Times New Roman"/>
          <w:bCs/>
          <w:iCs/>
          <w:sz w:val="24"/>
        </w:rPr>
        <w:t xml:space="preserve">decline in HRQoL. The 2 global measures were rated on 7-point scales (“very poor” to “excellent”), with score increases corresponding to </w:t>
      </w:r>
      <w:r w:rsidR="000725B4">
        <w:rPr>
          <w:rFonts w:eastAsia="Calibri" w:cs="Times New Roman"/>
          <w:bCs/>
          <w:iCs/>
          <w:sz w:val="24"/>
        </w:rPr>
        <w:t xml:space="preserve">an </w:t>
      </w:r>
      <w:r w:rsidRPr="005F058A">
        <w:rPr>
          <w:rFonts w:eastAsia="Calibri" w:cs="Times New Roman"/>
          <w:bCs/>
          <w:iCs/>
          <w:sz w:val="24"/>
        </w:rPr>
        <w:t xml:space="preserve">improvement in HRQoL. Average scores were converted linearly to scales from 0 to 100 to assess population changes from baseline. </w:t>
      </w:r>
    </w:p>
    <w:p w14:paraId="20476E8D" w14:textId="2091A102" w:rsidR="00166BCC" w:rsidRDefault="00166BCC" w:rsidP="006469A3">
      <w:pPr>
        <w:spacing w:after="160" w:line="259" w:lineRule="auto"/>
        <w:rPr>
          <w:b/>
          <w:sz w:val="24"/>
          <w:lang w:val="fr-FR"/>
        </w:rPr>
      </w:pPr>
    </w:p>
    <w:p w14:paraId="0DDA9F26" w14:textId="2E43855B" w:rsidR="00533EBB" w:rsidRDefault="00533EBB" w:rsidP="006469A3">
      <w:pPr>
        <w:spacing w:after="160" w:line="259" w:lineRule="auto"/>
        <w:rPr>
          <w:b/>
          <w:sz w:val="24"/>
          <w:lang w:val="fr-FR"/>
        </w:rPr>
      </w:pPr>
      <w:proofErr w:type="spellStart"/>
      <w:r>
        <w:rPr>
          <w:b/>
          <w:sz w:val="24"/>
          <w:lang w:val="fr-FR"/>
        </w:rPr>
        <w:t>R</w:t>
      </w:r>
      <w:r w:rsidR="00002023">
        <w:rPr>
          <w:b/>
          <w:sz w:val="24"/>
          <w:lang w:val="fr-FR"/>
        </w:rPr>
        <w:t>e</w:t>
      </w:r>
      <w:r>
        <w:rPr>
          <w:b/>
          <w:sz w:val="24"/>
          <w:lang w:val="fr-FR"/>
        </w:rPr>
        <w:t>f</w:t>
      </w:r>
      <w:r w:rsidR="00002023">
        <w:rPr>
          <w:b/>
          <w:sz w:val="24"/>
          <w:lang w:val="fr-FR"/>
        </w:rPr>
        <w:t>e</w:t>
      </w:r>
      <w:r>
        <w:rPr>
          <w:b/>
          <w:sz w:val="24"/>
          <w:lang w:val="fr-FR"/>
        </w:rPr>
        <w:t>rences</w:t>
      </w:r>
      <w:proofErr w:type="spellEnd"/>
    </w:p>
    <w:p w14:paraId="068F86DC" w14:textId="2D95D285" w:rsidR="00533EBB" w:rsidRDefault="00533EBB" w:rsidP="00533EBB">
      <w:pPr>
        <w:pStyle w:val="EndNoteBibliography"/>
        <w:spacing w:after="240" w:line="480" w:lineRule="auto"/>
        <w:ind w:left="432" w:hanging="432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 xml:space="preserve">1.    </w:t>
      </w:r>
      <w:r w:rsidR="003B185C" w:rsidRPr="00840DEF">
        <w:rPr>
          <w:rFonts w:ascii="Times New Roman" w:hAnsi="Times New Roman" w:cs="Times New Roman"/>
          <w:noProof/>
        </w:rPr>
        <w:t>EuroQol Research Foundation</w:t>
      </w:r>
      <w:r w:rsidR="003B185C">
        <w:rPr>
          <w:rFonts w:ascii="Times New Roman" w:hAnsi="Times New Roman" w:cs="Times New Roman"/>
          <w:noProof/>
        </w:rPr>
        <w:t>.</w:t>
      </w:r>
      <w:r w:rsidR="003B185C" w:rsidRPr="00840DEF">
        <w:rPr>
          <w:rFonts w:ascii="Times New Roman" w:hAnsi="Times New Roman" w:cs="Times New Roman"/>
          <w:noProof/>
        </w:rPr>
        <w:t xml:space="preserve"> </w:t>
      </w:r>
      <w:r w:rsidRPr="00840DEF">
        <w:rPr>
          <w:rFonts w:ascii="Times New Roman" w:hAnsi="Times New Roman" w:cs="Times New Roman"/>
          <w:noProof/>
        </w:rPr>
        <w:t xml:space="preserve">EQ-5D </w:t>
      </w:r>
      <w:r>
        <w:rPr>
          <w:rFonts w:ascii="Times New Roman" w:hAnsi="Times New Roman" w:cs="Times New Roman"/>
          <w:noProof/>
        </w:rPr>
        <w:t>U</w:t>
      </w:r>
      <w:r w:rsidRPr="00840DEF">
        <w:rPr>
          <w:rFonts w:ascii="Times New Roman" w:hAnsi="Times New Roman" w:cs="Times New Roman"/>
          <w:noProof/>
        </w:rPr>
        <w:t xml:space="preserve">ser </w:t>
      </w:r>
      <w:r>
        <w:rPr>
          <w:rFonts w:ascii="Times New Roman" w:hAnsi="Times New Roman" w:cs="Times New Roman"/>
          <w:noProof/>
        </w:rPr>
        <w:t>G</w:t>
      </w:r>
      <w:r w:rsidRPr="00840DEF">
        <w:rPr>
          <w:rFonts w:ascii="Times New Roman" w:hAnsi="Times New Roman" w:cs="Times New Roman"/>
          <w:noProof/>
        </w:rPr>
        <w:t>uide</w:t>
      </w:r>
      <w:r>
        <w:rPr>
          <w:rFonts w:ascii="Times New Roman" w:hAnsi="Times New Roman" w:cs="Times New Roman"/>
          <w:noProof/>
        </w:rPr>
        <w:t>s</w:t>
      </w:r>
      <w:r w:rsidRPr="00840DEF">
        <w:rPr>
          <w:rFonts w:ascii="Times New Roman" w:hAnsi="Times New Roman" w:cs="Times New Roman"/>
          <w:noProof/>
        </w:rPr>
        <w:t xml:space="preserve">. </w:t>
      </w:r>
      <w:hyperlink r:id="rId4" w:history="1">
        <w:r w:rsidR="00900EFD" w:rsidRPr="00790C1A">
          <w:rPr>
            <w:rStyle w:val="Hyperlink"/>
            <w:rFonts w:ascii="Times New Roman" w:hAnsi="Times New Roman" w:cs="Times New Roman"/>
            <w:noProof/>
          </w:rPr>
          <w:t>https://euroqol.org/publications/user-guides/</w:t>
        </w:r>
      </w:hyperlink>
      <w:r>
        <w:rPr>
          <w:rFonts w:ascii="Times New Roman" w:hAnsi="Times New Roman" w:cs="Times New Roman"/>
          <w:noProof/>
        </w:rPr>
        <w:t xml:space="preserve">. </w:t>
      </w:r>
      <w:r w:rsidR="00243704">
        <w:rPr>
          <w:rFonts w:ascii="Times New Roman" w:hAnsi="Times New Roman" w:cs="Times New Roman"/>
          <w:noProof/>
        </w:rPr>
        <w:t>Accessed July 21, 2021.</w:t>
      </w:r>
    </w:p>
    <w:p w14:paraId="4B354817" w14:textId="5A83D47D" w:rsidR="00533EBB" w:rsidRPr="005F6008" w:rsidRDefault="00533EBB" w:rsidP="00533EBB">
      <w:pPr>
        <w:pStyle w:val="EndNoteBibliography"/>
        <w:spacing w:after="240" w:line="480" w:lineRule="auto"/>
        <w:ind w:left="432" w:hanging="432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 xml:space="preserve">2.    </w:t>
      </w:r>
      <w:r w:rsidRPr="005F6008">
        <w:rPr>
          <w:rFonts w:ascii="Times New Roman" w:hAnsi="Times New Roman" w:cs="Times New Roman"/>
          <w:noProof/>
        </w:rPr>
        <w:t xml:space="preserve">Pickard AS, Neary MP, Cella D. Estimation of minimally important differences in EQ-5D utility and VAS scores in cancer. </w:t>
      </w:r>
      <w:r w:rsidRPr="005F6008">
        <w:rPr>
          <w:rFonts w:ascii="Times New Roman" w:hAnsi="Times New Roman" w:cs="Times New Roman"/>
          <w:i/>
          <w:noProof/>
        </w:rPr>
        <w:t>Health Qual Life Outcomes</w:t>
      </w:r>
      <w:r w:rsidRPr="005F6008">
        <w:rPr>
          <w:rFonts w:ascii="Times New Roman" w:hAnsi="Times New Roman" w:cs="Times New Roman"/>
          <w:noProof/>
        </w:rPr>
        <w:t>. 2007;5:70.</w:t>
      </w:r>
    </w:p>
    <w:p w14:paraId="4DF336F0" w14:textId="731DDA46" w:rsidR="00533EBB" w:rsidRPr="006469A3" w:rsidRDefault="00533EBB" w:rsidP="00BD317F">
      <w:pPr>
        <w:pStyle w:val="EndNoteBibliography"/>
        <w:spacing w:after="240" w:line="480" w:lineRule="auto"/>
        <w:ind w:left="432" w:hanging="432"/>
        <w:rPr>
          <w:lang w:val="fr-FR"/>
        </w:rPr>
      </w:pPr>
      <w:r>
        <w:rPr>
          <w:rFonts w:ascii="Times New Roman" w:hAnsi="Times New Roman" w:cs="Times New Roman"/>
          <w:noProof/>
        </w:rPr>
        <w:t>3</w:t>
      </w:r>
      <w:r w:rsidRPr="005F6008">
        <w:rPr>
          <w:rFonts w:ascii="Times New Roman" w:hAnsi="Times New Roman" w:cs="Times New Roman"/>
          <w:noProof/>
        </w:rPr>
        <w:t>.</w:t>
      </w:r>
      <w:r w:rsidRPr="005F6008">
        <w:rPr>
          <w:rFonts w:ascii="Times New Roman" w:hAnsi="Times New Roman" w:cs="Times New Roman"/>
          <w:noProof/>
        </w:rPr>
        <w:tab/>
      </w:r>
      <w:r w:rsidRPr="00840DEF">
        <w:rPr>
          <w:rFonts w:ascii="Times New Roman" w:hAnsi="Times New Roman" w:cs="Times New Roman"/>
          <w:noProof/>
        </w:rPr>
        <w:t xml:space="preserve">EORTC Quality of Life Group. EORTC QLQ-C30 (version 3). </w:t>
      </w:r>
      <w:hyperlink r:id="rId5" w:history="1">
        <w:r w:rsidR="00900EFD" w:rsidRPr="00790C1A">
          <w:rPr>
            <w:rStyle w:val="Hyperlink"/>
            <w:rFonts w:ascii="Times New Roman" w:hAnsi="Times New Roman" w:cs="Times New Roman"/>
            <w:noProof/>
          </w:rPr>
          <w:t>https://www.eortc.org/app/uploads/sites/2/2018/08/Specimen-QLQ-C30-English.pdf</w:t>
        </w:r>
      </w:hyperlink>
      <w:r w:rsidRPr="005F6008">
        <w:rPr>
          <w:rFonts w:ascii="Times New Roman" w:hAnsi="Times New Roman" w:cs="Times New Roman"/>
          <w:noProof/>
        </w:rPr>
        <w:t>.</w:t>
      </w:r>
      <w:r w:rsidR="00900EFD">
        <w:rPr>
          <w:rFonts w:ascii="Times New Roman" w:hAnsi="Times New Roman" w:cs="Times New Roman"/>
          <w:noProof/>
        </w:rPr>
        <w:t xml:space="preserve"> Accessed July 12, 2021.</w:t>
      </w:r>
    </w:p>
    <w:sectPr w:rsidR="00533EBB" w:rsidRPr="006469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9A3"/>
    <w:rsid w:val="00002023"/>
    <w:rsid w:val="0001697A"/>
    <w:rsid w:val="000725B4"/>
    <w:rsid w:val="000F36BB"/>
    <w:rsid w:val="00166BCC"/>
    <w:rsid w:val="001D1B27"/>
    <w:rsid w:val="00222862"/>
    <w:rsid w:val="00243704"/>
    <w:rsid w:val="00246C0E"/>
    <w:rsid w:val="002901CC"/>
    <w:rsid w:val="003513B1"/>
    <w:rsid w:val="00365019"/>
    <w:rsid w:val="003B185C"/>
    <w:rsid w:val="00533EBB"/>
    <w:rsid w:val="00590D8A"/>
    <w:rsid w:val="005C06AC"/>
    <w:rsid w:val="006469A3"/>
    <w:rsid w:val="006B6599"/>
    <w:rsid w:val="00713485"/>
    <w:rsid w:val="008A605D"/>
    <w:rsid w:val="00900EFD"/>
    <w:rsid w:val="009A6A54"/>
    <w:rsid w:val="009C2344"/>
    <w:rsid w:val="00B45F78"/>
    <w:rsid w:val="00BC39ED"/>
    <w:rsid w:val="00BD317F"/>
    <w:rsid w:val="00C009BE"/>
    <w:rsid w:val="00CC0C97"/>
    <w:rsid w:val="00D43C94"/>
    <w:rsid w:val="00D44E1D"/>
    <w:rsid w:val="00D75A38"/>
    <w:rsid w:val="00E81060"/>
    <w:rsid w:val="00F12EDC"/>
    <w:rsid w:val="00F51E27"/>
    <w:rsid w:val="00F654EA"/>
    <w:rsid w:val="00FF7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13253"/>
  <w15:chartTrackingRefBased/>
  <w15:docId w15:val="{EA857C94-FB60-4F13-9695-BEA71A07D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69A3"/>
    <w:pPr>
      <w:spacing w:after="0" w:line="240" w:lineRule="auto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">
    <w:name w:val="EndNote Bibliography"/>
    <w:basedOn w:val="Normal"/>
    <w:link w:val="EndNoteBibliographyChar"/>
    <w:rsid w:val="00533EBB"/>
    <w:rPr>
      <w:rFonts w:ascii="Calibri" w:hAnsi="Calibri" w:cs="Calibri"/>
      <w:sz w:val="24"/>
    </w:rPr>
  </w:style>
  <w:style w:type="character" w:customStyle="1" w:styleId="EndNoteBibliographyChar">
    <w:name w:val="EndNote Bibliography Char"/>
    <w:basedOn w:val="DefaultParagraphFont"/>
    <w:link w:val="EndNoteBibliography"/>
    <w:rsid w:val="00533EBB"/>
    <w:rPr>
      <w:rFonts w:ascii="Calibri" w:hAnsi="Calibri" w:cs="Calibri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A6A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6A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A6A54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6A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6A54"/>
    <w:rPr>
      <w:rFonts w:ascii="Times New Roman" w:hAnsi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00EF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00EF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00EF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eortc.org/app/uploads/sites/2/2018/08/Specimen-QLQ-C30-English.pdf" TargetMode="External"/><Relationship Id="rId4" Type="http://schemas.openxmlformats.org/officeDocument/2006/relationships/hyperlink" Target="https://euroqol.org/publications/user-guid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943</Words>
  <Characters>5377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 Lambert</dc:creator>
  <cp:keywords/>
  <dc:description/>
  <cp:lastModifiedBy>Matt Grzywacz</cp:lastModifiedBy>
  <cp:revision>3</cp:revision>
  <dcterms:created xsi:type="dcterms:W3CDTF">2021-09-24T14:05:00Z</dcterms:created>
  <dcterms:modified xsi:type="dcterms:W3CDTF">2021-09-24T14:06:00Z</dcterms:modified>
</cp:coreProperties>
</file>