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33E8E2" w14:textId="77777777" w:rsidR="00BD4029" w:rsidRPr="003D1E6E" w:rsidRDefault="00BD4029" w:rsidP="00BD4029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white"/>
        </w:rPr>
      </w:pPr>
      <w:r w:rsidRPr="003D1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white"/>
        </w:rPr>
        <w:t>Supplementary materials</w:t>
      </w:r>
    </w:p>
    <w:p w14:paraId="4B7A0E7A" w14:textId="77777777" w:rsidR="00BD4029" w:rsidRDefault="00BD4029" w:rsidP="00BD4029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highlight w:val="white"/>
        </w:rPr>
        <w:drawing>
          <wp:inline distT="0" distB="0" distL="0" distR="0" wp14:anchorId="63AACCFD" wp14:editId="4DB1626B">
            <wp:extent cx="5400000" cy="2703651"/>
            <wp:effectExtent l="0" t="0" r="0" b="1905"/>
            <wp:docPr id="66514829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00" cy="2703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8A3936" w14:textId="77777777" w:rsidR="00BD4029" w:rsidRDefault="00BD4029" w:rsidP="00BD4029">
      <w:pP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Figure S1: </w:t>
      </w:r>
      <w:r w:rsidRPr="004E4E3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Lag-correlation analysis between UHII and the UPII components over a ±30-day time window. Each curve represents the cross-correlation for a specific pollutant, while the vertical dashed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red </w:t>
      </w:r>
      <w:r w:rsidRPr="004E4E34">
        <w:rPr>
          <w:rFonts w:ascii="Times New Roman" w:eastAsia="Times New Roman" w:hAnsi="Times New Roman" w:cs="Times New Roman"/>
          <w:color w:val="000000"/>
          <w:sz w:val="24"/>
          <w:szCs w:val="24"/>
        </w:rPr>
        <w:t>line marks the zero-lag position.</w:t>
      </w:r>
    </w:p>
    <w:p w14:paraId="65C18CC1" w14:textId="77777777" w:rsidR="00BD4029" w:rsidRDefault="00BD4029" w:rsidP="00BD4029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D41B489" w14:textId="77777777" w:rsidR="00BD4029" w:rsidRDefault="00BD4029" w:rsidP="00BD402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Table S1: Descriptive statistics of UHII and UPII time series. The statistical indicators related to UHII are expressed in °C, those related to UPII for PM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  <w:vertAlign w:val="subscript"/>
        </w:rPr>
        <w:t>10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, PM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  <w:vertAlign w:val="subscript"/>
        </w:rPr>
        <w:t>2.5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, NO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  <w:vertAlign w:val="subscript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, NO, and O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  <w:vertAlign w:val="subscript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are expressed in µg/m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  <w:vertAlign w:val="superscript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, while the NO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  <w:vertAlign w:val="subscript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/NO ratio is dimensionless. Note that statistics for UPII are calculated as 24-hour daily averages, while for UHII time series refer to the 22:00–06:00 CET time window.</w:t>
      </w:r>
    </w:p>
    <w:tbl>
      <w:tblPr>
        <w:tblW w:w="96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44"/>
        <w:gridCol w:w="850"/>
        <w:gridCol w:w="1177"/>
        <w:gridCol w:w="1243"/>
        <w:gridCol w:w="1283"/>
        <w:gridCol w:w="1225"/>
        <w:gridCol w:w="1003"/>
        <w:gridCol w:w="1225"/>
      </w:tblGrid>
      <w:tr w:rsidR="00BD4029" w14:paraId="57D21EDF" w14:textId="77777777" w:rsidTr="00BA1258">
        <w:tc>
          <w:tcPr>
            <w:tcW w:w="1644" w:type="dxa"/>
          </w:tcPr>
          <w:p w14:paraId="6CB7BF3D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Variable</w:t>
            </w:r>
          </w:p>
        </w:tc>
        <w:tc>
          <w:tcPr>
            <w:tcW w:w="850" w:type="dxa"/>
          </w:tcPr>
          <w:p w14:paraId="60306E56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Mean</w:t>
            </w:r>
          </w:p>
        </w:tc>
        <w:tc>
          <w:tcPr>
            <w:tcW w:w="1177" w:type="dxa"/>
          </w:tcPr>
          <w:p w14:paraId="3D05B7BA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Standard deviation</w:t>
            </w:r>
          </w:p>
        </w:tc>
        <w:tc>
          <w:tcPr>
            <w:tcW w:w="1243" w:type="dxa"/>
          </w:tcPr>
          <w:p w14:paraId="1F663649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Minimum</w:t>
            </w:r>
          </w:p>
        </w:tc>
        <w:tc>
          <w:tcPr>
            <w:tcW w:w="1283" w:type="dxa"/>
          </w:tcPr>
          <w:p w14:paraId="2F3D4E96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Maximum</w:t>
            </w:r>
          </w:p>
        </w:tc>
        <w:tc>
          <w:tcPr>
            <w:tcW w:w="1225" w:type="dxa"/>
          </w:tcPr>
          <w:p w14:paraId="5DFC8F95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25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  <w:vertAlign w:val="superscript"/>
              </w:rPr>
              <w:t>th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 xml:space="preserve"> percentile</w:t>
            </w:r>
          </w:p>
        </w:tc>
        <w:tc>
          <w:tcPr>
            <w:tcW w:w="1003" w:type="dxa"/>
          </w:tcPr>
          <w:p w14:paraId="3D1D1EB8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Median</w:t>
            </w:r>
          </w:p>
        </w:tc>
        <w:tc>
          <w:tcPr>
            <w:tcW w:w="1225" w:type="dxa"/>
          </w:tcPr>
          <w:p w14:paraId="21305FA6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75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  <w:vertAlign w:val="superscript"/>
              </w:rPr>
              <w:t>th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 xml:space="preserve"> percentile</w:t>
            </w:r>
          </w:p>
        </w:tc>
      </w:tr>
      <w:tr w:rsidR="00BD4029" w14:paraId="068C77C1" w14:textId="77777777" w:rsidTr="00BA1258">
        <w:tc>
          <w:tcPr>
            <w:tcW w:w="1644" w:type="dxa"/>
          </w:tcPr>
          <w:p w14:paraId="32F73A5D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UHII</w:t>
            </w:r>
          </w:p>
        </w:tc>
        <w:tc>
          <w:tcPr>
            <w:tcW w:w="850" w:type="dxa"/>
          </w:tcPr>
          <w:p w14:paraId="5186C419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2.0</w:t>
            </w:r>
          </w:p>
        </w:tc>
        <w:tc>
          <w:tcPr>
            <w:tcW w:w="1177" w:type="dxa"/>
          </w:tcPr>
          <w:p w14:paraId="3A1DC368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1.0</w:t>
            </w:r>
          </w:p>
        </w:tc>
        <w:tc>
          <w:tcPr>
            <w:tcW w:w="1243" w:type="dxa"/>
          </w:tcPr>
          <w:p w14:paraId="22DE3BD5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-2.5</w:t>
            </w:r>
          </w:p>
        </w:tc>
        <w:tc>
          <w:tcPr>
            <w:tcW w:w="1283" w:type="dxa"/>
          </w:tcPr>
          <w:p w14:paraId="42AA260F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5.0</w:t>
            </w:r>
          </w:p>
        </w:tc>
        <w:tc>
          <w:tcPr>
            <w:tcW w:w="1225" w:type="dxa"/>
          </w:tcPr>
          <w:p w14:paraId="1482D276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1003" w:type="dxa"/>
          </w:tcPr>
          <w:p w14:paraId="79D0B781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2.0</w:t>
            </w:r>
          </w:p>
        </w:tc>
        <w:tc>
          <w:tcPr>
            <w:tcW w:w="1225" w:type="dxa"/>
          </w:tcPr>
          <w:p w14:paraId="571CCA5F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2.6</w:t>
            </w:r>
          </w:p>
        </w:tc>
      </w:tr>
      <w:tr w:rsidR="00BD4029" w14:paraId="17892F44" w14:textId="77777777" w:rsidTr="00BA1258">
        <w:tc>
          <w:tcPr>
            <w:tcW w:w="1644" w:type="dxa"/>
          </w:tcPr>
          <w:p w14:paraId="55DAE767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 xml:space="preserve">UPII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PM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bscript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</w:tcPr>
          <w:p w14:paraId="49EC2E6A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5.6</w:t>
            </w:r>
          </w:p>
        </w:tc>
        <w:tc>
          <w:tcPr>
            <w:tcW w:w="1177" w:type="dxa"/>
          </w:tcPr>
          <w:p w14:paraId="04BD63BD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7.2</w:t>
            </w:r>
          </w:p>
        </w:tc>
        <w:tc>
          <w:tcPr>
            <w:tcW w:w="1243" w:type="dxa"/>
          </w:tcPr>
          <w:p w14:paraId="70A80B38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-17.8</w:t>
            </w:r>
          </w:p>
        </w:tc>
        <w:tc>
          <w:tcPr>
            <w:tcW w:w="1283" w:type="dxa"/>
          </w:tcPr>
          <w:p w14:paraId="79C36112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62.0</w:t>
            </w:r>
          </w:p>
        </w:tc>
        <w:tc>
          <w:tcPr>
            <w:tcW w:w="1225" w:type="dxa"/>
          </w:tcPr>
          <w:p w14:paraId="576FE7F3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1003" w:type="dxa"/>
          </w:tcPr>
          <w:p w14:paraId="7B222B38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4.5</w:t>
            </w:r>
          </w:p>
        </w:tc>
        <w:tc>
          <w:tcPr>
            <w:tcW w:w="1225" w:type="dxa"/>
          </w:tcPr>
          <w:p w14:paraId="68E0EA4B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9.0</w:t>
            </w:r>
          </w:p>
        </w:tc>
      </w:tr>
      <w:tr w:rsidR="00BD4029" w14:paraId="5A2BE882" w14:textId="77777777" w:rsidTr="00BA1258">
        <w:tc>
          <w:tcPr>
            <w:tcW w:w="1644" w:type="dxa"/>
          </w:tcPr>
          <w:p w14:paraId="04E70C63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UPII PM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bscript"/>
              </w:rPr>
              <w:t>2.5</w:t>
            </w:r>
          </w:p>
        </w:tc>
        <w:tc>
          <w:tcPr>
            <w:tcW w:w="850" w:type="dxa"/>
          </w:tcPr>
          <w:p w14:paraId="2ED2ECC9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2.3</w:t>
            </w:r>
          </w:p>
        </w:tc>
        <w:tc>
          <w:tcPr>
            <w:tcW w:w="1177" w:type="dxa"/>
          </w:tcPr>
          <w:p w14:paraId="6CD2A50C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3.8</w:t>
            </w:r>
          </w:p>
        </w:tc>
        <w:tc>
          <w:tcPr>
            <w:tcW w:w="1243" w:type="dxa"/>
          </w:tcPr>
          <w:p w14:paraId="6812A8E1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-18.2</w:t>
            </w:r>
          </w:p>
        </w:tc>
        <w:tc>
          <w:tcPr>
            <w:tcW w:w="1283" w:type="dxa"/>
          </w:tcPr>
          <w:p w14:paraId="2EE5B2C1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38.0</w:t>
            </w:r>
          </w:p>
        </w:tc>
        <w:tc>
          <w:tcPr>
            <w:tcW w:w="1225" w:type="dxa"/>
          </w:tcPr>
          <w:p w14:paraId="3D0768FC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1003" w:type="dxa"/>
          </w:tcPr>
          <w:p w14:paraId="60536157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1.8</w:t>
            </w:r>
          </w:p>
        </w:tc>
        <w:tc>
          <w:tcPr>
            <w:tcW w:w="1225" w:type="dxa"/>
          </w:tcPr>
          <w:p w14:paraId="79CA1F9E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4.0</w:t>
            </w:r>
          </w:p>
        </w:tc>
      </w:tr>
      <w:tr w:rsidR="00BD4029" w14:paraId="5B7B3287" w14:textId="77777777" w:rsidTr="00BA1258">
        <w:tc>
          <w:tcPr>
            <w:tcW w:w="1644" w:type="dxa"/>
          </w:tcPr>
          <w:p w14:paraId="6183A3A8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 xml:space="preserve">UPII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NO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850" w:type="dxa"/>
          </w:tcPr>
          <w:p w14:paraId="122A5B78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27.3</w:t>
            </w:r>
          </w:p>
        </w:tc>
        <w:tc>
          <w:tcPr>
            <w:tcW w:w="1177" w:type="dxa"/>
          </w:tcPr>
          <w:p w14:paraId="7E03D299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9.6</w:t>
            </w:r>
          </w:p>
        </w:tc>
        <w:tc>
          <w:tcPr>
            <w:tcW w:w="1243" w:type="dxa"/>
          </w:tcPr>
          <w:p w14:paraId="73B326C6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-3.9</w:t>
            </w:r>
          </w:p>
        </w:tc>
        <w:tc>
          <w:tcPr>
            <w:tcW w:w="1283" w:type="dxa"/>
          </w:tcPr>
          <w:p w14:paraId="3AE3690D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61.4</w:t>
            </w:r>
          </w:p>
        </w:tc>
        <w:tc>
          <w:tcPr>
            <w:tcW w:w="1225" w:type="dxa"/>
          </w:tcPr>
          <w:p w14:paraId="4141D996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20.4</w:t>
            </w:r>
          </w:p>
        </w:tc>
        <w:tc>
          <w:tcPr>
            <w:tcW w:w="1003" w:type="dxa"/>
          </w:tcPr>
          <w:p w14:paraId="16451C5F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26.3</w:t>
            </w:r>
          </w:p>
        </w:tc>
        <w:tc>
          <w:tcPr>
            <w:tcW w:w="1225" w:type="dxa"/>
          </w:tcPr>
          <w:p w14:paraId="745E29EC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33.3</w:t>
            </w:r>
          </w:p>
        </w:tc>
      </w:tr>
      <w:tr w:rsidR="00BD4029" w14:paraId="28C09A66" w14:textId="77777777" w:rsidTr="00BA1258">
        <w:tc>
          <w:tcPr>
            <w:tcW w:w="1644" w:type="dxa"/>
          </w:tcPr>
          <w:p w14:paraId="204E3F2F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>UPII NO</w:t>
            </w:r>
          </w:p>
        </w:tc>
        <w:tc>
          <w:tcPr>
            <w:tcW w:w="850" w:type="dxa"/>
          </w:tcPr>
          <w:p w14:paraId="74DAB541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18.8</w:t>
            </w:r>
          </w:p>
        </w:tc>
        <w:tc>
          <w:tcPr>
            <w:tcW w:w="1177" w:type="dxa"/>
          </w:tcPr>
          <w:p w14:paraId="05686DE3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20.2</w:t>
            </w:r>
          </w:p>
        </w:tc>
        <w:tc>
          <w:tcPr>
            <w:tcW w:w="1243" w:type="dxa"/>
          </w:tcPr>
          <w:p w14:paraId="124C46E7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-81.1</w:t>
            </w:r>
          </w:p>
        </w:tc>
        <w:tc>
          <w:tcPr>
            <w:tcW w:w="1283" w:type="dxa"/>
          </w:tcPr>
          <w:p w14:paraId="1348D08E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140.0</w:t>
            </w:r>
          </w:p>
        </w:tc>
        <w:tc>
          <w:tcPr>
            <w:tcW w:w="1225" w:type="dxa"/>
          </w:tcPr>
          <w:p w14:paraId="6B7599BF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  <w:t>6.0</w:t>
            </w:r>
          </w:p>
        </w:tc>
        <w:tc>
          <w:tcPr>
            <w:tcW w:w="1003" w:type="dxa"/>
          </w:tcPr>
          <w:p w14:paraId="19981D24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11.0</w:t>
            </w:r>
          </w:p>
        </w:tc>
        <w:tc>
          <w:tcPr>
            <w:tcW w:w="1225" w:type="dxa"/>
          </w:tcPr>
          <w:p w14:paraId="7BA29F27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24.3</w:t>
            </w:r>
          </w:p>
        </w:tc>
      </w:tr>
      <w:tr w:rsidR="00BD4029" w14:paraId="207983CA" w14:textId="77777777" w:rsidTr="00BA1258">
        <w:tc>
          <w:tcPr>
            <w:tcW w:w="1644" w:type="dxa"/>
          </w:tcPr>
          <w:p w14:paraId="7FEFFF03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 xml:space="preserve">UPII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NO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/NO</w:t>
            </w:r>
          </w:p>
        </w:tc>
        <w:tc>
          <w:tcPr>
            <w:tcW w:w="850" w:type="dxa"/>
          </w:tcPr>
          <w:p w14:paraId="35170CA1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1177" w:type="dxa"/>
          </w:tcPr>
          <w:p w14:paraId="504C3DC0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4.8</w:t>
            </w:r>
          </w:p>
        </w:tc>
        <w:tc>
          <w:tcPr>
            <w:tcW w:w="1243" w:type="dxa"/>
          </w:tcPr>
          <w:p w14:paraId="17E9D09C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-26.0</w:t>
            </w:r>
          </w:p>
        </w:tc>
        <w:tc>
          <w:tcPr>
            <w:tcW w:w="1283" w:type="dxa"/>
          </w:tcPr>
          <w:p w14:paraId="7FF4ACB0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13.7</w:t>
            </w:r>
          </w:p>
        </w:tc>
        <w:tc>
          <w:tcPr>
            <w:tcW w:w="1225" w:type="dxa"/>
          </w:tcPr>
          <w:p w14:paraId="6891C8BB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-2.4</w:t>
            </w:r>
          </w:p>
        </w:tc>
        <w:tc>
          <w:tcPr>
            <w:tcW w:w="1003" w:type="dxa"/>
          </w:tcPr>
          <w:p w14:paraId="3BCEA43F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1225" w:type="dxa"/>
          </w:tcPr>
          <w:p w14:paraId="017FD776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3.8</w:t>
            </w:r>
          </w:p>
        </w:tc>
      </w:tr>
      <w:tr w:rsidR="00BD4029" w14:paraId="3F8EC866" w14:textId="77777777" w:rsidTr="00BA1258">
        <w:tc>
          <w:tcPr>
            <w:tcW w:w="1644" w:type="dxa"/>
          </w:tcPr>
          <w:p w14:paraId="70C19F84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white"/>
              </w:rPr>
              <w:t xml:space="preserve">UPII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850" w:type="dxa"/>
          </w:tcPr>
          <w:p w14:paraId="4F118D11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-16.6</w:t>
            </w:r>
          </w:p>
        </w:tc>
        <w:tc>
          <w:tcPr>
            <w:tcW w:w="1177" w:type="dxa"/>
          </w:tcPr>
          <w:p w14:paraId="6F5D9C04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14.1</w:t>
            </w:r>
          </w:p>
        </w:tc>
        <w:tc>
          <w:tcPr>
            <w:tcW w:w="1243" w:type="dxa"/>
          </w:tcPr>
          <w:p w14:paraId="7537334C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-99.0</w:t>
            </w:r>
          </w:p>
        </w:tc>
        <w:tc>
          <w:tcPr>
            <w:tcW w:w="1283" w:type="dxa"/>
          </w:tcPr>
          <w:p w14:paraId="61B7CF89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29.9</w:t>
            </w:r>
          </w:p>
        </w:tc>
        <w:tc>
          <w:tcPr>
            <w:tcW w:w="1225" w:type="dxa"/>
          </w:tcPr>
          <w:p w14:paraId="63A1AE62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-25.1</w:t>
            </w:r>
          </w:p>
        </w:tc>
        <w:tc>
          <w:tcPr>
            <w:tcW w:w="1003" w:type="dxa"/>
          </w:tcPr>
          <w:p w14:paraId="4CABC9DB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-16.2</w:t>
            </w:r>
          </w:p>
        </w:tc>
        <w:tc>
          <w:tcPr>
            <w:tcW w:w="1225" w:type="dxa"/>
          </w:tcPr>
          <w:p w14:paraId="756BB1BE" w14:textId="77777777" w:rsidR="00BD4029" w:rsidRDefault="00BD4029" w:rsidP="00BA125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-6.8</w:t>
            </w:r>
          </w:p>
        </w:tc>
      </w:tr>
    </w:tbl>
    <w:p w14:paraId="7CB0D182" w14:textId="77777777" w:rsidR="0086583D" w:rsidRDefault="0086583D" w:rsidP="00BD4029"/>
    <w:sectPr w:rsidR="0086583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029"/>
    <w:rsid w:val="0086583D"/>
    <w:rsid w:val="00BA71F3"/>
    <w:rsid w:val="00BD4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5A0F47D"/>
  <w15:chartTrackingRefBased/>
  <w15:docId w15:val="{8EC009CF-DA46-43DB-941C-32CBC2A71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4029"/>
    <w:rPr>
      <w:rFonts w:ascii="Aptos" w:eastAsia="Aptos" w:hAnsi="Aptos" w:cs="Aptos"/>
      <w:kern w:val="0"/>
      <w:lang w:val="en-GB"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888</Characters>
  <Application>Microsoft Office Word</Application>
  <DocSecurity>0</DocSecurity>
  <Lines>7</Lines>
  <Paragraphs>2</Paragraphs>
  <ScaleCrop>false</ScaleCrop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Annalisa Di Bernardino</dc:creator>
  <cp:keywords/>
  <dc:description/>
  <cp:lastModifiedBy>Annalisa Di Bernardino</cp:lastModifiedBy>
  <cp:revision>1</cp:revision>
  <dcterms:created xsi:type="dcterms:W3CDTF">2025-12-02T12:17:00Z</dcterms:created>
  <dcterms:modified xsi:type="dcterms:W3CDTF">2025-12-02T12:18:00Z</dcterms:modified>
</cp:coreProperties>
</file>