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B3355" w14:textId="601EBA4C" w:rsidR="007324BC" w:rsidRPr="00AF1195" w:rsidRDefault="00AF1195" w:rsidP="00AF1195">
      <w:pPr>
        <w:jc w:val="center"/>
        <w:rPr>
          <w:rFonts w:ascii="Times New Roman" w:hAnsi="Times New Roman" w:cs="Times New Roman"/>
          <w:b/>
          <w:bCs/>
          <w:i/>
          <w:iCs/>
          <w:sz w:val="24"/>
          <w:szCs w:val="24"/>
        </w:rPr>
      </w:pPr>
      <w:r w:rsidRPr="00AF1195">
        <w:rPr>
          <w:rFonts w:ascii="Times New Roman" w:hAnsi="Times New Roman" w:cs="Times New Roman"/>
          <w:b/>
          <w:bCs/>
          <w:i/>
          <w:iCs/>
          <w:sz w:val="24"/>
          <w:szCs w:val="24"/>
        </w:rPr>
        <w:t>Supplementary Material</w:t>
      </w:r>
    </w:p>
    <w:p w14:paraId="61781AD3" w14:textId="77777777" w:rsidR="00AF1195" w:rsidRPr="00230151" w:rsidRDefault="00AF1195" w:rsidP="00AF1195">
      <w:pPr>
        <w:spacing w:line="480" w:lineRule="auto"/>
        <w:rPr>
          <w:rFonts w:ascii="Times New Roman" w:hAnsi="Times New Roman" w:cs="Times New Roman"/>
          <w:b/>
          <w:bCs/>
          <w:i/>
          <w:iCs/>
          <w:sz w:val="24"/>
          <w:szCs w:val="24"/>
        </w:rPr>
      </w:pPr>
      <w:r w:rsidRPr="00230151">
        <w:rPr>
          <w:rFonts w:ascii="Times New Roman" w:hAnsi="Times New Roman" w:cs="Times New Roman"/>
          <w:b/>
          <w:bCs/>
          <w:i/>
          <w:iCs/>
          <w:sz w:val="24"/>
          <w:szCs w:val="24"/>
        </w:rPr>
        <w:t>2.1. Pre-Delphi research</w:t>
      </w:r>
    </w:p>
    <w:p w14:paraId="7DE72CD8" w14:textId="64F184C1" w:rsidR="00AF1195" w:rsidRPr="00F309E2" w:rsidRDefault="00AF1195" w:rsidP="00AF1195">
      <w:pPr>
        <w:spacing w:line="480" w:lineRule="auto"/>
      </w:pPr>
      <w:r w:rsidRPr="00F309E2">
        <w:rPr>
          <w:rFonts w:ascii="Times New Roman" w:hAnsi="Times New Roman" w:cs="Times New Roman"/>
          <w:i/>
          <w:iCs/>
          <w:sz w:val="24"/>
          <w:szCs w:val="24"/>
        </w:rPr>
        <w:t>2.1.1. Patient survey</w:t>
      </w:r>
    </w:p>
    <w:p w14:paraId="114E21C1" w14:textId="0C4CDC92" w:rsidR="00AF1195" w:rsidRDefault="00AF1195" w:rsidP="00AF1195">
      <w:pPr>
        <w:spacing w:line="360" w:lineRule="auto"/>
        <w:rPr>
          <w:rFonts w:ascii="Times New Roman" w:hAnsi="Times New Roman" w:cs="Times New Roman"/>
          <w:sz w:val="24"/>
          <w:szCs w:val="24"/>
        </w:rPr>
      </w:pPr>
      <w:r w:rsidRPr="00F309E2">
        <w:rPr>
          <w:rFonts w:ascii="Times New Roman" w:hAnsi="Times New Roman" w:cs="Times New Roman"/>
          <w:sz w:val="24"/>
          <w:szCs w:val="24"/>
        </w:rPr>
        <w:t xml:space="preserve">The survey was conducted in two phases: </w:t>
      </w:r>
      <w:r w:rsidR="00BB442E" w:rsidRPr="00F309E2">
        <w:rPr>
          <w:rFonts w:ascii="Times New Roman" w:hAnsi="Times New Roman" w:cs="Times New Roman"/>
          <w:sz w:val="24"/>
          <w:szCs w:val="24"/>
        </w:rPr>
        <w:t>the first</w:t>
      </w:r>
      <w:r w:rsidRPr="00F309E2">
        <w:rPr>
          <w:rFonts w:ascii="Times New Roman" w:hAnsi="Times New Roman" w:cs="Times New Roman"/>
          <w:sz w:val="24"/>
          <w:szCs w:val="24"/>
        </w:rPr>
        <w:t xml:space="preserve"> round was from February 2024 to March 2024 and </w:t>
      </w:r>
      <w:r w:rsidR="00252705" w:rsidRPr="00F309E2">
        <w:rPr>
          <w:rFonts w:ascii="Times New Roman" w:hAnsi="Times New Roman" w:cs="Times New Roman"/>
          <w:sz w:val="24"/>
          <w:szCs w:val="24"/>
        </w:rPr>
        <w:t>the second</w:t>
      </w:r>
      <w:r w:rsidRPr="00F309E2">
        <w:rPr>
          <w:rFonts w:ascii="Times New Roman" w:hAnsi="Times New Roman" w:cs="Times New Roman"/>
          <w:sz w:val="24"/>
          <w:szCs w:val="24"/>
        </w:rPr>
        <w:t xml:space="preserve"> round from April to 2024 June 2024. The data collected in March allowed an initial analysis of the responses for the drafting of the statements. SC decided to no longer </w:t>
      </w:r>
      <w:r w:rsidR="00B93578" w:rsidRPr="00F309E2">
        <w:rPr>
          <w:rFonts w:ascii="Times New Roman" w:hAnsi="Times New Roman" w:cs="Times New Roman"/>
          <w:sz w:val="24"/>
          <w:szCs w:val="24"/>
        </w:rPr>
        <w:t>consider</w:t>
      </w:r>
      <w:r w:rsidRPr="00F309E2">
        <w:rPr>
          <w:rFonts w:ascii="Times New Roman" w:hAnsi="Times New Roman" w:cs="Times New Roman"/>
          <w:sz w:val="24"/>
          <w:szCs w:val="24"/>
        </w:rPr>
        <w:t xml:space="preserve"> the answers of the mentors of minors</w:t>
      </w:r>
      <w:r w:rsidRPr="00C95B71">
        <w:rPr>
          <w:rFonts w:ascii="Times New Roman" w:hAnsi="Times New Roman" w:cs="Times New Roman"/>
          <w:sz w:val="24"/>
          <w:szCs w:val="24"/>
        </w:rPr>
        <w:t>, focusing only on adult patients. Furthermore, the survey was reopened for the second round to try to increase the sample number. Finally, 1100 patients opened the questionnaire, of whom 823 were of legal age, gave consent and completed the questionnaire.</w:t>
      </w:r>
    </w:p>
    <w:p w14:paraId="0D57E236" w14:textId="77777777" w:rsidR="00B040F1" w:rsidRDefault="00B040F1" w:rsidP="00AF1195">
      <w:pPr>
        <w:spacing w:line="360" w:lineRule="auto"/>
        <w:rPr>
          <w:rFonts w:ascii="Times New Roman" w:hAnsi="Times New Roman" w:cs="Times New Roman"/>
          <w:sz w:val="24"/>
          <w:szCs w:val="24"/>
        </w:rPr>
      </w:pPr>
    </w:p>
    <w:p w14:paraId="34FEDD47" w14:textId="77777777" w:rsidR="00B040F1" w:rsidRDefault="00B040F1" w:rsidP="00B040F1">
      <w:pPr>
        <w:spacing w:line="480" w:lineRule="auto"/>
        <w:rPr>
          <w:rFonts w:ascii="Times New Roman" w:hAnsi="Times New Roman" w:cs="Times New Roman"/>
          <w:i/>
          <w:iCs/>
          <w:sz w:val="24"/>
          <w:szCs w:val="24"/>
        </w:rPr>
      </w:pPr>
      <w:r w:rsidRPr="00230151">
        <w:rPr>
          <w:rFonts w:ascii="Times New Roman" w:hAnsi="Times New Roman" w:cs="Times New Roman"/>
          <w:i/>
          <w:iCs/>
          <w:sz w:val="24"/>
          <w:szCs w:val="24"/>
        </w:rPr>
        <w:t>2.1.2. Systematic and targeted reviews</w:t>
      </w:r>
    </w:p>
    <w:p w14:paraId="0010CD1D" w14:textId="6562CBA0" w:rsidR="00B040F1" w:rsidRDefault="00E54F58" w:rsidP="00AF1195">
      <w:pPr>
        <w:spacing w:line="360" w:lineRule="auto"/>
        <w:rPr>
          <w:rFonts w:ascii="Times New Roman" w:hAnsi="Times New Roman" w:cs="Times New Roman"/>
          <w:sz w:val="24"/>
          <w:szCs w:val="24"/>
        </w:rPr>
      </w:pPr>
      <w:r>
        <w:rPr>
          <w:rFonts w:ascii="Times New Roman" w:hAnsi="Times New Roman"/>
          <w:sz w:val="24"/>
          <w:szCs w:val="24"/>
        </w:rPr>
        <w:t xml:space="preserve">The systematic review was </w:t>
      </w:r>
      <w:r w:rsidR="00F309E2">
        <w:rPr>
          <w:rFonts w:ascii="Times New Roman" w:hAnsi="Times New Roman"/>
          <w:sz w:val="24"/>
          <w:szCs w:val="24"/>
        </w:rPr>
        <w:t>conducted</w:t>
      </w:r>
      <w:r>
        <w:rPr>
          <w:rFonts w:ascii="Times New Roman" w:hAnsi="Times New Roman"/>
          <w:sz w:val="24"/>
          <w:szCs w:val="24"/>
        </w:rPr>
        <w:t xml:space="preserve"> in accordance with the Cochrane Handbook (</w:t>
      </w:r>
      <w:r w:rsidR="000F646D" w:rsidRPr="000F646D">
        <w:rPr>
          <w:rFonts w:ascii="Times New Roman" w:hAnsi="Times New Roman"/>
          <w:sz w:val="24"/>
          <w:szCs w:val="24"/>
        </w:rPr>
        <w:t>Higgins JPT, Thomas J, Chandler J, et al. Cochrane handbook for systematic reviews of interventions. Cochrane Handbook for Systematic Reviews of Interventions January 2019:1-694</w:t>
      </w:r>
      <w:r>
        <w:rPr>
          <w:rFonts w:ascii="Times New Roman" w:hAnsi="Times New Roman"/>
          <w:sz w:val="24"/>
          <w:szCs w:val="24"/>
        </w:rPr>
        <w:t>) and Preferred Reporting Items for Systematic Reviews and Meta-Analyses (PRISMA) recommendations for reporting of systematic reviews (</w:t>
      </w:r>
      <w:r w:rsidR="000F646D" w:rsidRPr="000F646D">
        <w:rPr>
          <w:rFonts w:ascii="Times New Roman" w:hAnsi="Times New Roman"/>
          <w:sz w:val="24"/>
          <w:szCs w:val="24"/>
        </w:rPr>
        <w:t>Hutton B, Salanti G, Caldwell DM, et al. The PRISMA extension statement for reporting of systematic reviews incorporating network meta-analyses of health care interventions: checklist and explanations. Ann Intern Med 2015;162:777-784</w:t>
      </w:r>
      <w:r>
        <w:rPr>
          <w:rFonts w:ascii="Times New Roman" w:hAnsi="Times New Roman"/>
          <w:sz w:val="24"/>
          <w:szCs w:val="24"/>
        </w:rPr>
        <w:t xml:space="preserve">). </w:t>
      </w:r>
      <w:r w:rsidRPr="00E54F58">
        <w:rPr>
          <w:rFonts w:ascii="Times New Roman" w:hAnsi="Times New Roman"/>
          <w:sz w:val="24"/>
          <w:szCs w:val="24"/>
        </w:rPr>
        <w:t>We designed a comprehensive search strategy to identify eligible studies. A hand-search of abstracts from the annual meetings of Digestive Disease Week, the American College of Gastroenterology, the European Crohn’s and Colitis Organization, and the United European Gastroenterology Week up to 202</w:t>
      </w:r>
      <w:r>
        <w:rPr>
          <w:rFonts w:ascii="Times New Roman" w:hAnsi="Times New Roman"/>
          <w:sz w:val="24"/>
          <w:szCs w:val="24"/>
        </w:rPr>
        <w:t>4</w:t>
      </w:r>
      <w:r w:rsidRPr="00E54F58">
        <w:rPr>
          <w:rFonts w:ascii="Times New Roman" w:hAnsi="Times New Roman"/>
          <w:sz w:val="24"/>
          <w:szCs w:val="24"/>
        </w:rPr>
        <w:t xml:space="preserve"> was also employed.</w:t>
      </w:r>
      <w:r>
        <w:rPr>
          <w:rFonts w:ascii="Times New Roman" w:hAnsi="Times New Roman"/>
          <w:sz w:val="24"/>
          <w:szCs w:val="24"/>
        </w:rPr>
        <w:t xml:space="preserve"> </w:t>
      </w:r>
      <w:r w:rsidRPr="00E54F58">
        <w:rPr>
          <w:rFonts w:ascii="Times New Roman" w:hAnsi="Times New Roman"/>
          <w:sz w:val="24"/>
          <w:szCs w:val="24"/>
        </w:rPr>
        <w:t>The search query employed both an exhaustive list of keywords and index terminology whenever possible. The following key words and corresponding Medical Subject Heading/Entree terms were used:</w:t>
      </w:r>
      <w:r>
        <w:rPr>
          <w:rFonts w:ascii="Times New Roman" w:hAnsi="Times New Roman"/>
          <w:sz w:val="24"/>
          <w:szCs w:val="24"/>
        </w:rPr>
        <w:t xml:space="preserve"> </w:t>
      </w:r>
      <w:r w:rsidR="00B040F1" w:rsidRPr="00B040F1">
        <w:rPr>
          <w:rFonts w:ascii="Times New Roman" w:hAnsi="Times New Roman" w:cs="Times New Roman"/>
          <w:sz w:val="24"/>
          <w:szCs w:val="24"/>
        </w:rPr>
        <w:t>adherence', 'non-adherence'</w:t>
      </w:r>
      <w:r>
        <w:rPr>
          <w:rFonts w:ascii="Times New Roman" w:hAnsi="Times New Roman" w:cs="Times New Roman"/>
          <w:sz w:val="24"/>
          <w:szCs w:val="24"/>
        </w:rPr>
        <w:t xml:space="preserve">, </w:t>
      </w:r>
      <w:r w:rsidRPr="00B040F1">
        <w:rPr>
          <w:rFonts w:ascii="Times New Roman" w:hAnsi="Times New Roman" w:cs="Times New Roman"/>
          <w:sz w:val="24"/>
          <w:szCs w:val="24"/>
        </w:rPr>
        <w:t>'inflammatory bowel disease', 'Crohn’s disease', 'ulcerative colitis'</w:t>
      </w:r>
      <w:r>
        <w:rPr>
          <w:rFonts w:ascii="Times New Roman" w:hAnsi="Times New Roman" w:cs="Times New Roman"/>
          <w:sz w:val="24"/>
          <w:szCs w:val="24"/>
        </w:rPr>
        <w:t xml:space="preserve">. </w:t>
      </w:r>
      <w:r w:rsidRPr="00E54F58">
        <w:rPr>
          <w:rFonts w:ascii="Times New Roman" w:hAnsi="Times New Roman" w:cs="Times New Roman"/>
          <w:sz w:val="24"/>
          <w:szCs w:val="24"/>
        </w:rPr>
        <w:t>No</w:t>
      </w:r>
      <w:r w:rsidR="00416C1C">
        <w:rPr>
          <w:rFonts w:ascii="Times New Roman" w:hAnsi="Times New Roman" w:cs="Times New Roman"/>
          <w:sz w:val="24"/>
          <w:szCs w:val="24"/>
        </w:rPr>
        <w:t xml:space="preserve"> </w:t>
      </w:r>
      <w:r w:rsidRPr="00E54F58">
        <w:rPr>
          <w:rFonts w:ascii="Times New Roman" w:hAnsi="Times New Roman" w:cs="Times New Roman"/>
          <w:sz w:val="24"/>
          <w:szCs w:val="24"/>
        </w:rPr>
        <w:t>language filters were employed in the search</w:t>
      </w:r>
      <w:r w:rsidR="00416C1C">
        <w:rPr>
          <w:rFonts w:ascii="Times New Roman" w:hAnsi="Times New Roman" w:cs="Times New Roman"/>
          <w:sz w:val="24"/>
          <w:szCs w:val="24"/>
        </w:rPr>
        <w:t xml:space="preserve">, all </w:t>
      </w:r>
      <w:r w:rsidR="00416C1C" w:rsidRPr="000F646D">
        <w:rPr>
          <w:rFonts w:ascii="Times New Roman" w:hAnsi="Times New Roman" w:cs="Times New Roman"/>
          <w:sz w:val="24"/>
          <w:szCs w:val="24"/>
        </w:rPr>
        <w:t>published works after 1990 were screened</w:t>
      </w:r>
      <w:r w:rsidRPr="000F646D">
        <w:rPr>
          <w:rFonts w:ascii="Times New Roman" w:hAnsi="Times New Roman" w:cs="Times New Roman"/>
          <w:sz w:val="24"/>
          <w:szCs w:val="24"/>
        </w:rPr>
        <w:t xml:space="preserve">. The </w:t>
      </w:r>
      <w:r w:rsidR="00451123" w:rsidRPr="000F646D">
        <w:rPr>
          <w:rFonts w:ascii="Times New Roman" w:hAnsi="Times New Roman" w:cs="Times New Roman"/>
          <w:sz w:val="24"/>
          <w:szCs w:val="24"/>
        </w:rPr>
        <w:t>l</w:t>
      </w:r>
      <w:r w:rsidRPr="000F646D">
        <w:rPr>
          <w:rFonts w:ascii="Times New Roman" w:hAnsi="Times New Roman" w:cs="Times New Roman"/>
          <w:sz w:val="24"/>
          <w:szCs w:val="24"/>
        </w:rPr>
        <w:t>iterature search was performed and verified by two authors.</w:t>
      </w:r>
      <w:r w:rsidR="00DB2380" w:rsidRPr="000F646D">
        <w:rPr>
          <w:rFonts w:ascii="Times New Roman" w:hAnsi="Times New Roman" w:cs="Times New Roman"/>
          <w:sz w:val="24"/>
          <w:szCs w:val="24"/>
        </w:rPr>
        <w:t xml:space="preserve"> The inclusion criteria were: a) </w:t>
      </w:r>
      <w:r w:rsidR="000F646D" w:rsidRPr="000F646D">
        <w:rPr>
          <w:rFonts w:ascii="Times New Roman" w:hAnsi="Times New Roman" w:cs="Times New Roman"/>
          <w:sz w:val="24"/>
          <w:szCs w:val="24"/>
        </w:rPr>
        <w:t>assessing the definition of adherence in IBD population</w:t>
      </w:r>
      <w:r w:rsidR="00DB2380" w:rsidRPr="000F646D">
        <w:rPr>
          <w:rFonts w:ascii="Times New Roman" w:hAnsi="Times New Roman" w:cs="Times New Roman"/>
          <w:sz w:val="24"/>
          <w:szCs w:val="24"/>
        </w:rPr>
        <w:t xml:space="preserve">; b) </w:t>
      </w:r>
      <w:r w:rsidR="000F646D" w:rsidRPr="000F646D">
        <w:rPr>
          <w:rFonts w:ascii="Times New Roman" w:hAnsi="Times New Roman" w:cs="Times New Roman"/>
          <w:sz w:val="24"/>
          <w:szCs w:val="24"/>
        </w:rPr>
        <w:t>adopting specific measuring systems</w:t>
      </w:r>
      <w:r w:rsidR="00DB2380" w:rsidRPr="000F646D">
        <w:rPr>
          <w:rFonts w:ascii="Times New Roman" w:hAnsi="Times New Roman" w:cs="Times New Roman"/>
          <w:sz w:val="24"/>
          <w:szCs w:val="24"/>
        </w:rPr>
        <w:t xml:space="preserve">; c) </w:t>
      </w:r>
      <w:proofErr w:type="spellStart"/>
      <w:r w:rsidR="000F646D" w:rsidRPr="000F646D">
        <w:rPr>
          <w:rFonts w:ascii="Times New Roman" w:hAnsi="Times New Roman" w:cs="Times New Roman"/>
          <w:sz w:val="24"/>
          <w:szCs w:val="24"/>
        </w:rPr>
        <w:t>analysing</w:t>
      </w:r>
      <w:proofErr w:type="spellEnd"/>
      <w:r w:rsidR="000F646D" w:rsidRPr="000F646D">
        <w:rPr>
          <w:rFonts w:ascii="Times New Roman" w:hAnsi="Times New Roman" w:cs="Times New Roman"/>
          <w:sz w:val="24"/>
          <w:szCs w:val="24"/>
        </w:rPr>
        <w:t xml:space="preserve"> predicting factors for adherence and risk factors for non-adherence</w:t>
      </w:r>
      <w:r w:rsidR="00DB2380" w:rsidRPr="000F646D">
        <w:rPr>
          <w:rFonts w:ascii="Times New Roman" w:hAnsi="Times New Roman" w:cs="Times New Roman"/>
          <w:sz w:val="24"/>
          <w:szCs w:val="24"/>
        </w:rPr>
        <w:t>. No restriction on the type of study was applied. Full-text papers, conference abstracts, and case reports were included. Studies on pediatric populations (&lt; 1</w:t>
      </w:r>
      <w:r w:rsidR="00F309E2" w:rsidRPr="000F646D">
        <w:rPr>
          <w:rFonts w:ascii="Times New Roman" w:hAnsi="Times New Roman" w:cs="Times New Roman"/>
          <w:sz w:val="24"/>
          <w:szCs w:val="24"/>
        </w:rPr>
        <w:t>8</w:t>
      </w:r>
      <w:r w:rsidR="00DB2380" w:rsidRPr="000F646D">
        <w:rPr>
          <w:rFonts w:ascii="Times New Roman" w:hAnsi="Times New Roman" w:cs="Times New Roman"/>
          <w:sz w:val="24"/>
          <w:szCs w:val="24"/>
        </w:rPr>
        <w:t xml:space="preserve"> years old) were</w:t>
      </w:r>
      <w:r w:rsidR="00DB2380" w:rsidRPr="00DB2380">
        <w:rPr>
          <w:rFonts w:ascii="Times New Roman" w:hAnsi="Times New Roman" w:cs="Times New Roman"/>
          <w:sz w:val="24"/>
          <w:szCs w:val="24"/>
        </w:rPr>
        <w:t xml:space="preserve"> excluded. All editorials, letters or review articles were excluded. Animal studies were excluded as recommended </w:t>
      </w:r>
      <w:r w:rsidR="00DB2380" w:rsidRPr="00DB2380">
        <w:rPr>
          <w:rFonts w:ascii="Times New Roman" w:hAnsi="Times New Roman" w:cs="Times New Roman"/>
          <w:sz w:val="24"/>
          <w:szCs w:val="24"/>
        </w:rPr>
        <w:lastRenderedPageBreak/>
        <w:t>in the Cochrane Handbook of Systematic Reviews of Interventions (</w:t>
      </w:r>
      <w:r w:rsidR="000F646D" w:rsidRPr="000F646D">
        <w:rPr>
          <w:rFonts w:ascii="Times New Roman" w:hAnsi="Times New Roman"/>
          <w:sz w:val="24"/>
          <w:szCs w:val="24"/>
        </w:rPr>
        <w:t>Higgins JPT, Thomas J, Chandler J, et al. Cochrane handbook for systematic reviews of interventions. Cochrane Handbook for Systematic Reviews of Interventions January 2019:1-694</w:t>
      </w:r>
      <w:r w:rsidR="00DB2380" w:rsidRPr="000F646D">
        <w:rPr>
          <w:rFonts w:ascii="Times New Roman" w:hAnsi="Times New Roman" w:cs="Times New Roman"/>
          <w:sz w:val="24"/>
          <w:szCs w:val="24"/>
        </w:rPr>
        <w:t>)</w:t>
      </w:r>
      <w:r w:rsidR="00DB2380" w:rsidRPr="00DB2380">
        <w:rPr>
          <w:rFonts w:ascii="Times New Roman" w:hAnsi="Times New Roman" w:cs="Times New Roman"/>
          <w:sz w:val="24"/>
          <w:szCs w:val="24"/>
        </w:rPr>
        <w:t>.</w:t>
      </w:r>
      <w:r w:rsidR="00C87D3E">
        <w:rPr>
          <w:rFonts w:ascii="Times New Roman" w:hAnsi="Times New Roman" w:cs="Times New Roman"/>
          <w:sz w:val="24"/>
          <w:szCs w:val="24"/>
        </w:rPr>
        <w:t xml:space="preserve"> </w:t>
      </w:r>
      <w:r w:rsidR="00C87D3E" w:rsidRPr="00C87D3E">
        <w:rPr>
          <w:rFonts w:ascii="Times New Roman" w:hAnsi="Times New Roman" w:cs="Times New Roman"/>
          <w:sz w:val="24"/>
          <w:szCs w:val="24"/>
        </w:rPr>
        <w:t xml:space="preserve">Full reports were obtained for all titles that appeared to meet the inclusion criteria or where there was any uncertainty. Disagreements were resolved through collegial discussion. The reasons for excluding trials were recorded. When there were multiple articles for a single study, the latest publication was used. The studies were reviewed for </w:t>
      </w:r>
      <w:r w:rsidR="00C87D3E">
        <w:rPr>
          <w:rFonts w:ascii="Times New Roman" w:hAnsi="Times New Roman" w:cs="Times New Roman"/>
          <w:sz w:val="24"/>
          <w:szCs w:val="24"/>
        </w:rPr>
        <w:t>definition and management of therapeutic adherence</w:t>
      </w:r>
      <w:r w:rsidR="00C87D3E" w:rsidRPr="00C87D3E">
        <w:rPr>
          <w:rFonts w:ascii="Times New Roman" w:hAnsi="Times New Roman" w:cs="Times New Roman"/>
          <w:sz w:val="24"/>
          <w:szCs w:val="24"/>
        </w:rPr>
        <w:t xml:space="preserve">, </w:t>
      </w:r>
      <w:r w:rsidR="00C87D3E">
        <w:rPr>
          <w:rFonts w:ascii="Times New Roman" w:hAnsi="Times New Roman" w:cs="Times New Roman"/>
          <w:sz w:val="24"/>
          <w:szCs w:val="24"/>
        </w:rPr>
        <w:t>risk factors or predictors of non-adherence</w:t>
      </w:r>
      <w:r w:rsidR="00C87D3E" w:rsidRPr="00C87D3E">
        <w:rPr>
          <w:rFonts w:ascii="Times New Roman" w:hAnsi="Times New Roman" w:cs="Times New Roman"/>
          <w:sz w:val="24"/>
          <w:szCs w:val="24"/>
        </w:rPr>
        <w:t>.</w:t>
      </w:r>
      <w:r w:rsidR="004C023E">
        <w:rPr>
          <w:rFonts w:ascii="Times New Roman" w:hAnsi="Times New Roman" w:cs="Times New Roman"/>
          <w:sz w:val="24"/>
          <w:szCs w:val="24"/>
        </w:rPr>
        <w:t xml:space="preserve"> </w:t>
      </w:r>
      <w:r w:rsidR="00015DD6" w:rsidRPr="00015DD6">
        <w:rPr>
          <w:rFonts w:ascii="Times New Roman" w:hAnsi="Times New Roman" w:cs="Times New Roman"/>
          <w:sz w:val="24"/>
          <w:szCs w:val="24"/>
        </w:rPr>
        <w:t>The search query employed both an exhaustive list of keywords and index terminology whenever possible. The following key words and corresponding Medical Subject Heading/Entree terms were used: “</w:t>
      </w:r>
      <w:r w:rsidR="00015DD6">
        <w:rPr>
          <w:rFonts w:ascii="Times New Roman" w:hAnsi="Times New Roman" w:cs="Times New Roman"/>
          <w:sz w:val="24"/>
          <w:szCs w:val="24"/>
        </w:rPr>
        <w:t>adherence</w:t>
      </w:r>
      <w:r w:rsidR="00015DD6" w:rsidRPr="00015DD6">
        <w:rPr>
          <w:rFonts w:ascii="Times New Roman" w:hAnsi="Times New Roman" w:cs="Times New Roman"/>
          <w:sz w:val="24"/>
          <w:szCs w:val="24"/>
        </w:rPr>
        <w:t>”, “</w:t>
      </w:r>
      <w:r w:rsidR="00015DD6">
        <w:rPr>
          <w:rFonts w:ascii="Times New Roman" w:hAnsi="Times New Roman" w:cs="Times New Roman"/>
          <w:sz w:val="24"/>
          <w:szCs w:val="24"/>
        </w:rPr>
        <w:t>therapeutic adherence</w:t>
      </w:r>
      <w:r w:rsidR="00015DD6" w:rsidRPr="00015DD6">
        <w:rPr>
          <w:rFonts w:ascii="Times New Roman" w:hAnsi="Times New Roman" w:cs="Times New Roman"/>
          <w:sz w:val="24"/>
          <w:szCs w:val="24"/>
        </w:rPr>
        <w:t>”</w:t>
      </w:r>
      <w:r w:rsidR="00015DD6">
        <w:rPr>
          <w:rFonts w:ascii="Times New Roman" w:hAnsi="Times New Roman" w:cs="Times New Roman"/>
          <w:sz w:val="24"/>
          <w:szCs w:val="24"/>
        </w:rPr>
        <w:t>, “medication adherence”</w:t>
      </w:r>
      <w:r w:rsidR="00015DD6" w:rsidRPr="00015DD6">
        <w:rPr>
          <w:rFonts w:ascii="Times New Roman" w:hAnsi="Times New Roman" w:cs="Times New Roman"/>
          <w:sz w:val="24"/>
          <w:szCs w:val="24"/>
        </w:rPr>
        <w:t xml:space="preserve">. The Medline search strategy was: </w:t>
      </w:r>
      <w:r w:rsidR="004C023E" w:rsidRPr="004C023E">
        <w:rPr>
          <w:rFonts w:ascii="Times New Roman" w:hAnsi="Times New Roman" w:cs="Times New Roman"/>
          <w:sz w:val="24"/>
          <w:szCs w:val="24"/>
        </w:rPr>
        <w:t>(((Therapeutic adherence) OR adherence) OR medication adherence) AND ((((inflammatory bowel disease) OR Crohn's disease) OR "Colitis, Ulcerative"[Mesh]) OR Crohn) NOT animals</w:t>
      </w:r>
      <w:r w:rsidR="004C023E">
        <w:rPr>
          <w:rFonts w:ascii="Times New Roman" w:hAnsi="Times New Roman" w:cs="Times New Roman"/>
          <w:sz w:val="24"/>
          <w:szCs w:val="24"/>
        </w:rPr>
        <w:t>.</w:t>
      </w:r>
    </w:p>
    <w:p w14:paraId="21018629" w14:textId="77777777" w:rsidR="00C1066A" w:rsidRPr="00AC41B8" w:rsidRDefault="00C1066A" w:rsidP="00C1066A">
      <w:pPr>
        <w:spacing w:line="480" w:lineRule="auto"/>
        <w:rPr>
          <w:rFonts w:ascii="Times New Roman" w:hAnsi="Times New Roman" w:cs="Times New Roman"/>
          <w:b/>
          <w:bCs/>
          <w:i/>
          <w:iCs/>
          <w:sz w:val="24"/>
          <w:szCs w:val="24"/>
        </w:rPr>
      </w:pPr>
    </w:p>
    <w:p w14:paraId="05D05F27" w14:textId="77777777" w:rsidR="00C1066A" w:rsidRPr="00B040F1" w:rsidRDefault="00C1066A" w:rsidP="00AF1195">
      <w:pPr>
        <w:spacing w:line="360" w:lineRule="auto"/>
        <w:rPr>
          <w:rFonts w:ascii="Times New Roman" w:hAnsi="Times New Roman" w:cs="Times New Roman"/>
          <w:sz w:val="24"/>
          <w:szCs w:val="24"/>
        </w:rPr>
      </w:pPr>
    </w:p>
    <w:sectPr w:rsidR="00C1066A" w:rsidRPr="00B040F1" w:rsidSect="00E31B6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195"/>
    <w:rsid w:val="00015DD6"/>
    <w:rsid w:val="000F646D"/>
    <w:rsid w:val="000F6AB7"/>
    <w:rsid w:val="00140DEF"/>
    <w:rsid w:val="00223C89"/>
    <w:rsid w:val="00252705"/>
    <w:rsid w:val="002F4E38"/>
    <w:rsid w:val="003A73EC"/>
    <w:rsid w:val="003E2E58"/>
    <w:rsid w:val="00416C1C"/>
    <w:rsid w:val="00451123"/>
    <w:rsid w:val="00465518"/>
    <w:rsid w:val="004C023E"/>
    <w:rsid w:val="005C50E9"/>
    <w:rsid w:val="007324BC"/>
    <w:rsid w:val="00930E2A"/>
    <w:rsid w:val="00985AAF"/>
    <w:rsid w:val="00AF1195"/>
    <w:rsid w:val="00B040F1"/>
    <w:rsid w:val="00B63199"/>
    <w:rsid w:val="00B93578"/>
    <w:rsid w:val="00BB442E"/>
    <w:rsid w:val="00BC037A"/>
    <w:rsid w:val="00C1066A"/>
    <w:rsid w:val="00C87D3E"/>
    <w:rsid w:val="00D17671"/>
    <w:rsid w:val="00DB2380"/>
    <w:rsid w:val="00E31B67"/>
    <w:rsid w:val="00E4733F"/>
    <w:rsid w:val="00E54F58"/>
    <w:rsid w:val="00F309E2"/>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32577"/>
  <w15:chartTrackingRefBased/>
  <w15:docId w15:val="{9AD9147E-74FE-46E4-A7F7-D717B2E1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F11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F11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F119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F119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F119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F119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F119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F119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F119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F119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F119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F119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F119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F119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F119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F119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F119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F1195"/>
    <w:rPr>
      <w:rFonts w:eastAsiaTheme="majorEastAsia" w:cstheme="majorBidi"/>
      <w:color w:val="272727" w:themeColor="text1" w:themeTint="D8"/>
    </w:rPr>
  </w:style>
  <w:style w:type="paragraph" w:styleId="Titolo">
    <w:name w:val="Title"/>
    <w:basedOn w:val="Normale"/>
    <w:next w:val="Normale"/>
    <w:link w:val="TitoloCarattere"/>
    <w:uiPriority w:val="10"/>
    <w:qFormat/>
    <w:rsid w:val="00AF11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F119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F119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F119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F119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F1195"/>
    <w:rPr>
      <w:i/>
      <w:iCs/>
      <w:color w:val="404040" w:themeColor="text1" w:themeTint="BF"/>
    </w:rPr>
  </w:style>
  <w:style w:type="paragraph" w:styleId="Paragrafoelenco">
    <w:name w:val="List Paragraph"/>
    <w:basedOn w:val="Normale"/>
    <w:uiPriority w:val="34"/>
    <w:qFormat/>
    <w:rsid w:val="00AF1195"/>
    <w:pPr>
      <w:ind w:left="720"/>
      <w:contextualSpacing/>
    </w:pPr>
  </w:style>
  <w:style w:type="character" w:styleId="Enfasiintensa">
    <w:name w:val="Intense Emphasis"/>
    <w:basedOn w:val="Carpredefinitoparagrafo"/>
    <w:uiPriority w:val="21"/>
    <w:qFormat/>
    <w:rsid w:val="00AF1195"/>
    <w:rPr>
      <w:i/>
      <w:iCs/>
      <w:color w:val="0F4761" w:themeColor="accent1" w:themeShade="BF"/>
    </w:rPr>
  </w:style>
  <w:style w:type="paragraph" w:styleId="Citazioneintensa">
    <w:name w:val="Intense Quote"/>
    <w:basedOn w:val="Normale"/>
    <w:next w:val="Normale"/>
    <w:link w:val="CitazioneintensaCarattere"/>
    <w:uiPriority w:val="30"/>
    <w:qFormat/>
    <w:rsid w:val="00AF11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F1195"/>
    <w:rPr>
      <w:i/>
      <w:iCs/>
      <w:color w:val="0F4761" w:themeColor="accent1" w:themeShade="BF"/>
    </w:rPr>
  </w:style>
  <w:style w:type="character" w:styleId="Riferimentointenso">
    <w:name w:val="Intense Reference"/>
    <w:basedOn w:val="Carpredefinitoparagrafo"/>
    <w:uiPriority w:val="32"/>
    <w:qFormat/>
    <w:rsid w:val="00AF1195"/>
    <w:rPr>
      <w:b/>
      <w:bCs/>
      <w:smallCaps/>
      <w:color w:val="0F4761" w:themeColor="accent1" w:themeShade="BF"/>
      <w:spacing w:val="5"/>
    </w:rPr>
  </w:style>
  <w:style w:type="character" w:styleId="Rimandocommento">
    <w:name w:val="annotation reference"/>
    <w:basedOn w:val="Carpredefinitoparagrafo"/>
    <w:uiPriority w:val="99"/>
    <w:semiHidden/>
    <w:unhideWhenUsed/>
    <w:rsid w:val="00AF1195"/>
    <w:rPr>
      <w:sz w:val="16"/>
      <w:szCs w:val="16"/>
    </w:rPr>
  </w:style>
  <w:style w:type="paragraph" w:styleId="Testocommento">
    <w:name w:val="annotation text"/>
    <w:basedOn w:val="Normale"/>
    <w:link w:val="TestocommentoCarattere"/>
    <w:uiPriority w:val="99"/>
    <w:unhideWhenUsed/>
    <w:rsid w:val="00AF1195"/>
    <w:pPr>
      <w:spacing w:line="240" w:lineRule="auto"/>
    </w:pPr>
    <w:rPr>
      <w:sz w:val="20"/>
      <w:szCs w:val="20"/>
    </w:rPr>
  </w:style>
  <w:style w:type="character" w:customStyle="1" w:styleId="TestocommentoCarattere">
    <w:name w:val="Testo commento Carattere"/>
    <w:basedOn w:val="Carpredefinitoparagrafo"/>
    <w:link w:val="Testocommento"/>
    <w:uiPriority w:val="99"/>
    <w:rsid w:val="00AF11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B376061C2DD4F4D8FC38FF192CC981D" ma:contentTypeVersion="14" ma:contentTypeDescription="Creare un nuovo documento." ma:contentTypeScope="" ma:versionID="60c388167c850fd6acaa14025e4378da">
  <xsd:schema xmlns:xsd="http://www.w3.org/2001/XMLSchema" xmlns:xs="http://www.w3.org/2001/XMLSchema" xmlns:p="http://schemas.microsoft.com/office/2006/metadata/properties" xmlns:ns2="7a74b075-83e0-4c05-b527-d78d7c6fbf9b" xmlns:ns3="f98595f8-81e9-4b21-ab0b-b2f92e4f9868" targetNamespace="http://schemas.microsoft.com/office/2006/metadata/properties" ma:root="true" ma:fieldsID="9cbd05a8d560b20290370a831656edc2" ns2:_="" ns3:_="">
    <xsd:import namespace="7a74b075-83e0-4c05-b527-d78d7c6fbf9b"/>
    <xsd:import namespace="f98595f8-81e9-4b21-ab0b-b2f92e4f986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4b075-83e0-4c05-b527-d78d7c6fbf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8870de15-bcca-44b9-b7b5-b2794476cd4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8595f8-81e9-4b21-ab0b-b2f92e4f986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53474ee-30f2-4e4f-a8de-c1d8b94c0e4e}" ma:internalName="TaxCatchAll" ma:showField="CatchAllData" ma:web="f98595f8-81e9-4b21-ab0b-b2f92e4f986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98595f8-81e9-4b21-ab0b-b2f92e4f9868" xsi:nil="true"/>
    <lcf76f155ced4ddcb4097134ff3c332f xmlns="7a74b075-83e0-4c05-b527-d78d7c6fbf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2F6E2C-C123-40D4-A715-6D75ADAC6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4b075-83e0-4c05-b527-d78d7c6fbf9b"/>
    <ds:schemaRef ds:uri="f98595f8-81e9-4b21-ab0b-b2f92e4f98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9F3AA1-0D94-4539-9F5A-A21AA166D4CD}">
  <ds:schemaRefs>
    <ds:schemaRef ds:uri="http://schemas.microsoft.com/sharepoint/v3/contenttype/forms"/>
  </ds:schemaRefs>
</ds:datastoreItem>
</file>

<file path=customXml/itemProps3.xml><?xml version="1.0" encoding="utf-8"?>
<ds:datastoreItem xmlns:ds="http://schemas.openxmlformats.org/officeDocument/2006/customXml" ds:itemID="{A2559AD1-51D7-4D83-BD26-B07E29669D2D}">
  <ds:schemaRefs>
    <ds:schemaRef ds:uri="http://schemas.microsoft.com/office/2006/metadata/properties"/>
    <ds:schemaRef ds:uri="http://schemas.microsoft.com/office/infopath/2007/PartnerControls"/>
    <ds:schemaRef ds:uri="f98595f8-81e9-4b21-ab0b-b2f92e4f9868"/>
    <ds:schemaRef ds:uri="7a74b075-83e0-4c05-b527-d78d7c6fbf9b"/>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558</Words>
  <Characters>3181</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Arianna Dal Buono</dc:creator>
  <cp:keywords/>
  <dc:description/>
  <cp:lastModifiedBy>Arianna Dal Buono</cp:lastModifiedBy>
  <cp:revision>19</cp:revision>
  <dcterms:created xsi:type="dcterms:W3CDTF">2024-09-29T17:37:00Z</dcterms:created>
  <dcterms:modified xsi:type="dcterms:W3CDTF">2024-12-15T08:12:00Z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0x0101008B376061C2DD4F4D8FC38FF192CC981D</vt:lpwstr>
  </property>
</Properties>
</file>