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E3438E" w14:textId="77777777" w:rsidR="00A71BD3" w:rsidRPr="002C4116" w:rsidRDefault="00A71BD3" w:rsidP="00A71BD3">
      <w:pPr>
        <w:spacing w:line="360" w:lineRule="auto"/>
        <w:rPr>
          <w:rFonts w:ascii="Times New Roman" w:hAnsi="Times New Roman" w:cs="Times New Roman"/>
          <w:b/>
          <w:bCs/>
          <w:sz w:val="24"/>
          <w:szCs w:val="24"/>
          <w:lang w:val="en-GB"/>
        </w:rPr>
      </w:pPr>
      <w:r w:rsidRPr="002C4116">
        <w:rPr>
          <w:rFonts w:ascii="Times New Roman" w:hAnsi="Times New Roman" w:cs="Times New Roman"/>
          <w:b/>
          <w:bCs/>
          <w:sz w:val="24"/>
          <w:szCs w:val="24"/>
          <w:lang w:val="en-GB"/>
        </w:rPr>
        <w:t>Exploiting the Functionality of Cerium Oxide-Modified Carbon Nanohorns catalysts towards Enhanced CO</w:t>
      </w:r>
      <w:r w:rsidRPr="002C4116">
        <w:rPr>
          <w:rFonts w:ascii="Times New Roman" w:hAnsi="Times New Roman" w:cs="Times New Roman"/>
          <w:b/>
          <w:bCs/>
          <w:sz w:val="24"/>
          <w:szCs w:val="24"/>
          <w:vertAlign w:val="subscript"/>
          <w:lang w:val="en-GB"/>
        </w:rPr>
        <w:t>2</w:t>
      </w:r>
      <w:r w:rsidRPr="002C4116">
        <w:rPr>
          <w:rFonts w:ascii="Times New Roman" w:hAnsi="Times New Roman" w:cs="Times New Roman"/>
          <w:b/>
          <w:bCs/>
          <w:sz w:val="24"/>
          <w:szCs w:val="24"/>
          <w:lang w:val="en-GB"/>
        </w:rPr>
        <w:t xml:space="preserve"> Reduction Performance </w:t>
      </w:r>
    </w:p>
    <w:p w14:paraId="6EA3676A" w14:textId="77777777" w:rsidR="00A71BD3" w:rsidRPr="002C4116" w:rsidRDefault="00A71BD3" w:rsidP="00A71BD3">
      <w:pPr>
        <w:pStyle w:val="Tableofcontents"/>
      </w:pPr>
    </w:p>
    <w:p w14:paraId="15F9AE5A" w14:textId="77777777" w:rsidR="00A71BD3" w:rsidRPr="002C4116" w:rsidRDefault="00A71BD3" w:rsidP="00A71BD3">
      <w:pPr>
        <w:spacing w:line="360" w:lineRule="auto"/>
        <w:rPr>
          <w:rFonts w:ascii="Times New Roman" w:hAnsi="Times New Roman" w:cs="Times New Roman"/>
          <w:sz w:val="24"/>
          <w:szCs w:val="24"/>
          <w:u w:val="single"/>
          <w:lang w:val="en-GB"/>
        </w:rPr>
      </w:pPr>
      <w:r w:rsidRPr="002C4116">
        <w:rPr>
          <w:rFonts w:ascii="Times New Roman" w:hAnsi="Times New Roman" w:cs="Times New Roman"/>
          <w:noProof/>
          <w:sz w:val="24"/>
          <w:szCs w:val="24"/>
          <w:lang w:val="it-IT" w:eastAsia="it-IT"/>
        </w:rPr>
        <w:drawing>
          <wp:inline distT="0" distB="0" distL="0" distR="0" wp14:anchorId="35C741EF" wp14:editId="3839481D">
            <wp:extent cx="1815186" cy="1979017"/>
            <wp:effectExtent l="0" t="0" r="0" b="2540"/>
            <wp:docPr id="5" name="Immagine 4" descr="Immagine che contiene testo, schermata, design&#10;&#10;Il contenuto generato dall'IA potrebbe non essere corretto.">
              <a:extLst xmlns:a="http://schemas.openxmlformats.org/drawingml/2006/main">
                <a:ext uri="{FF2B5EF4-FFF2-40B4-BE49-F238E27FC236}">
                  <a16:creationId xmlns:a16="http://schemas.microsoft.com/office/drawing/2014/main" id="{A98A9149-1F52-CB77-96BC-EACE44BDAD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descr="Immagine che contiene testo, schermata, design&#10;&#10;Il contenuto generato dall'IA potrebbe non essere corretto.">
                      <a:extLst>
                        <a:ext uri="{FF2B5EF4-FFF2-40B4-BE49-F238E27FC236}">
                          <a16:creationId xmlns:a16="http://schemas.microsoft.com/office/drawing/2014/main" id="{A98A9149-1F52-CB77-96BC-EACE44BDADF9}"/>
                        </a:ext>
                      </a:extLst>
                    </pic:cNvPr>
                    <pic:cNvPicPr>
                      <a:picLocks noChangeAspect="1"/>
                    </pic:cNvPicPr>
                  </pic:nvPicPr>
                  <pic:blipFill rotWithShape="1">
                    <a:blip r:embed="rId7" cstate="print">
                      <a:extLst>
                        <a:ext uri="{28A0092B-C50C-407E-A947-70E740481C1C}">
                          <a14:useLocalDpi xmlns:a14="http://schemas.microsoft.com/office/drawing/2010/main" val="0"/>
                        </a:ext>
                      </a:extLst>
                    </a:blip>
                    <a:srcRect l="45722" t="5265" r="4433" b="17140"/>
                    <a:stretch/>
                  </pic:blipFill>
                  <pic:spPr bwMode="auto">
                    <a:xfrm>
                      <a:off x="0" y="0"/>
                      <a:ext cx="1816088" cy="1980000"/>
                    </a:xfrm>
                    <a:prstGeom prst="rect">
                      <a:avLst/>
                    </a:prstGeom>
                    <a:ln>
                      <a:noFill/>
                    </a:ln>
                    <a:extLst>
                      <a:ext uri="{53640926-AAD7-44D8-BBD7-CCE9431645EC}">
                        <a14:shadowObscured xmlns:a14="http://schemas.microsoft.com/office/drawing/2010/main"/>
                      </a:ext>
                    </a:extLst>
                  </pic:spPr>
                </pic:pic>
              </a:graphicData>
            </a:graphic>
          </wp:inline>
        </w:drawing>
      </w:r>
    </w:p>
    <w:p w14:paraId="26A27F93" w14:textId="77777777" w:rsidR="00A71BD3" w:rsidRPr="002C4116" w:rsidRDefault="00A71BD3" w:rsidP="00A71BD3">
      <w:pPr>
        <w:pStyle w:val="Title2"/>
        <w:spacing w:line="360" w:lineRule="auto"/>
        <w:rPr>
          <w:b w:val="0"/>
          <w:lang w:val="en-GB"/>
        </w:rPr>
      </w:pPr>
    </w:p>
    <w:p w14:paraId="4304EBD1" w14:textId="77777777" w:rsidR="00A71BD3" w:rsidRPr="002C4116" w:rsidRDefault="00A71BD3" w:rsidP="00A71BD3">
      <w:pPr>
        <w:pStyle w:val="Title2"/>
        <w:spacing w:line="360" w:lineRule="auto"/>
        <w:rPr>
          <w:b w:val="0"/>
          <w:lang w:val="en-GB"/>
        </w:rPr>
      </w:pPr>
    </w:p>
    <w:p w14:paraId="2ED77A5B" w14:textId="77777777" w:rsidR="00A71BD3" w:rsidRPr="002C4116" w:rsidRDefault="00A71BD3" w:rsidP="00A71BD3">
      <w:pPr>
        <w:pStyle w:val="Title2"/>
        <w:spacing w:line="360" w:lineRule="auto"/>
        <w:rPr>
          <w:b w:val="0"/>
          <w:lang w:val="en-GB"/>
        </w:rPr>
      </w:pPr>
    </w:p>
    <w:p w14:paraId="1B7DCF33" w14:textId="77777777" w:rsidR="00A71BD3" w:rsidRPr="002C4116" w:rsidRDefault="00A71BD3" w:rsidP="00A71BD3">
      <w:pPr>
        <w:pStyle w:val="Title2"/>
        <w:spacing w:line="360" w:lineRule="auto"/>
        <w:rPr>
          <w:b w:val="0"/>
          <w:lang w:val="en-GB"/>
        </w:rPr>
      </w:pPr>
    </w:p>
    <w:p w14:paraId="44829EB6" w14:textId="77777777" w:rsidR="00A71BD3" w:rsidRPr="002C4116" w:rsidRDefault="00A71BD3" w:rsidP="00A71BD3">
      <w:pPr>
        <w:pStyle w:val="Title2"/>
        <w:spacing w:line="360" w:lineRule="auto"/>
        <w:rPr>
          <w:b w:val="0"/>
          <w:lang w:val="en-GB"/>
        </w:rPr>
      </w:pPr>
    </w:p>
    <w:p w14:paraId="620F7505" w14:textId="77777777" w:rsidR="00A71BD3" w:rsidRPr="002C4116" w:rsidRDefault="00A71BD3" w:rsidP="00A71BD3">
      <w:pPr>
        <w:pStyle w:val="Title2"/>
        <w:spacing w:line="360" w:lineRule="auto"/>
        <w:rPr>
          <w:b w:val="0"/>
          <w:lang w:val="en-GB"/>
        </w:rPr>
      </w:pPr>
    </w:p>
    <w:p w14:paraId="060936E8" w14:textId="77777777" w:rsidR="00A71BD3" w:rsidRPr="002C4116" w:rsidRDefault="00A71BD3" w:rsidP="00A71BD3">
      <w:pPr>
        <w:pStyle w:val="Title2"/>
        <w:spacing w:line="360" w:lineRule="auto"/>
        <w:rPr>
          <w:b w:val="0"/>
          <w:lang w:val="en-GB"/>
        </w:rPr>
      </w:pPr>
    </w:p>
    <w:p w14:paraId="2A8C1FF3" w14:textId="77777777" w:rsidR="00A71BD3" w:rsidRPr="002C4116" w:rsidRDefault="00A71BD3" w:rsidP="00A71BD3">
      <w:pPr>
        <w:pStyle w:val="Title2"/>
        <w:spacing w:line="360" w:lineRule="auto"/>
        <w:rPr>
          <w:b w:val="0"/>
          <w:lang w:val="en-GB"/>
        </w:rPr>
      </w:pPr>
    </w:p>
    <w:p w14:paraId="5CB2738F" w14:textId="77777777" w:rsidR="00A71BD3" w:rsidRPr="002C4116" w:rsidRDefault="00A71BD3" w:rsidP="00A71BD3">
      <w:pPr>
        <w:pStyle w:val="Title2"/>
        <w:spacing w:line="360" w:lineRule="auto"/>
        <w:rPr>
          <w:b w:val="0"/>
          <w:lang w:val="en-GB"/>
        </w:rPr>
      </w:pPr>
    </w:p>
    <w:p w14:paraId="45081D53" w14:textId="77777777" w:rsidR="00A71BD3" w:rsidRPr="002C4116" w:rsidRDefault="00A71BD3" w:rsidP="00A71BD3">
      <w:pPr>
        <w:pStyle w:val="Title2"/>
        <w:spacing w:line="360" w:lineRule="auto"/>
        <w:rPr>
          <w:b w:val="0"/>
          <w:lang w:val="en-GB"/>
        </w:rPr>
      </w:pPr>
    </w:p>
    <w:p w14:paraId="6359D3F7" w14:textId="77777777" w:rsidR="00A71BD3" w:rsidRPr="002C4116" w:rsidRDefault="00A71BD3" w:rsidP="00A71BD3">
      <w:pPr>
        <w:pStyle w:val="Title2"/>
        <w:spacing w:line="360" w:lineRule="auto"/>
        <w:rPr>
          <w:b w:val="0"/>
          <w:lang w:val="en-GB"/>
        </w:rPr>
      </w:pPr>
    </w:p>
    <w:p w14:paraId="08258A45" w14:textId="77777777" w:rsidR="00A71BD3" w:rsidRPr="002C4116" w:rsidRDefault="00A71BD3" w:rsidP="00A71BD3">
      <w:pPr>
        <w:pStyle w:val="Title2"/>
        <w:spacing w:line="360" w:lineRule="auto"/>
        <w:rPr>
          <w:b w:val="0"/>
          <w:lang w:val="en-GB"/>
        </w:rPr>
      </w:pPr>
    </w:p>
    <w:p w14:paraId="23361CE2" w14:textId="77777777" w:rsidR="00A71BD3" w:rsidRPr="002C4116" w:rsidRDefault="00A71BD3" w:rsidP="00A71BD3">
      <w:pPr>
        <w:pStyle w:val="Title2"/>
        <w:spacing w:line="360" w:lineRule="auto"/>
        <w:rPr>
          <w:b w:val="0"/>
          <w:lang w:val="en-GB"/>
        </w:rPr>
      </w:pPr>
    </w:p>
    <w:p w14:paraId="6DFEDD32" w14:textId="77777777" w:rsidR="00A71BD3" w:rsidRPr="002C4116" w:rsidRDefault="00A71BD3" w:rsidP="00A71BD3">
      <w:pPr>
        <w:pStyle w:val="Title2"/>
        <w:spacing w:line="360" w:lineRule="auto"/>
        <w:rPr>
          <w:b w:val="0"/>
          <w:lang w:val="en-GB"/>
        </w:rPr>
      </w:pPr>
    </w:p>
    <w:p w14:paraId="6578B1DC" w14:textId="77777777" w:rsidR="00A71BD3" w:rsidRPr="002C4116" w:rsidRDefault="00A71BD3" w:rsidP="00A71BD3">
      <w:pPr>
        <w:pStyle w:val="Title2"/>
        <w:spacing w:line="360" w:lineRule="auto"/>
        <w:rPr>
          <w:b w:val="0"/>
          <w:lang w:val="en-GB"/>
        </w:rPr>
      </w:pPr>
    </w:p>
    <w:p w14:paraId="624C37EF" w14:textId="77777777" w:rsidR="00A71BD3" w:rsidRPr="002C4116" w:rsidRDefault="00A71BD3" w:rsidP="00A71BD3">
      <w:pPr>
        <w:pStyle w:val="Title2"/>
        <w:spacing w:line="360" w:lineRule="auto"/>
        <w:rPr>
          <w:b w:val="0"/>
          <w:lang w:val="en-GB"/>
        </w:rPr>
      </w:pPr>
    </w:p>
    <w:p w14:paraId="210AC50F" w14:textId="77777777" w:rsidR="00A71BD3" w:rsidRPr="002C4116" w:rsidRDefault="00A71BD3" w:rsidP="00A71BD3">
      <w:pPr>
        <w:pStyle w:val="Title2"/>
        <w:spacing w:line="360" w:lineRule="auto"/>
        <w:rPr>
          <w:b w:val="0"/>
          <w:lang w:val="en-GB"/>
        </w:rPr>
      </w:pPr>
    </w:p>
    <w:p w14:paraId="3536A63E" w14:textId="77777777" w:rsidR="00A71BD3" w:rsidRPr="002C4116" w:rsidRDefault="00A71BD3" w:rsidP="00A71BD3">
      <w:pPr>
        <w:pStyle w:val="Title2"/>
        <w:spacing w:line="360" w:lineRule="auto"/>
        <w:rPr>
          <w:b w:val="0"/>
          <w:lang w:val="en-GB"/>
        </w:rPr>
      </w:pPr>
    </w:p>
    <w:p w14:paraId="0C94718B" w14:textId="77777777" w:rsidR="00A71BD3" w:rsidRPr="002C4116" w:rsidRDefault="00A71BD3" w:rsidP="00A71BD3">
      <w:pPr>
        <w:pStyle w:val="Title2"/>
        <w:spacing w:line="360" w:lineRule="auto"/>
        <w:rPr>
          <w:b w:val="0"/>
          <w:lang w:val="en-GB"/>
        </w:rPr>
      </w:pPr>
    </w:p>
    <w:p w14:paraId="35D48CE1" w14:textId="77777777" w:rsidR="00A71BD3" w:rsidRPr="002C4116" w:rsidRDefault="00A71BD3" w:rsidP="00A71BD3">
      <w:pPr>
        <w:pStyle w:val="Title2"/>
        <w:spacing w:line="360" w:lineRule="auto"/>
        <w:rPr>
          <w:b w:val="0"/>
          <w:lang w:val="en-GB"/>
        </w:rPr>
      </w:pPr>
    </w:p>
    <w:p w14:paraId="362D7419" w14:textId="77777777" w:rsidR="00A71BD3" w:rsidRDefault="00A71BD3" w:rsidP="00A71BD3">
      <w:pPr>
        <w:pStyle w:val="Title2"/>
        <w:spacing w:line="360" w:lineRule="auto"/>
        <w:rPr>
          <w:b w:val="0"/>
          <w:lang w:val="en-GB"/>
        </w:rPr>
      </w:pPr>
    </w:p>
    <w:p w14:paraId="5A2E31AD" w14:textId="77777777" w:rsidR="00D432BF" w:rsidRDefault="00D432BF" w:rsidP="00A71BD3">
      <w:pPr>
        <w:pStyle w:val="Title2"/>
        <w:spacing w:line="360" w:lineRule="auto"/>
        <w:rPr>
          <w:b w:val="0"/>
          <w:lang w:val="en-GB"/>
        </w:rPr>
      </w:pPr>
    </w:p>
    <w:p w14:paraId="08CBAD31" w14:textId="49B90629" w:rsidR="00A71BD3" w:rsidRPr="00D432BF" w:rsidRDefault="00A71BD3" w:rsidP="00A71BD3">
      <w:pPr>
        <w:pStyle w:val="Title2"/>
        <w:spacing w:line="360" w:lineRule="auto"/>
        <w:rPr>
          <w:bCs/>
          <w:sz w:val="28"/>
          <w:szCs w:val="28"/>
        </w:rPr>
      </w:pPr>
      <w:r w:rsidRPr="00D432BF">
        <w:rPr>
          <w:bCs/>
          <w:sz w:val="28"/>
          <w:szCs w:val="28"/>
        </w:rPr>
        <w:lastRenderedPageBreak/>
        <w:t xml:space="preserve">Supporting Information </w:t>
      </w:r>
    </w:p>
    <w:p w14:paraId="08BFD691" w14:textId="77777777" w:rsidR="00A71BD3" w:rsidRPr="002C4116" w:rsidRDefault="00A71BD3" w:rsidP="00A71BD3">
      <w:pPr>
        <w:pStyle w:val="Tableofcontents"/>
      </w:pPr>
    </w:p>
    <w:p w14:paraId="42974122" w14:textId="77777777" w:rsidR="00A71BD3" w:rsidRPr="002C4116" w:rsidRDefault="00A71BD3" w:rsidP="00A71BD3">
      <w:pPr>
        <w:spacing w:line="360" w:lineRule="auto"/>
        <w:rPr>
          <w:rFonts w:ascii="Times New Roman" w:hAnsi="Times New Roman" w:cs="Times New Roman"/>
          <w:b/>
          <w:bCs/>
          <w:sz w:val="24"/>
          <w:szCs w:val="24"/>
          <w:lang w:val="en-GB"/>
        </w:rPr>
      </w:pPr>
      <w:r w:rsidRPr="002C4116">
        <w:rPr>
          <w:rFonts w:ascii="Times New Roman" w:hAnsi="Times New Roman" w:cs="Times New Roman"/>
          <w:b/>
          <w:bCs/>
          <w:sz w:val="24"/>
          <w:szCs w:val="24"/>
          <w:lang w:val="en-GB"/>
        </w:rPr>
        <w:t>Exploiting the Functionality of Cerium Oxide-Modified Carbon Nanohorns catalysts towards Enhanced CO</w:t>
      </w:r>
      <w:r w:rsidRPr="002C4116">
        <w:rPr>
          <w:rFonts w:ascii="Times New Roman" w:hAnsi="Times New Roman" w:cs="Times New Roman"/>
          <w:b/>
          <w:bCs/>
          <w:sz w:val="24"/>
          <w:szCs w:val="24"/>
          <w:vertAlign w:val="subscript"/>
          <w:lang w:val="en-GB"/>
        </w:rPr>
        <w:t>2</w:t>
      </w:r>
      <w:r w:rsidRPr="002C4116">
        <w:rPr>
          <w:rFonts w:ascii="Times New Roman" w:hAnsi="Times New Roman" w:cs="Times New Roman"/>
          <w:b/>
          <w:bCs/>
          <w:sz w:val="24"/>
          <w:szCs w:val="24"/>
          <w:lang w:val="en-GB"/>
        </w:rPr>
        <w:t xml:space="preserve"> Reduction Performance </w:t>
      </w:r>
    </w:p>
    <w:p w14:paraId="3FAA81A1" w14:textId="77777777" w:rsidR="00A71BD3" w:rsidRPr="002C4116" w:rsidRDefault="00A71BD3" w:rsidP="00A71BD3">
      <w:pPr>
        <w:spacing w:line="360" w:lineRule="auto"/>
        <w:rPr>
          <w:rFonts w:ascii="Times New Roman" w:hAnsi="Times New Roman" w:cs="Times New Roman"/>
          <w:b/>
          <w:bCs/>
          <w:sz w:val="24"/>
          <w:szCs w:val="24"/>
          <w:lang w:val="en-GB"/>
        </w:rPr>
      </w:pPr>
    </w:p>
    <w:p w14:paraId="0B3BD3E2" w14:textId="0EE48FC2" w:rsidR="00A71BD3" w:rsidRPr="002C4116" w:rsidRDefault="00D432BF" w:rsidP="00A71BD3">
      <w:pPr>
        <w:pStyle w:val="Tableofcontents"/>
        <w:rPr>
          <w:i/>
          <w:iCs/>
          <w:lang w:val="it-IT"/>
        </w:rPr>
      </w:pPr>
      <w:r w:rsidRPr="00D432BF">
        <w:rPr>
          <w:i/>
          <w:iCs/>
          <w:lang w:val="it-IT"/>
        </w:rPr>
        <w:t>Alessia Pollice,</w:t>
      </w:r>
      <w:r w:rsidRPr="00D432BF">
        <w:rPr>
          <w:i/>
          <w:iCs/>
          <w:vertAlign w:val="superscript"/>
          <w:lang w:val="it-IT"/>
        </w:rPr>
        <w:t>±</w:t>
      </w:r>
      <w:r w:rsidRPr="00D432BF">
        <w:rPr>
          <w:i/>
          <w:iCs/>
          <w:lang w:val="it-IT"/>
        </w:rPr>
        <w:t xml:space="preserve"> Michele Cacioppo,</w:t>
      </w:r>
      <w:r w:rsidRPr="00D432BF">
        <w:rPr>
          <w:i/>
          <w:iCs/>
          <w:vertAlign w:val="superscript"/>
          <w:lang w:val="it-IT"/>
        </w:rPr>
        <w:t>±</w:t>
      </w:r>
      <w:r>
        <w:rPr>
          <w:i/>
          <w:iCs/>
          <w:lang w:val="it-IT"/>
        </w:rPr>
        <w:t xml:space="preserve"> </w:t>
      </w:r>
      <w:r w:rsidR="00A71BD3" w:rsidRPr="002C4116">
        <w:rPr>
          <w:i/>
          <w:iCs/>
          <w:lang w:val="it-IT"/>
        </w:rPr>
        <w:t>Miriam Marchi, Miriam Moro, Francesco Paolucci, Marcella Bonchio, Maurizio Prato, Giovanni Valenti,* Michele Melchionna,* Paolo Fornasiero</w:t>
      </w:r>
    </w:p>
    <w:p w14:paraId="113C4924" w14:textId="77777777" w:rsidR="00A71BD3" w:rsidRPr="002C4116" w:rsidRDefault="00A71BD3" w:rsidP="00A71BD3">
      <w:pPr>
        <w:pStyle w:val="Tableofcontents"/>
        <w:rPr>
          <w:lang w:val="it-IT"/>
        </w:rPr>
      </w:pPr>
    </w:p>
    <w:p w14:paraId="50CE9ADB" w14:textId="77777777" w:rsidR="00A71BD3" w:rsidRPr="002C4116" w:rsidRDefault="00A71BD3" w:rsidP="00A71BD3">
      <w:pPr>
        <w:pStyle w:val="Paragrafoelenco"/>
        <w:numPr>
          <w:ilvl w:val="0"/>
          <w:numId w:val="1"/>
        </w:numPr>
        <w:spacing w:line="360" w:lineRule="auto"/>
        <w:jc w:val="both"/>
        <w:rPr>
          <w:rFonts w:ascii="Times New Roman" w:hAnsi="Times New Roman" w:cs="Times New Roman"/>
          <w:b/>
          <w:bCs/>
          <w:sz w:val="24"/>
          <w:szCs w:val="24"/>
        </w:rPr>
      </w:pPr>
      <w:r w:rsidRPr="002C4116">
        <w:rPr>
          <w:rFonts w:ascii="Times New Roman" w:hAnsi="Times New Roman" w:cs="Times New Roman"/>
          <w:b/>
          <w:bCs/>
          <w:sz w:val="24"/>
          <w:szCs w:val="24"/>
        </w:rPr>
        <w:t>TEM characterization</w:t>
      </w:r>
    </w:p>
    <w:p w14:paraId="2117A6EA" w14:textId="77777777" w:rsidR="00A71BD3" w:rsidRPr="002C4116" w:rsidRDefault="00A71BD3" w:rsidP="00A71BD3">
      <w:pPr>
        <w:pStyle w:val="Paragrafoelenco"/>
        <w:spacing w:line="360" w:lineRule="auto"/>
        <w:jc w:val="center"/>
        <w:rPr>
          <w:rFonts w:ascii="Times New Roman" w:hAnsi="Times New Roman" w:cs="Times New Roman"/>
          <w:b/>
          <w:bCs/>
          <w:sz w:val="24"/>
          <w:szCs w:val="24"/>
        </w:rPr>
      </w:pPr>
      <w:r w:rsidRPr="002C4116">
        <w:rPr>
          <w:rFonts w:ascii="Times New Roman" w:hAnsi="Times New Roman" w:cs="Times New Roman"/>
          <w:b/>
          <w:bCs/>
          <w:noProof/>
          <w:sz w:val="24"/>
          <w:szCs w:val="24"/>
          <w:lang w:val="it-IT" w:eastAsia="it-IT"/>
        </w:rPr>
        <w:drawing>
          <wp:inline distT="0" distB="0" distL="0" distR="0" wp14:anchorId="089055A8" wp14:editId="2432CEB2">
            <wp:extent cx="4798021" cy="3225895"/>
            <wp:effectExtent l="0" t="0" r="0" b="0"/>
            <wp:docPr id="76721715" name="Immagine 3" descr="Immagine che contiene mappa, schermata, testo, diagramma&#10;&#10;Il contenuto generato dall'IA potrebbe non essere corretto.">
              <a:extLst xmlns:a="http://schemas.openxmlformats.org/drawingml/2006/main">
                <a:ext uri="{FF2B5EF4-FFF2-40B4-BE49-F238E27FC236}">
                  <a16:creationId xmlns:a16="http://schemas.microsoft.com/office/drawing/2014/main" id="{CA4A9FB6-2DF8-A387-ABDB-909891C0C1C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Immagine che contiene mappa, schermata, testo, diagramma&#10;&#10;Il contenuto generato dall'IA potrebbe non essere corretto.">
                      <a:extLst>
                        <a:ext uri="{FF2B5EF4-FFF2-40B4-BE49-F238E27FC236}">
                          <a16:creationId xmlns:a16="http://schemas.microsoft.com/office/drawing/2014/main" id="{CA4A9FB6-2DF8-A387-ABDB-909891C0C1CB}"/>
                        </a:ext>
                      </a:extLst>
                    </pic:cNvPr>
                    <pic:cNvPicPr>
                      <a:picLocks noChangeAspect="1"/>
                    </pic:cNvPicPr>
                  </pic:nvPicPr>
                  <pic:blipFill>
                    <a:blip r:embed="rId8"/>
                    <a:stretch>
                      <a:fillRect/>
                    </a:stretch>
                  </pic:blipFill>
                  <pic:spPr>
                    <a:xfrm>
                      <a:off x="0" y="0"/>
                      <a:ext cx="4814462" cy="3236949"/>
                    </a:xfrm>
                    <a:prstGeom prst="rect">
                      <a:avLst/>
                    </a:prstGeom>
                  </pic:spPr>
                </pic:pic>
              </a:graphicData>
            </a:graphic>
          </wp:inline>
        </w:drawing>
      </w:r>
    </w:p>
    <w:p w14:paraId="236B334E" w14:textId="7555ED2A" w:rsidR="00A71BD3" w:rsidRPr="002C4116" w:rsidRDefault="00A71BD3" w:rsidP="00A71BD3">
      <w:pPr>
        <w:pStyle w:val="Paragrafoelenco"/>
        <w:spacing w:line="360" w:lineRule="auto"/>
        <w:ind w:left="0"/>
        <w:jc w:val="both"/>
        <w:rPr>
          <w:rFonts w:ascii="Times New Roman" w:hAnsi="Times New Roman" w:cs="Times New Roman"/>
          <w:sz w:val="24"/>
          <w:szCs w:val="24"/>
        </w:rPr>
      </w:pPr>
      <w:r w:rsidRPr="002C4116">
        <w:rPr>
          <w:rFonts w:ascii="Times New Roman" w:hAnsi="Times New Roman" w:cs="Times New Roman"/>
          <w:b/>
          <w:bCs/>
          <w:sz w:val="24"/>
          <w:szCs w:val="24"/>
        </w:rPr>
        <w:t xml:space="preserve">Figure S1. </w:t>
      </w:r>
      <w:r w:rsidRPr="002C4116">
        <w:rPr>
          <w:rFonts w:ascii="Times New Roman" w:hAnsi="Times New Roman" w:cs="Times New Roman"/>
          <w:sz w:val="24"/>
          <w:szCs w:val="24"/>
        </w:rPr>
        <w:t>TEM images of CeO₂@</w:t>
      </w:r>
      <w:r w:rsidR="002C4116" w:rsidRPr="002C4116">
        <w:rPr>
          <w:rFonts w:ascii="Times New Roman" w:hAnsi="Times New Roman" w:cs="Times New Roman"/>
          <w:sz w:val="24"/>
          <w:szCs w:val="24"/>
        </w:rPr>
        <w:t>ox</w:t>
      </w:r>
      <w:r w:rsidRPr="002C4116">
        <w:rPr>
          <w:rFonts w:ascii="Times New Roman" w:hAnsi="Times New Roman" w:cs="Times New Roman"/>
          <w:sz w:val="24"/>
          <w:szCs w:val="24"/>
        </w:rPr>
        <w:t>CNHs S (A) and CeO₂@</w:t>
      </w:r>
      <w:r w:rsidR="002C4116" w:rsidRPr="002C4116">
        <w:rPr>
          <w:rFonts w:ascii="Times New Roman" w:hAnsi="Times New Roman" w:cs="Times New Roman"/>
          <w:sz w:val="24"/>
          <w:szCs w:val="24"/>
        </w:rPr>
        <w:t>ox</w:t>
      </w:r>
      <w:r w:rsidRPr="002C4116">
        <w:rPr>
          <w:rFonts w:ascii="Times New Roman" w:hAnsi="Times New Roman" w:cs="Times New Roman"/>
          <w:sz w:val="24"/>
          <w:szCs w:val="24"/>
        </w:rPr>
        <w:t>CNHs G (B); CeO</w:t>
      </w:r>
      <w:r w:rsidRPr="002C4116">
        <w:rPr>
          <w:rFonts w:ascii="Times New Roman" w:hAnsi="Times New Roman" w:cs="Times New Roman"/>
          <w:sz w:val="24"/>
          <w:szCs w:val="24"/>
          <w:vertAlign w:val="subscript"/>
        </w:rPr>
        <w:t>2</w:t>
      </w:r>
      <w:r w:rsidRPr="002C4116">
        <w:rPr>
          <w:rFonts w:ascii="Times New Roman" w:hAnsi="Times New Roman" w:cs="Times New Roman"/>
          <w:sz w:val="24"/>
          <w:szCs w:val="24"/>
        </w:rPr>
        <w:t xml:space="preserve"> nanoparticles size distribution histograms for CeO₂@</w:t>
      </w:r>
      <w:r w:rsidR="002C4116" w:rsidRPr="002C4116">
        <w:rPr>
          <w:rFonts w:ascii="Times New Roman" w:hAnsi="Times New Roman" w:cs="Times New Roman"/>
          <w:sz w:val="24"/>
          <w:szCs w:val="24"/>
        </w:rPr>
        <w:t>ox</w:t>
      </w:r>
      <w:r w:rsidRPr="002C4116">
        <w:rPr>
          <w:rFonts w:ascii="Times New Roman" w:hAnsi="Times New Roman" w:cs="Times New Roman"/>
          <w:sz w:val="24"/>
          <w:szCs w:val="24"/>
        </w:rPr>
        <w:t>CNHs</w:t>
      </w:r>
      <w:r w:rsidR="00457A2B">
        <w:rPr>
          <w:rFonts w:ascii="Times New Roman" w:hAnsi="Times New Roman" w:cs="Times New Roman"/>
          <w:sz w:val="24"/>
          <w:szCs w:val="24"/>
        </w:rPr>
        <w:t>-</w:t>
      </w:r>
      <w:r w:rsidRPr="002C4116">
        <w:rPr>
          <w:rFonts w:ascii="Times New Roman" w:hAnsi="Times New Roman" w:cs="Times New Roman"/>
          <w:sz w:val="24"/>
          <w:szCs w:val="24"/>
        </w:rPr>
        <w:t>S (C) and CeO₂@</w:t>
      </w:r>
      <w:r w:rsidR="002C4116" w:rsidRPr="002C4116">
        <w:rPr>
          <w:rFonts w:ascii="Times New Roman" w:hAnsi="Times New Roman" w:cs="Times New Roman"/>
          <w:sz w:val="24"/>
          <w:szCs w:val="24"/>
        </w:rPr>
        <w:t>ox</w:t>
      </w:r>
      <w:r w:rsidRPr="002C4116">
        <w:rPr>
          <w:rFonts w:ascii="Times New Roman" w:hAnsi="Times New Roman" w:cs="Times New Roman"/>
          <w:sz w:val="24"/>
          <w:szCs w:val="24"/>
        </w:rPr>
        <w:t>CNHs</w:t>
      </w:r>
      <w:r w:rsidR="00457A2B">
        <w:rPr>
          <w:rFonts w:ascii="Times New Roman" w:hAnsi="Times New Roman" w:cs="Times New Roman"/>
          <w:sz w:val="24"/>
          <w:szCs w:val="24"/>
        </w:rPr>
        <w:t>-</w:t>
      </w:r>
      <w:r w:rsidRPr="002C4116">
        <w:rPr>
          <w:rFonts w:ascii="Times New Roman" w:hAnsi="Times New Roman" w:cs="Times New Roman"/>
          <w:sz w:val="24"/>
          <w:szCs w:val="24"/>
        </w:rPr>
        <w:t>G (D). Nanoparticle size analysis was performed on 100 nanoparticle units for each sample using ImageJ v1.54g software.</w:t>
      </w:r>
    </w:p>
    <w:p w14:paraId="629BF812"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1488C859"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5E7AB0D5"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23DEC58E"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344D9AD3"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20395A02"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533ED1E5" w14:textId="77777777" w:rsidR="00A71BD3" w:rsidRPr="002C4116" w:rsidRDefault="00A71BD3" w:rsidP="00A71BD3">
      <w:pPr>
        <w:pStyle w:val="Paragrafoelenco"/>
        <w:spacing w:line="360" w:lineRule="auto"/>
        <w:ind w:left="0"/>
        <w:jc w:val="both"/>
        <w:rPr>
          <w:rFonts w:ascii="Times New Roman" w:hAnsi="Times New Roman" w:cs="Times New Roman"/>
          <w:sz w:val="24"/>
          <w:szCs w:val="24"/>
        </w:rPr>
      </w:pPr>
    </w:p>
    <w:p w14:paraId="2C072FDC" w14:textId="77777777" w:rsidR="00A71BD3" w:rsidRPr="002C4116" w:rsidRDefault="00A71BD3" w:rsidP="00A71BD3">
      <w:pPr>
        <w:pStyle w:val="Paragrafoelenco"/>
        <w:numPr>
          <w:ilvl w:val="0"/>
          <w:numId w:val="1"/>
        </w:numPr>
        <w:spacing w:line="360" w:lineRule="auto"/>
        <w:jc w:val="both"/>
        <w:rPr>
          <w:rFonts w:ascii="Times New Roman" w:hAnsi="Times New Roman" w:cs="Times New Roman"/>
          <w:b/>
          <w:bCs/>
          <w:sz w:val="24"/>
          <w:szCs w:val="24"/>
        </w:rPr>
      </w:pPr>
      <w:r w:rsidRPr="002C4116">
        <w:rPr>
          <w:rFonts w:ascii="Times New Roman" w:hAnsi="Times New Roman" w:cs="Times New Roman"/>
          <w:b/>
          <w:bCs/>
          <w:sz w:val="24"/>
          <w:szCs w:val="24"/>
        </w:rPr>
        <w:t>XPS Characterization</w:t>
      </w:r>
      <w:r w:rsidRPr="002C4116">
        <w:rPr>
          <w:rFonts w:ascii="Times New Roman" w:hAnsi="Times New Roman" w:cs="Times New Roman"/>
          <w:b/>
          <w:bCs/>
          <w:sz w:val="24"/>
          <w:szCs w:val="24"/>
        </w:rPr>
        <w:fldChar w:fldCharType="begin"/>
      </w:r>
      <w:r w:rsidRPr="002C4116">
        <w:rPr>
          <w:rFonts w:ascii="Times New Roman" w:hAnsi="Times New Roman" w:cs="Times New Roman"/>
          <w:sz w:val="24"/>
          <w:szCs w:val="24"/>
        </w:rPr>
        <w:instrText xml:space="preserve"> XE "</w:instrText>
      </w:r>
      <w:r w:rsidRPr="002C4116">
        <w:rPr>
          <w:rFonts w:ascii="Times New Roman" w:hAnsi="Times New Roman" w:cs="Times New Roman"/>
          <w:b/>
          <w:bCs/>
          <w:sz w:val="24"/>
          <w:szCs w:val="24"/>
        </w:rPr>
        <w:instrText>XPS</w:instrText>
      </w:r>
      <w:r w:rsidRPr="002C4116">
        <w:rPr>
          <w:rFonts w:ascii="Times New Roman" w:hAnsi="Times New Roman" w:cs="Times New Roman"/>
          <w:sz w:val="24"/>
          <w:szCs w:val="24"/>
        </w:rPr>
        <w:instrText xml:space="preserve">" </w:instrText>
      </w:r>
      <w:r w:rsidRPr="002C4116">
        <w:rPr>
          <w:rFonts w:ascii="Times New Roman" w:hAnsi="Times New Roman" w:cs="Times New Roman"/>
          <w:b/>
          <w:bCs/>
          <w:sz w:val="24"/>
          <w:szCs w:val="24"/>
        </w:rPr>
        <w:fldChar w:fldCharType="end"/>
      </w:r>
    </w:p>
    <w:p w14:paraId="2AC3D374" w14:textId="77777777" w:rsidR="00A71BD3" w:rsidRPr="002C4116" w:rsidRDefault="00A71BD3" w:rsidP="00A71BD3">
      <w:pPr>
        <w:pStyle w:val="Didascalia"/>
        <w:spacing w:line="360" w:lineRule="auto"/>
        <w:jc w:val="both"/>
        <w:rPr>
          <w:rFonts w:ascii="Times New Roman" w:hAnsi="Times New Roman" w:cs="Times New Roman"/>
          <w:b/>
          <w:bCs/>
          <w:sz w:val="24"/>
          <w:szCs w:val="24"/>
        </w:rPr>
      </w:pPr>
      <w:r w:rsidRPr="002C4116">
        <w:rPr>
          <w:rFonts w:ascii="Times New Roman" w:hAnsi="Times New Roman" w:cs="Times New Roman"/>
          <w:b/>
          <w:bCs/>
          <w:noProof/>
          <w:sz w:val="24"/>
          <w:szCs w:val="24"/>
          <w:lang w:val="it-IT" w:eastAsia="it-IT"/>
        </w:rPr>
        <w:drawing>
          <wp:inline distT="0" distB="0" distL="0" distR="0" wp14:anchorId="4C305323" wp14:editId="74F242B3">
            <wp:extent cx="5947396" cy="1606164"/>
            <wp:effectExtent l="0" t="0" r="0" b="0"/>
            <wp:docPr id="707639138" name="Immagine 12"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7639138" name="Immagine 12" descr="Immagine che contiene testo, linea, Diagramma, diagramma&#10;&#10;Il contenuto generato dall'IA potrebbe non essere corrett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77135" cy="1614195"/>
                    </a:xfrm>
                    <a:prstGeom prst="rect">
                      <a:avLst/>
                    </a:prstGeom>
                    <a:noFill/>
                    <a:ln>
                      <a:noFill/>
                    </a:ln>
                  </pic:spPr>
                </pic:pic>
              </a:graphicData>
            </a:graphic>
          </wp:inline>
        </w:drawing>
      </w:r>
      <w:r w:rsidRPr="002C4116">
        <w:rPr>
          <w:rFonts w:ascii="Times New Roman" w:hAnsi="Times New Roman" w:cs="Times New Roman"/>
          <w:b/>
          <w:bCs/>
          <w:i w:val="0"/>
          <w:iCs w:val="0"/>
          <w:color w:val="auto"/>
          <w:sz w:val="24"/>
          <w:szCs w:val="24"/>
        </w:rPr>
        <w:t>Figure S2.</w:t>
      </w:r>
      <w:r w:rsidRPr="002C4116">
        <w:rPr>
          <w:rFonts w:ascii="Times New Roman" w:hAnsi="Times New Roman" w:cs="Times New Roman"/>
          <w:i w:val="0"/>
          <w:iCs w:val="0"/>
          <w:color w:val="auto"/>
          <w:sz w:val="24"/>
          <w:szCs w:val="24"/>
        </w:rPr>
        <w:t xml:space="preserve"> XPS of Pristine Carbon Nanohorns (CNHs): full survey scan (A); deconvolution analysis of the XPS spectrum of C 1</w:t>
      </w:r>
      <w:r w:rsidRPr="002C4116">
        <w:rPr>
          <w:rFonts w:ascii="Times New Roman" w:hAnsi="Times New Roman" w:cs="Times New Roman"/>
          <w:color w:val="auto"/>
          <w:sz w:val="24"/>
          <w:szCs w:val="24"/>
        </w:rPr>
        <w:t>s</w:t>
      </w:r>
      <w:r w:rsidRPr="002C4116">
        <w:rPr>
          <w:rFonts w:ascii="Times New Roman" w:hAnsi="Times New Roman" w:cs="Times New Roman"/>
          <w:i w:val="0"/>
          <w:iCs w:val="0"/>
          <w:color w:val="auto"/>
          <w:sz w:val="24"/>
          <w:szCs w:val="24"/>
        </w:rPr>
        <w:t xml:space="preserve"> (A) and O 1</w:t>
      </w:r>
      <w:r w:rsidRPr="002C4116">
        <w:rPr>
          <w:rFonts w:ascii="Times New Roman" w:hAnsi="Times New Roman" w:cs="Times New Roman"/>
          <w:color w:val="auto"/>
          <w:sz w:val="24"/>
          <w:szCs w:val="24"/>
        </w:rPr>
        <w:t>s</w:t>
      </w:r>
      <w:r w:rsidRPr="002C4116">
        <w:rPr>
          <w:rFonts w:ascii="Times New Roman" w:hAnsi="Times New Roman" w:cs="Times New Roman"/>
          <w:i w:val="0"/>
          <w:iCs w:val="0"/>
          <w:color w:val="auto"/>
          <w:sz w:val="24"/>
          <w:szCs w:val="24"/>
        </w:rPr>
        <w:t xml:space="preserve"> (C) orbitals.</w:t>
      </w:r>
    </w:p>
    <w:p w14:paraId="3593DC63" w14:textId="77777777" w:rsidR="00A71BD3" w:rsidRPr="002C4116" w:rsidRDefault="00A71BD3" w:rsidP="00A71BD3">
      <w:pPr>
        <w:keepNext/>
        <w:spacing w:line="360" w:lineRule="auto"/>
        <w:rPr>
          <w:rFonts w:ascii="Times New Roman" w:hAnsi="Times New Roman" w:cs="Times New Roman"/>
          <w:sz w:val="24"/>
          <w:szCs w:val="24"/>
          <w:lang w:val="en-GB"/>
        </w:rPr>
      </w:pPr>
      <w:r w:rsidRPr="002C4116">
        <w:rPr>
          <w:rFonts w:ascii="Times New Roman" w:hAnsi="Times New Roman" w:cs="Times New Roman"/>
          <w:noProof/>
          <w:sz w:val="24"/>
          <w:szCs w:val="24"/>
          <w:lang w:val="it-IT" w:eastAsia="it-IT"/>
        </w:rPr>
        <w:drawing>
          <wp:inline distT="0" distB="0" distL="0" distR="0" wp14:anchorId="0CF5B6D4" wp14:editId="4973A8C6">
            <wp:extent cx="7343057" cy="1556286"/>
            <wp:effectExtent l="0" t="0" r="0" b="6350"/>
            <wp:docPr id="978585775" name="Immagine 7" descr="Immagine che contiene oscurità, schermata, nero, art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585775" name="Immagine 7" descr="Immagine che contiene oscurità, schermata, nero, arte&#10;&#10;Il contenuto generato dall'IA potrebbe non essere corrett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448326" cy="1578597"/>
                    </a:xfrm>
                    <a:prstGeom prst="rect">
                      <a:avLst/>
                    </a:prstGeom>
                    <a:noFill/>
                  </pic:spPr>
                </pic:pic>
              </a:graphicData>
            </a:graphic>
          </wp:inline>
        </w:drawing>
      </w:r>
    </w:p>
    <w:p w14:paraId="047A943D" w14:textId="77777777" w:rsidR="00A71BD3" w:rsidRPr="002C4116" w:rsidRDefault="00A71BD3" w:rsidP="00A71BD3">
      <w:pPr>
        <w:pStyle w:val="Didascalia"/>
        <w:spacing w:line="360" w:lineRule="auto"/>
        <w:jc w:val="both"/>
        <w:rPr>
          <w:rFonts w:ascii="Times New Roman" w:hAnsi="Times New Roman" w:cs="Times New Roman"/>
          <w:i w:val="0"/>
          <w:iCs w:val="0"/>
          <w:color w:val="auto"/>
          <w:sz w:val="24"/>
          <w:szCs w:val="24"/>
        </w:rPr>
      </w:pPr>
      <w:r w:rsidRPr="002C4116">
        <w:rPr>
          <w:rFonts w:ascii="Times New Roman" w:hAnsi="Times New Roman" w:cs="Times New Roman"/>
          <w:b/>
          <w:bCs/>
          <w:i w:val="0"/>
          <w:iCs w:val="0"/>
          <w:color w:val="auto"/>
          <w:sz w:val="24"/>
          <w:szCs w:val="24"/>
        </w:rPr>
        <w:t xml:space="preserve">Figure S3. </w:t>
      </w:r>
      <w:r w:rsidRPr="002C4116">
        <w:rPr>
          <w:rFonts w:ascii="Times New Roman" w:hAnsi="Times New Roman" w:cs="Times New Roman"/>
          <w:i w:val="0"/>
          <w:iCs w:val="0"/>
          <w:color w:val="auto"/>
          <w:sz w:val="24"/>
          <w:szCs w:val="24"/>
        </w:rPr>
        <w:t>XPS of oxidized Carbon Nanohorns (oxCNHs): full survey scan (A); deconvolution analysis of the XPS spectrum of C 1</w:t>
      </w:r>
      <w:r w:rsidRPr="002C4116">
        <w:rPr>
          <w:rFonts w:ascii="Times New Roman" w:hAnsi="Times New Roman" w:cs="Times New Roman"/>
          <w:color w:val="auto"/>
          <w:sz w:val="24"/>
          <w:szCs w:val="24"/>
        </w:rPr>
        <w:t xml:space="preserve">s </w:t>
      </w:r>
      <w:r w:rsidRPr="002C4116">
        <w:rPr>
          <w:rFonts w:ascii="Times New Roman" w:hAnsi="Times New Roman" w:cs="Times New Roman"/>
          <w:i w:val="0"/>
          <w:iCs w:val="0"/>
          <w:color w:val="auto"/>
          <w:sz w:val="24"/>
          <w:szCs w:val="24"/>
        </w:rPr>
        <w:t>(B) and O 1</w:t>
      </w:r>
      <w:r w:rsidRPr="002C4116">
        <w:rPr>
          <w:rFonts w:ascii="Times New Roman" w:hAnsi="Times New Roman" w:cs="Times New Roman"/>
          <w:color w:val="auto"/>
          <w:sz w:val="24"/>
          <w:szCs w:val="24"/>
        </w:rPr>
        <w:t>s</w:t>
      </w:r>
      <w:r w:rsidRPr="002C4116">
        <w:rPr>
          <w:rFonts w:ascii="Times New Roman" w:hAnsi="Times New Roman" w:cs="Times New Roman"/>
          <w:i w:val="0"/>
          <w:iCs w:val="0"/>
          <w:color w:val="auto"/>
          <w:sz w:val="24"/>
          <w:szCs w:val="24"/>
        </w:rPr>
        <w:t xml:space="preserve"> (C) orbitals.</w:t>
      </w:r>
    </w:p>
    <w:p w14:paraId="6D95AC91" w14:textId="77777777" w:rsidR="00A71BD3" w:rsidRPr="002C4116" w:rsidRDefault="00A71BD3" w:rsidP="00A71BD3">
      <w:pPr>
        <w:keepNext/>
        <w:spacing w:line="360" w:lineRule="auto"/>
        <w:jc w:val="center"/>
        <w:rPr>
          <w:rFonts w:ascii="Times New Roman" w:hAnsi="Times New Roman" w:cs="Times New Roman"/>
          <w:sz w:val="24"/>
          <w:szCs w:val="24"/>
          <w:lang w:val="it-IT"/>
        </w:rPr>
      </w:pPr>
      <w:r w:rsidRPr="002C4116">
        <w:rPr>
          <w:rFonts w:ascii="Times New Roman" w:hAnsi="Times New Roman" w:cs="Times New Roman"/>
          <w:noProof/>
          <w:sz w:val="24"/>
          <w:szCs w:val="24"/>
          <w:lang w:val="it-IT" w:eastAsia="it-IT"/>
        </w:rPr>
        <w:lastRenderedPageBreak/>
        <w:drawing>
          <wp:inline distT="0" distB="0" distL="0" distR="0" wp14:anchorId="751E91E3" wp14:editId="30CFA920">
            <wp:extent cx="5760720" cy="4236085"/>
            <wp:effectExtent l="0" t="0" r="0" b="0"/>
            <wp:docPr id="1547273811" name="Immagine 4"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273811" name="Immagine 4" descr="Immagine che contiene testo, diagramma, Diagramma, linea&#10;&#10;Il contenuto generato dall'IA potrebbe non essere corret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60720" cy="4236085"/>
                    </a:xfrm>
                    <a:prstGeom prst="rect">
                      <a:avLst/>
                    </a:prstGeom>
                    <a:noFill/>
                    <a:ln>
                      <a:noFill/>
                    </a:ln>
                  </pic:spPr>
                </pic:pic>
              </a:graphicData>
            </a:graphic>
          </wp:inline>
        </w:drawing>
      </w:r>
    </w:p>
    <w:p w14:paraId="220A30A9" w14:textId="77777777" w:rsidR="00A71BD3" w:rsidRPr="002C4116" w:rsidRDefault="00A71BD3" w:rsidP="00A71BD3">
      <w:pPr>
        <w:keepNext/>
        <w:spacing w:line="360" w:lineRule="auto"/>
        <w:jc w:val="center"/>
        <w:rPr>
          <w:rFonts w:ascii="Times New Roman" w:hAnsi="Times New Roman" w:cs="Times New Roman"/>
          <w:sz w:val="24"/>
          <w:szCs w:val="24"/>
          <w:lang w:val="en-GB"/>
        </w:rPr>
      </w:pPr>
    </w:p>
    <w:p w14:paraId="7BF99224" w14:textId="2DB3AB33" w:rsidR="00A71BD3" w:rsidRPr="002C4116" w:rsidRDefault="00A71BD3" w:rsidP="00A71BD3">
      <w:pPr>
        <w:pStyle w:val="Didascalia"/>
        <w:spacing w:line="360" w:lineRule="auto"/>
        <w:jc w:val="both"/>
        <w:rPr>
          <w:rFonts w:ascii="Times New Roman" w:hAnsi="Times New Roman" w:cs="Times New Roman"/>
          <w:i w:val="0"/>
          <w:iCs w:val="0"/>
          <w:color w:val="auto"/>
          <w:sz w:val="24"/>
          <w:szCs w:val="24"/>
        </w:rPr>
      </w:pPr>
      <w:r w:rsidRPr="002C4116">
        <w:rPr>
          <w:rFonts w:ascii="Times New Roman" w:hAnsi="Times New Roman" w:cs="Times New Roman"/>
          <w:b/>
          <w:bCs/>
          <w:i w:val="0"/>
          <w:iCs w:val="0"/>
          <w:color w:val="auto"/>
          <w:sz w:val="24"/>
          <w:szCs w:val="24"/>
        </w:rPr>
        <w:t>Figure S4.</w:t>
      </w:r>
      <w:r w:rsidRPr="002C4116">
        <w:rPr>
          <w:rFonts w:ascii="Times New Roman" w:hAnsi="Times New Roman" w:cs="Times New Roman"/>
          <w:i w:val="0"/>
          <w:iCs w:val="0"/>
          <w:color w:val="auto"/>
          <w:sz w:val="24"/>
          <w:szCs w:val="24"/>
        </w:rPr>
        <w:t xml:space="preserve"> XPS of CeO₂@</w:t>
      </w:r>
      <w:r w:rsidR="002C4116" w:rsidRPr="002C4116">
        <w:rPr>
          <w:rFonts w:ascii="Times New Roman" w:hAnsi="Times New Roman" w:cs="Times New Roman"/>
          <w:i w:val="0"/>
          <w:iCs w:val="0"/>
          <w:color w:val="auto"/>
          <w:sz w:val="24"/>
          <w:szCs w:val="24"/>
        </w:rPr>
        <w:t>ox</w:t>
      </w:r>
      <w:r w:rsidRPr="002C4116">
        <w:rPr>
          <w:rFonts w:ascii="Times New Roman" w:hAnsi="Times New Roman" w:cs="Times New Roman"/>
          <w:i w:val="0"/>
          <w:iCs w:val="0"/>
          <w:color w:val="auto"/>
          <w:sz w:val="24"/>
          <w:szCs w:val="24"/>
        </w:rPr>
        <w:t>CNH S (solvothermal method): full survey scan (A); deconvolution analysis of the XPS spectrum of the C 1</w:t>
      </w:r>
      <w:r w:rsidRPr="002C4116">
        <w:rPr>
          <w:rFonts w:ascii="Times New Roman" w:hAnsi="Times New Roman" w:cs="Times New Roman"/>
          <w:color w:val="auto"/>
          <w:sz w:val="24"/>
          <w:szCs w:val="24"/>
        </w:rPr>
        <w:t xml:space="preserve">s </w:t>
      </w:r>
      <w:r w:rsidRPr="002C4116">
        <w:rPr>
          <w:rFonts w:ascii="Times New Roman" w:hAnsi="Times New Roman" w:cs="Times New Roman"/>
          <w:i w:val="0"/>
          <w:iCs w:val="0"/>
          <w:color w:val="auto"/>
          <w:sz w:val="24"/>
          <w:szCs w:val="24"/>
        </w:rPr>
        <w:t>(B), O 1</w:t>
      </w:r>
      <w:r w:rsidRPr="002C4116">
        <w:rPr>
          <w:rFonts w:ascii="Times New Roman" w:hAnsi="Times New Roman" w:cs="Times New Roman"/>
          <w:color w:val="auto"/>
          <w:sz w:val="24"/>
          <w:szCs w:val="24"/>
        </w:rPr>
        <w:t>s</w:t>
      </w:r>
      <w:r w:rsidRPr="002C4116">
        <w:rPr>
          <w:rFonts w:ascii="Times New Roman" w:hAnsi="Times New Roman" w:cs="Times New Roman"/>
          <w:i w:val="0"/>
          <w:iCs w:val="0"/>
          <w:color w:val="auto"/>
          <w:sz w:val="24"/>
          <w:szCs w:val="24"/>
        </w:rPr>
        <w:t xml:space="preserve"> (C) and Ce 3</w:t>
      </w:r>
      <w:r w:rsidRPr="002C4116">
        <w:rPr>
          <w:rFonts w:ascii="Times New Roman" w:hAnsi="Times New Roman" w:cs="Times New Roman"/>
          <w:color w:val="auto"/>
          <w:sz w:val="24"/>
          <w:szCs w:val="24"/>
        </w:rPr>
        <w:t xml:space="preserve">d </w:t>
      </w:r>
      <w:r w:rsidRPr="002C4116">
        <w:rPr>
          <w:rFonts w:ascii="Times New Roman" w:hAnsi="Times New Roman" w:cs="Times New Roman"/>
          <w:i w:val="0"/>
          <w:iCs w:val="0"/>
          <w:color w:val="auto"/>
          <w:sz w:val="24"/>
          <w:szCs w:val="24"/>
        </w:rPr>
        <w:t>(D) orbitals.</w:t>
      </w:r>
    </w:p>
    <w:p w14:paraId="30686B9C" w14:textId="77777777" w:rsidR="00A71BD3" w:rsidRPr="002C4116" w:rsidRDefault="00A71BD3" w:rsidP="00A71BD3">
      <w:pPr>
        <w:spacing w:line="360" w:lineRule="auto"/>
        <w:jc w:val="both"/>
        <w:rPr>
          <w:rFonts w:ascii="Times New Roman" w:hAnsi="Times New Roman" w:cs="Times New Roman"/>
          <w:sz w:val="24"/>
          <w:szCs w:val="24"/>
          <w:lang w:val="en-GB"/>
        </w:rPr>
      </w:pPr>
    </w:p>
    <w:tbl>
      <w:tblPr>
        <w:tblStyle w:val="Grigliatabella"/>
        <w:tblW w:w="0" w:type="auto"/>
        <w:jc w:val="center"/>
        <w:tblLook w:val="04A0" w:firstRow="1" w:lastRow="0" w:firstColumn="1" w:lastColumn="0" w:noHBand="0" w:noVBand="1"/>
      </w:tblPr>
      <w:tblGrid>
        <w:gridCol w:w="1604"/>
        <w:gridCol w:w="1604"/>
        <w:gridCol w:w="1605"/>
        <w:gridCol w:w="1605"/>
        <w:gridCol w:w="1605"/>
      </w:tblGrid>
      <w:tr w:rsidR="00A71BD3" w:rsidRPr="002C4116" w14:paraId="72AC2485" w14:textId="77777777" w:rsidTr="00464C5A">
        <w:trPr>
          <w:jc w:val="center"/>
        </w:trPr>
        <w:tc>
          <w:tcPr>
            <w:tcW w:w="1604" w:type="dxa"/>
            <w:vMerge w:val="restart"/>
            <w:vAlign w:val="center"/>
          </w:tcPr>
          <w:p w14:paraId="30F51551"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noProof/>
                <w:sz w:val="24"/>
                <w:szCs w:val="24"/>
                <w:lang w:eastAsia="it-IT"/>
              </w:rPr>
              <w:drawing>
                <wp:inline distT="0" distB="0" distL="0" distR="0" wp14:anchorId="29980D9D" wp14:editId="494F0378">
                  <wp:extent cx="743585" cy="895985"/>
                  <wp:effectExtent l="0" t="0" r="0" b="0"/>
                  <wp:docPr id="114460335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3585" cy="895985"/>
                          </a:xfrm>
                          <a:prstGeom prst="rect">
                            <a:avLst/>
                          </a:prstGeom>
                          <a:noFill/>
                        </pic:spPr>
                      </pic:pic>
                    </a:graphicData>
                  </a:graphic>
                </wp:inline>
              </w:drawing>
            </w:r>
          </w:p>
        </w:tc>
        <w:tc>
          <w:tcPr>
            <w:tcW w:w="1604" w:type="dxa"/>
          </w:tcPr>
          <w:p w14:paraId="453F8F81"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Component</w:t>
            </w:r>
          </w:p>
        </w:tc>
        <w:tc>
          <w:tcPr>
            <w:tcW w:w="1605" w:type="dxa"/>
          </w:tcPr>
          <w:p w14:paraId="327121DA"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Binding Energy (eV)</w:t>
            </w:r>
          </w:p>
        </w:tc>
        <w:tc>
          <w:tcPr>
            <w:tcW w:w="1605" w:type="dxa"/>
          </w:tcPr>
          <w:p w14:paraId="392C87CE"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FWHM</w:t>
            </w:r>
          </w:p>
        </w:tc>
        <w:tc>
          <w:tcPr>
            <w:tcW w:w="1605" w:type="dxa"/>
          </w:tcPr>
          <w:p w14:paraId="7C62BAFB"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 Area</w:t>
            </w:r>
          </w:p>
        </w:tc>
      </w:tr>
      <w:tr w:rsidR="00A71BD3" w:rsidRPr="002C4116" w14:paraId="283F9FB3" w14:textId="77777777" w:rsidTr="00464C5A">
        <w:trPr>
          <w:jc w:val="center"/>
        </w:trPr>
        <w:tc>
          <w:tcPr>
            <w:tcW w:w="1604" w:type="dxa"/>
            <w:vMerge/>
          </w:tcPr>
          <w:p w14:paraId="5101ED8A"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52029E46"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3/2 u'''</w:t>
            </w:r>
          </w:p>
        </w:tc>
        <w:tc>
          <w:tcPr>
            <w:tcW w:w="1605" w:type="dxa"/>
          </w:tcPr>
          <w:p w14:paraId="497EC6C9"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916.9</w:t>
            </w:r>
          </w:p>
        </w:tc>
        <w:tc>
          <w:tcPr>
            <w:tcW w:w="1605" w:type="dxa"/>
          </w:tcPr>
          <w:p w14:paraId="1F9CE151"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2.495</w:t>
            </w:r>
          </w:p>
        </w:tc>
        <w:tc>
          <w:tcPr>
            <w:tcW w:w="1605" w:type="dxa"/>
          </w:tcPr>
          <w:p w14:paraId="607CA12A"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9117.5</w:t>
            </w:r>
          </w:p>
        </w:tc>
      </w:tr>
      <w:tr w:rsidR="00A71BD3" w:rsidRPr="002C4116" w14:paraId="0E2327BF" w14:textId="77777777" w:rsidTr="00464C5A">
        <w:trPr>
          <w:jc w:val="center"/>
        </w:trPr>
        <w:tc>
          <w:tcPr>
            <w:tcW w:w="1604" w:type="dxa"/>
            <w:vMerge/>
          </w:tcPr>
          <w:p w14:paraId="2BDE6EE5"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0F510B01"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3/2 u''</w:t>
            </w:r>
          </w:p>
        </w:tc>
        <w:tc>
          <w:tcPr>
            <w:tcW w:w="1605" w:type="dxa"/>
          </w:tcPr>
          <w:p w14:paraId="331FE79A"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907.4</w:t>
            </w:r>
          </w:p>
        </w:tc>
        <w:tc>
          <w:tcPr>
            <w:tcW w:w="1605" w:type="dxa"/>
          </w:tcPr>
          <w:p w14:paraId="6A04C84C"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3.026</w:t>
            </w:r>
          </w:p>
        </w:tc>
        <w:tc>
          <w:tcPr>
            <w:tcW w:w="1605" w:type="dxa"/>
          </w:tcPr>
          <w:p w14:paraId="54850524"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4202.9</w:t>
            </w:r>
          </w:p>
        </w:tc>
      </w:tr>
      <w:tr w:rsidR="00A71BD3" w:rsidRPr="002C4116" w14:paraId="7A588796" w14:textId="77777777" w:rsidTr="00464C5A">
        <w:trPr>
          <w:jc w:val="center"/>
        </w:trPr>
        <w:tc>
          <w:tcPr>
            <w:tcW w:w="1604" w:type="dxa"/>
            <w:vMerge/>
          </w:tcPr>
          <w:p w14:paraId="75B892EA"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44E9149E"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3/2 u'</w:t>
            </w:r>
          </w:p>
        </w:tc>
        <w:tc>
          <w:tcPr>
            <w:tcW w:w="1605" w:type="dxa"/>
          </w:tcPr>
          <w:p w14:paraId="3CC8C3BF"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903.2</w:t>
            </w:r>
          </w:p>
        </w:tc>
        <w:tc>
          <w:tcPr>
            <w:tcW w:w="1605" w:type="dxa"/>
          </w:tcPr>
          <w:p w14:paraId="7D0A41C3"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3.984</w:t>
            </w:r>
          </w:p>
        </w:tc>
        <w:tc>
          <w:tcPr>
            <w:tcW w:w="1605" w:type="dxa"/>
          </w:tcPr>
          <w:p w14:paraId="0D89CBB5"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5993.6</w:t>
            </w:r>
          </w:p>
        </w:tc>
      </w:tr>
      <w:tr w:rsidR="00A71BD3" w:rsidRPr="002C4116" w14:paraId="4C6DAA13" w14:textId="77777777" w:rsidTr="00464C5A">
        <w:trPr>
          <w:jc w:val="center"/>
        </w:trPr>
        <w:tc>
          <w:tcPr>
            <w:tcW w:w="1604" w:type="dxa"/>
            <w:vMerge/>
          </w:tcPr>
          <w:p w14:paraId="31568579"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5F4B2FB9"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3/2 u</w:t>
            </w:r>
          </w:p>
        </w:tc>
        <w:tc>
          <w:tcPr>
            <w:tcW w:w="1605" w:type="dxa"/>
          </w:tcPr>
          <w:p w14:paraId="6272B1F5"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901.2</w:t>
            </w:r>
          </w:p>
        </w:tc>
        <w:tc>
          <w:tcPr>
            <w:tcW w:w="1605" w:type="dxa"/>
          </w:tcPr>
          <w:p w14:paraId="6521F777"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1.833</w:t>
            </w:r>
          </w:p>
        </w:tc>
        <w:tc>
          <w:tcPr>
            <w:tcW w:w="1605" w:type="dxa"/>
          </w:tcPr>
          <w:p w14:paraId="631F8CE9"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6053.5</w:t>
            </w:r>
          </w:p>
        </w:tc>
      </w:tr>
      <w:tr w:rsidR="00A71BD3" w:rsidRPr="002C4116" w14:paraId="6FB8881F" w14:textId="77777777" w:rsidTr="00464C5A">
        <w:trPr>
          <w:jc w:val="center"/>
        </w:trPr>
        <w:tc>
          <w:tcPr>
            <w:tcW w:w="1604" w:type="dxa"/>
            <w:vMerge/>
          </w:tcPr>
          <w:p w14:paraId="2622762B"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131C0C3E"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3/2 u0</w:t>
            </w:r>
          </w:p>
        </w:tc>
        <w:tc>
          <w:tcPr>
            <w:tcW w:w="1605" w:type="dxa"/>
          </w:tcPr>
          <w:p w14:paraId="360E57FA"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898.6</w:t>
            </w:r>
          </w:p>
        </w:tc>
        <w:tc>
          <w:tcPr>
            <w:tcW w:w="1605" w:type="dxa"/>
          </w:tcPr>
          <w:p w14:paraId="5F51E729"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2.366</w:t>
            </w:r>
          </w:p>
        </w:tc>
        <w:tc>
          <w:tcPr>
            <w:tcW w:w="1605" w:type="dxa"/>
          </w:tcPr>
          <w:p w14:paraId="641E0BD3"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13214.6</w:t>
            </w:r>
          </w:p>
        </w:tc>
      </w:tr>
      <w:tr w:rsidR="00A71BD3" w:rsidRPr="002C4116" w14:paraId="0AEE89A0" w14:textId="77777777" w:rsidTr="00464C5A">
        <w:trPr>
          <w:jc w:val="center"/>
        </w:trPr>
        <w:tc>
          <w:tcPr>
            <w:tcW w:w="1604" w:type="dxa"/>
            <w:vMerge/>
          </w:tcPr>
          <w:p w14:paraId="154B11BD"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7BF43887"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5/2 v'</w:t>
            </w:r>
          </w:p>
        </w:tc>
        <w:tc>
          <w:tcPr>
            <w:tcW w:w="1605" w:type="dxa"/>
          </w:tcPr>
          <w:p w14:paraId="63298E13"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888.7</w:t>
            </w:r>
          </w:p>
        </w:tc>
        <w:tc>
          <w:tcPr>
            <w:tcW w:w="1605" w:type="dxa"/>
          </w:tcPr>
          <w:p w14:paraId="4C3C52A2"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4.524</w:t>
            </w:r>
          </w:p>
        </w:tc>
        <w:tc>
          <w:tcPr>
            <w:tcW w:w="1605" w:type="dxa"/>
          </w:tcPr>
          <w:p w14:paraId="413AE1A0"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11970.8</w:t>
            </w:r>
          </w:p>
        </w:tc>
      </w:tr>
      <w:tr w:rsidR="00A71BD3" w:rsidRPr="002C4116" w14:paraId="1C95A16F" w14:textId="77777777" w:rsidTr="00464C5A">
        <w:trPr>
          <w:jc w:val="center"/>
        </w:trPr>
        <w:tc>
          <w:tcPr>
            <w:tcW w:w="1604" w:type="dxa"/>
            <w:vMerge/>
          </w:tcPr>
          <w:p w14:paraId="7C227213"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507F3086"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5/2 v'</w:t>
            </w:r>
          </w:p>
        </w:tc>
        <w:tc>
          <w:tcPr>
            <w:tcW w:w="1605" w:type="dxa"/>
          </w:tcPr>
          <w:p w14:paraId="3A7554A1"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885.1</w:t>
            </w:r>
          </w:p>
        </w:tc>
        <w:tc>
          <w:tcPr>
            <w:tcW w:w="1605" w:type="dxa"/>
          </w:tcPr>
          <w:p w14:paraId="423C770F"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2.994</w:t>
            </w:r>
          </w:p>
        </w:tc>
        <w:tc>
          <w:tcPr>
            <w:tcW w:w="1605" w:type="dxa"/>
          </w:tcPr>
          <w:p w14:paraId="24B05ABC"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7968.0</w:t>
            </w:r>
          </w:p>
        </w:tc>
      </w:tr>
      <w:tr w:rsidR="00A71BD3" w:rsidRPr="002C4116" w14:paraId="7CAE04DC" w14:textId="77777777" w:rsidTr="00464C5A">
        <w:trPr>
          <w:jc w:val="center"/>
        </w:trPr>
        <w:tc>
          <w:tcPr>
            <w:tcW w:w="1604" w:type="dxa"/>
            <w:vMerge/>
          </w:tcPr>
          <w:p w14:paraId="335EEF93" w14:textId="77777777" w:rsidR="00A71BD3" w:rsidRPr="002C4116" w:rsidRDefault="00A71BD3" w:rsidP="00464C5A">
            <w:pPr>
              <w:spacing w:line="360" w:lineRule="auto"/>
              <w:jc w:val="center"/>
              <w:rPr>
                <w:rFonts w:ascii="Times New Roman" w:hAnsi="Times New Roman" w:cs="Times New Roman"/>
                <w:sz w:val="24"/>
                <w:szCs w:val="24"/>
                <w:lang w:val="en-GB"/>
              </w:rPr>
            </w:pPr>
          </w:p>
        </w:tc>
        <w:tc>
          <w:tcPr>
            <w:tcW w:w="1604" w:type="dxa"/>
          </w:tcPr>
          <w:p w14:paraId="5C19A27B"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Ce 3d 5/2 v</w:t>
            </w:r>
          </w:p>
        </w:tc>
        <w:tc>
          <w:tcPr>
            <w:tcW w:w="1605" w:type="dxa"/>
          </w:tcPr>
          <w:p w14:paraId="5E7B3ED8"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882.6</w:t>
            </w:r>
          </w:p>
        </w:tc>
        <w:tc>
          <w:tcPr>
            <w:tcW w:w="1605" w:type="dxa"/>
          </w:tcPr>
          <w:p w14:paraId="3926CF78"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2.504</w:t>
            </w:r>
          </w:p>
        </w:tc>
        <w:tc>
          <w:tcPr>
            <w:tcW w:w="1605" w:type="dxa"/>
          </w:tcPr>
          <w:p w14:paraId="20F1F0C2" w14:textId="77777777" w:rsidR="00A71BD3" w:rsidRPr="002C4116" w:rsidRDefault="00A71BD3" w:rsidP="00464C5A">
            <w:pPr>
              <w:spacing w:line="360" w:lineRule="auto"/>
              <w:jc w:val="center"/>
              <w:rPr>
                <w:rFonts w:ascii="Times New Roman" w:hAnsi="Times New Roman" w:cs="Times New Roman"/>
                <w:sz w:val="24"/>
                <w:szCs w:val="24"/>
                <w:lang w:val="en-GB"/>
              </w:rPr>
            </w:pPr>
            <w:r w:rsidRPr="002C4116">
              <w:rPr>
                <w:rFonts w:ascii="Times New Roman" w:hAnsi="Times New Roman" w:cs="Times New Roman"/>
                <w:sz w:val="24"/>
                <w:szCs w:val="24"/>
                <w:lang w:val="en-GB"/>
              </w:rPr>
              <w:t>13606.3</w:t>
            </w:r>
          </w:p>
        </w:tc>
      </w:tr>
    </w:tbl>
    <w:p w14:paraId="3AFD6994" w14:textId="77777777" w:rsidR="00A71BD3" w:rsidRPr="002C4116" w:rsidRDefault="00A71BD3" w:rsidP="00A71BD3">
      <w:pPr>
        <w:spacing w:line="360" w:lineRule="auto"/>
        <w:jc w:val="both"/>
        <w:rPr>
          <w:rFonts w:ascii="Times New Roman" w:hAnsi="Times New Roman" w:cs="Times New Roman"/>
          <w:sz w:val="24"/>
          <w:szCs w:val="24"/>
        </w:rPr>
      </w:pPr>
      <w:r w:rsidRPr="002C4116">
        <w:rPr>
          <w:rFonts w:ascii="Times New Roman" w:hAnsi="Times New Roman" w:cs="Times New Roman"/>
          <w:b/>
          <w:bCs/>
          <w:sz w:val="24"/>
          <w:szCs w:val="24"/>
        </w:rPr>
        <w:t xml:space="preserve">Table S1. </w:t>
      </w:r>
      <w:r w:rsidRPr="002C4116">
        <w:rPr>
          <w:rFonts w:ascii="Times New Roman" w:hAnsi="Times New Roman" w:cs="Times New Roman"/>
          <w:sz w:val="24"/>
          <w:szCs w:val="24"/>
        </w:rPr>
        <w:t>XPS Integrated area of peak individual components of the Ce 3</w:t>
      </w:r>
      <w:r w:rsidRPr="002C4116">
        <w:rPr>
          <w:rFonts w:ascii="Times New Roman" w:hAnsi="Times New Roman" w:cs="Times New Roman"/>
          <w:i/>
          <w:iCs/>
          <w:sz w:val="24"/>
          <w:szCs w:val="24"/>
        </w:rPr>
        <w:t>d</w:t>
      </w:r>
      <w:r w:rsidRPr="002C4116">
        <w:rPr>
          <w:rFonts w:ascii="Times New Roman" w:hAnsi="Times New Roman" w:cs="Times New Roman"/>
          <w:sz w:val="24"/>
          <w:szCs w:val="24"/>
        </w:rPr>
        <w:t xml:space="preserve"> spectra for the CeO</w:t>
      </w:r>
      <w:r w:rsidRPr="002C4116">
        <w:rPr>
          <w:rFonts w:ascii="Times New Roman" w:hAnsi="Times New Roman" w:cs="Times New Roman"/>
          <w:sz w:val="24"/>
          <w:szCs w:val="24"/>
          <w:vertAlign w:val="subscript"/>
        </w:rPr>
        <w:t>2</w:t>
      </w:r>
      <w:r w:rsidRPr="002C4116">
        <w:rPr>
          <w:rFonts w:ascii="Times New Roman" w:hAnsi="Times New Roman" w:cs="Times New Roman"/>
          <w:sz w:val="24"/>
          <w:szCs w:val="24"/>
        </w:rPr>
        <w:t>@oxCNHs S samples</w:t>
      </w:r>
      <w:r w:rsidRPr="002C4116">
        <w:rPr>
          <w:rFonts w:ascii="Times New Roman" w:hAnsi="Times New Roman" w:cs="Times New Roman"/>
          <w:b/>
          <w:bCs/>
          <w:sz w:val="24"/>
          <w:szCs w:val="24"/>
        </w:rPr>
        <w:t xml:space="preserve">. </w:t>
      </w:r>
      <w:r w:rsidRPr="002C4116">
        <w:rPr>
          <w:rFonts w:ascii="Times New Roman" w:hAnsi="Times New Roman" w:cs="Times New Roman"/>
          <w:sz w:val="24"/>
          <w:szCs w:val="24"/>
        </w:rPr>
        <w:t>Data was collected and analysed by CasaXPS software.</w:t>
      </w:r>
    </w:p>
    <w:p w14:paraId="26C81DC5" w14:textId="77777777" w:rsidR="00A71BD3" w:rsidRPr="002C4116" w:rsidRDefault="00A71BD3" w:rsidP="00A71BD3">
      <w:pPr>
        <w:keepNext/>
        <w:spacing w:line="360" w:lineRule="auto"/>
        <w:jc w:val="center"/>
        <w:rPr>
          <w:rFonts w:ascii="Times New Roman" w:hAnsi="Times New Roman" w:cs="Times New Roman"/>
          <w:sz w:val="24"/>
          <w:szCs w:val="24"/>
          <w:lang w:val="it-IT"/>
        </w:rPr>
      </w:pPr>
      <w:r w:rsidRPr="002C4116">
        <w:rPr>
          <w:rFonts w:ascii="Times New Roman" w:hAnsi="Times New Roman" w:cs="Times New Roman"/>
          <w:sz w:val="24"/>
          <w:szCs w:val="24"/>
          <w:lang w:val="en-GB"/>
        </w:rPr>
        <w:lastRenderedPageBreak/>
        <w:br/>
      </w:r>
      <w:r w:rsidRPr="002C4116">
        <w:rPr>
          <w:rFonts w:ascii="Times New Roman" w:hAnsi="Times New Roman" w:cs="Times New Roman"/>
          <w:noProof/>
          <w:sz w:val="24"/>
          <w:szCs w:val="24"/>
          <w:lang w:val="it-IT" w:eastAsia="it-IT"/>
        </w:rPr>
        <w:drawing>
          <wp:inline distT="0" distB="0" distL="0" distR="0" wp14:anchorId="7744FEB6" wp14:editId="2CEC9071">
            <wp:extent cx="5760720" cy="4095115"/>
            <wp:effectExtent l="0" t="0" r="0" b="635"/>
            <wp:docPr id="613932825" name="Immagine 6"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932825" name="Immagine 6" descr="Immagine che contiene testo, diagramma, Diagramma, linea&#10;&#10;Il contenuto generato dall'IA potrebbe non essere corretto."/>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720" cy="4095115"/>
                    </a:xfrm>
                    <a:prstGeom prst="rect">
                      <a:avLst/>
                    </a:prstGeom>
                    <a:noFill/>
                    <a:ln>
                      <a:noFill/>
                    </a:ln>
                  </pic:spPr>
                </pic:pic>
              </a:graphicData>
            </a:graphic>
          </wp:inline>
        </w:drawing>
      </w:r>
    </w:p>
    <w:p w14:paraId="662AE196" w14:textId="19266A19" w:rsidR="00A71BD3" w:rsidRPr="002C4116" w:rsidRDefault="00A71BD3" w:rsidP="00A71BD3">
      <w:pPr>
        <w:pStyle w:val="Didascalia"/>
        <w:spacing w:line="360" w:lineRule="auto"/>
        <w:jc w:val="both"/>
        <w:rPr>
          <w:rFonts w:ascii="Times New Roman" w:hAnsi="Times New Roman" w:cs="Times New Roman"/>
          <w:i w:val="0"/>
          <w:iCs w:val="0"/>
          <w:color w:val="auto"/>
          <w:sz w:val="24"/>
          <w:szCs w:val="24"/>
        </w:rPr>
      </w:pPr>
      <w:r w:rsidRPr="002C4116">
        <w:rPr>
          <w:rFonts w:ascii="Times New Roman" w:hAnsi="Times New Roman" w:cs="Times New Roman"/>
          <w:b/>
          <w:bCs/>
          <w:i w:val="0"/>
          <w:iCs w:val="0"/>
          <w:color w:val="auto"/>
          <w:sz w:val="24"/>
          <w:szCs w:val="24"/>
        </w:rPr>
        <w:t>Figure S5.</w:t>
      </w:r>
      <w:r w:rsidRPr="002C4116">
        <w:rPr>
          <w:rFonts w:ascii="Times New Roman" w:hAnsi="Times New Roman" w:cs="Times New Roman"/>
          <w:i w:val="0"/>
          <w:iCs w:val="0"/>
          <w:color w:val="auto"/>
          <w:sz w:val="24"/>
          <w:szCs w:val="24"/>
        </w:rPr>
        <w:t xml:space="preserve"> XPS of CeO₂@</w:t>
      </w:r>
      <w:r w:rsidR="002C4116" w:rsidRPr="002C4116">
        <w:rPr>
          <w:rFonts w:ascii="Times New Roman" w:hAnsi="Times New Roman" w:cs="Times New Roman"/>
          <w:i w:val="0"/>
          <w:iCs w:val="0"/>
          <w:color w:val="auto"/>
          <w:sz w:val="24"/>
          <w:szCs w:val="24"/>
        </w:rPr>
        <w:t>ox</w:t>
      </w:r>
      <w:r w:rsidRPr="002C4116">
        <w:rPr>
          <w:rFonts w:ascii="Times New Roman" w:hAnsi="Times New Roman" w:cs="Times New Roman"/>
          <w:i w:val="0"/>
          <w:iCs w:val="0"/>
          <w:color w:val="auto"/>
          <w:sz w:val="24"/>
          <w:szCs w:val="24"/>
        </w:rPr>
        <w:t>CNH G (Sol-Gel method): full survey scan (A); deconvolution analysis of the XPS spectrum of the C 1</w:t>
      </w:r>
      <w:r w:rsidRPr="002C4116">
        <w:rPr>
          <w:rFonts w:ascii="Times New Roman" w:hAnsi="Times New Roman" w:cs="Times New Roman"/>
          <w:color w:val="auto"/>
          <w:sz w:val="24"/>
          <w:szCs w:val="24"/>
        </w:rPr>
        <w:t xml:space="preserve">s </w:t>
      </w:r>
      <w:r w:rsidRPr="002C4116">
        <w:rPr>
          <w:rFonts w:ascii="Times New Roman" w:hAnsi="Times New Roman" w:cs="Times New Roman"/>
          <w:i w:val="0"/>
          <w:iCs w:val="0"/>
          <w:color w:val="auto"/>
          <w:sz w:val="24"/>
          <w:szCs w:val="24"/>
        </w:rPr>
        <w:t>(B), O 1</w:t>
      </w:r>
      <w:r w:rsidRPr="002C4116">
        <w:rPr>
          <w:rFonts w:ascii="Times New Roman" w:hAnsi="Times New Roman" w:cs="Times New Roman"/>
          <w:color w:val="auto"/>
          <w:sz w:val="24"/>
          <w:szCs w:val="24"/>
        </w:rPr>
        <w:t>s</w:t>
      </w:r>
      <w:r w:rsidRPr="002C4116">
        <w:rPr>
          <w:rFonts w:ascii="Times New Roman" w:hAnsi="Times New Roman" w:cs="Times New Roman"/>
          <w:i w:val="0"/>
          <w:iCs w:val="0"/>
          <w:color w:val="auto"/>
          <w:sz w:val="24"/>
          <w:szCs w:val="24"/>
        </w:rPr>
        <w:t xml:space="preserve"> (C) and Ce 4</w:t>
      </w:r>
      <w:r w:rsidRPr="002C4116">
        <w:rPr>
          <w:rFonts w:ascii="Times New Roman" w:hAnsi="Times New Roman" w:cs="Times New Roman"/>
          <w:color w:val="auto"/>
          <w:sz w:val="24"/>
          <w:szCs w:val="24"/>
        </w:rPr>
        <w:t>p</w:t>
      </w:r>
      <w:r w:rsidRPr="002C4116">
        <w:rPr>
          <w:rFonts w:ascii="Times New Roman" w:hAnsi="Times New Roman" w:cs="Times New Roman"/>
          <w:color w:val="auto"/>
          <w:sz w:val="24"/>
          <w:szCs w:val="24"/>
          <w:vertAlign w:val="subscript"/>
        </w:rPr>
        <w:t>1/2</w:t>
      </w:r>
      <w:r w:rsidRPr="002C4116">
        <w:rPr>
          <w:rFonts w:ascii="Times New Roman" w:hAnsi="Times New Roman" w:cs="Times New Roman"/>
          <w:color w:val="auto"/>
          <w:sz w:val="24"/>
          <w:szCs w:val="24"/>
        </w:rPr>
        <w:t xml:space="preserve"> </w:t>
      </w:r>
      <w:r w:rsidRPr="002C4116">
        <w:rPr>
          <w:rFonts w:ascii="Times New Roman" w:hAnsi="Times New Roman" w:cs="Times New Roman"/>
          <w:i w:val="0"/>
          <w:iCs w:val="0"/>
          <w:color w:val="auto"/>
          <w:sz w:val="24"/>
          <w:szCs w:val="24"/>
        </w:rPr>
        <w:t>(D) orbitals.</w:t>
      </w:r>
    </w:p>
    <w:p w14:paraId="161D1B3A" w14:textId="77777777" w:rsidR="00A71BD3" w:rsidRPr="002C4116" w:rsidRDefault="00A71BD3" w:rsidP="00A71BD3">
      <w:pPr>
        <w:pStyle w:val="Paragrafoelenco"/>
        <w:numPr>
          <w:ilvl w:val="0"/>
          <w:numId w:val="1"/>
        </w:numPr>
        <w:rPr>
          <w:rFonts w:ascii="Times New Roman" w:hAnsi="Times New Roman" w:cs="Times New Roman"/>
          <w:sz w:val="24"/>
          <w:szCs w:val="24"/>
          <w:lang w:val="en-US"/>
        </w:rPr>
      </w:pPr>
      <w:r w:rsidRPr="002C4116">
        <w:rPr>
          <w:rFonts w:ascii="Times New Roman" w:hAnsi="Times New Roman" w:cs="Times New Roman"/>
          <w:b/>
          <w:bCs/>
          <w:sz w:val="24"/>
          <w:szCs w:val="24"/>
        </w:rPr>
        <w:t>XRD</w:t>
      </w:r>
      <w:r w:rsidRPr="002C4116">
        <w:rPr>
          <w:rFonts w:ascii="Times New Roman" w:hAnsi="Times New Roman" w:cs="Times New Roman"/>
          <w:sz w:val="24"/>
          <w:szCs w:val="24"/>
        </w:rPr>
        <w:t xml:space="preserve"> </w:t>
      </w:r>
      <w:r w:rsidRPr="002C4116">
        <w:rPr>
          <w:rFonts w:ascii="Times New Roman" w:hAnsi="Times New Roman" w:cs="Times New Roman"/>
          <w:b/>
          <w:bCs/>
          <w:sz w:val="24"/>
          <w:szCs w:val="24"/>
        </w:rPr>
        <w:t>Characterization</w:t>
      </w:r>
      <w:r w:rsidRPr="002C4116">
        <w:rPr>
          <w:rFonts w:ascii="Times New Roman" w:hAnsi="Times New Roman" w:cs="Times New Roman"/>
          <w:sz w:val="24"/>
          <w:szCs w:val="24"/>
        </w:rPr>
        <w:br/>
      </w:r>
    </w:p>
    <w:p w14:paraId="75AA2A7A" w14:textId="77777777" w:rsidR="00A71BD3" w:rsidRPr="002C4116" w:rsidRDefault="00A71BD3" w:rsidP="00A71BD3">
      <w:pPr>
        <w:pStyle w:val="Paragrafoelenco"/>
        <w:jc w:val="center"/>
        <w:rPr>
          <w:rFonts w:ascii="Times New Roman" w:hAnsi="Times New Roman" w:cs="Times New Roman"/>
          <w:b/>
          <w:bCs/>
          <w:sz w:val="24"/>
          <w:szCs w:val="24"/>
          <w:lang w:val="en-US"/>
        </w:rPr>
      </w:pPr>
      <w:r w:rsidRPr="002C4116">
        <w:rPr>
          <w:rFonts w:ascii="Times New Roman" w:hAnsi="Times New Roman" w:cs="Times New Roman"/>
          <w:sz w:val="24"/>
          <w:szCs w:val="24"/>
        </w:rPr>
        <w:br/>
      </w:r>
      <w:r w:rsidRPr="002C4116">
        <w:rPr>
          <w:rFonts w:ascii="Times New Roman" w:hAnsi="Times New Roman" w:cs="Times New Roman"/>
          <w:noProof/>
          <w:sz w:val="24"/>
          <w:szCs w:val="24"/>
          <w:lang w:val="it-IT" w:eastAsia="it-IT"/>
        </w:rPr>
        <w:drawing>
          <wp:inline distT="0" distB="0" distL="0" distR="0" wp14:anchorId="0A6E1080" wp14:editId="3B7BC2FC">
            <wp:extent cx="3327421" cy="2483096"/>
            <wp:effectExtent l="0" t="0" r="0" b="6350"/>
            <wp:docPr id="2076143951" name="Immagine 1" descr="Immagine che contiene testo, diagramma,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6143951" name="Immagine 1" descr="Immagine che contiene testo, diagramma, Diagramma, linea&#10;&#10;Il contenuto generato dall'IA potrebbe non essere corretto."/>
                    <pic:cNvPicPr/>
                  </pic:nvPicPr>
                  <pic:blipFill>
                    <a:blip r:embed="rId14"/>
                    <a:stretch>
                      <a:fillRect/>
                    </a:stretch>
                  </pic:blipFill>
                  <pic:spPr>
                    <a:xfrm>
                      <a:off x="0" y="0"/>
                      <a:ext cx="3335918" cy="2489437"/>
                    </a:xfrm>
                    <a:prstGeom prst="rect">
                      <a:avLst/>
                    </a:prstGeom>
                  </pic:spPr>
                </pic:pic>
              </a:graphicData>
            </a:graphic>
          </wp:inline>
        </w:drawing>
      </w:r>
    </w:p>
    <w:p w14:paraId="1C2C832F" w14:textId="77777777" w:rsidR="00A71BD3" w:rsidRPr="002C4116" w:rsidRDefault="00A71BD3" w:rsidP="00A71BD3">
      <w:pPr>
        <w:pStyle w:val="Paragrafoelenco"/>
        <w:tabs>
          <w:tab w:val="left" w:pos="851"/>
        </w:tabs>
        <w:ind w:left="142" w:hanging="142"/>
        <w:rPr>
          <w:rFonts w:ascii="Times New Roman" w:hAnsi="Times New Roman" w:cs="Times New Roman"/>
          <w:sz w:val="24"/>
          <w:szCs w:val="24"/>
          <w:lang w:val="en-US"/>
        </w:rPr>
      </w:pPr>
      <w:r w:rsidRPr="002C4116">
        <w:rPr>
          <w:rFonts w:ascii="Times New Roman" w:hAnsi="Times New Roman" w:cs="Times New Roman"/>
          <w:sz w:val="24"/>
          <w:szCs w:val="24"/>
        </w:rPr>
        <w:br/>
      </w:r>
      <w:r w:rsidRPr="002C4116">
        <w:rPr>
          <w:rFonts w:ascii="Times New Roman" w:hAnsi="Times New Roman" w:cs="Times New Roman"/>
          <w:b/>
          <w:bCs/>
          <w:sz w:val="24"/>
          <w:szCs w:val="24"/>
          <w:lang w:val="en-US"/>
        </w:rPr>
        <w:t>Figure S6.</w:t>
      </w:r>
      <w:r w:rsidRPr="002C4116">
        <w:rPr>
          <w:rFonts w:ascii="Times New Roman" w:hAnsi="Times New Roman" w:cs="Times New Roman"/>
          <w:sz w:val="24"/>
          <w:szCs w:val="24"/>
          <w:lang w:val="en-US"/>
        </w:rPr>
        <w:t xml:space="preserve"> XRD spectra for CeO</w:t>
      </w:r>
      <w:r w:rsidRPr="002C4116">
        <w:rPr>
          <w:rFonts w:ascii="Times New Roman" w:hAnsi="Times New Roman" w:cs="Times New Roman"/>
          <w:sz w:val="24"/>
          <w:szCs w:val="24"/>
          <w:vertAlign w:val="subscript"/>
          <w:lang w:val="en-US"/>
        </w:rPr>
        <w:t>2</w:t>
      </w:r>
      <w:r w:rsidRPr="002C4116">
        <w:rPr>
          <w:rFonts w:ascii="Times New Roman" w:hAnsi="Times New Roman" w:cs="Times New Roman"/>
          <w:sz w:val="24"/>
          <w:szCs w:val="24"/>
          <w:lang w:val="en-US"/>
        </w:rPr>
        <w:t>@oxCNH-G (blue line) and CeO</w:t>
      </w:r>
      <w:r w:rsidRPr="002C4116">
        <w:rPr>
          <w:rFonts w:ascii="Times New Roman" w:hAnsi="Times New Roman" w:cs="Times New Roman"/>
          <w:sz w:val="24"/>
          <w:szCs w:val="24"/>
          <w:vertAlign w:val="subscript"/>
          <w:lang w:val="en-US"/>
        </w:rPr>
        <w:t>2</w:t>
      </w:r>
      <w:r w:rsidRPr="002C4116">
        <w:rPr>
          <w:rFonts w:ascii="Times New Roman" w:hAnsi="Times New Roman" w:cs="Times New Roman"/>
          <w:sz w:val="24"/>
          <w:szCs w:val="24"/>
          <w:lang w:val="en-US"/>
        </w:rPr>
        <w:t xml:space="preserve">@oxCNH-S (green line). </w:t>
      </w:r>
    </w:p>
    <w:p w14:paraId="72B15519" w14:textId="77777777" w:rsidR="00A71BD3" w:rsidRPr="002C4116" w:rsidRDefault="00A71BD3" w:rsidP="00A71BD3">
      <w:pPr>
        <w:pStyle w:val="Paragrafoelenco"/>
        <w:rPr>
          <w:rFonts w:ascii="Times New Roman" w:hAnsi="Times New Roman" w:cs="Times New Roman"/>
          <w:sz w:val="24"/>
          <w:szCs w:val="24"/>
          <w:lang w:val="en-US"/>
        </w:rPr>
      </w:pPr>
    </w:p>
    <w:p w14:paraId="181A94AC" w14:textId="77777777" w:rsidR="00A71BD3" w:rsidRPr="002C4116" w:rsidRDefault="00A71BD3" w:rsidP="00A71BD3">
      <w:pPr>
        <w:pStyle w:val="Paragrafoelenco"/>
        <w:rPr>
          <w:rFonts w:ascii="Times New Roman" w:hAnsi="Times New Roman" w:cs="Times New Roman"/>
          <w:sz w:val="24"/>
          <w:szCs w:val="24"/>
          <w:lang w:val="en-US"/>
        </w:rPr>
      </w:pPr>
    </w:p>
    <w:p w14:paraId="4EC6563C" w14:textId="77777777" w:rsidR="00A71BD3" w:rsidRPr="002C4116" w:rsidRDefault="00A71BD3" w:rsidP="00A71BD3">
      <w:pPr>
        <w:pStyle w:val="Paragrafoelenco"/>
        <w:numPr>
          <w:ilvl w:val="0"/>
          <w:numId w:val="1"/>
        </w:numPr>
        <w:rPr>
          <w:rFonts w:ascii="Times New Roman" w:eastAsia="Times New Roman" w:hAnsi="Times New Roman" w:cs="Times New Roman"/>
          <w:b/>
          <w:bCs/>
          <w:sz w:val="24"/>
          <w:szCs w:val="24"/>
        </w:rPr>
      </w:pPr>
      <w:r w:rsidRPr="002C4116">
        <w:rPr>
          <w:rFonts w:ascii="Times New Roman" w:eastAsia="Times New Roman" w:hAnsi="Times New Roman" w:cs="Times New Roman"/>
          <w:b/>
          <w:bCs/>
          <w:sz w:val="24"/>
          <w:szCs w:val="24"/>
        </w:rPr>
        <w:t>Quantification of the surface area of CNT, CNH and oxCNH</w:t>
      </w:r>
    </w:p>
    <w:p w14:paraId="29E72E24" w14:textId="77777777" w:rsidR="00A71BD3" w:rsidRPr="002C4116" w:rsidRDefault="00A71BD3" w:rsidP="00A71BD3">
      <w:pPr>
        <w:pStyle w:val="Paragrafoelenco"/>
        <w:rPr>
          <w:rFonts w:ascii="Times New Roman" w:eastAsia="Times New Roman" w:hAnsi="Times New Roman" w:cs="Times New Roman"/>
          <w:sz w:val="24"/>
          <w:szCs w:val="24"/>
        </w:rPr>
      </w:pPr>
    </w:p>
    <w:p w14:paraId="24E1D599" w14:textId="77777777" w:rsidR="00A71BD3" w:rsidRPr="002C4116" w:rsidRDefault="00A71BD3" w:rsidP="00A71BD3">
      <w:pPr>
        <w:spacing w:line="360" w:lineRule="auto"/>
        <w:jc w:val="center"/>
        <w:rPr>
          <w:rFonts w:ascii="Times New Roman" w:hAnsi="Times New Roman" w:cs="Times New Roman"/>
          <w:b/>
          <w:bCs/>
          <w:sz w:val="24"/>
          <w:szCs w:val="24"/>
        </w:rPr>
      </w:pPr>
      <w:r w:rsidRPr="002C4116">
        <w:rPr>
          <w:rFonts w:ascii="Times New Roman" w:hAnsi="Times New Roman" w:cs="Times New Roman"/>
          <w:noProof/>
          <w:sz w:val="24"/>
          <w:szCs w:val="24"/>
          <w:lang w:val="it-IT" w:eastAsia="it-IT"/>
        </w:rPr>
        <w:drawing>
          <wp:inline distT="0" distB="0" distL="0" distR="0" wp14:anchorId="15F41823" wp14:editId="3EFD281F">
            <wp:extent cx="3943350" cy="3009900"/>
            <wp:effectExtent l="0" t="0" r="0" b="0"/>
            <wp:docPr id="240156858" name="Immagine 240156858" descr="Immagine 1, 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943350" cy="3009900"/>
                    </a:xfrm>
                    <a:prstGeom prst="rect">
                      <a:avLst/>
                    </a:prstGeom>
                  </pic:spPr>
                </pic:pic>
              </a:graphicData>
            </a:graphic>
          </wp:inline>
        </w:drawing>
      </w:r>
    </w:p>
    <w:p w14:paraId="06CC231B" w14:textId="3B47442A" w:rsidR="00A71BD3" w:rsidRPr="002C4116" w:rsidRDefault="00A71BD3" w:rsidP="00A71BD3">
      <w:pPr>
        <w:spacing w:line="360" w:lineRule="auto"/>
        <w:jc w:val="both"/>
        <w:rPr>
          <w:rFonts w:ascii="Times New Roman" w:eastAsia="Calibri" w:hAnsi="Times New Roman" w:cs="Times New Roman"/>
          <w:color w:val="000000" w:themeColor="text1"/>
          <w:sz w:val="24"/>
          <w:szCs w:val="24"/>
        </w:rPr>
      </w:pPr>
      <w:r w:rsidRPr="002C4116">
        <w:rPr>
          <w:rFonts w:ascii="Times New Roman" w:hAnsi="Times New Roman" w:cs="Times New Roman"/>
          <w:sz w:val="24"/>
          <w:szCs w:val="24"/>
        </w:rPr>
        <w:br/>
      </w:r>
      <w:r w:rsidRPr="002C4116">
        <w:rPr>
          <w:rFonts w:ascii="Times New Roman" w:hAnsi="Times New Roman" w:cs="Times New Roman"/>
          <w:b/>
          <w:bCs/>
          <w:sz w:val="24"/>
          <w:szCs w:val="24"/>
        </w:rPr>
        <w:t>Figu</w:t>
      </w:r>
      <w:r w:rsidRPr="002C4116">
        <w:rPr>
          <w:rFonts w:ascii="Times New Roman" w:eastAsia="Times New Roman" w:hAnsi="Times New Roman" w:cs="Times New Roman"/>
          <w:b/>
          <w:bCs/>
          <w:sz w:val="24"/>
          <w:szCs w:val="24"/>
        </w:rPr>
        <w:t>re S7.</w:t>
      </w:r>
      <w:r w:rsidRPr="002C4116">
        <w:rPr>
          <w:rFonts w:ascii="Times New Roman" w:eastAsia="Times New Roman" w:hAnsi="Times New Roman" w:cs="Times New Roman"/>
          <w:sz w:val="24"/>
          <w:szCs w:val="24"/>
        </w:rPr>
        <w:t xml:space="preserve"> Isotherms of the </w:t>
      </w:r>
      <w:r w:rsidRPr="002C4116">
        <w:rPr>
          <w:rFonts w:ascii="Times New Roman" w:eastAsia="Times New Roman" w:hAnsi="Times New Roman" w:cs="Times New Roman"/>
          <w:color w:val="000000" w:themeColor="text1"/>
          <w:sz w:val="24"/>
          <w:szCs w:val="24"/>
        </w:rPr>
        <w:t xml:space="preserve">measured the surface area of the </w:t>
      </w:r>
      <w:r w:rsidR="002C4116" w:rsidRPr="002C4116">
        <w:rPr>
          <w:rFonts w:ascii="Times New Roman" w:eastAsia="Times New Roman" w:hAnsi="Times New Roman" w:cs="Times New Roman"/>
          <w:color w:val="000000" w:themeColor="text1"/>
          <w:sz w:val="24"/>
          <w:szCs w:val="24"/>
        </w:rPr>
        <w:t>ox</w:t>
      </w:r>
      <w:r w:rsidRPr="002C4116">
        <w:rPr>
          <w:rFonts w:ascii="Times New Roman" w:eastAsia="Times New Roman" w:hAnsi="Times New Roman" w:cs="Times New Roman"/>
          <w:color w:val="000000" w:themeColor="text1"/>
          <w:sz w:val="24"/>
          <w:szCs w:val="24"/>
        </w:rPr>
        <w:t>CNH (both pristine and oxidized) and of the CNT by means of N</w:t>
      </w:r>
      <w:r w:rsidRPr="002C4116">
        <w:rPr>
          <w:rFonts w:ascii="Times New Roman" w:eastAsia="Times New Roman" w:hAnsi="Times New Roman" w:cs="Times New Roman"/>
          <w:color w:val="000000" w:themeColor="text1"/>
          <w:sz w:val="24"/>
          <w:szCs w:val="24"/>
          <w:vertAlign w:val="subscript"/>
        </w:rPr>
        <w:t>2</w:t>
      </w:r>
      <w:r w:rsidRPr="002C4116">
        <w:rPr>
          <w:rFonts w:ascii="Times New Roman" w:eastAsia="Times New Roman" w:hAnsi="Times New Roman" w:cs="Times New Roman"/>
          <w:color w:val="000000" w:themeColor="text1"/>
          <w:sz w:val="24"/>
          <w:szCs w:val="24"/>
        </w:rPr>
        <w:t xml:space="preserve"> physisorption</w:t>
      </w:r>
      <w:r w:rsidR="002C4116" w:rsidRPr="002C4116">
        <w:rPr>
          <w:rFonts w:ascii="Times New Roman" w:eastAsia="Times New Roman" w:hAnsi="Times New Roman" w:cs="Times New Roman"/>
          <w:color w:val="000000" w:themeColor="text1"/>
          <w:sz w:val="24"/>
          <w:szCs w:val="24"/>
        </w:rPr>
        <w:t>.</w:t>
      </w:r>
    </w:p>
    <w:p w14:paraId="1504A770" w14:textId="77777777" w:rsidR="00A71BD3" w:rsidRPr="002C4116" w:rsidRDefault="00A71BD3" w:rsidP="00A71BD3">
      <w:pPr>
        <w:pStyle w:val="Paragrafoelenco"/>
        <w:numPr>
          <w:ilvl w:val="0"/>
          <w:numId w:val="1"/>
        </w:numPr>
        <w:spacing w:line="360" w:lineRule="auto"/>
        <w:rPr>
          <w:rFonts w:ascii="Times New Roman" w:hAnsi="Times New Roman" w:cs="Times New Roman"/>
          <w:b/>
          <w:bCs/>
          <w:sz w:val="24"/>
          <w:szCs w:val="24"/>
        </w:rPr>
      </w:pPr>
      <w:r w:rsidRPr="002C4116">
        <w:rPr>
          <w:rFonts w:ascii="Times New Roman" w:hAnsi="Times New Roman" w:cs="Times New Roman"/>
          <w:b/>
          <w:bCs/>
          <w:sz w:val="24"/>
          <w:szCs w:val="24"/>
        </w:rPr>
        <w:fldChar w:fldCharType="begin"/>
      </w:r>
      <w:r w:rsidRPr="002C4116">
        <w:rPr>
          <w:rFonts w:ascii="Times New Roman" w:hAnsi="Times New Roman" w:cs="Times New Roman"/>
          <w:sz w:val="24"/>
          <w:szCs w:val="24"/>
        </w:rPr>
        <w:instrText xml:space="preserve"> XE "</w:instrText>
      </w:r>
      <w:r w:rsidRPr="002C4116">
        <w:rPr>
          <w:rFonts w:ascii="Times New Roman" w:hAnsi="Times New Roman" w:cs="Times New Roman"/>
          <w:b/>
          <w:bCs/>
          <w:sz w:val="24"/>
          <w:szCs w:val="24"/>
        </w:rPr>
        <w:instrText>XPS</w:instrText>
      </w:r>
      <w:r w:rsidRPr="002C4116">
        <w:rPr>
          <w:rFonts w:ascii="Times New Roman" w:hAnsi="Times New Roman" w:cs="Times New Roman"/>
          <w:sz w:val="24"/>
          <w:szCs w:val="24"/>
        </w:rPr>
        <w:instrText xml:space="preserve">" </w:instrText>
      </w:r>
      <w:r w:rsidRPr="002C4116">
        <w:rPr>
          <w:rFonts w:ascii="Times New Roman" w:hAnsi="Times New Roman" w:cs="Times New Roman"/>
          <w:b/>
          <w:bCs/>
          <w:sz w:val="24"/>
          <w:szCs w:val="24"/>
        </w:rPr>
        <w:fldChar w:fldCharType="end"/>
      </w:r>
      <w:r w:rsidRPr="002C4116">
        <w:rPr>
          <w:rFonts w:ascii="Times New Roman" w:hAnsi="Times New Roman" w:cs="Times New Roman"/>
          <w:b/>
          <w:bCs/>
          <w:sz w:val="24"/>
          <w:szCs w:val="24"/>
        </w:rPr>
        <w:t xml:space="preserve">Electrochemistry </w:t>
      </w:r>
      <w:r w:rsidRPr="002C4116">
        <w:rPr>
          <w:rFonts w:ascii="Times New Roman" w:hAnsi="Times New Roman" w:cs="Times New Roman"/>
          <w:b/>
          <w:bCs/>
          <w:sz w:val="24"/>
          <w:szCs w:val="24"/>
        </w:rPr>
        <w:fldChar w:fldCharType="begin"/>
      </w:r>
      <w:r w:rsidRPr="002C4116">
        <w:rPr>
          <w:rFonts w:ascii="Times New Roman" w:hAnsi="Times New Roman" w:cs="Times New Roman"/>
          <w:sz w:val="24"/>
          <w:szCs w:val="24"/>
        </w:rPr>
        <w:instrText xml:space="preserve"> XE "</w:instrText>
      </w:r>
      <w:r w:rsidRPr="002C4116">
        <w:rPr>
          <w:rFonts w:ascii="Times New Roman" w:hAnsi="Times New Roman" w:cs="Times New Roman"/>
          <w:b/>
          <w:bCs/>
          <w:sz w:val="24"/>
          <w:szCs w:val="24"/>
        </w:rPr>
        <w:instrText>Experimental Section</w:instrText>
      </w:r>
      <w:r w:rsidRPr="002C4116">
        <w:rPr>
          <w:rFonts w:ascii="Times New Roman" w:hAnsi="Times New Roman" w:cs="Times New Roman"/>
          <w:sz w:val="24"/>
          <w:szCs w:val="24"/>
        </w:rPr>
        <w:instrText xml:space="preserve">" </w:instrText>
      </w:r>
      <w:r w:rsidRPr="002C4116">
        <w:rPr>
          <w:rFonts w:ascii="Times New Roman" w:hAnsi="Times New Roman" w:cs="Times New Roman"/>
          <w:b/>
          <w:bCs/>
          <w:sz w:val="24"/>
          <w:szCs w:val="24"/>
        </w:rPr>
        <w:fldChar w:fldCharType="end"/>
      </w:r>
    </w:p>
    <w:p w14:paraId="6E982750" w14:textId="77777777" w:rsidR="00A71BD3" w:rsidRPr="002C4116" w:rsidRDefault="00A71BD3" w:rsidP="00A71BD3">
      <w:pPr>
        <w:spacing w:line="360" w:lineRule="auto"/>
        <w:jc w:val="both"/>
        <w:rPr>
          <w:rFonts w:ascii="Times New Roman" w:hAnsi="Times New Roman" w:cs="Times New Roman"/>
          <w:sz w:val="24"/>
          <w:szCs w:val="24"/>
          <w:shd w:val="clear" w:color="auto" w:fill="FFFFFF"/>
          <w:lang w:val="en-GB"/>
        </w:rPr>
      </w:pPr>
      <w:r w:rsidRPr="002C4116">
        <w:rPr>
          <w:rFonts w:ascii="Times New Roman" w:hAnsi="Times New Roman" w:cs="Times New Roman"/>
          <w:sz w:val="24"/>
          <w:szCs w:val="24"/>
          <w:shd w:val="clear" w:color="auto" w:fill="FFFFFF"/>
          <w:lang w:val="en-GB"/>
        </w:rPr>
        <w:t>The material behaviour was investigated through detailed electrochemical characterization, with a specific focus on the CO</w:t>
      </w:r>
      <w:r w:rsidRPr="002C4116">
        <w:rPr>
          <w:rFonts w:ascii="Times New Roman" w:hAnsi="Times New Roman" w:cs="Times New Roman"/>
          <w:sz w:val="24"/>
          <w:szCs w:val="24"/>
          <w:shd w:val="clear" w:color="auto" w:fill="FFFFFF"/>
          <w:vertAlign w:val="subscript"/>
          <w:lang w:val="en-GB"/>
        </w:rPr>
        <w:t>2</w:t>
      </w:r>
      <w:r w:rsidRPr="002C4116">
        <w:rPr>
          <w:rFonts w:ascii="Times New Roman" w:hAnsi="Times New Roman" w:cs="Times New Roman"/>
          <w:sz w:val="24"/>
          <w:szCs w:val="24"/>
          <w:shd w:val="clear" w:color="auto" w:fill="FFFFFF"/>
          <w:lang w:val="en-GB"/>
        </w:rPr>
        <w:t xml:space="preserve"> reduction reaction (CO</w:t>
      </w:r>
      <w:r w:rsidRPr="002C4116">
        <w:rPr>
          <w:rFonts w:ascii="Times New Roman" w:hAnsi="Times New Roman" w:cs="Times New Roman"/>
          <w:sz w:val="24"/>
          <w:szCs w:val="24"/>
          <w:shd w:val="clear" w:color="auto" w:fill="FFFFFF"/>
          <w:vertAlign w:val="subscript"/>
          <w:lang w:val="en-GB"/>
        </w:rPr>
        <w:t>2</w:t>
      </w:r>
      <w:r w:rsidRPr="002C4116">
        <w:rPr>
          <w:rFonts w:ascii="Times New Roman" w:hAnsi="Times New Roman" w:cs="Times New Roman"/>
          <w:sz w:val="24"/>
          <w:szCs w:val="24"/>
          <w:shd w:val="clear" w:color="auto" w:fill="FFFFFF"/>
          <w:lang w:val="en-GB"/>
        </w:rPr>
        <w:t xml:space="preserve">RR). </w:t>
      </w:r>
    </w:p>
    <w:p w14:paraId="5E2907AB" w14:textId="77777777" w:rsidR="00A71BD3" w:rsidRPr="002C4116" w:rsidRDefault="00A71BD3" w:rsidP="00A71BD3">
      <w:pPr>
        <w:spacing w:line="360" w:lineRule="auto"/>
        <w:jc w:val="both"/>
        <w:rPr>
          <w:rFonts w:ascii="Times New Roman" w:hAnsi="Times New Roman" w:cs="Times New Roman"/>
          <w:sz w:val="24"/>
          <w:szCs w:val="24"/>
          <w:shd w:val="clear" w:color="auto" w:fill="FFFFFF"/>
          <w:lang w:val="en-GB"/>
        </w:rPr>
      </w:pPr>
      <w:r w:rsidRPr="002C4116">
        <w:rPr>
          <w:rFonts w:ascii="Times New Roman" w:hAnsi="Times New Roman" w:cs="Times New Roman"/>
          <w:sz w:val="24"/>
          <w:szCs w:val="24"/>
          <w:shd w:val="clear" w:color="auto" w:fill="FFFFFF"/>
          <w:lang w:val="en-GB"/>
        </w:rPr>
        <w:t>The measurements were conducted on an SP-300 workstation (Biologic Instruments) employing methods such as Cyclic Voltammetry (CV) and Electrochemical Impedance Spectroscopy (EIS). All potentials are iR corrected trough EIS. A three-electrode cell configuration was used, featuring a MiniHydroFlex® Reversible Hydrogen Electrode (RHE) from Biologic Instruments as the reference electrode, a platinum wire as the counter electrode, and a catalyst-coated glassy carbon electrode (GCE) with a 3 mm diameter and a geometric surface area of 0.071 cm² as the working electrode.</w:t>
      </w:r>
    </w:p>
    <w:p w14:paraId="671822A1" w14:textId="77777777" w:rsidR="00A71BD3" w:rsidRPr="002C4116" w:rsidRDefault="00A71BD3" w:rsidP="00A71BD3">
      <w:pPr>
        <w:spacing w:line="360" w:lineRule="auto"/>
        <w:jc w:val="both"/>
        <w:rPr>
          <w:rFonts w:ascii="Times New Roman" w:hAnsi="Times New Roman" w:cs="Times New Roman"/>
          <w:sz w:val="24"/>
          <w:szCs w:val="24"/>
          <w:shd w:val="clear" w:color="auto" w:fill="FFFFFF"/>
          <w:lang w:val="en-GB"/>
        </w:rPr>
      </w:pPr>
      <w:r w:rsidRPr="002C4116">
        <w:rPr>
          <w:rFonts w:ascii="Times New Roman" w:hAnsi="Times New Roman" w:cs="Times New Roman"/>
          <w:sz w:val="24"/>
          <w:szCs w:val="24"/>
          <w:shd w:val="clear" w:color="auto" w:fill="FFFFFF"/>
          <w:lang w:val="en-GB"/>
        </w:rPr>
        <w:t xml:space="preserve">The electrochemical properties of the </w:t>
      </w:r>
      <w:r w:rsidRPr="002C4116">
        <w:rPr>
          <w:rFonts w:ascii="Times New Roman" w:hAnsi="Times New Roman" w:cs="Times New Roman"/>
          <w:noProof/>
          <w:sz w:val="24"/>
          <w:szCs w:val="24"/>
          <w:lang w:val="en-GB"/>
        </w:rPr>
        <w:t>CeO</w:t>
      </w:r>
      <w:r w:rsidRPr="002C4116">
        <w:rPr>
          <w:rFonts w:ascii="Times New Roman" w:hAnsi="Times New Roman" w:cs="Times New Roman"/>
          <w:noProof/>
          <w:sz w:val="24"/>
          <w:szCs w:val="24"/>
          <w:vertAlign w:val="subscript"/>
          <w:lang w:val="en-GB"/>
        </w:rPr>
        <w:t>2</w:t>
      </w:r>
      <w:r w:rsidRPr="002C4116">
        <w:rPr>
          <w:rFonts w:ascii="Times New Roman" w:hAnsi="Times New Roman" w:cs="Times New Roman"/>
          <w:noProof/>
          <w:sz w:val="24"/>
          <w:szCs w:val="24"/>
          <w:lang w:val="en-GB"/>
        </w:rPr>
        <w:t xml:space="preserve">@oxCNHs </w:t>
      </w:r>
      <w:r w:rsidRPr="002C4116">
        <w:rPr>
          <w:rFonts w:ascii="Times New Roman" w:hAnsi="Times New Roman" w:cs="Times New Roman"/>
          <w:sz w:val="24"/>
          <w:szCs w:val="24"/>
          <w:shd w:val="clear" w:color="auto" w:fill="FFFFFF"/>
          <w:lang w:val="en-GB"/>
        </w:rPr>
        <w:t xml:space="preserve">composite materials were examined by preparing a thin film on the glassy carbon electrode via drop-casting, ensuring a constant electrocatalyst loading of 505 μg cm⁻². The nanoparticles were dispersed in a solvent mixture consisting of one-part Milli-Q water and two parts 2-propanol, with 0.5% Nafion added to </w:t>
      </w:r>
      <w:r w:rsidRPr="002C4116">
        <w:rPr>
          <w:rFonts w:ascii="Times New Roman" w:hAnsi="Times New Roman" w:cs="Times New Roman"/>
          <w:sz w:val="24"/>
          <w:szCs w:val="24"/>
          <w:shd w:val="clear" w:color="auto" w:fill="FFFFFF"/>
          <w:lang w:val="en-GB"/>
        </w:rPr>
        <w:lastRenderedPageBreak/>
        <w:t>achieve a concentration of 1.6 mg mL⁻¹. All electrochemical measurements were referenced against the RHE.</w:t>
      </w:r>
    </w:p>
    <w:p w14:paraId="72F4C860" w14:textId="77777777" w:rsidR="002C4116" w:rsidRPr="002C4116" w:rsidRDefault="002C4116" w:rsidP="00A71BD3">
      <w:pPr>
        <w:spacing w:line="360" w:lineRule="auto"/>
        <w:jc w:val="both"/>
        <w:rPr>
          <w:rFonts w:ascii="Times New Roman" w:hAnsi="Times New Roman" w:cs="Times New Roman"/>
          <w:sz w:val="24"/>
          <w:szCs w:val="24"/>
          <w:shd w:val="clear" w:color="auto" w:fill="FFFFFF"/>
          <w:lang w:val="en-GB"/>
        </w:rPr>
      </w:pPr>
    </w:p>
    <w:p w14:paraId="23F56FD4" w14:textId="77777777" w:rsidR="00A71BD3" w:rsidRPr="002C4116" w:rsidRDefault="00A71BD3" w:rsidP="00A71BD3">
      <w:pPr>
        <w:spacing w:line="360" w:lineRule="auto"/>
        <w:ind w:left="708"/>
        <w:jc w:val="both"/>
        <w:rPr>
          <w:rFonts w:ascii="Times New Roman" w:hAnsi="Times New Roman" w:cs="Times New Roman"/>
          <w:b/>
          <w:bCs/>
          <w:sz w:val="24"/>
          <w:szCs w:val="24"/>
          <w:shd w:val="clear" w:color="auto" w:fill="FFFFFF"/>
        </w:rPr>
      </w:pPr>
      <w:r w:rsidRPr="002C4116">
        <w:rPr>
          <w:rFonts w:ascii="Times New Roman" w:hAnsi="Times New Roman" w:cs="Times New Roman"/>
          <w:b/>
          <w:bCs/>
          <w:sz w:val="24"/>
          <w:szCs w:val="24"/>
          <w:shd w:val="clear" w:color="auto" w:fill="FFFFFF"/>
        </w:rPr>
        <w:t>5.1.  Cyclic Voltammetry Characterization: differences between Solvothermal and Sol-Gel sample</w:t>
      </w:r>
    </w:p>
    <w:p w14:paraId="19CFDCBA"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shd w:val="clear" w:color="auto" w:fill="FFFFFF"/>
          <w:lang w:val="en-GB"/>
        </w:rPr>
        <w:t>The electrochemical experiments were performed in an Ar-saturated 0.5 M KHCO</w:t>
      </w:r>
      <w:r w:rsidRPr="002C4116">
        <w:rPr>
          <w:rFonts w:ascii="Times New Roman" w:hAnsi="Times New Roman" w:cs="Times New Roman"/>
          <w:sz w:val="24"/>
          <w:szCs w:val="24"/>
          <w:shd w:val="clear" w:color="auto" w:fill="FFFFFF"/>
          <w:vertAlign w:val="subscript"/>
          <w:lang w:val="en-GB"/>
        </w:rPr>
        <w:t>3</w:t>
      </w:r>
      <w:r w:rsidRPr="002C4116">
        <w:rPr>
          <w:rFonts w:ascii="Times New Roman" w:hAnsi="Times New Roman" w:cs="Times New Roman"/>
          <w:sz w:val="24"/>
          <w:szCs w:val="24"/>
          <w:shd w:val="clear" w:color="auto" w:fill="FFFFFF"/>
          <w:lang w:val="en-GB"/>
        </w:rPr>
        <w:t xml:space="preserve"> pre-electrolyzed electrolyte.</w:t>
      </w:r>
      <w:r w:rsidRPr="002C4116">
        <w:rPr>
          <w:rFonts w:ascii="Times New Roman" w:hAnsi="Times New Roman" w:cs="Times New Roman"/>
          <w:sz w:val="24"/>
          <w:szCs w:val="24"/>
          <w:lang w:val="en-GB"/>
        </w:rPr>
        <w:t xml:space="preserve"> To maintain high electrolyte purity, the solution underwent pre-electrolysis to remove metal impurities, which can interfere with surface reactions. The pre-electrolysis process involved a two-electrode setup, with a platinum (Pt) wire as the counter electrode and a Pt mesh as the working electrode. Electrolysis was performed for at least 24 hours at a current of 0.1 mA, while the solution was stirred and saturated with argon (Ar).</w:t>
      </w:r>
    </w:p>
    <w:p w14:paraId="565394B3" w14:textId="77777777" w:rsidR="00A71BD3" w:rsidRPr="002C4116" w:rsidRDefault="00A71BD3" w:rsidP="00A71BD3">
      <w:pPr>
        <w:spacing w:line="360" w:lineRule="auto"/>
        <w:jc w:val="both"/>
        <w:rPr>
          <w:rFonts w:ascii="Times New Roman" w:hAnsi="Times New Roman" w:cs="Times New Roman"/>
          <w:sz w:val="24"/>
          <w:szCs w:val="24"/>
          <w:shd w:val="clear" w:color="auto" w:fill="FFFFFF"/>
          <w:lang w:val="en-GB"/>
        </w:rPr>
      </w:pPr>
      <w:r w:rsidRPr="002C4116">
        <w:rPr>
          <w:rFonts w:ascii="Times New Roman" w:hAnsi="Times New Roman" w:cs="Times New Roman"/>
          <w:sz w:val="24"/>
          <w:szCs w:val="24"/>
          <w:shd w:val="clear" w:color="auto" w:fill="FFFFFF"/>
          <w:lang w:val="en-GB"/>
        </w:rPr>
        <w:t xml:space="preserve"> Cyclic Voltammetry (CV) analysis revealed that the solvothermally synthesized sample exhibited a current response twenty times higher than that of the sol-gel sample, leading to the decision to focus further investigations on the solvothermal sample. This approach allowed for a more in-depth evaluation of the material's performance in CO</w:t>
      </w:r>
      <w:r w:rsidRPr="002C4116">
        <w:rPr>
          <w:rFonts w:ascii="Times New Roman" w:hAnsi="Times New Roman" w:cs="Times New Roman"/>
          <w:sz w:val="24"/>
          <w:szCs w:val="24"/>
          <w:shd w:val="clear" w:color="auto" w:fill="FFFFFF"/>
          <w:vertAlign w:val="subscript"/>
          <w:lang w:val="en-GB"/>
        </w:rPr>
        <w:t>2</w:t>
      </w:r>
      <w:r w:rsidRPr="002C4116">
        <w:rPr>
          <w:rFonts w:ascii="Times New Roman" w:hAnsi="Times New Roman" w:cs="Times New Roman"/>
          <w:sz w:val="24"/>
          <w:szCs w:val="24"/>
          <w:shd w:val="clear" w:color="auto" w:fill="FFFFFF"/>
          <w:lang w:val="en-GB"/>
        </w:rPr>
        <w:t>RR.</w:t>
      </w:r>
    </w:p>
    <w:p w14:paraId="5F7C7BA8" w14:textId="77777777" w:rsidR="00A71BD3" w:rsidRPr="002C4116" w:rsidRDefault="00A71BD3" w:rsidP="00A71BD3">
      <w:pPr>
        <w:spacing w:line="360" w:lineRule="auto"/>
        <w:jc w:val="both"/>
        <w:rPr>
          <w:rFonts w:ascii="Times New Roman" w:hAnsi="Times New Roman" w:cs="Times New Roman"/>
          <w:sz w:val="24"/>
          <w:szCs w:val="24"/>
        </w:rPr>
      </w:pPr>
      <w:r w:rsidRPr="002C4116">
        <w:rPr>
          <w:rFonts w:ascii="Times New Roman" w:hAnsi="Times New Roman" w:cs="Times New Roman"/>
          <w:noProof/>
          <w:sz w:val="24"/>
          <w:szCs w:val="24"/>
          <w:lang w:val="it-IT" w:eastAsia="it-IT"/>
        </w:rPr>
        <w:drawing>
          <wp:inline distT="0" distB="0" distL="0" distR="0" wp14:anchorId="785C2382" wp14:editId="01CB2A91">
            <wp:extent cx="5927481" cy="2086967"/>
            <wp:effectExtent l="0" t="0" r="0" b="0"/>
            <wp:docPr id="1112524009" name="Picture 1112524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927481" cy="2086967"/>
                    </a:xfrm>
                    <a:prstGeom prst="rect">
                      <a:avLst/>
                    </a:prstGeom>
                  </pic:spPr>
                </pic:pic>
              </a:graphicData>
            </a:graphic>
          </wp:inline>
        </w:drawing>
      </w:r>
    </w:p>
    <w:p w14:paraId="45A0B3B3" w14:textId="77777777" w:rsidR="00A71BD3" w:rsidRPr="002C4116" w:rsidRDefault="00A71BD3" w:rsidP="00A71BD3">
      <w:pPr>
        <w:spacing w:line="360" w:lineRule="auto"/>
        <w:jc w:val="both"/>
        <w:rPr>
          <w:rFonts w:ascii="Times New Roman" w:hAnsi="Times New Roman" w:cs="Times New Roman"/>
          <w:sz w:val="24"/>
          <w:szCs w:val="24"/>
        </w:rPr>
      </w:pPr>
    </w:p>
    <w:p w14:paraId="411AA16F" w14:textId="1469186F" w:rsidR="00A71BD3" w:rsidRDefault="00A71BD3" w:rsidP="00A71BD3">
      <w:pPr>
        <w:pStyle w:val="Didascalia"/>
        <w:spacing w:line="360" w:lineRule="auto"/>
        <w:jc w:val="both"/>
        <w:rPr>
          <w:rFonts w:ascii="Times New Roman" w:hAnsi="Times New Roman" w:cs="Times New Roman"/>
          <w:i w:val="0"/>
          <w:iCs w:val="0"/>
          <w:noProof/>
          <w:color w:val="auto"/>
          <w:sz w:val="24"/>
          <w:szCs w:val="24"/>
        </w:rPr>
      </w:pPr>
      <w:r w:rsidRPr="002C4116">
        <w:rPr>
          <w:rFonts w:ascii="Times New Roman" w:hAnsi="Times New Roman" w:cs="Times New Roman"/>
          <w:b/>
          <w:bCs/>
          <w:i w:val="0"/>
          <w:iCs w:val="0"/>
          <w:color w:val="auto"/>
          <w:sz w:val="24"/>
          <w:szCs w:val="24"/>
        </w:rPr>
        <w:t>Figure S8</w:t>
      </w:r>
      <w:r w:rsidRPr="002C4116">
        <w:rPr>
          <w:rFonts w:ascii="Times New Roman" w:hAnsi="Times New Roman" w:cs="Times New Roman"/>
          <w:b/>
          <w:bCs/>
          <w:i w:val="0"/>
          <w:iCs w:val="0"/>
          <w:noProof/>
          <w:color w:val="auto"/>
          <w:sz w:val="24"/>
          <w:szCs w:val="24"/>
        </w:rPr>
        <w:t>.</w:t>
      </w:r>
      <w:r w:rsidRPr="002C4116">
        <w:rPr>
          <w:rFonts w:ascii="Times New Roman" w:hAnsi="Times New Roman" w:cs="Times New Roman"/>
          <w:i w:val="0"/>
          <w:iCs w:val="0"/>
          <w:color w:val="auto"/>
          <w:sz w:val="24"/>
          <w:szCs w:val="24"/>
        </w:rPr>
        <w:t xml:space="preserve"> </w:t>
      </w:r>
      <w:r w:rsidRPr="002C4116">
        <w:rPr>
          <w:rFonts w:ascii="Times New Roman" w:hAnsi="Times New Roman" w:cs="Times New Roman"/>
          <w:i w:val="0"/>
          <w:iCs w:val="0"/>
          <w:noProof/>
          <w:color w:val="auto"/>
          <w:sz w:val="24"/>
          <w:szCs w:val="24"/>
        </w:rPr>
        <w:t>Cyclic voltammetry (CV) analysis of CeO</w:t>
      </w:r>
      <w:r w:rsidRPr="002C4116">
        <w:rPr>
          <w:rFonts w:ascii="Times New Roman" w:hAnsi="Times New Roman" w:cs="Times New Roman"/>
          <w:i w:val="0"/>
          <w:iCs w:val="0"/>
          <w:noProof/>
          <w:color w:val="auto"/>
          <w:sz w:val="24"/>
          <w:szCs w:val="24"/>
          <w:vertAlign w:val="subscript"/>
        </w:rPr>
        <w:t>2</w:t>
      </w:r>
      <w:r w:rsidRPr="002C4116">
        <w:rPr>
          <w:rFonts w:ascii="Times New Roman" w:hAnsi="Times New Roman" w:cs="Times New Roman"/>
          <w:i w:val="0"/>
          <w:iCs w:val="0"/>
          <w:noProof/>
          <w:color w:val="auto"/>
          <w:sz w:val="24"/>
          <w:szCs w:val="24"/>
        </w:rPr>
        <w:t>@oxCNHs materials (A) CeO</w:t>
      </w:r>
      <w:r w:rsidRPr="002C4116">
        <w:rPr>
          <w:rFonts w:ascii="Times New Roman" w:hAnsi="Times New Roman" w:cs="Times New Roman"/>
          <w:i w:val="0"/>
          <w:iCs w:val="0"/>
          <w:noProof/>
          <w:color w:val="auto"/>
          <w:sz w:val="24"/>
          <w:szCs w:val="24"/>
          <w:vertAlign w:val="subscript"/>
        </w:rPr>
        <w:t>2</w:t>
      </w:r>
      <w:r w:rsidRPr="002C4116">
        <w:rPr>
          <w:rFonts w:ascii="Times New Roman" w:hAnsi="Times New Roman" w:cs="Times New Roman"/>
          <w:i w:val="0"/>
          <w:iCs w:val="0"/>
          <w:noProof/>
          <w:color w:val="auto"/>
          <w:sz w:val="24"/>
          <w:szCs w:val="24"/>
        </w:rPr>
        <w:t>@oxCNH – S and (B) CeO</w:t>
      </w:r>
      <w:r w:rsidRPr="002C4116">
        <w:rPr>
          <w:rFonts w:ascii="Times New Roman" w:hAnsi="Times New Roman" w:cs="Times New Roman"/>
          <w:i w:val="0"/>
          <w:iCs w:val="0"/>
          <w:noProof/>
          <w:color w:val="auto"/>
          <w:sz w:val="24"/>
          <w:szCs w:val="24"/>
          <w:vertAlign w:val="subscript"/>
        </w:rPr>
        <w:t>2</w:t>
      </w:r>
      <w:r w:rsidRPr="002C4116">
        <w:rPr>
          <w:rFonts w:ascii="Times New Roman" w:hAnsi="Times New Roman" w:cs="Times New Roman"/>
          <w:i w:val="0"/>
          <w:iCs w:val="0"/>
          <w:noProof/>
          <w:color w:val="auto"/>
          <w:sz w:val="24"/>
          <w:szCs w:val="24"/>
        </w:rPr>
        <w:t>@oxCNH – G in Ar-saturated 0.5 M KHCO₃ electrolyte. The CV curves were recorded at different scan rates (5–50 mV s⁻¹). The solvothermally synthesized sample exhibits a significantly higher current response compared to the sol-gel sample, indicating enhanced electrochemical activity and justifying its selection for further CO₂ reduction reaction (CO₂RR) studies</w:t>
      </w:r>
      <w:r w:rsidR="00457A2B">
        <w:rPr>
          <w:rFonts w:ascii="Times New Roman" w:hAnsi="Times New Roman" w:cs="Times New Roman"/>
          <w:i w:val="0"/>
          <w:iCs w:val="0"/>
          <w:noProof/>
          <w:color w:val="auto"/>
          <w:sz w:val="24"/>
          <w:szCs w:val="24"/>
        </w:rPr>
        <w:t>.</w:t>
      </w:r>
    </w:p>
    <w:p w14:paraId="568D4D8C" w14:textId="77777777" w:rsidR="00457A2B" w:rsidRPr="00457A2B" w:rsidRDefault="00457A2B" w:rsidP="00457A2B">
      <w:pPr>
        <w:rPr>
          <w:lang w:val="en-GB"/>
        </w:rPr>
      </w:pPr>
    </w:p>
    <w:p w14:paraId="35AFFD23" w14:textId="77777777" w:rsidR="00A71BD3" w:rsidRPr="002C4116" w:rsidRDefault="00A71BD3" w:rsidP="00A71BD3">
      <w:pPr>
        <w:pStyle w:val="Paragrafoelenco"/>
        <w:spacing w:line="360" w:lineRule="auto"/>
        <w:jc w:val="both"/>
        <w:rPr>
          <w:rFonts w:ascii="Times New Roman" w:hAnsi="Times New Roman" w:cs="Times New Roman"/>
          <w:b/>
          <w:bCs/>
          <w:sz w:val="24"/>
          <w:szCs w:val="24"/>
        </w:rPr>
      </w:pPr>
      <w:r w:rsidRPr="002C4116">
        <w:rPr>
          <w:rFonts w:ascii="Times New Roman" w:hAnsi="Times New Roman" w:cs="Times New Roman"/>
          <w:b/>
          <w:bCs/>
          <w:sz w:val="24"/>
          <w:szCs w:val="24"/>
        </w:rPr>
        <w:lastRenderedPageBreak/>
        <w:t>5.2. CO</w:t>
      </w:r>
      <w:r w:rsidRPr="002C4116">
        <w:rPr>
          <w:rFonts w:ascii="Times New Roman" w:hAnsi="Times New Roman" w:cs="Times New Roman"/>
          <w:b/>
          <w:bCs/>
          <w:sz w:val="24"/>
          <w:szCs w:val="24"/>
          <w:vertAlign w:val="subscript"/>
        </w:rPr>
        <w:t>2</w:t>
      </w:r>
      <w:r w:rsidRPr="002C4116">
        <w:rPr>
          <w:rFonts w:ascii="Times New Roman" w:hAnsi="Times New Roman" w:cs="Times New Roman"/>
          <w:b/>
          <w:bCs/>
          <w:sz w:val="24"/>
          <w:szCs w:val="24"/>
        </w:rPr>
        <w:t>RR catalytic performance of the solvothermal sample</w:t>
      </w:r>
    </w:p>
    <w:p w14:paraId="3B8EEB13" w14:textId="77777777" w:rsidR="00A71BD3" w:rsidRPr="002C4116" w:rsidRDefault="00A71BD3" w:rsidP="00A71BD3">
      <w:pPr>
        <w:spacing w:line="360" w:lineRule="auto"/>
        <w:jc w:val="both"/>
        <w:rPr>
          <w:rFonts w:ascii="Times New Roman" w:hAnsi="Times New Roman" w:cs="Times New Roman"/>
          <w:sz w:val="24"/>
          <w:szCs w:val="24"/>
          <w:vertAlign w:val="superscript"/>
          <w:lang w:val="en-GB"/>
        </w:rPr>
      </w:pPr>
      <w:r w:rsidRPr="002C4116">
        <w:rPr>
          <w:rFonts w:ascii="Times New Roman" w:hAnsi="Times New Roman" w:cs="Times New Roman"/>
          <w:sz w:val="24"/>
          <w:szCs w:val="24"/>
          <w:lang w:val="en-GB"/>
        </w:rPr>
        <w:t>The performance of the solvothermal sample was evaluated using a custom-made H-type three-electrode electrochemical cell. In this setup, the working electrode was positioned at the bottom of the cell, facing upwards, while the counter electrode (CE), a platinum mesh, was separated from the catholyte by a porous frit. This configuration allowed gas products to be directly channelled to the gas chromatograph (GC) for detection, while the separate compartment prevented liquid products from reacting with the CE. A MiniHydroFlex® Reversible Hydrogen Electrode (RHE) from Biologic Instruments was used as the reference electrode, ensuring that the potential was locally corrected for pH, thus accounting for the pH dependence of RHE potential.[1]</w:t>
      </w:r>
    </w:p>
    <w:p w14:paraId="74DD1D0D"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The experiments were conducted in a nearly neutral bicarbonate buffer containing 0.5 M potassium bicarbonate (KHCO</w:t>
      </w:r>
      <w:r w:rsidRPr="002C4116">
        <w:rPr>
          <w:rFonts w:ascii="Times New Roman" w:hAnsi="Times New Roman" w:cs="Times New Roman"/>
          <w:sz w:val="24"/>
          <w:szCs w:val="24"/>
          <w:vertAlign w:val="subscript"/>
          <w:lang w:val="en-GB"/>
        </w:rPr>
        <w:t>3</w:t>
      </w:r>
      <w:r w:rsidRPr="002C4116">
        <w:rPr>
          <w:rFonts w:ascii="Times New Roman" w:hAnsi="Times New Roman" w:cs="Times New Roman"/>
          <w:sz w:val="24"/>
          <w:szCs w:val="24"/>
          <w:lang w:val="en-GB"/>
        </w:rPr>
        <w:t>), saturated with carbon dioxide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 xml:space="preserve">). </w:t>
      </w:r>
    </w:p>
    <w:p w14:paraId="61B0842A"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For the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RR performances evaluation, the same catalyst inks and material loadings were employed as in the cyclic voltammetry characterization, though a glassy carbon electrode with a geometric area of 1 cm² was used. The electrode surface and the electrolyte volume were reduced to achieve higher product concentrations, ensuring more accurate and quantifiable measurements. This approach helped surpass the instrument detection limits, thereby improving the reliability and reproducibility of the results.</w:t>
      </w:r>
    </w:p>
    <w:p w14:paraId="4BCB369E"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Subsequently, experiments were conducted using a GDE-System, specifically the commercial MicroFlowCell from ElectroCell (PTFE), optimized for online detection of gas-phase products and equipped with a reference electrode compartment. </w:t>
      </w:r>
    </w:p>
    <w:p w14:paraId="4DFB32CD"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These features applied in a GDE configuration, which can sustain higher current densities, leads to the production of a wider variety of products. The MicroFlowCell was connected to a peristaltic pump to regulate the electrolyte flow over the electrode surface at a rate of 6 mL min⁻¹. In these systems, the catholyte, anolyte, and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 xml:space="preserve"> are continuously looped through the two liquid compartments, constituted by two different solutions of 0.5M KHCO</w:t>
      </w:r>
      <w:r w:rsidRPr="002C4116">
        <w:rPr>
          <w:rFonts w:ascii="Times New Roman" w:hAnsi="Times New Roman" w:cs="Times New Roman"/>
          <w:sz w:val="24"/>
          <w:szCs w:val="24"/>
          <w:vertAlign w:val="subscript"/>
          <w:lang w:val="en-GB"/>
        </w:rPr>
        <w:t>3</w:t>
      </w:r>
      <w:r w:rsidRPr="002C4116">
        <w:rPr>
          <w:rFonts w:ascii="Times New Roman" w:hAnsi="Times New Roman" w:cs="Times New Roman"/>
          <w:sz w:val="24"/>
          <w:szCs w:val="24"/>
          <w:lang w:val="en-GB"/>
        </w:rPr>
        <w:t>. [2] The two compartments are devided by a Sustainion® X37-50 membrane. A typical gas diffusion layer (GDL) comprises a porous matrix that facilitates gas transport, ensuring optimal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 xml:space="preserve"> distribution along the catalyst surface. Structurally, the GDL is composed of a carbon fiber substrate (CFS), a microporous layer (MPL) containing a mixture of carbon nanoparticles and PTFE, and a catalyst layer (CL). The catalyst layer serves as the centre of the reaction, creating a three-phase system involving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 xml:space="preserve"> (gas), bicarbonate (liquid), and the catalyst (solid). In this </w:t>
      </w:r>
      <w:r w:rsidRPr="002C4116">
        <w:rPr>
          <w:rFonts w:ascii="Times New Roman" w:hAnsi="Times New Roman" w:cs="Times New Roman"/>
          <w:sz w:val="24"/>
          <w:szCs w:val="24"/>
          <w:lang w:val="en-GB"/>
        </w:rPr>
        <w:lastRenderedPageBreak/>
        <w:t>work, a commercial gas diffusion layer (GDL) made of Sigracet 39BB carbon paper, featuring a microporous layer (MPL) treated with 5 wt% PTFE and a total thickness of 315 μm, was employed in the cell. Analogously to the static measurements, the 1 cm² GDE was coated with a CeO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@oxCNHs nanostructure via drop casting.</w:t>
      </w:r>
    </w:p>
    <w:p w14:paraId="38D8AF6D"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The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RR activity in both the H-type Cell and GDE Cell was evaluated through chronoamperometry (CA) for 1 hour and 51 minutes in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-saturated electrolytes, using a SP-150 workstation (Biologic Instruments). Gas products were analysed in real-time during electrolysis by in-line gas chromatography (GC), with the electrochemical cell directly connected to the sample loop of the GC. Gas phase samples were collected every 15 minutes, for a total of eight samples during each experiment. Liquid products were analysed post-electrolysis using Ion Chromatography (IC) and Nuclear Magnetic Resonance (NMR) spectroscopy.</w:t>
      </w:r>
    </w:p>
    <w:p w14:paraId="6BCEB0FA"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The Faradaic efficiency (FE) for gas-phase products was calculated using the Equation S1, already used in our previous works[3-5]: </w:t>
      </w:r>
    </w:p>
    <w:p w14:paraId="7368527D" w14:textId="77777777" w:rsidR="00A71BD3" w:rsidRPr="002C4116" w:rsidRDefault="00A71BD3" w:rsidP="00A71BD3">
      <w:pPr>
        <w:spacing w:line="360" w:lineRule="auto"/>
        <w:jc w:val="center"/>
        <w:rPr>
          <w:rFonts w:ascii="Times New Roman" w:eastAsiaTheme="minorEastAsia" w:hAnsi="Times New Roman" w:cs="Times New Roman"/>
          <w:sz w:val="24"/>
          <w:szCs w:val="24"/>
          <w:lang w:val="en-GB"/>
        </w:rPr>
      </w:pPr>
      <m:oMath>
        <m:r>
          <m:rPr>
            <m:sty m:val="p"/>
          </m:rPr>
          <w:rPr>
            <w:rFonts w:ascii="Cambria Math" w:hAnsi="Cambria Math" w:cs="Times New Roman"/>
            <w:sz w:val="24"/>
            <w:szCs w:val="24"/>
            <w:lang w:val="en-GB"/>
          </w:rPr>
          <m:t>FE=</m:t>
        </m:r>
        <m:f>
          <m:fPr>
            <m:ctrlPr>
              <w:rPr>
                <w:rFonts w:ascii="Cambria Math" w:hAnsi="Cambria Math" w:cs="Times New Roman"/>
                <w:sz w:val="24"/>
                <w:szCs w:val="24"/>
                <w:lang w:val="en-GB"/>
              </w:rPr>
            </m:ctrlPr>
          </m:fPr>
          <m:num>
            <m:r>
              <m:rPr>
                <m:sty m:val="p"/>
              </m:rPr>
              <w:rPr>
                <w:rFonts w:ascii="Cambria Math" w:hAnsi="Cambria Math" w:cs="Times New Roman"/>
                <w:sz w:val="24"/>
                <w:szCs w:val="24"/>
                <w:lang w:val="en-GB"/>
              </w:rPr>
              <m:t>nFφ</m:t>
            </m:r>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F</m:t>
                </m:r>
              </m:e>
              <m:sub>
                <m:r>
                  <m:rPr>
                    <m:sty m:val="p"/>
                  </m:rPr>
                  <w:rPr>
                    <w:rFonts w:ascii="Cambria Math" w:hAnsi="Cambria Math" w:cs="Times New Roman"/>
                    <w:sz w:val="24"/>
                    <w:szCs w:val="24"/>
                    <w:lang w:val="en-GB"/>
                  </w:rPr>
                  <m:t>m</m:t>
                </m:r>
              </m:sub>
            </m:sSub>
          </m:num>
          <m:den>
            <m:r>
              <m:rPr>
                <m:sty m:val="p"/>
              </m:rPr>
              <w:rPr>
                <w:rFonts w:ascii="Cambria Math" w:hAnsi="Cambria Math" w:cs="Times New Roman"/>
                <w:sz w:val="24"/>
                <w:szCs w:val="24"/>
                <w:lang w:val="en-GB"/>
              </w:rPr>
              <m:t>I</m:t>
            </m:r>
          </m:den>
        </m:f>
      </m:oMath>
      <w:r w:rsidRPr="002C4116">
        <w:rPr>
          <w:rFonts w:ascii="Times New Roman" w:eastAsiaTheme="minorEastAsia" w:hAnsi="Times New Roman" w:cs="Times New Roman"/>
          <w:sz w:val="24"/>
          <w:szCs w:val="24"/>
          <w:lang w:val="en-GB"/>
        </w:rPr>
        <w:t xml:space="preserve"> </w:t>
      </w:r>
      <w:r w:rsidRPr="002C4116">
        <w:rPr>
          <w:rFonts w:ascii="Times New Roman" w:eastAsiaTheme="minorEastAsia" w:hAnsi="Times New Roman" w:cs="Times New Roman"/>
          <w:sz w:val="24"/>
          <w:szCs w:val="24"/>
          <w:lang w:val="en-GB"/>
        </w:rPr>
        <w:tab/>
        <w:t xml:space="preserve">             </w:t>
      </w:r>
      <w:r w:rsidRPr="002C4116">
        <w:rPr>
          <w:rFonts w:ascii="Times New Roman" w:eastAsiaTheme="minorEastAsia" w:hAnsi="Times New Roman" w:cs="Times New Roman"/>
          <w:sz w:val="24"/>
          <w:szCs w:val="24"/>
          <w:lang w:val="en-GB"/>
        </w:rPr>
        <w:tab/>
        <w:t>(S1)</w:t>
      </w:r>
    </w:p>
    <w:p w14:paraId="0431865E"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where n is the number of electrons involved in the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RR, F is the Faraday constant, φ is the volume fraction of the gas, I is the current, and Fm is the molar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 xml:space="preserve"> gas flow rate.</w:t>
      </w:r>
    </w:p>
    <w:p w14:paraId="7AFC687C"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The analysis of liquid products was made using Ion Chromatography and Nuclear Magnetic Resonance Spectroscopy. </w:t>
      </w:r>
    </w:p>
    <w:p w14:paraId="404160EC"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The IC, used to detect formate and acetate, was performed using a Metrohm 850 Professional IC Ion Chromatograph, equipped with a Metrosep a Supp 4-250/4.0 anion column and a conductivity detector. The eluent consisted of 0.5 mM H₂SO₄ with 15% acetone. </w:t>
      </w:r>
    </w:p>
    <w:p w14:paraId="27300B96" w14:textId="7A2C9216"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Nuclear Magnetic Resonance (NMR) spectroscopy was employed to detect and quantify methanol, ethanol, and acetaldehyde in the liquid phase, following and adapting the methodologies of Babij et al., Chatterjee et al. and Iglesias van Montfort </w:t>
      </w:r>
      <w:r w:rsidR="002C4116" w:rsidRPr="002C4116">
        <w:rPr>
          <w:rFonts w:ascii="Times New Roman" w:hAnsi="Times New Roman" w:cs="Times New Roman"/>
          <w:sz w:val="24"/>
          <w:szCs w:val="24"/>
          <w:lang w:val="en-GB"/>
        </w:rPr>
        <w:t>et al. [</w:t>
      </w:r>
      <w:r w:rsidRPr="002C4116">
        <w:rPr>
          <w:rFonts w:ascii="Times New Roman" w:hAnsi="Times New Roman" w:cs="Times New Roman"/>
          <w:sz w:val="24"/>
          <w:szCs w:val="24"/>
          <w:lang w:val="en-GB"/>
        </w:rPr>
        <w:t>2,6,7] In our approach, 0.4 mM of dimethyl sulfoxide (DMSO) was added as an internal standard to accurately quantify the reaction products. The analysis was conducted using a mixture of 500 µL of the liquid phase sample and 100 µL of deuterium oxide (D₂O), ensuring reliable product identification and quantification. The Faradaic efficiency (FE) for the liquid phase was quantified using the following Equation S2:</w:t>
      </w:r>
    </w:p>
    <w:p w14:paraId="793948C3" w14:textId="77777777" w:rsidR="00A71BD3" w:rsidRPr="002C4116" w:rsidRDefault="00A71BD3" w:rsidP="00A71BD3">
      <w:pPr>
        <w:spacing w:line="360" w:lineRule="auto"/>
        <w:jc w:val="center"/>
        <w:rPr>
          <w:rFonts w:ascii="Times New Roman" w:hAnsi="Times New Roman" w:cs="Times New Roman"/>
          <w:sz w:val="24"/>
          <w:szCs w:val="24"/>
          <w:lang w:val="en-GB"/>
        </w:rPr>
      </w:pPr>
      <m:oMath>
        <m:r>
          <m:rPr>
            <m:sty m:val="p"/>
          </m:rPr>
          <w:rPr>
            <w:rFonts w:ascii="Cambria Math" w:hAnsi="Cambria Math" w:cs="Times New Roman"/>
            <w:sz w:val="24"/>
            <w:szCs w:val="24"/>
            <w:lang w:val="en-GB"/>
          </w:rPr>
          <w:lastRenderedPageBreak/>
          <m:t>FE=</m:t>
        </m:r>
        <m:f>
          <m:fPr>
            <m:ctrlPr>
              <w:rPr>
                <w:rFonts w:ascii="Cambria Math" w:hAnsi="Cambria Math" w:cs="Times New Roman"/>
                <w:sz w:val="24"/>
                <w:szCs w:val="24"/>
                <w:lang w:val="en-GB"/>
              </w:rPr>
            </m:ctrlPr>
          </m:fPr>
          <m:num>
            <m:r>
              <m:rPr>
                <m:sty m:val="p"/>
              </m:rPr>
              <w:rPr>
                <w:rFonts w:ascii="Cambria Math" w:hAnsi="Cambria Math" w:cs="Times New Roman"/>
                <w:sz w:val="24"/>
                <w:szCs w:val="24"/>
                <w:lang w:val="en-GB"/>
              </w:rPr>
              <m:t>Q</m:t>
            </m:r>
            <m:d>
              <m:dPr>
                <m:ctrlPr>
                  <w:rPr>
                    <w:rFonts w:ascii="Cambria Math" w:hAnsi="Cambria Math" w:cs="Times New Roman"/>
                    <w:sz w:val="24"/>
                    <w:szCs w:val="24"/>
                    <w:lang w:val="en-GB"/>
                  </w:rPr>
                </m:ctrlPr>
              </m:dPr>
              <m:e>
                <m:sSup>
                  <m:sSupPr>
                    <m:ctrlPr>
                      <w:rPr>
                        <w:rFonts w:ascii="Cambria Math" w:hAnsi="Cambria Math" w:cs="Times New Roman"/>
                        <w:sz w:val="24"/>
                        <w:szCs w:val="24"/>
                        <w:lang w:val="en-GB"/>
                      </w:rPr>
                    </m:ctrlPr>
                  </m:sSupPr>
                  <m:e>
                    <m:r>
                      <m:rPr>
                        <m:sty m:val="p"/>
                      </m:rPr>
                      <w:rPr>
                        <w:rFonts w:ascii="Cambria Math" w:hAnsi="Cambria Math" w:cs="Times New Roman"/>
                        <w:sz w:val="24"/>
                        <w:szCs w:val="24"/>
                        <w:lang w:val="en-GB"/>
                      </w:rPr>
                      <m:t>HCOO</m:t>
                    </m:r>
                  </m:e>
                  <m:sup>
                    <m:r>
                      <m:rPr>
                        <m:sty m:val="p"/>
                      </m:rPr>
                      <w:rPr>
                        <w:rFonts w:ascii="Cambria Math" w:hAnsi="Cambria Math" w:cs="Times New Roman"/>
                        <w:sz w:val="24"/>
                        <w:szCs w:val="24"/>
                        <w:lang w:val="en-GB"/>
                      </w:rPr>
                      <m:t>-</m:t>
                    </m:r>
                  </m:sup>
                </m:sSup>
              </m:e>
            </m:d>
          </m:num>
          <m:den>
            <m:sSub>
              <m:sSubPr>
                <m:ctrlPr>
                  <w:rPr>
                    <w:rFonts w:ascii="Cambria Math" w:hAnsi="Cambria Math" w:cs="Times New Roman"/>
                    <w:sz w:val="24"/>
                    <w:szCs w:val="24"/>
                    <w:lang w:val="en-GB"/>
                  </w:rPr>
                </m:ctrlPr>
              </m:sSubPr>
              <m:e>
                <m:r>
                  <m:rPr>
                    <m:sty m:val="p"/>
                  </m:rPr>
                  <w:rPr>
                    <w:rFonts w:ascii="Cambria Math" w:hAnsi="Cambria Math" w:cs="Times New Roman"/>
                    <w:sz w:val="24"/>
                    <w:szCs w:val="24"/>
                    <w:lang w:val="en-GB"/>
                  </w:rPr>
                  <m:t>Q</m:t>
                </m:r>
              </m:e>
              <m:sub>
                <m:r>
                  <m:rPr>
                    <m:sty m:val="p"/>
                  </m:rPr>
                  <w:rPr>
                    <w:rFonts w:ascii="Cambria Math" w:hAnsi="Cambria Math" w:cs="Times New Roman"/>
                    <w:sz w:val="24"/>
                    <w:szCs w:val="24"/>
                    <w:lang w:val="en-GB"/>
                  </w:rPr>
                  <m:t>TOT</m:t>
                </m:r>
              </m:sub>
            </m:sSub>
          </m:den>
        </m:f>
        <m:r>
          <m:rPr>
            <m:sty m:val="p"/>
          </m:rPr>
          <w:rPr>
            <w:rFonts w:ascii="Cambria Math" w:hAnsi="Cambria Math" w:cs="Times New Roman"/>
            <w:sz w:val="24"/>
            <w:szCs w:val="24"/>
            <w:lang w:val="en-GB"/>
          </w:rPr>
          <m:t>x  100</m:t>
        </m:r>
      </m:oMath>
      <w:r w:rsidRPr="002C4116">
        <w:rPr>
          <w:rFonts w:ascii="Times New Roman" w:eastAsiaTheme="minorEastAsia" w:hAnsi="Times New Roman" w:cs="Times New Roman"/>
          <w:sz w:val="24"/>
          <w:szCs w:val="24"/>
          <w:lang w:val="en-GB"/>
        </w:rPr>
        <w:t xml:space="preserve"> </w:t>
      </w:r>
      <w:r w:rsidRPr="002C4116">
        <w:rPr>
          <w:rFonts w:ascii="Times New Roman" w:eastAsiaTheme="minorEastAsia" w:hAnsi="Times New Roman" w:cs="Times New Roman"/>
          <w:sz w:val="24"/>
          <w:szCs w:val="24"/>
          <w:lang w:val="en-GB"/>
        </w:rPr>
        <w:tab/>
      </w:r>
      <w:r w:rsidRPr="002C4116">
        <w:rPr>
          <w:rFonts w:ascii="Times New Roman" w:eastAsiaTheme="minorEastAsia" w:hAnsi="Times New Roman" w:cs="Times New Roman"/>
          <w:sz w:val="24"/>
          <w:szCs w:val="24"/>
          <w:lang w:val="en-GB"/>
        </w:rPr>
        <w:tab/>
        <w:t xml:space="preserve">                           (S2)</w:t>
      </w:r>
    </w:p>
    <w:p w14:paraId="6EFF691A" w14:textId="325544BD"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This comprehensive experimental approach enabled accurate evaluation of both gas and liquid products, improving the understanding of CO</w:t>
      </w:r>
      <w:r w:rsidRPr="002C4116">
        <w:rPr>
          <w:rFonts w:ascii="Times New Roman" w:hAnsi="Times New Roman" w:cs="Times New Roman"/>
          <w:sz w:val="24"/>
          <w:szCs w:val="24"/>
          <w:vertAlign w:val="subscript"/>
          <w:lang w:val="en-GB"/>
        </w:rPr>
        <w:t>2</w:t>
      </w:r>
      <w:r w:rsidRPr="002C4116">
        <w:rPr>
          <w:rFonts w:ascii="Times New Roman" w:hAnsi="Times New Roman" w:cs="Times New Roman"/>
          <w:sz w:val="24"/>
          <w:szCs w:val="24"/>
          <w:lang w:val="en-GB"/>
        </w:rPr>
        <w:t>RR mechanisms and product selectivity.</w:t>
      </w:r>
    </w:p>
    <w:p w14:paraId="597D3D49" w14:textId="77777777" w:rsidR="00A71BD3" w:rsidRPr="002C4116" w:rsidRDefault="00A71BD3" w:rsidP="00A71BD3">
      <w:pPr>
        <w:spacing w:line="360" w:lineRule="auto"/>
        <w:ind w:firstLine="708"/>
        <w:jc w:val="both"/>
        <w:rPr>
          <w:rFonts w:ascii="Times New Roman" w:eastAsia="Times New Roman" w:hAnsi="Times New Roman" w:cs="Times New Roman"/>
          <w:sz w:val="24"/>
          <w:szCs w:val="24"/>
          <w:lang w:val="en-GB"/>
        </w:rPr>
      </w:pPr>
      <w:r w:rsidRPr="002C4116">
        <w:rPr>
          <w:rFonts w:ascii="Times New Roman" w:eastAsia="Times New Roman" w:hAnsi="Times New Roman" w:cs="Times New Roman"/>
          <w:b/>
          <w:bCs/>
          <w:sz w:val="24"/>
          <w:szCs w:val="24"/>
          <w:lang w:val="en-GB"/>
        </w:rPr>
        <w:t>5.3. Statistical Analysis</w:t>
      </w:r>
      <w:r w:rsidRPr="002C4116">
        <w:rPr>
          <w:rFonts w:ascii="Times New Roman" w:eastAsia="Times New Roman" w:hAnsi="Times New Roman" w:cs="Times New Roman"/>
          <w:sz w:val="24"/>
          <w:szCs w:val="24"/>
          <w:lang w:val="en-GB"/>
        </w:rPr>
        <w:t xml:space="preserve"> </w:t>
      </w:r>
    </w:p>
    <w:p w14:paraId="34A502DF" w14:textId="77777777" w:rsidR="00A71BD3" w:rsidRPr="002C4116" w:rsidRDefault="00A71BD3" w:rsidP="00A71BD3">
      <w:pPr>
        <w:spacing w:line="360" w:lineRule="auto"/>
        <w:jc w:val="both"/>
        <w:rPr>
          <w:rFonts w:ascii="Times New Roman" w:eastAsia="Times New Roman" w:hAnsi="Times New Roman" w:cs="Times New Roman"/>
          <w:sz w:val="24"/>
          <w:szCs w:val="24"/>
          <w:lang w:val="en-GB"/>
        </w:rPr>
      </w:pPr>
      <w:r w:rsidRPr="002C4116">
        <w:rPr>
          <w:rFonts w:ascii="Times New Roman" w:eastAsia="Times New Roman" w:hAnsi="Times New Roman" w:cs="Times New Roman"/>
          <w:sz w:val="24"/>
          <w:szCs w:val="24"/>
          <w:lang w:val="en-GB"/>
        </w:rPr>
        <w:t>All data were obtained from at least three independent measurements per condition (N = 3). All the chronoamperometries curves were normalized on the geometrical area of the electrode.</w:t>
      </w:r>
    </w:p>
    <w:p w14:paraId="396BE753" w14:textId="77777777" w:rsidR="00A71BD3" w:rsidRPr="002C4116" w:rsidRDefault="00A71BD3" w:rsidP="00A71BD3">
      <w:pPr>
        <w:spacing w:line="360" w:lineRule="auto"/>
        <w:jc w:val="both"/>
        <w:rPr>
          <w:rFonts w:ascii="Times New Roman" w:eastAsia="Times New Roman" w:hAnsi="Times New Roman" w:cs="Times New Roman"/>
          <w:sz w:val="24"/>
          <w:szCs w:val="24"/>
          <w:lang w:val="en-GB"/>
        </w:rPr>
      </w:pPr>
      <w:r w:rsidRPr="002C4116">
        <w:rPr>
          <w:rFonts w:ascii="Times New Roman" w:eastAsia="Times New Roman" w:hAnsi="Times New Roman" w:cs="Times New Roman"/>
          <w:sz w:val="24"/>
          <w:szCs w:val="24"/>
          <w:lang w:val="en-GB"/>
        </w:rPr>
        <w:t xml:space="preserve"> For each applied potential, chronoamperometric experiments were repeated three times. Gaseous products were quantified eight times per experiment using gas chromatography (GC), while liquid-phase products were collected and analyzed three times by ion chromatography (IC) and three times by nuclear magnetic resonance (NMR) spectroscopy. Data are presented as mean ± standard deviation (SD).</w:t>
      </w:r>
    </w:p>
    <w:p w14:paraId="7B962B79" w14:textId="45D54D70" w:rsidR="00A71BD3" w:rsidRPr="002C4116" w:rsidRDefault="00A71BD3" w:rsidP="00A71BD3">
      <w:pPr>
        <w:spacing w:line="360" w:lineRule="auto"/>
        <w:jc w:val="both"/>
        <w:rPr>
          <w:rFonts w:ascii="Times New Roman" w:eastAsia="Times New Roman" w:hAnsi="Times New Roman" w:cs="Times New Roman"/>
          <w:sz w:val="24"/>
          <w:szCs w:val="24"/>
          <w:lang w:val="en-GB"/>
        </w:rPr>
      </w:pPr>
      <w:r w:rsidRPr="002C4116">
        <w:rPr>
          <w:rFonts w:ascii="Times New Roman" w:eastAsia="Times New Roman" w:hAnsi="Times New Roman" w:cs="Times New Roman"/>
          <w:sz w:val="24"/>
          <w:szCs w:val="24"/>
          <w:lang w:val="en-GB"/>
        </w:rPr>
        <w:t xml:space="preserve"> All statistical analyses were carried out using Excel and data visualizations were carried out using Origin 2024</w:t>
      </w:r>
      <w:r w:rsidR="002C4116" w:rsidRPr="002C4116">
        <w:rPr>
          <w:rFonts w:ascii="Times New Roman" w:eastAsia="Times New Roman" w:hAnsi="Times New Roman" w:cs="Times New Roman"/>
          <w:sz w:val="24"/>
          <w:szCs w:val="24"/>
          <w:lang w:val="en-GB"/>
        </w:rPr>
        <w:t>.</w:t>
      </w:r>
    </w:p>
    <w:p w14:paraId="2FF34B58"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0908CE23"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629667B7"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40EC89AE"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13AA5277"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597789A6"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4C02CAD5"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115CB2DE"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2BB283B7"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45F952C2"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6536759C"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51E2816A"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79D1D0A9"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60C5E355"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33DBA462"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426A32D9"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11BB7655"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1548D61D"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20BE4989"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114D537D" w14:textId="77777777" w:rsidR="002C4116" w:rsidRDefault="002C4116" w:rsidP="00A71BD3">
      <w:pPr>
        <w:pStyle w:val="Paragrafoelenco"/>
        <w:spacing w:line="360" w:lineRule="auto"/>
        <w:jc w:val="both"/>
        <w:rPr>
          <w:rFonts w:ascii="Times New Roman" w:hAnsi="Times New Roman" w:cs="Times New Roman"/>
          <w:b/>
          <w:bCs/>
          <w:sz w:val="24"/>
          <w:szCs w:val="24"/>
        </w:rPr>
      </w:pPr>
    </w:p>
    <w:p w14:paraId="4B0EB65F" w14:textId="3F17DB85" w:rsidR="00A71BD3" w:rsidRPr="002C4116" w:rsidRDefault="00A71BD3" w:rsidP="00A71BD3">
      <w:pPr>
        <w:pStyle w:val="Paragrafoelenco"/>
        <w:spacing w:line="360" w:lineRule="auto"/>
        <w:jc w:val="both"/>
        <w:rPr>
          <w:rFonts w:ascii="Times New Roman" w:hAnsi="Times New Roman" w:cs="Times New Roman"/>
          <w:b/>
          <w:bCs/>
          <w:sz w:val="24"/>
          <w:szCs w:val="24"/>
        </w:rPr>
      </w:pPr>
      <w:r w:rsidRPr="002C4116">
        <w:rPr>
          <w:rFonts w:ascii="Times New Roman" w:hAnsi="Times New Roman" w:cs="Times New Roman"/>
          <w:b/>
          <w:bCs/>
          <w:sz w:val="24"/>
          <w:szCs w:val="24"/>
        </w:rPr>
        <w:t>5.4.  Loading Test</w:t>
      </w:r>
      <w:r w:rsidRPr="002C4116">
        <w:rPr>
          <w:rFonts w:ascii="Times New Roman" w:hAnsi="Times New Roman" w:cs="Times New Roman"/>
          <w:b/>
          <w:bCs/>
          <w:sz w:val="24"/>
          <w:szCs w:val="24"/>
        </w:rPr>
        <w:fldChar w:fldCharType="begin"/>
      </w:r>
      <w:r w:rsidRPr="002C4116">
        <w:rPr>
          <w:rFonts w:ascii="Times New Roman" w:hAnsi="Times New Roman" w:cs="Times New Roman"/>
          <w:sz w:val="24"/>
          <w:szCs w:val="24"/>
        </w:rPr>
        <w:instrText xml:space="preserve"> XE "</w:instrText>
      </w:r>
      <w:r w:rsidRPr="002C4116">
        <w:rPr>
          <w:rFonts w:ascii="Times New Roman" w:hAnsi="Times New Roman" w:cs="Times New Roman"/>
          <w:b/>
          <w:bCs/>
          <w:sz w:val="24"/>
          <w:szCs w:val="24"/>
        </w:rPr>
        <w:instrText>Loading Test</w:instrText>
      </w:r>
      <w:r w:rsidRPr="002C4116">
        <w:rPr>
          <w:rFonts w:ascii="Times New Roman" w:hAnsi="Times New Roman" w:cs="Times New Roman"/>
          <w:sz w:val="24"/>
          <w:szCs w:val="24"/>
        </w:rPr>
        <w:instrText xml:space="preserve">" </w:instrText>
      </w:r>
      <w:r w:rsidRPr="002C4116">
        <w:rPr>
          <w:rFonts w:ascii="Times New Roman" w:hAnsi="Times New Roman" w:cs="Times New Roman"/>
          <w:b/>
          <w:bCs/>
          <w:sz w:val="24"/>
          <w:szCs w:val="24"/>
        </w:rPr>
        <w:fldChar w:fldCharType="end"/>
      </w:r>
    </w:p>
    <w:p w14:paraId="0E772644" w14:textId="77777777" w:rsidR="00A71BD3" w:rsidRPr="002C4116" w:rsidRDefault="00A71BD3" w:rsidP="00A71BD3">
      <w:pPr>
        <w:spacing w:line="360" w:lineRule="auto"/>
        <w:jc w:val="both"/>
        <w:rPr>
          <w:rFonts w:ascii="Times New Roman" w:hAnsi="Times New Roman" w:cs="Times New Roman"/>
          <w:sz w:val="24"/>
          <w:szCs w:val="24"/>
          <w:vertAlign w:val="superscript"/>
          <w:lang w:val="en-GB"/>
        </w:rPr>
      </w:pPr>
      <w:r w:rsidRPr="002C4116">
        <w:rPr>
          <w:rFonts w:ascii="Times New Roman" w:hAnsi="Times New Roman" w:cs="Times New Roman"/>
          <w:sz w:val="24"/>
          <w:szCs w:val="24"/>
          <w:lang w:val="en-GB"/>
        </w:rPr>
        <w:t xml:space="preserve">To determine the optimal catalyst loading, tests were conducted with </w:t>
      </w:r>
      <w:bookmarkStart w:id="0" w:name="_Hlk188359235"/>
      <w:r w:rsidRPr="002C4116">
        <w:rPr>
          <w:rFonts w:ascii="Times New Roman" w:hAnsi="Times New Roman" w:cs="Times New Roman"/>
          <w:sz w:val="24"/>
          <w:szCs w:val="24"/>
          <w:lang w:val="en-GB"/>
        </w:rPr>
        <w:t>200 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500 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xml:space="preserve">, and 1000 </w:t>
      </w:r>
      <w:bookmarkEnd w:id="0"/>
      <w:r w:rsidRPr="002C4116">
        <w:rPr>
          <w:rFonts w:ascii="Times New Roman" w:hAnsi="Times New Roman" w:cs="Times New Roman"/>
          <w:sz w:val="24"/>
          <w:szCs w:val="24"/>
          <w:lang w:val="en-GB"/>
        </w:rPr>
        <w:t>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The highest faradaic efficiency was achieved at 200 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while the highest current density was observed at 500 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To maintain consistency with the static cell loading, chosen to enable a correct formic acid quantification, 500 µg cm</w:t>
      </w:r>
      <w:r w:rsidRPr="002C4116">
        <w:rPr>
          <w:rFonts w:ascii="Times New Roman" w:hAnsi="Times New Roman" w:cs="Times New Roman"/>
          <w:sz w:val="24"/>
          <w:szCs w:val="24"/>
          <w:vertAlign w:val="superscript"/>
          <w:lang w:val="en-GB"/>
        </w:rPr>
        <w:t>-2</w:t>
      </w:r>
      <w:r w:rsidRPr="002C4116">
        <w:rPr>
          <w:rFonts w:ascii="Times New Roman" w:hAnsi="Times New Roman" w:cs="Times New Roman"/>
          <w:sz w:val="24"/>
          <w:szCs w:val="24"/>
          <w:lang w:val="en-GB"/>
        </w:rPr>
        <w:t xml:space="preserve"> was the selected loading. [4,5]</w:t>
      </w:r>
    </w:p>
    <w:p w14:paraId="0C03CAAF" w14:textId="77777777" w:rsidR="00A71BD3" w:rsidRPr="002C4116" w:rsidRDefault="00A71BD3" w:rsidP="00A71BD3">
      <w:pPr>
        <w:keepNext/>
        <w:spacing w:line="360" w:lineRule="auto"/>
        <w:jc w:val="center"/>
        <w:rPr>
          <w:rFonts w:ascii="Times New Roman" w:hAnsi="Times New Roman" w:cs="Times New Roman"/>
          <w:sz w:val="24"/>
          <w:szCs w:val="24"/>
          <w:lang w:val="en-GB"/>
        </w:rPr>
      </w:pPr>
      <w:r w:rsidRPr="002C4116">
        <w:rPr>
          <w:rFonts w:ascii="Times New Roman" w:hAnsi="Times New Roman" w:cs="Times New Roman"/>
          <w:noProof/>
          <w:sz w:val="24"/>
          <w:szCs w:val="24"/>
          <w:lang w:val="it-IT" w:eastAsia="it-IT"/>
        </w:rPr>
        <w:drawing>
          <wp:inline distT="0" distB="0" distL="0" distR="0" wp14:anchorId="6A2CA55C" wp14:editId="4DD0AC77">
            <wp:extent cx="4347272" cy="3333750"/>
            <wp:effectExtent l="0" t="0" r="0" b="0"/>
            <wp:docPr id="755198811" name="Immagine 7" descr="Immagine che contiene testo, schermata, diagramma, Policromi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5198811" name="Immagine 7" descr="Immagine che contiene testo, schermata, diagramma, Policromia&#10;&#10;Descrizione generata automaticament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01121" cy="3375044"/>
                    </a:xfrm>
                    <a:prstGeom prst="rect">
                      <a:avLst/>
                    </a:prstGeom>
                    <a:noFill/>
                    <a:ln>
                      <a:noFill/>
                    </a:ln>
                  </pic:spPr>
                </pic:pic>
              </a:graphicData>
            </a:graphic>
          </wp:inline>
        </w:drawing>
      </w:r>
    </w:p>
    <w:p w14:paraId="08835619" w14:textId="77777777" w:rsidR="00A71BD3" w:rsidRPr="002C4116" w:rsidRDefault="00A71BD3" w:rsidP="00A71BD3">
      <w:pPr>
        <w:pStyle w:val="Didascalia"/>
        <w:spacing w:line="360" w:lineRule="auto"/>
        <w:jc w:val="both"/>
        <w:rPr>
          <w:rFonts w:ascii="Times New Roman" w:hAnsi="Times New Roman" w:cs="Times New Roman"/>
          <w:color w:val="auto"/>
          <w:sz w:val="24"/>
          <w:szCs w:val="24"/>
        </w:rPr>
      </w:pPr>
      <w:r w:rsidRPr="002C4116">
        <w:rPr>
          <w:rFonts w:ascii="Times New Roman" w:hAnsi="Times New Roman" w:cs="Times New Roman"/>
          <w:b/>
          <w:bCs/>
          <w:i w:val="0"/>
          <w:iCs w:val="0"/>
          <w:color w:val="auto"/>
          <w:sz w:val="24"/>
          <w:szCs w:val="24"/>
        </w:rPr>
        <w:t>Figure S9</w:t>
      </w:r>
      <w:r w:rsidRPr="002C4116">
        <w:rPr>
          <w:rFonts w:ascii="Times New Roman" w:hAnsi="Times New Roman" w:cs="Times New Roman"/>
          <w:i w:val="0"/>
          <w:iCs w:val="0"/>
          <w:color w:val="auto"/>
          <w:sz w:val="24"/>
          <w:szCs w:val="24"/>
        </w:rPr>
        <w:t xml:space="preserve">. Optimization of catalyst loading for CO₂ reduction reaction (CO₂RR). Performances in a flow cell device at 200 µg cm⁻², 500 µg cm⁻², and 1000 µg cm⁻². </w:t>
      </w:r>
      <w:r w:rsidRPr="002C4116">
        <w:rPr>
          <w:rFonts w:ascii="Times New Roman" w:hAnsi="Times New Roman" w:cs="Times New Roman"/>
          <w:b/>
          <w:bCs/>
          <w:i w:val="0"/>
          <w:iCs w:val="0"/>
          <w:color w:val="auto"/>
          <w:sz w:val="24"/>
          <w:szCs w:val="24"/>
        </w:rPr>
        <w:t>Left axis:</w:t>
      </w:r>
      <w:r w:rsidRPr="002C4116">
        <w:rPr>
          <w:rFonts w:ascii="Times New Roman" w:hAnsi="Times New Roman" w:cs="Times New Roman"/>
          <w:i w:val="0"/>
          <w:iCs w:val="0"/>
          <w:color w:val="auto"/>
          <w:sz w:val="24"/>
          <w:szCs w:val="24"/>
        </w:rPr>
        <w:t xml:space="preserve"> Faradaic efficiency (FE) of detectable CO₂RR products in CO₂-saturated 0.5 M KHCO₃ (pH 7.5), with color-coded products: H₂ (green), CO (yellow), HCOOH (red), CH₃OH (orange), CH₃CHO (pink), CH₃COOH (blue), CH₃CH₂OH (light blue). </w:t>
      </w:r>
      <w:r w:rsidRPr="002C4116">
        <w:rPr>
          <w:rFonts w:ascii="Times New Roman" w:hAnsi="Times New Roman" w:cs="Times New Roman"/>
          <w:b/>
          <w:bCs/>
          <w:i w:val="0"/>
          <w:iCs w:val="0"/>
          <w:color w:val="auto"/>
          <w:sz w:val="24"/>
          <w:szCs w:val="24"/>
        </w:rPr>
        <w:t>Right axis:</w:t>
      </w:r>
      <w:r w:rsidRPr="002C4116">
        <w:rPr>
          <w:rFonts w:ascii="Times New Roman" w:hAnsi="Times New Roman" w:cs="Times New Roman"/>
          <w:i w:val="0"/>
          <w:iCs w:val="0"/>
          <w:color w:val="auto"/>
          <w:sz w:val="24"/>
          <w:szCs w:val="24"/>
        </w:rPr>
        <w:t xml:space="preserve"> Current density at the corresponding potential, represented by black squares.</w:t>
      </w:r>
    </w:p>
    <w:p w14:paraId="318AAB3D" w14:textId="77777777" w:rsidR="00A71BD3" w:rsidRPr="002C4116" w:rsidRDefault="00A71BD3" w:rsidP="00A71BD3">
      <w:pPr>
        <w:pStyle w:val="Paragrafoelenco"/>
        <w:spacing w:line="360" w:lineRule="auto"/>
        <w:rPr>
          <w:rFonts w:ascii="Times New Roman" w:hAnsi="Times New Roman" w:cs="Times New Roman"/>
          <w:b/>
          <w:bCs/>
          <w:sz w:val="24"/>
          <w:szCs w:val="24"/>
        </w:rPr>
      </w:pPr>
      <w:r w:rsidRPr="002C4116">
        <w:rPr>
          <w:rFonts w:ascii="Times New Roman" w:hAnsi="Times New Roman" w:cs="Times New Roman"/>
          <w:b/>
          <w:bCs/>
          <w:sz w:val="24"/>
          <w:szCs w:val="24"/>
        </w:rPr>
        <w:t>5.5.  Stability Test</w:t>
      </w:r>
      <w:r w:rsidRPr="002C4116">
        <w:rPr>
          <w:rFonts w:ascii="Times New Roman" w:hAnsi="Times New Roman" w:cs="Times New Roman"/>
          <w:b/>
          <w:bCs/>
          <w:sz w:val="24"/>
          <w:szCs w:val="24"/>
        </w:rPr>
        <w:fldChar w:fldCharType="begin"/>
      </w:r>
      <w:r w:rsidRPr="002C4116">
        <w:rPr>
          <w:rFonts w:ascii="Times New Roman" w:hAnsi="Times New Roman" w:cs="Times New Roman"/>
          <w:sz w:val="24"/>
          <w:szCs w:val="24"/>
        </w:rPr>
        <w:instrText xml:space="preserve"> XE "</w:instrText>
      </w:r>
      <w:r w:rsidRPr="002C4116">
        <w:rPr>
          <w:rFonts w:ascii="Times New Roman" w:hAnsi="Times New Roman" w:cs="Times New Roman"/>
          <w:b/>
          <w:bCs/>
          <w:sz w:val="24"/>
          <w:szCs w:val="24"/>
        </w:rPr>
        <w:instrText>Stability Test</w:instrText>
      </w:r>
      <w:r w:rsidRPr="002C4116">
        <w:rPr>
          <w:rFonts w:ascii="Times New Roman" w:hAnsi="Times New Roman" w:cs="Times New Roman"/>
          <w:sz w:val="24"/>
          <w:szCs w:val="24"/>
        </w:rPr>
        <w:instrText xml:space="preserve">" </w:instrText>
      </w:r>
      <w:r w:rsidRPr="002C4116">
        <w:rPr>
          <w:rFonts w:ascii="Times New Roman" w:hAnsi="Times New Roman" w:cs="Times New Roman"/>
          <w:b/>
          <w:bCs/>
          <w:sz w:val="24"/>
          <w:szCs w:val="24"/>
        </w:rPr>
        <w:fldChar w:fldCharType="end"/>
      </w:r>
    </w:p>
    <w:p w14:paraId="2FD818CE"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To evaluate the stability of the gas diffusion electrode system with the CeO₂@CNH nanostructure, a 24-hour electrolysis was conducted. The test demonstrated the system’s ability to perform consistently over an extended period. Current density remained stable, and the concentration of formic acid, carbon monoxide and hydrogen increased steadily over time. </w:t>
      </w:r>
      <w:r w:rsidRPr="002C4116">
        <w:rPr>
          <w:rFonts w:ascii="Times New Roman" w:hAnsi="Times New Roman" w:cs="Times New Roman"/>
          <w:sz w:val="24"/>
          <w:szCs w:val="24"/>
          <w:lang w:val="en-GB"/>
        </w:rPr>
        <w:lastRenderedPageBreak/>
        <w:t>Methanol, Ethanol, Acetate and Acetaldehyde undergo to a drop in concentration after 4 hours due to volatility-related losses and for this reason their detection becomes less reliable after several hours.</w:t>
      </w:r>
    </w:p>
    <w:p w14:paraId="103C61EB" w14:textId="77777777" w:rsidR="00A71BD3" w:rsidRPr="002C4116" w:rsidRDefault="00A71BD3" w:rsidP="00A71BD3">
      <w:pPr>
        <w:spacing w:line="360" w:lineRule="auto"/>
        <w:jc w:val="both"/>
        <w:rPr>
          <w:rFonts w:ascii="Times New Roman" w:hAnsi="Times New Roman" w:cs="Times New Roman"/>
          <w:sz w:val="24"/>
          <w:szCs w:val="24"/>
          <w:lang w:val="en-GB"/>
        </w:rPr>
      </w:pPr>
      <w:r w:rsidRPr="002C4116">
        <w:rPr>
          <w:rFonts w:ascii="Times New Roman" w:hAnsi="Times New Roman" w:cs="Times New Roman"/>
          <w:sz w:val="24"/>
          <w:szCs w:val="24"/>
          <w:lang w:val="en-GB"/>
        </w:rPr>
        <w:t xml:space="preserve">The current density remained stable, while the concentration of all products increased over time. Notably, formic acid has been widely employed as a benchmark for stability, [8,9] with its production steadily increasing over 24-hour electrolysis while maintaining a nearly constant FE. In contrast, methanol, ethanol, acetate, and acetaldehyde increase their production and maintain constant the FE over 4 hours and then exhibited a decline in concentration, primarily due to volatility-related losses. Consequently, their detection becomes less reliable over extended periods. In order to reduce the cross-over, for the long-term stability test was adopted an 80 </w:t>
      </w:r>
      <m:oMath>
        <m:r>
          <m:rPr>
            <m:sty m:val="p"/>
          </m:rPr>
          <w:rPr>
            <w:rFonts w:ascii="Cambria Math" w:hAnsi="Cambria Math" w:cs="Times New Roman"/>
            <w:sz w:val="24"/>
            <w:szCs w:val="24"/>
            <w:lang w:val="en-GB"/>
          </w:rPr>
          <m:t>μm</m:t>
        </m:r>
      </m:oMath>
      <w:r w:rsidRPr="002C4116">
        <w:rPr>
          <w:rFonts w:ascii="Times New Roman" w:eastAsiaTheme="minorEastAsia" w:hAnsi="Times New Roman" w:cs="Times New Roman"/>
          <w:sz w:val="24"/>
          <w:szCs w:val="24"/>
          <w:lang w:val="en-GB"/>
        </w:rPr>
        <w:t xml:space="preserve">      PiperION Membrane. </w:t>
      </w:r>
    </w:p>
    <w:p w14:paraId="778527FE" w14:textId="77777777" w:rsidR="00A71BD3" w:rsidRPr="002C4116" w:rsidRDefault="00A71BD3" w:rsidP="00A71BD3">
      <w:pPr>
        <w:rPr>
          <w:rFonts w:ascii="Times New Roman" w:hAnsi="Times New Roman" w:cs="Times New Roman"/>
          <w:sz w:val="24"/>
          <w:szCs w:val="24"/>
        </w:rPr>
      </w:pPr>
      <w:r w:rsidRPr="002C4116">
        <w:rPr>
          <w:rFonts w:ascii="Times New Roman" w:hAnsi="Times New Roman" w:cs="Times New Roman"/>
          <w:noProof/>
          <w:sz w:val="24"/>
          <w:szCs w:val="24"/>
          <w:lang w:val="it-IT" w:eastAsia="it-IT"/>
        </w:rPr>
        <w:drawing>
          <wp:inline distT="0" distB="0" distL="0" distR="0" wp14:anchorId="59752D3E" wp14:editId="7F557F75">
            <wp:extent cx="5762626" cy="2286000"/>
            <wp:effectExtent l="0" t="0" r="0" b="0"/>
            <wp:docPr id="738662754" name="Picture 738662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762626" cy="2286000"/>
                    </a:xfrm>
                    <a:prstGeom prst="rect">
                      <a:avLst/>
                    </a:prstGeom>
                  </pic:spPr>
                </pic:pic>
              </a:graphicData>
            </a:graphic>
          </wp:inline>
        </w:drawing>
      </w:r>
    </w:p>
    <w:p w14:paraId="4A5C413F" w14:textId="77777777" w:rsidR="00A71BD3" w:rsidRPr="002C4116" w:rsidRDefault="00A71BD3" w:rsidP="00A71BD3">
      <w:pPr>
        <w:rPr>
          <w:rFonts w:ascii="Times New Roman" w:hAnsi="Times New Roman" w:cs="Times New Roman"/>
          <w:sz w:val="24"/>
          <w:szCs w:val="24"/>
        </w:rPr>
      </w:pPr>
      <w:r w:rsidRPr="002C4116">
        <w:rPr>
          <w:rFonts w:ascii="Times New Roman" w:hAnsi="Times New Roman" w:cs="Times New Roman"/>
          <w:sz w:val="24"/>
          <w:szCs w:val="24"/>
        </w:rPr>
        <w:br/>
      </w:r>
    </w:p>
    <w:p w14:paraId="503FDF09" w14:textId="77777777" w:rsidR="00A71BD3" w:rsidRPr="002C4116" w:rsidRDefault="00A71BD3" w:rsidP="00A71BD3">
      <w:pPr>
        <w:pStyle w:val="Didascalia"/>
        <w:spacing w:line="360" w:lineRule="auto"/>
        <w:jc w:val="both"/>
        <w:rPr>
          <w:rFonts w:ascii="Times New Roman" w:hAnsi="Times New Roman" w:cs="Times New Roman"/>
          <w:i w:val="0"/>
          <w:iCs w:val="0"/>
          <w:color w:val="auto"/>
          <w:sz w:val="24"/>
          <w:szCs w:val="24"/>
        </w:rPr>
      </w:pPr>
      <w:r w:rsidRPr="002C4116">
        <w:rPr>
          <w:rFonts w:ascii="Times New Roman" w:hAnsi="Times New Roman" w:cs="Times New Roman"/>
          <w:b/>
          <w:bCs/>
          <w:i w:val="0"/>
          <w:iCs w:val="0"/>
          <w:color w:val="auto"/>
          <w:sz w:val="24"/>
          <w:szCs w:val="24"/>
        </w:rPr>
        <w:t>Figure S10.</w:t>
      </w:r>
      <w:r w:rsidRPr="002C4116">
        <w:rPr>
          <w:rFonts w:ascii="Times New Roman" w:hAnsi="Times New Roman" w:cs="Times New Roman"/>
          <w:i w:val="0"/>
          <w:iCs w:val="0"/>
          <w:color w:val="auto"/>
          <w:sz w:val="24"/>
          <w:szCs w:val="24"/>
        </w:rPr>
        <w:t xml:space="preserve"> Stability test. (A) CA for CeO</w:t>
      </w:r>
      <w:r w:rsidRPr="002C4116">
        <w:rPr>
          <w:rFonts w:ascii="Times New Roman" w:hAnsi="Times New Roman" w:cs="Times New Roman"/>
          <w:i w:val="0"/>
          <w:iCs w:val="0"/>
          <w:color w:val="auto"/>
          <w:sz w:val="24"/>
          <w:szCs w:val="24"/>
          <w:vertAlign w:val="subscript"/>
        </w:rPr>
        <w:t>2</w:t>
      </w:r>
      <w:r w:rsidRPr="002C4116">
        <w:rPr>
          <w:rFonts w:ascii="Times New Roman" w:hAnsi="Times New Roman" w:cs="Times New Roman"/>
          <w:i w:val="0"/>
          <w:iCs w:val="0"/>
          <w:color w:val="auto"/>
          <w:sz w:val="24"/>
          <w:szCs w:val="24"/>
        </w:rPr>
        <w:t xml:space="preserve">@oxCNH-S for 24h at -0.8 V </w:t>
      </w:r>
      <w:r w:rsidRPr="002C4116">
        <w:rPr>
          <w:rFonts w:ascii="Times New Roman" w:hAnsi="Times New Roman" w:cs="Times New Roman"/>
          <w:color w:val="auto"/>
          <w:sz w:val="24"/>
          <w:szCs w:val="24"/>
        </w:rPr>
        <w:t>vs RHE</w:t>
      </w:r>
      <w:r w:rsidRPr="002C4116">
        <w:rPr>
          <w:rFonts w:ascii="Times New Roman" w:hAnsi="Times New Roman" w:cs="Times New Roman"/>
          <w:i w:val="0"/>
          <w:iCs w:val="0"/>
          <w:color w:val="auto"/>
          <w:sz w:val="24"/>
          <w:szCs w:val="24"/>
        </w:rPr>
        <w:t>. Electrolyte: 0.5 M KHCO</w:t>
      </w:r>
      <w:r w:rsidRPr="002C4116">
        <w:rPr>
          <w:rFonts w:ascii="Times New Roman" w:hAnsi="Times New Roman" w:cs="Times New Roman"/>
          <w:i w:val="0"/>
          <w:iCs w:val="0"/>
          <w:color w:val="auto"/>
          <w:sz w:val="24"/>
          <w:szCs w:val="24"/>
          <w:vertAlign w:val="subscript"/>
        </w:rPr>
        <w:t>3</w:t>
      </w:r>
      <w:r w:rsidRPr="002C4116">
        <w:rPr>
          <w:rFonts w:ascii="Times New Roman" w:hAnsi="Times New Roman" w:cs="Times New Roman"/>
          <w:i w:val="0"/>
          <w:iCs w:val="0"/>
          <w:color w:val="auto"/>
          <w:sz w:val="24"/>
          <w:szCs w:val="24"/>
        </w:rPr>
        <w:t xml:space="preserve">. (B) </w:t>
      </w:r>
      <w:r w:rsidRPr="002C4116">
        <w:rPr>
          <w:rFonts w:ascii="Times New Roman" w:hAnsi="Times New Roman" w:cs="Times New Roman"/>
          <w:b/>
          <w:bCs/>
          <w:i w:val="0"/>
          <w:iCs w:val="0"/>
          <w:color w:val="auto"/>
          <w:sz w:val="24"/>
          <w:szCs w:val="24"/>
        </w:rPr>
        <w:t xml:space="preserve">Hydrogen </w:t>
      </w:r>
      <w:r w:rsidRPr="002C4116">
        <w:rPr>
          <w:rFonts w:ascii="Times New Roman" w:hAnsi="Times New Roman" w:cs="Times New Roman"/>
          <w:i w:val="0"/>
          <w:iCs w:val="0"/>
          <w:color w:val="auto"/>
          <w:sz w:val="24"/>
          <w:szCs w:val="24"/>
        </w:rPr>
        <w:t xml:space="preserve">(green) in FE (left axis) and ppm concentration normalized for the catalyst loading (right axis). (C) </w:t>
      </w:r>
      <w:r w:rsidRPr="002C4116">
        <w:rPr>
          <w:rFonts w:ascii="Times New Roman" w:hAnsi="Times New Roman" w:cs="Times New Roman"/>
          <w:b/>
          <w:bCs/>
          <w:i w:val="0"/>
          <w:iCs w:val="0"/>
          <w:color w:val="auto"/>
          <w:sz w:val="24"/>
          <w:szCs w:val="24"/>
        </w:rPr>
        <w:t>Carbon Monoxide</w:t>
      </w:r>
      <w:r w:rsidRPr="002C4116">
        <w:rPr>
          <w:rFonts w:ascii="Times New Roman" w:hAnsi="Times New Roman" w:cs="Times New Roman"/>
          <w:i w:val="0"/>
          <w:iCs w:val="0"/>
          <w:color w:val="auto"/>
          <w:sz w:val="24"/>
          <w:szCs w:val="24"/>
        </w:rPr>
        <w:t xml:space="preserve"> production (yellow) in FE (left axis) and ppm concentration normalized for the catalyst loading (right axis). (D)</w:t>
      </w:r>
      <w:r w:rsidRPr="002C4116">
        <w:rPr>
          <w:rFonts w:ascii="Times New Roman" w:hAnsi="Times New Roman" w:cs="Times New Roman"/>
          <w:b/>
          <w:bCs/>
          <w:i w:val="0"/>
          <w:iCs w:val="0"/>
          <w:color w:val="auto"/>
          <w:sz w:val="24"/>
          <w:szCs w:val="24"/>
        </w:rPr>
        <w:t xml:space="preserve"> Formic Acid</w:t>
      </w:r>
      <w:r w:rsidRPr="002C4116">
        <w:rPr>
          <w:rFonts w:ascii="Times New Roman" w:hAnsi="Times New Roman" w:cs="Times New Roman"/>
          <w:i w:val="0"/>
          <w:iCs w:val="0"/>
          <w:color w:val="auto"/>
          <w:sz w:val="24"/>
          <w:szCs w:val="24"/>
        </w:rPr>
        <w:t xml:space="preserve"> production (red) in FE (left axis) and ppm concentration normalized for the catalyst loading (right axis). (</w:t>
      </w:r>
      <w:r w:rsidRPr="002C4116">
        <w:rPr>
          <w:rFonts w:ascii="Times New Roman" w:hAnsi="Times New Roman" w:cs="Times New Roman"/>
          <w:b/>
          <w:bCs/>
          <w:i w:val="0"/>
          <w:iCs w:val="0"/>
          <w:color w:val="auto"/>
          <w:sz w:val="24"/>
          <w:szCs w:val="24"/>
        </w:rPr>
        <w:t>E</w:t>
      </w:r>
      <w:r w:rsidRPr="002C4116">
        <w:rPr>
          <w:rFonts w:ascii="Times New Roman" w:hAnsi="Times New Roman" w:cs="Times New Roman"/>
          <w:i w:val="0"/>
          <w:iCs w:val="0"/>
          <w:color w:val="auto"/>
          <w:sz w:val="24"/>
          <w:szCs w:val="24"/>
        </w:rPr>
        <w:t xml:space="preserve">) </w:t>
      </w:r>
      <w:r w:rsidRPr="002C4116">
        <w:rPr>
          <w:rFonts w:ascii="Times New Roman" w:hAnsi="Times New Roman" w:cs="Times New Roman"/>
          <w:b/>
          <w:bCs/>
          <w:i w:val="0"/>
          <w:iCs w:val="0"/>
          <w:color w:val="auto"/>
          <w:sz w:val="24"/>
          <w:szCs w:val="24"/>
        </w:rPr>
        <w:t>Methanol</w:t>
      </w:r>
      <w:r w:rsidRPr="002C4116">
        <w:rPr>
          <w:rFonts w:ascii="Times New Roman" w:hAnsi="Times New Roman" w:cs="Times New Roman"/>
          <w:i w:val="0"/>
          <w:iCs w:val="0"/>
          <w:color w:val="auto"/>
          <w:sz w:val="24"/>
          <w:szCs w:val="24"/>
        </w:rPr>
        <w:t xml:space="preserve"> production (orange) in FE (left axis) and ppm concentration normalized for the catalyst loading (right axis). (F) </w:t>
      </w:r>
      <w:r w:rsidRPr="002C4116">
        <w:rPr>
          <w:rFonts w:ascii="Times New Roman" w:hAnsi="Times New Roman" w:cs="Times New Roman"/>
          <w:b/>
          <w:bCs/>
          <w:i w:val="0"/>
          <w:iCs w:val="0"/>
          <w:color w:val="auto"/>
          <w:sz w:val="24"/>
          <w:szCs w:val="24"/>
        </w:rPr>
        <w:t>Acetaldehyde</w:t>
      </w:r>
      <w:r w:rsidRPr="002C4116">
        <w:rPr>
          <w:rFonts w:ascii="Times New Roman" w:hAnsi="Times New Roman" w:cs="Times New Roman"/>
          <w:i w:val="0"/>
          <w:iCs w:val="0"/>
          <w:color w:val="auto"/>
          <w:sz w:val="24"/>
          <w:szCs w:val="24"/>
        </w:rPr>
        <w:t xml:space="preserve"> production (pink) in FE (left axis) and ppm concentration normalized for the catalyst loading (right axis). (G) </w:t>
      </w:r>
      <w:r w:rsidRPr="002C4116">
        <w:rPr>
          <w:rFonts w:ascii="Times New Roman" w:hAnsi="Times New Roman" w:cs="Times New Roman"/>
          <w:b/>
          <w:bCs/>
          <w:i w:val="0"/>
          <w:iCs w:val="0"/>
          <w:color w:val="auto"/>
          <w:sz w:val="24"/>
          <w:szCs w:val="24"/>
        </w:rPr>
        <w:t>Ethanol</w:t>
      </w:r>
      <w:r w:rsidRPr="002C4116">
        <w:rPr>
          <w:rFonts w:ascii="Times New Roman" w:hAnsi="Times New Roman" w:cs="Times New Roman"/>
          <w:i w:val="0"/>
          <w:iCs w:val="0"/>
          <w:color w:val="auto"/>
          <w:sz w:val="24"/>
          <w:szCs w:val="24"/>
        </w:rPr>
        <w:t xml:space="preserve"> production (light blue) in FE (left axis) and ppm concentration normalized for the catalyst loading (right axis). (H) </w:t>
      </w:r>
      <w:r w:rsidRPr="002C4116">
        <w:rPr>
          <w:rFonts w:ascii="Times New Roman" w:hAnsi="Times New Roman" w:cs="Times New Roman"/>
          <w:b/>
          <w:bCs/>
          <w:i w:val="0"/>
          <w:iCs w:val="0"/>
          <w:color w:val="auto"/>
          <w:sz w:val="24"/>
          <w:szCs w:val="24"/>
        </w:rPr>
        <w:t>Acetate</w:t>
      </w:r>
      <w:r w:rsidRPr="002C4116">
        <w:rPr>
          <w:rFonts w:ascii="Times New Roman" w:hAnsi="Times New Roman" w:cs="Times New Roman"/>
          <w:i w:val="0"/>
          <w:iCs w:val="0"/>
          <w:color w:val="auto"/>
          <w:sz w:val="24"/>
          <w:szCs w:val="24"/>
        </w:rPr>
        <w:t xml:space="preserve"> production (blue) in FE (left axis) and ppm concentration </w:t>
      </w:r>
      <w:r w:rsidRPr="002C4116">
        <w:rPr>
          <w:rFonts w:ascii="Times New Roman" w:hAnsi="Times New Roman" w:cs="Times New Roman"/>
          <w:i w:val="0"/>
          <w:iCs w:val="0"/>
          <w:color w:val="auto"/>
          <w:sz w:val="24"/>
          <w:szCs w:val="24"/>
        </w:rPr>
        <w:lastRenderedPageBreak/>
        <w:t>normalized for the catalyst loading (right axis) on the GDE39BB 1 cm</w:t>
      </w:r>
      <w:r w:rsidRPr="002C4116">
        <w:rPr>
          <w:rFonts w:ascii="Times New Roman" w:hAnsi="Times New Roman" w:cs="Times New Roman"/>
          <w:i w:val="0"/>
          <w:iCs w:val="0"/>
          <w:color w:val="auto"/>
          <w:sz w:val="24"/>
          <w:szCs w:val="24"/>
          <w:vertAlign w:val="superscript"/>
        </w:rPr>
        <w:t>2</w:t>
      </w:r>
      <w:r w:rsidRPr="002C4116">
        <w:rPr>
          <w:rFonts w:ascii="Times New Roman" w:hAnsi="Times New Roman" w:cs="Times New Roman"/>
          <w:i w:val="0"/>
          <w:iCs w:val="0"/>
          <w:color w:val="auto"/>
          <w:sz w:val="24"/>
          <w:szCs w:val="24"/>
        </w:rPr>
        <w:t xml:space="preserve"> as a function of the performances of the system during the measure.</w:t>
      </w:r>
    </w:p>
    <w:p w14:paraId="3D5C2B3F" w14:textId="77777777" w:rsidR="00A71BD3" w:rsidRPr="002C4116" w:rsidRDefault="00A71BD3" w:rsidP="00A71BD3">
      <w:pPr>
        <w:pStyle w:val="Paragrafoelenco"/>
        <w:spacing w:line="360" w:lineRule="auto"/>
        <w:rPr>
          <w:rFonts w:ascii="Times New Roman" w:hAnsi="Times New Roman" w:cs="Times New Roman"/>
          <w:b/>
          <w:bCs/>
          <w:sz w:val="24"/>
          <w:szCs w:val="24"/>
        </w:rPr>
      </w:pPr>
      <w:r w:rsidRPr="002C4116">
        <w:rPr>
          <w:rFonts w:ascii="Times New Roman" w:hAnsi="Times New Roman" w:cs="Times New Roman"/>
          <w:b/>
          <w:bCs/>
          <w:sz w:val="24"/>
          <w:szCs w:val="24"/>
        </w:rPr>
        <w:t>5.6.  Chronoamperometries of the Static Cell and Flow Cell</w:t>
      </w:r>
    </w:p>
    <w:p w14:paraId="13F3D499"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noProof/>
          <w:sz w:val="24"/>
          <w:szCs w:val="24"/>
          <w:lang w:val="it-IT" w:eastAsia="it-IT"/>
        </w:rPr>
        <w:drawing>
          <wp:inline distT="0" distB="0" distL="0" distR="0" wp14:anchorId="0E07A6D7" wp14:editId="569838FB">
            <wp:extent cx="5762626" cy="2190750"/>
            <wp:effectExtent l="0" t="0" r="0" b="0"/>
            <wp:docPr id="229969694" name="Immagine 229969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29969694"/>
                    <pic:cNvPicPr/>
                  </pic:nvPicPr>
                  <pic:blipFill>
                    <a:blip r:embed="rId19">
                      <a:extLst>
                        <a:ext uri="{28A0092B-C50C-407E-A947-70E740481C1C}">
                          <a14:useLocalDpi xmlns:a14="http://schemas.microsoft.com/office/drawing/2010/main" val="0"/>
                        </a:ext>
                      </a:extLst>
                    </a:blip>
                    <a:stretch>
                      <a:fillRect/>
                    </a:stretch>
                  </pic:blipFill>
                  <pic:spPr>
                    <a:xfrm>
                      <a:off x="0" y="0"/>
                      <a:ext cx="5762626" cy="2190750"/>
                    </a:xfrm>
                    <a:prstGeom prst="rect">
                      <a:avLst/>
                    </a:prstGeom>
                  </pic:spPr>
                </pic:pic>
              </a:graphicData>
            </a:graphic>
          </wp:inline>
        </w:drawing>
      </w:r>
      <w:r w:rsidRPr="002C4116">
        <w:rPr>
          <w:rFonts w:ascii="Times New Roman" w:hAnsi="Times New Roman" w:cs="Times New Roman"/>
          <w:sz w:val="24"/>
          <w:szCs w:val="24"/>
        </w:rPr>
        <w:br/>
      </w:r>
      <w:r w:rsidRPr="002C4116">
        <w:rPr>
          <w:rFonts w:ascii="Times New Roman" w:hAnsi="Times New Roman" w:cs="Times New Roman"/>
          <w:b/>
          <w:bCs/>
          <w:sz w:val="24"/>
          <w:szCs w:val="24"/>
        </w:rPr>
        <w:t>Figure S11.</w:t>
      </w:r>
      <w:r w:rsidRPr="002C4116">
        <w:rPr>
          <w:rFonts w:ascii="Times New Roman" w:hAnsi="Times New Roman" w:cs="Times New Roman"/>
          <w:sz w:val="24"/>
          <w:szCs w:val="24"/>
        </w:rPr>
        <w:t xml:space="preserve"> Chronoamperometries of the CeO</w:t>
      </w:r>
      <w:r w:rsidRPr="002C4116">
        <w:rPr>
          <w:rFonts w:ascii="Times New Roman" w:hAnsi="Times New Roman" w:cs="Times New Roman"/>
          <w:sz w:val="24"/>
          <w:szCs w:val="24"/>
          <w:vertAlign w:val="subscript"/>
        </w:rPr>
        <w:t>2</w:t>
      </w:r>
      <w:r w:rsidRPr="002C4116">
        <w:rPr>
          <w:rFonts w:ascii="Times New Roman" w:hAnsi="Times New Roman" w:cs="Times New Roman"/>
          <w:sz w:val="24"/>
          <w:szCs w:val="24"/>
        </w:rPr>
        <w:t>@oxCNH-S in 0.5 M KHCO</w:t>
      </w:r>
      <w:r w:rsidRPr="002C4116">
        <w:rPr>
          <w:rFonts w:ascii="Times New Roman" w:hAnsi="Times New Roman" w:cs="Times New Roman"/>
          <w:sz w:val="24"/>
          <w:szCs w:val="24"/>
          <w:vertAlign w:val="subscript"/>
        </w:rPr>
        <w:t xml:space="preserve">3 </w:t>
      </w:r>
      <w:r w:rsidRPr="002C4116">
        <w:rPr>
          <w:rFonts w:ascii="Times New Roman" w:hAnsi="Times New Roman" w:cs="Times New Roman"/>
          <w:sz w:val="24"/>
          <w:szCs w:val="24"/>
        </w:rPr>
        <w:t>CO</w:t>
      </w:r>
      <w:r w:rsidRPr="002C4116">
        <w:rPr>
          <w:rFonts w:ascii="Times New Roman" w:hAnsi="Times New Roman" w:cs="Times New Roman"/>
          <w:sz w:val="24"/>
          <w:szCs w:val="24"/>
          <w:vertAlign w:val="subscript"/>
        </w:rPr>
        <w:t>2</w:t>
      </w:r>
      <w:r w:rsidRPr="002C4116">
        <w:rPr>
          <w:rFonts w:ascii="Times New Roman" w:hAnsi="Times New Roman" w:cs="Times New Roman"/>
          <w:sz w:val="24"/>
          <w:szCs w:val="24"/>
        </w:rPr>
        <w:t xml:space="preserve"> saturated. All the j-t curves are registered at -0.9V vs RHE (red), -0.8V vs RHE (blue), -0.7V vs RHE (green), -0.6V vs RHE (lillac), -0.5V vs RHE (yellow). (A) Static Cell. (B) Flow Cell. </w:t>
      </w:r>
    </w:p>
    <w:p w14:paraId="677F4757" w14:textId="77777777" w:rsidR="002C4116" w:rsidRDefault="002C4116">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0C2FBAB7" w14:textId="37663801"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b/>
          <w:bCs/>
          <w:sz w:val="24"/>
          <w:szCs w:val="24"/>
          <w:lang w:val="en-GB"/>
        </w:rPr>
        <w:lastRenderedPageBreak/>
        <w:t xml:space="preserve">References </w:t>
      </w:r>
      <w:r w:rsidRPr="002C4116">
        <w:rPr>
          <w:rFonts w:ascii="Times New Roman" w:hAnsi="Times New Roman" w:cs="Times New Roman"/>
          <w:sz w:val="24"/>
          <w:szCs w:val="24"/>
        </w:rPr>
        <w:br/>
      </w:r>
      <w:r w:rsidRPr="002C4116">
        <w:rPr>
          <w:rFonts w:ascii="Times New Roman" w:hAnsi="Times New Roman" w:cs="Times New Roman"/>
          <w:sz w:val="24"/>
          <w:szCs w:val="24"/>
          <w:lang w:val="en-GB"/>
        </w:rPr>
        <w:t xml:space="preserve">1. Jerkiewicz, G., “Standard and Reversible Hydrogen Electrodes: Theory, Design, Operation, and Applications,” </w:t>
      </w:r>
      <w:r w:rsidRPr="002C4116">
        <w:rPr>
          <w:rFonts w:ascii="Times New Roman" w:hAnsi="Times New Roman" w:cs="Times New Roman"/>
          <w:i/>
          <w:iCs/>
          <w:sz w:val="24"/>
          <w:szCs w:val="24"/>
          <w:lang w:val="en-GB"/>
        </w:rPr>
        <w:t>ACS Catalysis</w:t>
      </w:r>
      <w:r w:rsidRPr="002C4116">
        <w:rPr>
          <w:rFonts w:ascii="Times New Roman" w:hAnsi="Times New Roman" w:cs="Times New Roman"/>
          <w:sz w:val="24"/>
          <w:szCs w:val="24"/>
          <w:lang w:val="en-GB"/>
        </w:rPr>
        <w:t xml:space="preserve"> 10, no. 15 (2020): 8409–8417. </w:t>
      </w:r>
      <w:hyperlink r:id="rId20" w:history="1">
        <w:r w:rsidRPr="002C4116">
          <w:rPr>
            <w:rStyle w:val="Collegamentoipertestuale"/>
            <w:rFonts w:ascii="Times New Roman" w:hAnsi="Times New Roman" w:cs="Times New Roman"/>
            <w:sz w:val="24"/>
            <w:szCs w:val="24"/>
            <w:lang w:val="en-GB"/>
          </w:rPr>
          <w:t>https://doi.org/10.1021/acscatal.0c02046</w:t>
        </w:r>
      </w:hyperlink>
    </w:p>
    <w:p w14:paraId="1E1ABCC0"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2. Iglesias van Montfort, H. P., Subramanian, S., Irtem, E., </w:t>
      </w:r>
      <w:r w:rsidRPr="002C4116">
        <w:rPr>
          <w:rFonts w:ascii="Times New Roman" w:hAnsi="Times New Roman" w:cs="Times New Roman"/>
          <w:i/>
          <w:iCs/>
          <w:sz w:val="24"/>
          <w:szCs w:val="24"/>
          <w:lang w:val="en-GB"/>
        </w:rPr>
        <w:t>et al.</w:t>
      </w:r>
      <w:r w:rsidRPr="002C4116">
        <w:rPr>
          <w:rFonts w:ascii="Times New Roman" w:hAnsi="Times New Roman" w:cs="Times New Roman"/>
          <w:sz w:val="24"/>
          <w:szCs w:val="24"/>
          <w:lang w:val="en-GB"/>
        </w:rPr>
        <w:t xml:space="preserve">, “An Advanced Guide to Assembly and Operation of CO₂ Electrolyzers,” </w:t>
      </w:r>
      <w:r w:rsidRPr="002C4116">
        <w:rPr>
          <w:rFonts w:ascii="Times New Roman" w:hAnsi="Times New Roman" w:cs="Times New Roman"/>
          <w:i/>
          <w:iCs/>
          <w:sz w:val="24"/>
          <w:szCs w:val="24"/>
          <w:lang w:val="en-GB"/>
        </w:rPr>
        <w:t>ACS Energy Letters</w:t>
      </w:r>
      <w:r w:rsidRPr="002C4116">
        <w:rPr>
          <w:rFonts w:ascii="Times New Roman" w:hAnsi="Times New Roman" w:cs="Times New Roman"/>
          <w:sz w:val="24"/>
          <w:szCs w:val="24"/>
          <w:lang w:val="en-GB"/>
        </w:rPr>
        <w:t xml:space="preserve"> 8, no. 10 (2023): 4156–4161. </w:t>
      </w:r>
      <w:hyperlink r:id="rId21" w:history="1">
        <w:r w:rsidRPr="002C4116">
          <w:rPr>
            <w:rStyle w:val="Collegamentoipertestuale"/>
            <w:rFonts w:ascii="Times New Roman" w:hAnsi="Times New Roman" w:cs="Times New Roman"/>
            <w:sz w:val="24"/>
            <w:szCs w:val="24"/>
            <w:lang w:val="en-GB"/>
          </w:rPr>
          <w:t>https://doi.org/10.1021/acsenergylett.3c01561</w:t>
        </w:r>
      </w:hyperlink>
    </w:p>
    <w:p w14:paraId="02C7C30F"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3. Lu, Q., and Jiao, F., “Electrochemical CO₂ Reduction: Electrocatalyst, Reaction Mechanism, and Process Engineering,” </w:t>
      </w:r>
      <w:r w:rsidRPr="002C4116">
        <w:rPr>
          <w:rFonts w:ascii="Times New Roman" w:hAnsi="Times New Roman" w:cs="Times New Roman"/>
          <w:i/>
          <w:iCs/>
          <w:sz w:val="24"/>
          <w:szCs w:val="24"/>
          <w:lang w:val="en-GB"/>
        </w:rPr>
        <w:t>Nano Energy</w:t>
      </w:r>
      <w:r w:rsidRPr="002C4116">
        <w:rPr>
          <w:rFonts w:ascii="Times New Roman" w:hAnsi="Times New Roman" w:cs="Times New Roman"/>
          <w:sz w:val="24"/>
          <w:szCs w:val="24"/>
          <w:lang w:val="en-GB"/>
        </w:rPr>
        <w:t xml:space="preserve"> 29 (2016): 439–456. </w:t>
      </w:r>
      <w:hyperlink r:id="rId22" w:history="1">
        <w:r w:rsidRPr="002C4116">
          <w:rPr>
            <w:rStyle w:val="Collegamentoipertestuale"/>
            <w:rFonts w:ascii="Times New Roman" w:hAnsi="Times New Roman" w:cs="Times New Roman"/>
            <w:sz w:val="24"/>
            <w:szCs w:val="24"/>
            <w:lang w:val="en-GB"/>
          </w:rPr>
          <w:t>https://doi.org/10.1016/j.nanoen.2016.04.009</w:t>
        </w:r>
      </w:hyperlink>
    </w:p>
    <w:p w14:paraId="4492B77E"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4. Melchionna, M., Moro, M., Adorinni, S., </w:t>
      </w:r>
      <w:r w:rsidRPr="002C4116">
        <w:rPr>
          <w:rFonts w:ascii="Times New Roman" w:hAnsi="Times New Roman" w:cs="Times New Roman"/>
          <w:i/>
          <w:iCs/>
          <w:sz w:val="24"/>
          <w:szCs w:val="24"/>
          <w:lang w:val="en-GB"/>
        </w:rPr>
        <w:t>et al.</w:t>
      </w:r>
      <w:r w:rsidRPr="002C4116">
        <w:rPr>
          <w:rFonts w:ascii="Times New Roman" w:hAnsi="Times New Roman" w:cs="Times New Roman"/>
          <w:sz w:val="24"/>
          <w:szCs w:val="24"/>
          <w:lang w:val="en-GB"/>
        </w:rPr>
        <w:t xml:space="preserve">, “Driving up the Electrocatalytic Performance for Carbon Dioxide Conversion through Interface Tuning in Graphene Oxide–Bismuth Oxide Nanocomposites,” </w:t>
      </w:r>
      <w:r w:rsidRPr="002C4116">
        <w:rPr>
          <w:rFonts w:ascii="Times New Roman" w:hAnsi="Times New Roman" w:cs="Times New Roman"/>
          <w:i/>
          <w:iCs/>
          <w:sz w:val="24"/>
          <w:szCs w:val="24"/>
          <w:lang w:val="en-GB"/>
        </w:rPr>
        <w:t>ACS Applied Energy Materials</w:t>
      </w:r>
      <w:r w:rsidRPr="002C4116">
        <w:rPr>
          <w:rFonts w:ascii="Times New Roman" w:hAnsi="Times New Roman" w:cs="Times New Roman"/>
          <w:sz w:val="24"/>
          <w:szCs w:val="24"/>
          <w:lang w:val="en-GB"/>
        </w:rPr>
        <w:t xml:space="preserve"> 5, no. 11 (2022): 13356–13366. </w:t>
      </w:r>
      <w:hyperlink r:id="rId23" w:history="1">
        <w:r w:rsidRPr="002C4116">
          <w:rPr>
            <w:rStyle w:val="Collegamentoipertestuale"/>
            <w:rFonts w:ascii="Times New Roman" w:hAnsi="Times New Roman" w:cs="Times New Roman"/>
            <w:sz w:val="24"/>
            <w:szCs w:val="24"/>
            <w:lang w:val="en-GB"/>
          </w:rPr>
          <w:t>https://doi.org/10.1021/acsaem.2c02013</w:t>
        </w:r>
      </w:hyperlink>
    </w:p>
    <w:p w14:paraId="4B963A96"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5. Valenti, G., Melchionna, M., Montini, T., </w:t>
      </w:r>
      <w:r w:rsidRPr="002C4116">
        <w:rPr>
          <w:rFonts w:ascii="Times New Roman" w:hAnsi="Times New Roman" w:cs="Times New Roman"/>
          <w:i/>
          <w:iCs/>
          <w:sz w:val="24"/>
          <w:szCs w:val="24"/>
          <w:lang w:val="en-GB"/>
        </w:rPr>
        <w:t>et al.</w:t>
      </w:r>
      <w:r w:rsidRPr="002C4116">
        <w:rPr>
          <w:rFonts w:ascii="Times New Roman" w:hAnsi="Times New Roman" w:cs="Times New Roman"/>
          <w:sz w:val="24"/>
          <w:szCs w:val="24"/>
          <w:lang w:val="en-GB"/>
        </w:rPr>
        <w:t xml:space="preserve">, “Water-Mediated Electrohydrogenation of CO₂ at Near-Equilibrium Potential by Carbon Nanotubes/Cerium Dioxide Nanohybrids,” </w:t>
      </w:r>
      <w:r w:rsidRPr="002C4116">
        <w:rPr>
          <w:rFonts w:ascii="Times New Roman" w:hAnsi="Times New Roman" w:cs="Times New Roman"/>
          <w:i/>
          <w:iCs/>
          <w:sz w:val="24"/>
          <w:szCs w:val="24"/>
          <w:lang w:val="en-GB"/>
        </w:rPr>
        <w:t>ACS Applied Energy Materials</w:t>
      </w:r>
      <w:r w:rsidRPr="002C4116">
        <w:rPr>
          <w:rFonts w:ascii="Times New Roman" w:hAnsi="Times New Roman" w:cs="Times New Roman"/>
          <w:sz w:val="24"/>
          <w:szCs w:val="24"/>
          <w:lang w:val="en-GB"/>
        </w:rPr>
        <w:t xml:space="preserve"> 3, no. 9 (2020): 8509–8518. </w:t>
      </w:r>
      <w:hyperlink r:id="rId24" w:history="1">
        <w:r w:rsidRPr="002C4116">
          <w:rPr>
            <w:rStyle w:val="Collegamentoipertestuale"/>
            <w:rFonts w:ascii="Times New Roman" w:hAnsi="Times New Roman" w:cs="Times New Roman"/>
            <w:sz w:val="24"/>
            <w:szCs w:val="24"/>
            <w:lang w:val="en-GB"/>
          </w:rPr>
          <w:t>https://doi.org/10.1021/acsaem.0c01145</w:t>
        </w:r>
      </w:hyperlink>
    </w:p>
    <w:p w14:paraId="5D5266DB"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6. Chatterjee, T., Boutin, E., and Robert, M., “Manifesto for the Routine Use of NMR for the Liquid Product Analysis of Aqueous CO₂ Reduction: From Comprehensive Chemical Shift Data to Formaldehyde Quantification in Water,” </w:t>
      </w:r>
      <w:r w:rsidRPr="002C4116">
        <w:rPr>
          <w:rFonts w:ascii="Times New Roman" w:hAnsi="Times New Roman" w:cs="Times New Roman"/>
          <w:i/>
          <w:iCs/>
          <w:sz w:val="24"/>
          <w:szCs w:val="24"/>
          <w:lang w:val="en-GB"/>
        </w:rPr>
        <w:t>Dalton Transactions</w:t>
      </w:r>
      <w:r w:rsidRPr="002C4116">
        <w:rPr>
          <w:rFonts w:ascii="Times New Roman" w:hAnsi="Times New Roman" w:cs="Times New Roman"/>
          <w:sz w:val="24"/>
          <w:szCs w:val="24"/>
          <w:lang w:val="en-GB"/>
        </w:rPr>
        <w:t xml:space="preserve"> 49, no. 14 (2020): 4257–4265. </w:t>
      </w:r>
      <w:hyperlink r:id="rId25" w:history="1">
        <w:r w:rsidRPr="002C4116">
          <w:rPr>
            <w:rStyle w:val="Collegamentoipertestuale"/>
            <w:rFonts w:ascii="Times New Roman" w:hAnsi="Times New Roman" w:cs="Times New Roman"/>
            <w:sz w:val="24"/>
            <w:szCs w:val="24"/>
            <w:lang w:val="en-GB"/>
          </w:rPr>
          <w:t>https://doi.org/10.1039/C9DT04749B</w:t>
        </w:r>
      </w:hyperlink>
    </w:p>
    <w:p w14:paraId="3D40BBA5"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7. Babij, N. R., McCusker, E. O., Whiteker, G. T., </w:t>
      </w:r>
      <w:r w:rsidRPr="002C4116">
        <w:rPr>
          <w:rFonts w:ascii="Times New Roman" w:hAnsi="Times New Roman" w:cs="Times New Roman"/>
          <w:i/>
          <w:iCs/>
          <w:sz w:val="24"/>
          <w:szCs w:val="24"/>
          <w:lang w:val="en-GB"/>
        </w:rPr>
        <w:t>et al.</w:t>
      </w:r>
      <w:r w:rsidRPr="002C4116">
        <w:rPr>
          <w:rFonts w:ascii="Times New Roman" w:hAnsi="Times New Roman" w:cs="Times New Roman"/>
          <w:sz w:val="24"/>
          <w:szCs w:val="24"/>
          <w:lang w:val="en-GB"/>
        </w:rPr>
        <w:t xml:space="preserve">, “NMR Chemical Shifts of Trace Impurities: Industrially Preferred Solvents Used in Process and Green Chemistry,” </w:t>
      </w:r>
      <w:r w:rsidRPr="002C4116">
        <w:rPr>
          <w:rFonts w:ascii="Times New Roman" w:hAnsi="Times New Roman" w:cs="Times New Roman"/>
          <w:i/>
          <w:iCs/>
          <w:sz w:val="24"/>
          <w:szCs w:val="24"/>
          <w:lang w:val="en-GB"/>
        </w:rPr>
        <w:t>Organic Process Research &amp; Development</w:t>
      </w:r>
      <w:r w:rsidRPr="002C4116">
        <w:rPr>
          <w:rFonts w:ascii="Times New Roman" w:hAnsi="Times New Roman" w:cs="Times New Roman"/>
          <w:sz w:val="24"/>
          <w:szCs w:val="24"/>
          <w:lang w:val="en-GB"/>
        </w:rPr>
        <w:t xml:space="preserve"> 20, no. 3 (2016): 661–667. </w:t>
      </w:r>
      <w:hyperlink r:id="rId26" w:history="1">
        <w:r w:rsidRPr="002C4116">
          <w:rPr>
            <w:rStyle w:val="Collegamentoipertestuale"/>
            <w:rFonts w:ascii="Times New Roman" w:hAnsi="Times New Roman" w:cs="Times New Roman"/>
            <w:sz w:val="24"/>
            <w:szCs w:val="24"/>
            <w:lang w:val="en-GB"/>
          </w:rPr>
          <w:t>https://doi.org/10.1021/acs.oprd.5b00417</w:t>
        </w:r>
      </w:hyperlink>
    </w:p>
    <w:p w14:paraId="776B8BD8"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t xml:space="preserve">8. Kuang, Y., Rabiee, H., Ge, L., </w:t>
      </w:r>
      <w:r w:rsidRPr="002C4116">
        <w:rPr>
          <w:rFonts w:ascii="Times New Roman" w:hAnsi="Times New Roman" w:cs="Times New Roman"/>
          <w:i/>
          <w:iCs/>
          <w:sz w:val="24"/>
          <w:szCs w:val="24"/>
          <w:lang w:val="en-GB"/>
        </w:rPr>
        <w:t>et al.</w:t>
      </w:r>
      <w:r w:rsidRPr="002C4116">
        <w:rPr>
          <w:rFonts w:ascii="Times New Roman" w:hAnsi="Times New Roman" w:cs="Times New Roman"/>
          <w:sz w:val="24"/>
          <w:szCs w:val="24"/>
          <w:lang w:val="en-GB"/>
        </w:rPr>
        <w:t xml:space="preserve">, “High-Concentration Electrosynthesis of Formic Acid/Formate from CO₂: Reactor and Electrode Design Strategies,” </w:t>
      </w:r>
      <w:r w:rsidRPr="002C4116">
        <w:rPr>
          <w:rFonts w:ascii="Times New Roman" w:hAnsi="Times New Roman" w:cs="Times New Roman"/>
          <w:i/>
          <w:iCs/>
          <w:sz w:val="24"/>
          <w:szCs w:val="24"/>
          <w:lang w:val="en-GB"/>
        </w:rPr>
        <w:t>Energy and Environmental Materials</w:t>
      </w:r>
      <w:r w:rsidRPr="002C4116">
        <w:rPr>
          <w:rFonts w:ascii="Times New Roman" w:hAnsi="Times New Roman" w:cs="Times New Roman"/>
          <w:sz w:val="24"/>
          <w:szCs w:val="24"/>
          <w:lang w:val="en-GB"/>
        </w:rPr>
        <w:t xml:space="preserve"> 6, no. 6 (2023): e12596. </w:t>
      </w:r>
      <w:hyperlink r:id="rId27" w:history="1">
        <w:r w:rsidRPr="002C4116">
          <w:rPr>
            <w:rStyle w:val="Collegamentoipertestuale"/>
            <w:rFonts w:ascii="Times New Roman" w:hAnsi="Times New Roman" w:cs="Times New Roman"/>
            <w:sz w:val="24"/>
            <w:szCs w:val="24"/>
            <w:lang w:val="en-GB"/>
          </w:rPr>
          <w:t>https://doi.org/10.1002/eem2.12596</w:t>
        </w:r>
      </w:hyperlink>
    </w:p>
    <w:p w14:paraId="73E0D4AD" w14:textId="77777777" w:rsidR="00A71BD3" w:rsidRPr="002C4116" w:rsidRDefault="00A71BD3" w:rsidP="00A71BD3">
      <w:pPr>
        <w:spacing w:line="360" w:lineRule="auto"/>
        <w:rPr>
          <w:rFonts w:ascii="Times New Roman" w:hAnsi="Times New Roman" w:cs="Times New Roman"/>
          <w:sz w:val="24"/>
          <w:szCs w:val="24"/>
        </w:rPr>
      </w:pPr>
      <w:r w:rsidRPr="002C4116">
        <w:rPr>
          <w:rFonts w:ascii="Times New Roman" w:hAnsi="Times New Roman" w:cs="Times New Roman"/>
          <w:sz w:val="24"/>
          <w:szCs w:val="24"/>
          <w:lang w:val="en-GB"/>
        </w:rPr>
        <w:lastRenderedPageBreak/>
        <w:t xml:space="preserve">9. Álvarez-Gómez, J. M., and Varela, A. S., “Review on Long-Term Stability of Electrochemical CO₂ Reduction,” </w:t>
      </w:r>
      <w:r w:rsidRPr="002C4116">
        <w:rPr>
          <w:rFonts w:ascii="Times New Roman" w:hAnsi="Times New Roman" w:cs="Times New Roman"/>
          <w:i/>
          <w:iCs/>
          <w:sz w:val="24"/>
          <w:szCs w:val="24"/>
          <w:lang w:val="en-GB"/>
        </w:rPr>
        <w:t>Energy &amp; Fuels</w:t>
      </w:r>
      <w:r w:rsidRPr="002C4116">
        <w:rPr>
          <w:rFonts w:ascii="Times New Roman" w:hAnsi="Times New Roman" w:cs="Times New Roman"/>
          <w:sz w:val="24"/>
          <w:szCs w:val="24"/>
          <w:lang w:val="en-GB"/>
        </w:rPr>
        <w:t xml:space="preserve"> 37, no. 20 (2023): 15283–15308. </w:t>
      </w:r>
      <w:hyperlink r:id="rId28" w:history="1">
        <w:r w:rsidRPr="002C4116">
          <w:rPr>
            <w:rStyle w:val="Collegamentoipertestuale"/>
            <w:rFonts w:ascii="Times New Roman" w:hAnsi="Times New Roman" w:cs="Times New Roman"/>
            <w:sz w:val="24"/>
            <w:szCs w:val="24"/>
            <w:lang w:val="en-GB"/>
          </w:rPr>
          <w:t>https://doi.org/10.1021/acs.energyfuels.3c01847</w:t>
        </w:r>
      </w:hyperlink>
    </w:p>
    <w:p w14:paraId="134BF0C1" w14:textId="77777777" w:rsidR="00A71BD3" w:rsidRPr="002C4116" w:rsidRDefault="00A71BD3" w:rsidP="00A71BD3">
      <w:pPr>
        <w:spacing w:line="360" w:lineRule="auto"/>
        <w:rPr>
          <w:rFonts w:ascii="Times New Roman" w:hAnsi="Times New Roman" w:cs="Times New Roman"/>
          <w:sz w:val="24"/>
          <w:szCs w:val="24"/>
          <w:lang w:val="en-GB"/>
        </w:rPr>
      </w:pPr>
    </w:p>
    <w:p w14:paraId="635FD1FC" w14:textId="77777777" w:rsidR="00A71BD3" w:rsidRPr="002C4116" w:rsidRDefault="00A71BD3" w:rsidP="00A71BD3">
      <w:pPr>
        <w:spacing w:line="360" w:lineRule="auto"/>
        <w:rPr>
          <w:rFonts w:ascii="Times New Roman" w:hAnsi="Times New Roman" w:cs="Times New Roman"/>
          <w:sz w:val="24"/>
          <w:szCs w:val="24"/>
          <w:lang w:val="en-GB"/>
        </w:rPr>
      </w:pPr>
      <w:hyperlink r:id="rId29" w:history="1"/>
    </w:p>
    <w:p w14:paraId="6E07A163" w14:textId="77777777" w:rsidR="00D81ECA" w:rsidRPr="002C4116" w:rsidRDefault="00D81ECA">
      <w:pPr>
        <w:rPr>
          <w:rFonts w:ascii="Times New Roman" w:hAnsi="Times New Roman" w:cs="Times New Roman"/>
          <w:sz w:val="24"/>
          <w:szCs w:val="24"/>
        </w:rPr>
      </w:pPr>
    </w:p>
    <w:sectPr w:rsidR="00D81ECA" w:rsidRPr="002C4116" w:rsidSect="00A71BD3">
      <w:headerReference w:type="default" r:id="rId30"/>
      <w:footerReference w:type="default" r:id="rId3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D964AB" w14:textId="77777777" w:rsidR="00F54557" w:rsidRDefault="00F54557">
      <w:pPr>
        <w:spacing w:after="0" w:line="240" w:lineRule="auto"/>
      </w:pPr>
      <w:r>
        <w:separator/>
      </w:r>
    </w:p>
  </w:endnote>
  <w:endnote w:type="continuationSeparator" w:id="0">
    <w:p w14:paraId="58A273AD" w14:textId="77777777" w:rsidR="00F54557" w:rsidRDefault="00F54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7E279" w14:textId="77777777" w:rsidR="00FD3D08" w:rsidRDefault="00A71BD3">
    <w:pPr>
      <w:pStyle w:val="Pidipagina"/>
      <w:jc w:val="center"/>
    </w:pPr>
    <w:r>
      <w:fldChar w:fldCharType="begin"/>
    </w:r>
    <w:r>
      <w:instrText>PAGE   \* MERGEFORMAT</w:instrText>
    </w:r>
    <w:r>
      <w:fldChar w:fldCharType="separate"/>
    </w:r>
    <w:r>
      <w:rPr>
        <w:noProof/>
      </w:rPr>
      <w:t>21</w:t>
    </w:r>
    <w:r>
      <w:fldChar w:fldCharType="end"/>
    </w:r>
  </w:p>
  <w:p w14:paraId="53B80323" w14:textId="77777777" w:rsidR="00FD3D08" w:rsidRDefault="00FD3D08" w:rsidP="00881456">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04CA08" w14:textId="77777777" w:rsidR="00F54557" w:rsidRDefault="00F54557">
      <w:pPr>
        <w:spacing w:after="0" w:line="240" w:lineRule="auto"/>
      </w:pPr>
      <w:r>
        <w:separator/>
      </w:r>
    </w:p>
  </w:footnote>
  <w:footnote w:type="continuationSeparator" w:id="0">
    <w:p w14:paraId="3B1E0DF8" w14:textId="77777777" w:rsidR="00F54557" w:rsidRDefault="00F545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88FE6" w14:textId="77777777" w:rsidR="00FD3D08" w:rsidRPr="009B44CC" w:rsidRDefault="00A71BD3" w:rsidP="009B44CC">
    <w:pPr>
      <w:pStyle w:val="Intestazione"/>
      <w:tabs>
        <w:tab w:val="left" w:pos="5003"/>
      </w:tabs>
      <w:jc w:val="right"/>
      <w:rPr>
        <w:lang w:val="en-US"/>
      </w:rPr>
    </w:pPr>
    <w:r>
      <w:tab/>
    </w:r>
    <w:r w:rsidRPr="00302E7A">
      <w:rPr>
        <w:noProof/>
        <w:lang w:val="it-IT" w:eastAsia="it-IT"/>
      </w:rPr>
      <w:drawing>
        <wp:inline distT="0" distB="0" distL="0" distR="0" wp14:anchorId="1BB70619" wp14:editId="5771B370">
          <wp:extent cx="1488440" cy="414655"/>
          <wp:effectExtent l="0" t="0" r="0" b="0"/>
          <wp:docPr id="196517471" name="Picture 2" descr="Wiley-VCH_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iley-VCH_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8440" cy="41465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8C446F"/>
    <w:multiLevelType w:val="hybridMultilevel"/>
    <w:tmpl w:val="5A3C19B6"/>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926198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BD3"/>
    <w:rsid w:val="002C4116"/>
    <w:rsid w:val="00457A2B"/>
    <w:rsid w:val="007F4486"/>
    <w:rsid w:val="00970CFF"/>
    <w:rsid w:val="00A71BD3"/>
    <w:rsid w:val="00A73AB0"/>
    <w:rsid w:val="00AD06ED"/>
    <w:rsid w:val="00D432BF"/>
    <w:rsid w:val="00D81ECA"/>
    <w:rsid w:val="00F54557"/>
    <w:rsid w:val="00FD3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66C9A"/>
  <w15:chartTrackingRefBased/>
  <w15:docId w15:val="{4A5E73B6-0798-4D15-B2C0-0AA2F7B848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A71BD3"/>
    <w:pPr>
      <w:tabs>
        <w:tab w:val="center" w:pos="4536"/>
        <w:tab w:val="right" w:pos="9072"/>
      </w:tabs>
      <w:spacing w:after="0" w:line="240" w:lineRule="auto"/>
    </w:pPr>
    <w:rPr>
      <w:rFonts w:ascii="Times New Roman" w:eastAsia="MS Mincho" w:hAnsi="Times New Roman" w:cs="Times New Roman"/>
      <w:sz w:val="24"/>
      <w:szCs w:val="24"/>
      <w:lang w:val="x-none" w:eastAsia="ja-JP"/>
    </w:rPr>
  </w:style>
  <w:style w:type="character" w:customStyle="1" w:styleId="IntestazioneCarattere">
    <w:name w:val="Intestazione Carattere"/>
    <w:basedOn w:val="Carpredefinitoparagrafo"/>
    <w:link w:val="Intestazione"/>
    <w:uiPriority w:val="99"/>
    <w:rsid w:val="00A71BD3"/>
    <w:rPr>
      <w:rFonts w:ascii="Times New Roman" w:eastAsia="MS Mincho" w:hAnsi="Times New Roman" w:cs="Times New Roman"/>
      <w:sz w:val="24"/>
      <w:szCs w:val="24"/>
      <w:lang w:val="x-none" w:eastAsia="ja-JP"/>
    </w:rPr>
  </w:style>
  <w:style w:type="paragraph" w:styleId="Pidipagina">
    <w:name w:val="footer"/>
    <w:basedOn w:val="Normale"/>
    <w:link w:val="PidipaginaCarattere"/>
    <w:uiPriority w:val="99"/>
    <w:rsid w:val="00A71BD3"/>
    <w:pPr>
      <w:tabs>
        <w:tab w:val="center" w:pos="4536"/>
        <w:tab w:val="right" w:pos="9072"/>
      </w:tabs>
      <w:spacing w:after="0" w:line="240" w:lineRule="auto"/>
    </w:pPr>
    <w:rPr>
      <w:rFonts w:ascii="Times New Roman" w:eastAsia="MS Mincho" w:hAnsi="Times New Roman" w:cs="Times New Roman"/>
      <w:sz w:val="24"/>
      <w:szCs w:val="24"/>
      <w:lang w:val="de-DE" w:eastAsia="ja-JP"/>
    </w:rPr>
  </w:style>
  <w:style w:type="character" w:customStyle="1" w:styleId="PidipaginaCarattere">
    <w:name w:val="Piè di pagina Carattere"/>
    <w:basedOn w:val="Carpredefinitoparagrafo"/>
    <w:link w:val="Pidipagina"/>
    <w:uiPriority w:val="99"/>
    <w:rsid w:val="00A71BD3"/>
    <w:rPr>
      <w:rFonts w:ascii="Times New Roman" w:eastAsia="MS Mincho" w:hAnsi="Times New Roman" w:cs="Times New Roman"/>
      <w:sz w:val="24"/>
      <w:szCs w:val="24"/>
      <w:lang w:val="de-DE" w:eastAsia="ja-JP"/>
    </w:rPr>
  </w:style>
  <w:style w:type="paragraph" w:customStyle="1" w:styleId="Tableofcontents">
    <w:name w:val="Table of contents"/>
    <w:basedOn w:val="Normale"/>
    <w:autoRedefine/>
    <w:rsid w:val="00A71BD3"/>
    <w:pPr>
      <w:spacing w:after="0" w:line="360" w:lineRule="auto"/>
      <w:jc w:val="both"/>
    </w:pPr>
    <w:rPr>
      <w:rFonts w:ascii="Times New Roman" w:eastAsia="MS Mincho" w:hAnsi="Times New Roman" w:cs="Times New Roman"/>
      <w:sz w:val="24"/>
      <w:szCs w:val="24"/>
      <w:lang w:eastAsia="ja-JP"/>
    </w:rPr>
  </w:style>
  <w:style w:type="paragraph" w:customStyle="1" w:styleId="Title2">
    <w:name w:val="Title2"/>
    <w:basedOn w:val="Normale"/>
    <w:rsid w:val="00A71BD3"/>
    <w:pPr>
      <w:spacing w:after="0" w:line="240" w:lineRule="auto"/>
    </w:pPr>
    <w:rPr>
      <w:rFonts w:ascii="Times New Roman" w:eastAsia="MS Mincho" w:hAnsi="Times New Roman" w:cs="Times New Roman"/>
      <w:b/>
      <w:sz w:val="24"/>
      <w:szCs w:val="24"/>
      <w:lang w:eastAsia="ja-JP"/>
    </w:rPr>
  </w:style>
  <w:style w:type="character" w:styleId="Collegamentoipertestuale">
    <w:name w:val="Hyperlink"/>
    <w:basedOn w:val="Carpredefinitoparagrafo"/>
    <w:uiPriority w:val="99"/>
    <w:unhideWhenUsed/>
    <w:rsid w:val="00A71BD3"/>
    <w:rPr>
      <w:color w:val="0563C1" w:themeColor="hyperlink"/>
      <w:u w:val="single"/>
    </w:rPr>
  </w:style>
  <w:style w:type="paragraph" w:styleId="Paragrafoelenco">
    <w:name w:val="List Paragraph"/>
    <w:basedOn w:val="Normale"/>
    <w:uiPriority w:val="34"/>
    <w:qFormat/>
    <w:rsid w:val="00A71BD3"/>
    <w:pPr>
      <w:ind w:left="720"/>
      <w:contextualSpacing/>
    </w:pPr>
    <w:rPr>
      <w:kern w:val="2"/>
      <w:lang w:val="en-GB"/>
      <w14:ligatures w14:val="standardContextual"/>
    </w:rPr>
  </w:style>
  <w:style w:type="paragraph" w:styleId="Didascalia">
    <w:name w:val="caption"/>
    <w:basedOn w:val="Normale"/>
    <w:next w:val="Normale"/>
    <w:uiPriority w:val="35"/>
    <w:unhideWhenUsed/>
    <w:qFormat/>
    <w:rsid w:val="00A71BD3"/>
    <w:pPr>
      <w:spacing w:after="200" w:line="240" w:lineRule="auto"/>
    </w:pPr>
    <w:rPr>
      <w:i/>
      <w:iCs/>
      <w:color w:val="44546A" w:themeColor="text2"/>
      <w:kern w:val="2"/>
      <w:sz w:val="18"/>
      <w:szCs w:val="18"/>
      <w:lang w:val="en-GB"/>
      <w14:ligatures w14:val="standardContextual"/>
    </w:rPr>
  </w:style>
  <w:style w:type="table" w:styleId="Grigliatabella">
    <w:name w:val="Table Grid"/>
    <w:basedOn w:val="Tabellanormale"/>
    <w:uiPriority w:val="39"/>
    <w:rsid w:val="00A71BD3"/>
    <w:pPr>
      <w:spacing w:after="0" w:line="240" w:lineRule="auto"/>
    </w:pPr>
    <w:rPr>
      <w:kern w:val="2"/>
      <w:lang w:val="it-IT"/>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doi.org/10.1021/acs.oprd.5b00417" TargetMode="External"/><Relationship Id="rId3" Type="http://schemas.openxmlformats.org/officeDocument/2006/relationships/settings" Target="settings.xml"/><Relationship Id="rId21" Type="http://schemas.openxmlformats.org/officeDocument/2006/relationships/hyperlink" Target="https://doi.org/10.1021/acsenergylett.3c01561"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doi.org/10.1039/C9DT04749B"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doi.org/10.1021/acscatal.0c02046" TargetMode="External"/><Relationship Id="rId29" Type="http://schemas.openxmlformats.org/officeDocument/2006/relationships/hyperlink" Target="https://doi.org/10.1021/acs.oprd.5b00417"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doi.org/10.1021/acsaem.0c01145"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jpg"/><Relationship Id="rId23" Type="http://schemas.openxmlformats.org/officeDocument/2006/relationships/hyperlink" Target="https://doi.org/10.1021/acsaem.2c02013" TargetMode="External"/><Relationship Id="rId28" Type="http://schemas.openxmlformats.org/officeDocument/2006/relationships/hyperlink" Target="https://doi.org/10.1021/acs.energyfuels.3c01847" TargetMode="Externa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s://doi.org/10.1016/j.nanoen.2016.04.009" TargetMode="External"/><Relationship Id="rId27" Type="http://schemas.openxmlformats.org/officeDocument/2006/relationships/hyperlink" Target="https://doi.org/10.1002/eem2.12596" TargetMode="External"/><Relationship Id="rId30" Type="http://schemas.openxmlformats.org/officeDocument/2006/relationships/header" Target="header1.xml"/><Relationship Id="rId8"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15</Pages>
  <Words>2595</Words>
  <Characters>14798</Characters>
  <Application>Microsoft Office Word</Application>
  <DocSecurity>0</DocSecurity>
  <Lines>123</Lines>
  <Paragraphs>34</Paragraphs>
  <ScaleCrop>false</ScaleCrop>
  <Company/>
  <LinksUpToDate>false</LinksUpToDate>
  <CharactersWithSpaces>17359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Karan Kumar</dc:creator>
  <cp:keywords/>
  <dc:description/>
  <cp:lastModifiedBy>Gustavo Filippucci</cp:lastModifiedBy>
  <cp:revision>2</cp:revision>
  <dcterms:created xsi:type="dcterms:W3CDTF">2026-03-27T10:31:00Z</dcterms:created>
  <dcterms:modified xsi:type="dcterms:W3CDTF">2026-03-27T10:31:00Z</dcterms:modified>
</cp:coreProperties>
</file>