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08D22" w14:textId="5BDDD963" w:rsidR="00AD7F65" w:rsidRDefault="00AD7F65" w:rsidP="00AD7F65">
      <w:pPr>
        <w:jc w:val="right"/>
      </w:pPr>
      <w:r w:rsidRPr="00865D46">
        <w:rPr>
          <w:noProof/>
        </w:rPr>
        <w:drawing>
          <wp:inline distT="0" distB="0" distL="0" distR="0" wp14:anchorId="68E99F2D" wp14:editId="0A19769B">
            <wp:extent cx="1911448" cy="495325"/>
            <wp:effectExtent l="0" t="0" r="0" b="0"/>
            <wp:docPr id="1"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up of a logo&#10;&#10;Description automatically generated"/>
                    <pic:cNvPicPr/>
                  </pic:nvPicPr>
                  <pic:blipFill>
                    <a:blip r:embed="rId6"/>
                    <a:stretch>
                      <a:fillRect/>
                    </a:stretch>
                  </pic:blipFill>
                  <pic:spPr>
                    <a:xfrm>
                      <a:off x="0" y="0"/>
                      <a:ext cx="1911448" cy="495325"/>
                    </a:xfrm>
                    <a:prstGeom prst="rect">
                      <a:avLst/>
                    </a:prstGeom>
                  </pic:spPr>
                </pic:pic>
              </a:graphicData>
            </a:graphic>
          </wp:inline>
        </w:drawing>
      </w:r>
    </w:p>
    <w:tbl>
      <w:tblPr>
        <w:tblStyle w:val="TableGrid"/>
        <w:tblW w:w="90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AD7F65" w14:paraId="6AAFEEB6" w14:textId="77777777" w:rsidTr="00990138">
        <w:tc>
          <w:tcPr>
            <w:tcW w:w="9016" w:type="dxa"/>
          </w:tcPr>
          <w:p w14:paraId="5E1F1D32" w14:textId="77777777" w:rsidR="00AD7F65" w:rsidRDefault="00AD7F65" w:rsidP="00990138">
            <w:pPr>
              <w:pStyle w:val="Heading2"/>
            </w:pPr>
            <w:r>
              <w:t>European Journal of Higher Education – Transparent Peer Review</w:t>
            </w:r>
          </w:p>
        </w:tc>
      </w:tr>
      <w:tr w:rsidR="00AD7F65" w14:paraId="2C1EA5A7" w14:textId="77777777" w:rsidTr="00990138">
        <w:tc>
          <w:tcPr>
            <w:tcW w:w="9016" w:type="dxa"/>
          </w:tcPr>
          <w:p w14:paraId="7A65BD5E" w14:textId="77777777" w:rsidR="00AD7F65" w:rsidRDefault="00AD7F65" w:rsidP="00990138"/>
        </w:tc>
      </w:tr>
      <w:tr w:rsidR="00AD7F65" w14:paraId="730C5C0A" w14:textId="77777777" w:rsidTr="00990138">
        <w:tc>
          <w:tcPr>
            <w:tcW w:w="9016" w:type="dxa"/>
          </w:tcPr>
          <w:p w14:paraId="2EC5BDBA" w14:textId="04A06BDC" w:rsidR="00AD7F65" w:rsidRDefault="00AD7F65" w:rsidP="00990138">
            <w:pPr>
              <w:pStyle w:val="Heading3"/>
            </w:pPr>
            <w:r>
              <w:t xml:space="preserve">Title: </w:t>
            </w:r>
            <w:r w:rsidR="00131897" w:rsidRPr="00131897">
              <w:t>The Effect of Financial Aid on Students’ University Performance: Evidence from Resources Rationing in Piedmont</w:t>
            </w:r>
          </w:p>
        </w:tc>
      </w:tr>
      <w:tr w:rsidR="00AD7F65" w:rsidRPr="0086300F" w14:paraId="1D87CCF3" w14:textId="77777777" w:rsidTr="00990138">
        <w:tc>
          <w:tcPr>
            <w:tcW w:w="9016" w:type="dxa"/>
          </w:tcPr>
          <w:tbl>
            <w:tblPr>
              <w:tblW w:w="5000" w:type="pct"/>
              <w:tblCellSpacing w:w="0" w:type="dxa"/>
              <w:tblCellMar>
                <w:top w:w="30" w:type="dxa"/>
                <w:left w:w="30" w:type="dxa"/>
                <w:bottom w:w="30" w:type="dxa"/>
                <w:right w:w="30" w:type="dxa"/>
              </w:tblCellMar>
              <w:tblLook w:val="04A0" w:firstRow="1" w:lastRow="0" w:firstColumn="1" w:lastColumn="0" w:noHBand="0" w:noVBand="1"/>
            </w:tblPr>
            <w:tblGrid>
              <w:gridCol w:w="888"/>
              <w:gridCol w:w="7912"/>
            </w:tblGrid>
            <w:tr w:rsidR="00131897" w:rsidRPr="006E1636" w14:paraId="77982121" w14:textId="77777777" w:rsidTr="00131897">
              <w:trPr>
                <w:tblCellSpacing w:w="0" w:type="dxa"/>
              </w:trPr>
              <w:tc>
                <w:tcPr>
                  <w:tcW w:w="50" w:type="pct"/>
                  <w:hideMark/>
                </w:tcPr>
                <w:p w14:paraId="2AC3C9E1" w14:textId="6FC83F07" w:rsidR="00131897" w:rsidRPr="00131897" w:rsidRDefault="00AD7F65" w:rsidP="00131897">
                  <w:pPr>
                    <w:pStyle w:val="Heading3"/>
                  </w:pPr>
                  <w:r>
                    <w:t xml:space="preserve">Authors: </w:t>
                  </w:r>
                  <w:bookmarkStart w:id="0" w:name="reftop"/>
                </w:p>
              </w:tc>
              <w:bookmarkEnd w:id="0"/>
              <w:tc>
                <w:tcPr>
                  <w:tcW w:w="0" w:type="auto"/>
                  <w:vAlign w:val="center"/>
                  <w:hideMark/>
                </w:tcPr>
                <w:p w14:paraId="342481E6" w14:textId="78DCB0B6" w:rsidR="00131897" w:rsidRPr="00131897" w:rsidRDefault="00131897" w:rsidP="00131897">
                  <w:pPr>
                    <w:pStyle w:val="Heading3"/>
                    <w:rPr>
                      <w:lang w:val="it-IT"/>
                    </w:rPr>
                  </w:pPr>
                  <w:r w:rsidRPr="00131897">
                    <w:rPr>
                      <w:lang w:val="it-IT"/>
                    </w:rPr>
                    <w:t>Vettoretto, Elena; Vergolini, Loris; Azzolini, Davide</w:t>
                  </w:r>
                </w:p>
              </w:tc>
            </w:tr>
          </w:tbl>
          <w:p w14:paraId="2B2B2DAF" w14:textId="36C21DA8" w:rsidR="00AD7F65" w:rsidRDefault="00AD7F65" w:rsidP="00990138">
            <w:pPr>
              <w:pStyle w:val="Heading3"/>
            </w:pPr>
            <w:r>
              <w:t>S</w:t>
            </w:r>
            <w:r w:rsidRPr="000E709C">
              <w:t xml:space="preserve">ubmitted: </w:t>
            </w:r>
            <w:r w:rsidR="00B821FA" w:rsidRPr="00B821FA">
              <w:t>12-Jun-2024</w:t>
            </w:r>
          </w:p>
          <w:p w14:paraId="3F6E7A0E" w14:textId="77777777" w:rsidR="00AD7F65" w:rsidRDefault="00AD7F65" w:rsidP="00990138">
            <w:pPr>
              <w:pStyle w:val="Heading3"/>
            </w:pPr>
            <w:r>
              <w:t>F</w:t>
            </w:r>
            <w:r w:rsidRPr="005A18D8">
              <w:t xml:space="preserve">irst revision submitted: </w:t>
            </w:r>
            <w:r w:rsidR="00B821FA" w:rsidRPr="00B821FA">
              <w:t>16-Nov-2024</w:t>
            </w:r>
            <w:r w:rsidRPr="005A18D8">
              <w:t xml:space="preserve"> </w:t>
            </w:r>
          </w:p>
          <w:p w14:paraId="33C2FAED" w14:textId="07D6FA2C" w:rsidR="00B821FA" w:rsidRDefault="00B821FA" w:rsidP="00B821FA">
            <w:pPr>
              <w:pStyle w:val="Heading3"/>
            </w:pPr>
            <w:r>
              <w:t>Second</w:t>
            </w:r>
            <w:r w:rsidRPr="005A18D8">
              <w:t xml:space="preserve"> revision submitted: </w:t>
            </w:r>
            <w:r w:rsidR="00667923" w:rsidRPr="00667923">
              <w:t>12-Feb-2025</w:t>
            </w:r>
          </w:p>
          <w:p w14:paraId="32846E4A" w14:textId="2A2E42C0" w:rsidR="00B821FA" w:rsidRPr="00B821FA" w:rsidRDefault="00B821FA" w:rsidP="00667923">
            <w:pPr>
              <w:pStyle w:val="Heading3"/>
            </w:pPr>
            <w:r>
              <w:t>Third</w:t>
            </w:r>
            <w:r w:rsidRPr="005A18D8">
              <w:t xml:space="preserve"> revision submitted: </w:t>
            </w:r>
            <w:r w:rsidR="00667923" w:rsidRPr="00667923">
              <w:t>10-Apr-2025</w:t>
            </w:r>
          </w:p>
        </w:tc>
      </w:tr>
      <w:tr w:rsidR="00AD7F65" w14:paraId="6D47FEBD" w14:textId="77777777" w:rsidTr="00990138">
        <w:tc>
          <w:tcPr>
            <w:tcW w:w="9016" w:type="dxa"/>
          </w:tcPr>
          <w:p w14:paraId="7DCE455D" w14:textId="4F27247E" w:rsidR="00AD7F65" w:rsidRDefault="00AD7F65" w:rsidP="00990138">
            <w:pPr>
              <w:pStyle w:val="Heading3"/>
            </w:pPr>
            <w:r>
              <w:t xml:space="preserve">Accepted: </w:t>
            </w:r>
            <w:r w:rsidR="00667923" w:rsidRPr="00667923">
              <w:t>11-Apr-2025</w:t>
            </w:r>
          </w:p>
        </w:tc>
      </w:tr>
      <w:tr w:rsidR="00AD7F65" w14:paraId="0D9D93BF" w14:textId="77777777" w:rsidTr="00990138">
        <w:tc>
          <w:tcPr>
            <w:tcW w:w="9016" w:type="dxa"/>
          </w:tcPr>
          <w:p w14:paraId="7E047F89" w14:textId="77777777" w:rsidR="00AD7F65" w:rsidRDefault="00AD7F65" w:rsidP="00990138">
            <w:pPr>
              <w:pStyle w:val="Heading3"/>
              <w:rPr>
                <w:color w:val="1F3763"/>
              </w:rPr>
            </w:pPr>
            <w:r>
              <w:t>Article DOI:</w:t>
            </w:r>
          </w:p>
        </w:tc>
      </w:tr>
      <w:tr w:rsidR="00AD7F65" w14:paraId="515F4524" w14:textId="77777777" w:rsidTr="00990138">
        <w:tc>
          <w:tcPr>
            <w:tcW w:w="9016" w:type="dxa"/>
          </w:tcPr>
          <w:p w14:paraId="7139CC4B" w14:textId="43B0CC87" w:rsidR="00AD7F65" w:rsidRDefault="00AD7F65" w:rsidP="00990138">
            <w:pPr>
              <w:pStyle w:val="Heading3"/>
              <w:rPr>
                <w:color w:val="1F3763"/>
              </w:rPr>
            </w:pPr>
            <w:r>
              <w:t>Handling Editor:</w:t>
            </w:r>
            <w:r w:rsidR="00667923">
              <w:t xml:space="preserve"> Marco Seeber</w:t>
            </w:r>
          </w:p>
        </w:tc>
      </w:tr>
    </w:tbl>
    <w:p w14:paraId="6EB5A879" w14:textId="77777777" w:rsidR="00AD7F65" w:rsidRDefault="00AD7F65" w:rsidP="00AD7F65"/>
    <w:p w14:paraId="1C547331" w14:textId="691BFBFB" w:rsidR="00667923" w:rsidRDefault="00667923" w:rsidP="00667923">
      <w:pPr>
        <w:pStyle w:val="Heading2"/>
      </w:pPr>
      <w:r>
        <w:t xml:space="preserve">Reviewer </w:t>
      </w:r>
      <w:r w:rsidR="00F0642D">
        <w:t>2</w:t>
      </w:r>
    </w:p>
    <w:p w14:paraId="6ED3F318" w14:textId="77777777" w:rsidR="00667923" w:rsidRDefault="00667923" w:rsidP="00667923">
      <w:pPr>
        <w:spacing w:after="0" w:line="240" w:lineRule="auto"/>
      </w:pPr>
    </w:p>
    <w:p w14:paraId="5421C6D2" w14:textId="77777777" w:rsidR="00667923" w:rsidRDefault="00667923" w:rsidP="00667923">
      <w:r>
        <w:t>Reviewer Conflict of Interest: None declared.</w:t>
      </w:r>
    </w:p>
    <w:p w14:paraId="2ED53DBB" w14:textId="77777777" w:rsidR="00667923" w:rsidRDefault="00667923" w:rsidP="00667923">
      <w:pPr>
        <w:spacing w:after="0" w:line="240" w:lineRule="auto"/>
      </w:pPr>
    </w:p>
    <w:p w14:paraId="45AE07CC" w14:textId="77777777" w:rsidR="00667923" w:rsidRDefault="00667923" w:rsidP="00667923">
      <w:pPr>
        <w:pStyle w:val="Heading3"/>
      </w:pPr>
      <w:r>
        <w:t xml:space="preserve">1st Review </w:t>
      </w:r>
    </w:p>
    <w:p w14:paraId="2DED2CF9" w14:textId="77777777" w:rsidR="00F0642D" w:rsidRDefault="00F0642D" w:rsidP="00667923">
      <w:pPr>
        <w:rPr>
          <w:rFonts w:ascii="Calibri Light" w:eastAsiaTheme="majorEastAsia" w:hAnsi="Calibri Light" w:cstheme="majorBidi"/>
          <w:color w:val="0F4761" w:themeColor="accent1" w:themeShade="BF"/>
          <w:sz w:val="24"/>
          <w:szCs w:val="28"/>
        </w:rPr>
      </w:pPr>
      <w:r w:rsidRPr="00F0642D">
        <w:rPr>
          <w:rFonts w:ascii="Calibri Light" w:eastAsiaTheme="majorEastAsia" w:hAnsi="Calibri Light" w:cstheme="majorBidi"/>
          <w:color w:val="0F4761" w:themeColor="accent1" w:themeShade="BF"/>
          <w:sz w:val="24"/>
          <w:szCs w:val="28"/>
        </w:rPr>
        <w:t>28-Aug-2024</w:t>
      </w:r>
    </w:p>
    <w:p w14:paraId="581A3DC1" w14:textId="0BE6BCFF" w:rsidR="00667923" w:rsidRDefault="00667923" w:rsidP="00667923">
      <w:r>
        <w:t xml:space="preserve">Recommendation: </w:t>
      </w:r>
      <w:r w:rsidR="00C07372">
        <w:t>Major Revision</w:t>
      </w:r>
    </w:p>
    <w:p w14:paraId="3D4E1687" w14:textId="626B2B93" w:rsidR="00667923" w:rsidRDefault="00F0642D" w:rsidP="00667923">
      <w:pPr>
        <w:spacing w:after="0" w:line="240" w:lineRule="auto"/>
      </w:pPr>
      <w:r w:rsidRPr="00F0642D">
        <w:t>Report on “The Effect of Financial Aid on Students’ University Performance: Evidence from Resources Rationing in Piedmont”</w:t>
      </w:r>
      <w:r w:rsidRPr="00F0642D">
        <w:br/>
      </w:r>
      <w:r w:rsidRPr="00F0642D">
        <w:br/>
        <w:t>This paper investigates the effect of student aid on university student performance using administrative data from the Polytechnic of Turin. The authors find strong effects of student aid on reducing dropout, which approximately halves, and some weaker (statistically non-significant) effects on the number of credits and GPA. The authors use a fuzzy RDD design, where the income cutoff to receive student aid is leveraged for identification.</w:t>
      </w:r>
      <w:r w:rsidRPr="00F0642D">
        <w:br/>
        <w:t>I think the paper is interesting, but, in my opinion, the authors should better motivate it and do some additional robustness checks.</w:t>
      </w:r>
      <w:r w:rsidRPr="00F0642D">
        <w:br/>
      </w:r>
      <w:r w:rsidRPr="00F0642D">
        <w:br/>
        <w:t>Main comments</w:t>
      </w:r>
      <w:r w:rsidRPr="00F0642D">
        <w:br/>
        <w:t>1) Motivation. There are many papers on the effect of student aid on student performance, which are also included by the authors in their literature review. There is very little space to contribute to the literature. The main innovation of this paper is that Piedmont sharply reduced the amount of money available for student aid, resulting in a huge drop in the income cutoff for aid eligibility in 2011/12. Hence, the authors could motivate their paper as one exploiting a natural experiment (money reduction) to show what would happen to very low-income students in the absence of student aid while usually (in other papers) student aid targets students that were excluded from student aid in 2011/12 in Piedmont (or to say, to show what would happen if the funding of student aid would be sharply reduced and many very low-income students will stop receiving it).</w:t>
      </w:r>
      <w:r w:rsidRPr="00F0642D">
        <w:br/>
      </w:r>
      <w:r w:rsidRPr="00F0642D">
        <w:lastRenderedPageBreak/>
        <w:br/>
        <w:t>2) First stage. Fuzzy RDD is the facto akin to an IV estimator. So it would be nice to have a graph similar to the ones in Figure 1, but for the “first stage,” reporting on the vertical axis the dummy for being a beneficiary of student aid and on the horizontal axis the ISEE (roughly based on income-wealth). It would be informative to have such figure for: 1) all students; 2) only EU or native students. Moreover, I would like to see how the estimates change in the sample 2) - only including EU or native students - both when using the fuzzy RDD (if there is still imperfect compliance in this sample) and with a sharp RDD, if there is perfect compliance with the cutoff rule. In particular, I think the sample of non-EU students can be very noisy since I am not sure the authors have good controls from them (e.g., one would typically lack the school track or the upper secondary school mark for non-EU students), so if the only reason to implement a fuzzy design is to retain these students, it might not be a wise choice.</w:t>
      </w:r>
      <w:r w:rsidRPr="00F0642D">
        <w:br/>
      </w:r>
      <w:r w:rsidRPr="00F0642D">
        <w:br/>
        <w:t>3) Parametric version of RDD. I agree that Calonico et al. (2017) should be given priority in the estimates. However, a parametric version of the (fuzzy) RDD could improve efficiency and make the estimates more precise. Can the authors report it in Appendix, and perhaps briefly comment it in the paper?</w:t>
      </w:r>
      <w:r w:rsidRPr="00F0642D">
        <w:br/>
      </w:r>
      <w:r w:rsidRPr="00F0642D">
        <w:br/>
        <w:t>4) Estimates non-significance. The authors claim that the insignificance of the estimates is due to small sample size. However, I would like to see the estimates of the first stage. If implemented in parametric form, for the fuzzy RDD the authors could report the usual tests for weak-instrument inference in IVs and check if weak instruments may be generating this result (large statistically non-significant estimates).</w:t>
      </w:r>
      <w:r w:rsidRPr="00F0642D">
        <w:br/>
      </w:r>
      <w:r w:rsidRPr="00F0642D">
        <w:br/>
        <w:t>5) Higher-education vs. single institution dropout. The large difference between the effects estimated in studies considering the whole HE system (e.g., Modena et al. 2020) vs. single institutions (e.g., Agasisti and Murtinu 2016) is that the latter are usually able to consider only dropout from single institutions, so these students may be transferring to other universities. Indeed, the former studies tend to estimate lower effects on dropout. This should be noted and raises the following issue.</w:t>
      </w:r>
      <w:r w:rsidRPr="00F0642D">
        <w:br/>
      </w:r>
      <w:r w:rsidRPr="00F0642D">
        <w:br/>
        <w:t>6) Effects just above the cutoff. Figure 1 shows large positive effects on dropout just above the cutoff. This evidence is a bit suspect since it suggests that students with quite low income but that owing to the peculiar Piedmont’s 2011/12 decision were denied student aid may have decided to transfer to degrees in other Regions, perhaps receiving student aid thanks for their low income students. Can the authors get data on student transfer to rule out this possibility or include this as an alternative interpretation of the results?</w:t>
      </w:r>
      <w:r w:rsidRPr="00F0642D">
        <w:br/>
      </w:r>
      <w:r w:rsidRPr="00F0642D">
        <w:br/>
        <w:t>7) Figure 1. Figure 1 does not look great. I wonder how large are the ISEE bins considered on the horizontal axis (and if they were optimally selected by Calonico et al’s command) and how many observations they include. In particular, at many ISEE the drop out is zero, so there is no clear pattern or better the polynomial is not a great approximation of the scatter plot. RDD is very data-hungry, so the feasibility of using it will partly depend on how dense (of points) are these bins. In short, the authors’ analysis may lack power.</w:t>
      </w:r>
      <w:r w:rsidRPr="00F0642D">
        <w:br/>
        <w:t> </w:t>
      </w:r>
    </w:p>
    <w:p w14:paraId="77C31893" w14:textId="77777777" w:rsidR="00667923" w:rsidRDefault="00667923" w:rsidP="00667923">
      <w:pPr>
        <w:spacing w:after="0" w:line="240" w:lineRule="auto"/>
      </w:pPr>
    </w:p>
    <w:p w14:paraId="1292AFF3" w14:textId="77777777" w:rsidR="00667923" w:rsidRDefault="00667923" w:rsidP="00667923">
      <w:pPr>
        <w:pStyle w:val="Heading3"/>
      </w:pPr>
      <w:r>
        <w:t xml:space="preserve">2nd Review </w:t>
      </w:r>
    </w:p>
    <w:p w14:paraId="44502AF9" w14:textId="77777777" w:rsidR="001C7C84" w:rsidRDefault="001C7C84" w:rsidP="00667923">
      <w:pPr>
        <w:rPr>
          <w:rFonts w:ascii="Calibri Light" w:eastAsiaTheme="majorEastAsia" w:hAnsi="Calibri Light" w:cstheme="majorBidi"/>
          <w:color w:val="0F4761" w:themeColor="accent1" w:themeShade="BF"/>
          <w:sz w:val="24"/>
          <w:szCs w:val="28"/>
        </w:rPr>
      </w:pPr>
      <w:bookmarkStart w:id="1" w:name="ref504200016"/>
      <w:r w:rsidRPr="001C7C84">
        <w:rPr>
          <w:rFonts w:ascii="Calibri Light" w:eastAsiaTheme="majorEastAsia" w:hAnsi="Calibri Light" w:cstheme="majorBidi"/>
          <w:color w:val="0F4761" w:themeColor="accent1" w:themeShade="BF"/>
          <w:sz w:val="24"/>
          <w:szCs w:val="28"/>
        </w:rPr>
        <w:t>29-Dec-2024</w:t>
      </w:r>
      <w:bookmarkEnd w:id="1"/>
    </w:p>
    <w:p w14:paraId="36B0B92B" w14:textId="1397DEEF" w:rsidR="00667923" w:rsidRDefault="00667923" w:rsidP="00667923">
      <w:r>
        <w:t xml:space="preserve">Recommendation: </w:t>
      </w:r>
      <w:r w:rsidR="00821FD8">
        <w:t>Minor Revision</w:t>
      </w:r>
    </w:p>
    <w:p w14:paraId="002133B1" w14:textId="4740F2EC" w:rsidR="00667923" w:rsidRDefault="009E511F">
      <w:r w:rsidRPr="009E511F">
        <w:lastRenderedPageBreak/>
        <w:t xml:space="preserve">I am generally satisfied with the changes made by the others. Yet, I think some aspects should be improved. </w:t>
      </w:r>
      <w:r w:rsidRPr="009E511F">
        <w:br/>
        <w:t>Main comments</w:t>
      </w:r>
      <w:r w:rsidRPr="009E511F">
        <w:br/>
        <w:t>1) Interpretation of drop-out effects at the cutoff. I think that the answers to my comments in the letter are better than how the material is presented in the paper. In particular, my point about the larger dropout rates being observed just above the cutoff (see the last graph of Figure 1, from about a 25% to a 0% drop-out probability in the first two bins above the cutoff) can be indicative of these students desperately needing student aid and dropping out from Turin Polytechnic to transfer or start a career in new degree programs in other regions or universities offering them student aid, or by those students choosing less demanding programs, which allow them to work while studying. I think this explanation is much more intuitive than the behavioral explanation the authors put forward at p. 47 “A possible and intriguing explanation suggests a motivational loss that would lead to poorer performances and to the decision to leave university. The idea is that students who are aware of having lost the grant by a hair are at risk of developing a feeling of unfairness and frustration that could have a negative influence on the university persistence (i.e., avoiding drop-out).”</w:t>
      </w:r>
      <w:r w:rsidRPr="009E511F">
        <w:br/>
      </w:r>
      <w:r w:rsidRPr="009E511F">
        <w:br/>
        <w:t xml:space="preserve">2) Not robust effects on CFU and GPA. In several sections of the paper the authors claim that the non-significant effects on CFUs and GPA are mainly due to small sample sizes. However, in the paper they also observe that the estimates on these outcomes are quite sensitive to the choice of the ISEE bandwidths. Focusing on Table 3, by increasing the bandwidth (BW) size, the estimates even change sign but retain the same magnitudes (e.g., on CFU, + 9.3 in the below 2,000 euro ISEE sample and -8.1 in the less than 5,000 euro ISEE sample). I won’t see these estimates as robust, so I would not attach too much value to the CFU and GPA estimates, and I won’t necessarily mention small sample sizes. Another fact that I observed is that as far as the effect signs are concerned, the parametric estimates are more sensitive than the non-parametric ones to the BW choice. [See p. 45 “The main differences are that the reduction of the drop-out is statistically significant for all the observation windows, while for the other outcomes, the results are always statistically non-significant, even if the signs for the last two observation windows turn negative”.] So I was wondering what order of the polynomial was chosen in both cases and if it was the same (it is generally a good rule to use local linear regression – i.e. a linear trend in the running variable - when the bandwidth is small and use higher order polynomials when the bandwidth is larger. In short, if I were the authors, I would be more upfront and just say that the evidence on CFU and GPA is inconclusive (mainly because estimates are not robust) and not that they indicate better performance but are not statistically significant because of the small sample sizes. </w:t>
      </w:r>
      <w:r w:rsidRPr="009E511F">
        <w:br/>
      </w:r>
      <w:r w:rsidRPr="009E511F">
        <w:br/>
        <w:t>3) Language check. I suggest the authors send the paper for professional proofreading. Sometimes, the sentences do not mean what the authors have in mind. E.g., p. 9 “As said above, the first-year program expects students to cumulatively achieve roughly 60 credits and 120 in their second year.” I think they mean: “As said, in the first year of a degree program students are expected to cumulatively….”</w:t>
      </w:r>
      <w:r w:rsidRPr="009E511F">
        <w:br/>
      </w:r>
      <w:r w:rsidRPr="009E511F">
        <w:br/>
        <w:t>Detailed comments</w:t>
      </w:r>
      <w:r w:rsidRPr="009E511F">
        <w:br/>
        <w:t>4) P. 35 “However, there has been limited research conducted in Italy regarding the effects of need-based scholarships.” This sentence is redundant, the authors just said in the previous sentence: “Research on the effects of need-based scholarships in Italy has been scarce,..”</w:t>
      </w:r>
      <w:r w:rsidRPr="009E511F">
        <w:br/>
        <w:t>5) P. 35, the first time the authors cite the Polytechnic of Turin, they might mention that it mainly offers STEM degrees.</w:t>
      </w:r>
      <w:r w:rsidRPr="009E511F">
        <w:br/>
      </w:r>
      <w:r w:rsidRPr="009E511F">
        <w:lastRenderedPageBreak/>
        <w:t>6) P. 35 “We use the large fraction of eligible students who did not receive grants to identify a credible comparison group for those who did, creating treatment and control groups of students all below the income threshold.” The authors should explain what income threshold they refer to, I suggest using “the income threshold for student aid eligibility.”</w:t>
      </w:r>
      <w:r w:rsidRPr="009E511F">
        <w:br/>
        <w:t xml:space="preserve">7) The authors could also mention that (according to my computations) the income cutoff for receiving student aid after the resource reduction was about 5% of that before the “reform” (a bit more than 900 euros against about 20k euros before). This is a huge cut! </w:t>
      </w:r>
      <w:r w:rsidRPr="009E511F">
        <w:br/>
        <w:t xml:space="preserve">8) About their contribution, the authors could mention that their paper also contributes to the literature on socio-economic differences in student performance and college major choice, as, in their case study, they show that not receiving student aid pushes low-income students (just above the cutoff) out of STEM degrees. This is related, for instance, to recent work by Bleemer and Mehta (2024), who focus on entry requirements and not student aid availability. This is very relevant both for the need to attract more students in STEM degrees, and to ensure access of low-income students to high returns college majors, such as STEM’s. The effect the authors find relates well to what is reported by Minaya et al. (2022) for increasing merit-based requirements in student aid in another Polytechnic university (i.e., Milan). Incidentally, low-income students seem also to be the weakest, e.g., in Table 2 the % coming from the academic school track is about 6% (against 42% for the eligible non-beneficiaries). </w:t>
      </w:r>
      <w:r w:rsidRPr="009E511F">
        <w:br/>
        <w:t xml:space="preserve">9) P. 38 “In Piedmont, students in the subsequent year can obtain the so-called “Super-Merit”. Students receive the grant if they were recipients in the previous year if they achieve a weighted average mark of at least 25/30 and 10 credits more than the usual requirements” I did not understand the role of this super-merit, does it mean that students meeting these criteria are exempted from the ISEE criterion? </w:t>
      </w:r>
      <w:r w:rsidRPr="009E511F">
        <w:br/>
        <w:t>10) “Abandonment.” I suggest using drop-out instead of “abandonment.”</w:t>
      </w:r>
      <w:r w:rsidRPr="009E511F">
        <w:br/>
        <w:t>11) Table R3 in the answer to my report, I am not sure why the z-scores are negative in some cases where the estimated coefficients are instead positive.</w:t>
      </w:r>
      <w:r w:rsidRPr="009E511F">
        <w:br/>
        <w:t>12) There might be an issue of student selection, i.e. knowing the budget cuts some students may change their enrolment choices. This would determine a change in the characteristics of the student intake (see the discussion in Minaya et al. 2022). These would imply comparing the characteristics of students below the (old) income cutoff in the first affected and the previous student cohorts to look at changes in variables such as high school GPA or academic track. The authors could mention that the drop in enrolment is not huge in Table 1 (from 60.1 to 57.4), so this should be a minor concern in their analysis (while the drop is larger in the following cohort). Moreover, when applying for the first time, students probably don’t know the actual cutoff that will prevail (which will be determined ex-post based on the number of applicants and their incomes). After the first implementation, and if the actual cutoff (975.61 euros) is made public, students might have good information if it is worth applying for student aid or not.</w:t>
      </w:r>
      <w:r w:rsidRPr="009E511F">
        <w:br/>
      </w:r>
      <w:r w:rsidRPr="009E511F">
        <w:br/>
        <w:t>References</w:t>
      </w:r>
      <w:r w:rsidRPr="009E511F">
        <w:br/>
        <w:t>Bleemer, Zachary, and Aashish Mehta. College major restrictions and student stratification. No. w33269. National Bureau of Economic Research, 2024.</w:t>
      </w:r>
    </w:p>
    <w:p w14:paraId="73988F79" w14:textId="77777777" w:rsidR="00667923" w:rsidRDefault="00667923"/>
    <w:p w14:paraId="6B1A309B" w14:textId="428CCEFE" w:rsidR="006709E6" w:rsidRDefault="006709E6" w:rsidP="006709E6">
      <w:pPr>
        <w:pStyle w:val="Heading3"/>
      </w:pPr>
      <w:r>
        <w:t xml:space="preserve">3rd Review </w:t>
      </w:r>
    </w:p>
    <w:p w14:paraId="3BAB2368" w14:textId="77777777" w:rsidR="00414224" w:rsidRDefault="00414224" w:rsidP="006709E6">
      <w:pPr>
        <w:rPr>
          <w:rFonts w:ascii="Calibri Light" w:eastAsiaTheme="majorEastAsia" w:hAnsi="Calibri Light" w:cstheme="majorBidi"/>
          <w:color w:val="0F4761" w:themeColor="accent1" w:themeShade="BF"/>
          <w:sz w:val="24"/>
          <w:szCs w:val="28"/>
        </w:rPr>
      </w:pPr>
      <w:bookmarkStart w:id="2" w:name="ref515854450"/>
      <w:r w:rsidRPr="00414224">
        <w:rPr>
          <w:rFonts w:ascii="Calibri Light" w:eastAsiaTheme="majorEastAsia" w:hAnsi="Calibri Light" w:cstheme="majorBidi"/>
          <w:color w:val="0F4761" w:themeColor="accent1" w:themeShade="BF"/>
          <w:sz w:val="24"/>
          <w:szCs w:val="28"/>
        </w:rPr>
        <w:t>23-Mar-2025</w:t>
      </w:r>
      <w:bookmarkEnd w:id="2"/>
    </w:p>
    <w:p w14:paraId="116A1D6E" w14:textId="1C2467B4" w:rsidR="006709E6" w:rsidRDefault="006709E6" w:rsidP="006709E6">
      <w:r>
        <w:t>Recommendation: Accept</w:t>
      </w:r>
    </w:p>
    <w:p w14:paraId="2958C4BD" w14:textId="7F9FD8DF" w:rsidR="00667923" w:rsidRDefault="00414224">
      <w:r w:rsidRPr="00414224">
        <w:lastRenderedPageBreak/>
        <w:t>I am happy with the changes made by the authors. </w:t>
      </w:r>
    </w:p>
    <w:p w14:paraId="4DBE65CE" w14:textId="77777777" w:rsidR="00667923" w:rsidRDefault="00667923"/>
    <w:p w14:paraId="66894BE3" w14:textId="77777777" w:rsidR="00AD7F65" w:rsidRPr="000F1EFC" w:rsidRDefault="00AD7F65" w:rsidP="00AD7F65">
      <w:pPr>
        <w:rPr>
          <w:i/>
          <w:iCs/>
        </w:rPr>
      </w:pPr>
      <w:r w:rsidRPr="000F1EFC">
        <w:rPr>
          <w:i/>
          <w:iCs/>
        </w:rPr>
        <w:t xml:space="preserve">Taylor &amp; Francis Group are sharing these reviews as part of a transparent peer review pilot, in accordance with the Journal’s </w:t>
      </w:r>
      <w:hyperlink r:id="rId7" w:anchor="Transparent%20Peer%20Review" w:history="1">
        <w:r w:rsidRPr="000F1EFC">
          <w:rPr>
            <w:rStyle w:val="Hyperlink"/>
          </w:rPr>
          <w:t>Transparent Peer Review Policy</w:t>
        </w:r>
      </w:hyperlink>
      <w:r w:rsidRPr="000F1EFC">
        <w:rPr>
          <w:i/>
          <w:iCs/>
        </w:rPr>
        <w:t>. Handling editors, reviewers and authors have agreed for these reviews to be published in this way. Reviews are reproduced verbatim from the peer review system. Views expressed herein are the reviewers own and do not represent the views of the editors or Taylor &amp; Francis Group as publisher.</w:t>
      </w:r>
    </w:p>
    <w:p w14:paraId="3BEBF7AC" w14:textId="77777777" w:rsidR="00AD7F65" w:rsidRDefault="00AD7F65"/>
    <w:sectPr w:rsidR="00AD7F65">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6FE6C5" w14:textId="77777777" w:rsidR="00AD7F65" w:rsidRDefault="00AD7F65" w:rsidP="00AD7F65">
      <w:pPr>
        <w:spacing w:after="0" w:line="240" w:lineRule="auto"/>
      </w:pPr>
      <w:r>
        <w:separator/>
      </w:r>
    </w:p>
  </w:endnote>
  <w:endnote w:type="continuationSeparator" w:id="0">
    <w:p w14:paraId="4A390751" w14:textId="77777777" w:rsidR="00AD7F65" w:rsidRDefault="00AD7F65" w:rsidP="00AD7F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7C834B" w14:textId="745B2F46" w:rsidR="00AD7F65" w:rsidRDefault="00AD7F65" w:rsidP="00AD7F65">
    <w:r>
      <w:t>© The Reviewer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48AC69" w14:textId="77777777" w:rsidR="00AD7F65" w:rsidRDefault="00AD7F65" w:rsidP="00AD7F65">
      <w:pPr>
        <w:spacing w:after="0" w:line="240" w:lineRule="auto"/>
      </w:pPr>
      <w:r>
        <w:separator/>
      </w:r>
    </w:p>
  </w:footnote>
  <w:footnote w:type="continuationSeparator" w:id="0">
    <w:p w14:paraId="6B36C8F7" w14:textId="77777777" w:rsidR="00AD7F65" w:rsidRDefault="00AD7F65" w:rsidP="00AD7F6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7F65"/>
    <w:rsid w:val="00131897"/>
    <w:rsid w:val="001C7C84"/>
    <w:rsid w:val="00235E91"/>
    <w:rsid w:val="00414224"/>
    <w:rsid w:val="00667923"/>
    <w:rsid w:val="006709E6"/>
    <w:rsid w:val="006E1636"/>
    <w:rsid w:val="00821FD8"/>
    <w:rsid w:val="00937D3D"/>
    <w:rsid w:val="009E511F"/>
    <w:rsid w:val="00A4363D"/>
    <w:rsid w:val="00AD7F65"/>
    <w:rsid w:val="00B821FA"/>
    <w:rsid w:val="00C07372"/>
    <w:rsid w:val="00CB583B"/>
    <w:rsid w:val="00D8650D"/>
    <w:rsid w:val="00E63E9D"/>
    <w:rsid w:val="00EB77E9"/>
    <w:rsid w:val="00F064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8B09A5"/>
  <w15:chartTrackingRefBased/>
  <w15:docId w15:val="{1138303E-E7D9-4E04-9F14-B263F9A2F5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7F65"/>
    <w:pPr>
      <w:spacing w:line="259" w:lineRule="auto"/>
    </w:pPr>
    <w:rPr>
      <w:rFonts w:ascii="Calibri" w:hAnsi="Calibri"/>
      <w:kern w:val="0"/>
      <w:sz w:val="22"/>
      <w:szCs w:val="22"/>
      <w14:ligatures w14:val="none"/>
    </w:rPr>
  </w:style>
  <w:style w:type="paragraph" w:styleId="Heading1">
    <w:name w:val="heading 1"/>
    <w:basedOn w:val="Normal"/>
    <w:next w:val="Normal"/>
    <w:link w:val="Heading1Char"/>
    <w:uiPriority w:val="9"/>
    <w:qFormat/>
    <w:rsid w:val="00AD7F6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AD7F65"/>
    <w:pPr>
      <w:keepNext/>
      <w:keepLines/>
      <w:spacing w:before="160" w:after="80"/>
      <w:outlineLvl w:val="1"/>
    </w:pPr>
    <w:rPr>
      <w:rFonts w:ascii="Calibri Light" w:eastAsiaTheme="majorEastAsia" w:hAnsi="Calibri Light" w:cstheme="majorBidi"/>
      <w:color w:val="0F4761" w:themeColor="accent1" w:themeShade="BF"/>
      <w:kern w:val="2"/>
      <w:sz w:val="26"/>
      <w:szCs w:val="32"/>
      <w14:ligatures w14:val="standardContextual"/>
    </w:rPr>
  </w:style>
  <w:style w:type="paragraph" w:styleId="Heading3">
    <w:name w:val="heading 3"/>
    <w:basedOn w:val="Normal"/>
    <w:next w:val="Normal"/>
    <w:link w:val="Heading3Char"/>
    <w:uiPriority w:val="9"/>
    <w:unhideWhenUsed/>
    <w:qFormat/>
    <w:rsid w:val="00AD7F65"/>
    <w:pPr>
      <w:keepNext/>
      <w:keepLines/>
      <w:spacing w:after="0"/>
      <w:outlineLvl w:val="2"/>
    </w:pPr>
    <w:rPr>
      <w:rFonts w:ascii="Calibri Light" w:eastAsiaTheme="majorEastAsia" w:hAnsi="Calibri Light" w:cstheme="majorBidi"/>
      <w:color w:val="0F4761" w:themeColor="accent1" w:themeShade="BF"/>
      <w:sz w:val="24"/>
      <w:szCs w:val="28"/>
    </w:rPr>
  </w:style>
  <w:style w:type="paragraph" w:styleId="Heading4">
    <w:name w:val="heading 4"/>
    <w:basedOn w:val="Normal"/>
    <w:next w:val="Normal"/>
    <w:link w:val="Heading4Char"/>
    <w:uiPriority w:val="9"/>
    <w:semiHidden/>
    <w:unhideWhenUsed/>
    <w:qFormat/>
    <w:rsid w:val="00AD7F6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D7F6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D7F6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D7F6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D7F6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D7F6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D7F6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AD7F65"/>
    <w:rPr>
      <w:rFonts w:ascii="Calibri Light" w:eastAsiaTheme="majorEastAsia" w:hAnsi="Calibri Light" w:cstheme="majorBidi"/>
      <w:color w:val="0F4761" w:themeColor="accent1" w:themeShade="BF"/>
      <w:sz w:val="26"/>
      <w:szCs w:val="32"/>
    </w:rPr>
  </w:style>
  <w:style w:type="character" w:customStyle="1" w:styleId="Heading3Char">
    <w:name w:val="Heading 3 Char"/>
    <w:basedOn w:val="DefaultParagraphFont"/>
    <w:link w:val="Heading3"/>
    <w:uiPriority w:val="9"/>
    <w:rsid w:val="00AD7F65"/>
    <w:rPr>
      <w:rFonts w:ascii="Calibri Light" w:eastAsiaTheme="majorEastAsia" w:hAnsi="Calibri Light" w:cstheme="majorBidi"/>
      <w:color w:val="0F4761" w:themeColor="accent1" w:themeShade="BF"/>
      <w:kern w:val="0"/>
      <w:szCs w:val="28"/>
      <w14:ligatures w14:val="none"/>
    </w:rPr>
  </w:style>
  <w:style w:type="character" w:customStyle="1" w:styleId="Heading4Char">
    <w:name w:val="Heading 4 Char"/>
    <w:basedOn w:val="DefaultParagraphFont"/>
    <w:link w:val="Heading4"/>
    <w:uiPriority w:val="9"/>
    <w:semiHidden/>
    <w:rsid w:val="00AD7F6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D7F6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D7F6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D7F6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D7F6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D7F65"/>
    <w:rPr>
      <w:rFonts w:eastAsiaTheme="majorEastAsia" w:cstheme="majorBidi"/>
      <w:color w:val="272727" w:themeColor="text1" w:themeTint="D8"/>
    </w:rPr>
  </w:style>
  <w:style w:type="paragraph" w:styleId="Title">
    <w:name w:val="Title"/>
    <w:basedOn w:val="Normal"/>
    <w:next w:val="Normal"/>
    <w:link w:val="TitleChar"/>
    <w:uiPriority w:val="10"/>
    <w:qFormat/>
    <w:rsid w:val="00AD7F6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D7F6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D7F6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D7F6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D7F65"/>
    <w:pPr>
      <w:spacing w:before="160"/>
      <w:jc w:val="center"/>
    </w:pPr>
    <w:rPr>
      <w:i/>
      <w:iCs/>
      <w:color w:val="404040" w:themeColor="text1" w:themeTint="BF"/>
    </w:rPr>
  </w:style>
  <w:style w:type="character" w:customStyle="1" w:styleId="QuoteChar">
    <w:name w:val="Quote Char"/>
    <w:basedOn w:val="DefaultParagraphFont"/>
    <w:link w:val="Quote"/>
    <w:uiPriority w:val="29"/>
    <w:rsid w:val="00AD7F65"/>
    <w:rPr>
      <w:i/>
      <w:iCs/>
      <w:color w:val="404040" w:themeColor="text1" w:themeTint="BF"/>
    </w:rPr>
  </w:style>
  <w:style w:type="paragraph" w:styleId="ListParagraph">
    <w:name w:val="List Paragraph"/>
    <w:basedOn w:val="Normal"/>
    <w:uiPriority w:val="34"/>
    <w:qFormat/>
    <w:rsid w:val="00AD7F65"/>
    <w:pPr>
      <w:ind w:left="720"/>
      <w:contextualSpacing/>
    </w:pPr>
  </w:style>
  <w:style w:type="character" w:styleId="IntenseEmphasis">
    <w:name w:val="Intense Emphasis"/>
    <w:basedOn w:val="DefaultParagraphFont"/>
    <w:uiPriority w:val="21"/>
    <w:qFormat/>
    <w:rsid w:val="00AD7F65"/>
    <w:rPr>
      <w:i/>
      <w:iCs/>
      <w:color w:val="0F4761" w:themeColor="accent1" w:themeShade="BF"/>
    </w:rPr>
  </w:style>
  <w:style w:type="paragraph" w:styleId="IntenseQuote">
    <w:name w:val="Intense Quote"/>
    <w:basedOn w:val="Normal"/>
    <w:next w:val="Normal"/>
    <w:link w:val="IntenseQuoteChar"/>
    <w:uiPriority w:val="30"/>
    <w:qFormat/>
    <w:rsid w:val="00AD7F6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D7F65"/>
    <w:rPr>
      <w:i/>
      <w:iCs/>
      <w:color w:val="0F4761" w:themeColor="accent1" w:themeShade="BF"/>
    </w:rPr>
  </w:style>
  <w:style w:type="character" w:styleId="IntenseReference">
    <w:name w:val="Intense Reference"/>
    <w:basedOn w:val="DefaultParagraphFont"/>
    <w:uiPriority w:val="32"/>
    <w:qFormat/>
    <w:rsid w:val="00AD7F65"/>
    <w:rPr>
      <w:b/>
      <w:bCs/>
      <w:smallCaps/>
      <w:color w:val="0F4761" w:themeColor="accent1" w:themeShade="BF"/>
      <w:spacing w:val="5"/>
    </w:rPr>
  </w:style>
  <w:style w:type="character" w:styleId="Hyperlink">
    <w:name w:val="Hyperlink"/>
    <w:basedOn w:val="DefaultParagraphFont"/>
    <w:uiPriority w:val="99"/>
    <w:unhideWhenUsed/>
    <w:rsid w:val="00AD7F65"/>
    <w:rPr>
      <w:color w:val="467886" w:themeColor="hyperlink"/>
      <w:u w:val="single"/>
    </w:rPr>
  </w:style>
  <w:style w:type="paragraph" w:styleId="Header">
    <w:name w:val="header"/>
    <w:basedOn w:val="Normal"/>
    <w:link w:val="HeaderChar"/>
    <w:uiPriority w:val="99"/>
    <w:unhideWhenUsed/>
    <w:rsid w:val="00AD7F6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D7F65"/>
    <w:rPr>
      <w:rFonts w:ascii="Calibri" w:hAnsi="Calibri"/>
      <w:kern w:val="0"/>
      <w:sz w:val="22"/>
      <w:szCs w:val="22"/>
      <w14:ligatures w14:val="none"/>
    </w:rPr>
  </w:style>
  <w:style w:type="paragraph" w:styleId="Footer">
    <w:name w:val="footer"/>
    <w:basedOn w:val="Normal"/>
    <w:link w:val="FooterChar"/>
    <w:uiPriority w:val="99"/>
    <w:unhideWhenUsed/>
    <w:rsid w:val="00AD7F6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D7F65"/>
    <w:rPr>
      <w:rFonts w:ascii="Calibri" w:hAnsi="Calibri"/>
      <w:kern w:val="0"/>
      <w:sz w:val="22"/>
      <w:szCs w:val="22"/>
      <w14:ligatures w14:val="none"/>
    </w:rPr>
  </w:style>
  <w:style w:type="table" w:styleId="TableGrid">
    <w:name w:val="Table Grid"/>
    <w:basedOn w:val="TableNormal"/>
    <w:uiPriority w:val="39"/>
    <w:rsid w:val="00AD7F65"/>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1318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7865381">
      <w:bodyDiv w:val="1"/>
      <w:marLeft w:val="0"/>
      <w:marRight w:val="0"/>
      <w:marTop w:val="0"/>
      <w:marBottom w:val="0"/>
      <w:divBdr>
        <w:top w:val="none" w:sz="0" w:space="0" w:color="auto"/>
        <w:left w:val="none" w:sz="0" w:space="0" w:color="auto"/>
        <w:bottom w:val="none" w:sz="0" w:space="0" w:color="auto"/>
        <w:right w:val="none" w:sz="0" w:space="0" w:color="auto"/>
      </w:divBdr>
    </w:div>
    <w:div w:id="829907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s://www.tandfonline.com/action/authorSubmission?show=instructions&amp;journalCode=rehe2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14</TotalTime>
  <Pages>5</Pages>
  <Words>2028</Words>
  <Characters>11566</Characters>
  <Application>Microsoft Office Word</Application>
  <DocSecurity>0</DocSecurity>
  <Lines>96</Lines>
  <Paragraphs>27</Paragraphs>
  <ScaleCrop>false</ScaleCrop>
  <Company/>
  <LinksUpToDate>false</LinksUpToDate>
  <CharactersWithSpaces>13567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Seeber</dc:creator>
  <cp:keywords/>
  <dc:description/>
  <cp:lastModifiedBy>Marco Seeber</cp:lastModifiedBy>
  <cp:revision>15</cp:revision>
  <dcterms:created xsi:type="dcterms:W3CDTF">2024-05-07T05:18:00Z</dcterms:created>
  <dcterms:modified xsi:type="dcterms:W3CDTF">2025-04-11T14:00:00Z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95cf23d-70b0-4a80-9221-1d774ac27fb2_Enabled">
    <vt:lpwstr>true</vt:lpwstr>
  </property>
  <property fmtid="{D5CDD505-2E9C-101B-9397-08002B2CF9AE}" pid="3" name="MSIP_Label_695cf23d-70b0-4a80-9221-1d774ac27fb2_SetDate">
    <vt:lpwstr>2025-04-11T13:50:01Z</vt:lpwstr>
  </property>
  <property fmtid="{D5CDD505-2E9C-101B-9397-08002B2CF9AE}" pid="4" name="MSIP_Label_695cf23d-70b0-4a80-9221-1d774ac27fb2_Method">
    <vt:lpwstr>Standard</vt:lpwstr>
  </property>
  <property fmtid="{D5CDD505-2E9C-101B-9397-08002B2CF9AE}" pid="5" name="MSIP_Label_695cf23d-70b0-4a80-9221-1d774ac27fb2_Name">
    <vt:lpwstr>Document internal</vt:lpwstr>
  </property>
  <property fmtid="{D5CDD505-2E9C-101B-9397-08002B2CF9AE}" pid="6" name="MSIP_Label_695cf23d-70b0-4a80-9221-1d774ac27fb2_SiteId">
    <vt:lpwstr>8482881e-3699-4b3f-b135-cf4800bc1efb</vt:lpwstr>
  </property>
  <property fmtid="{D5CDD505-2E9C-101B-9397-08002B2CF9AE}" pid="7" name="MSIP_Label_695cf23d-70b0-4a80-9221-1d774ac27fb2_ActionId">
    <vt:lpwstr>3cedf288-6f54-47c9-9e7e-c7cab3837d82</vt:lpwstr>
  </property>
  <property fmtid="{D5CDD505-2E9C-101B-9397-08002B2CF9AE}" pid="8" name="MSIP_Label_695cf23d-70b0-4a80-9221-1d774ac27fb2_ContentBits">
    <vt:lpwstr>0</vt:lpwstr>
  </property>
  <property fmtid="{D5CDD505-2E9C-101B-9397-08002B2CF9AE}" pid="9" name="MSIP_Label_695cf23d-70b0-4a80-9221-1d774ac27fb2_Tag">
    <vt:lpwstr>10, 3, 0, 1</vt:lpwstr>
  </property>
</Properties>
</file>