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019FD" w14:textId="1C67F38D" w:rsidR="00E646D0" w:rsidRDefault="00B97BF0" w:rsidP="00B97BF0">
      <w:pPr>
        <w:pStyle w:val="Title"/>
        <w:rPr>
          <w:lang w:val="en-US"/>
        </w:rPr>
      </w:pPr>
      <w:r>
        <w:rPr>
          <w:lang w:val="en-US"/>
        </w:rPr>
        <w:t>Supporting Information</w:t>
      </w:r>
    </w:p>
    <w:p w14:paraId="567858FC" w14:textId="77777777" w:rsidR="00B97BF0" w:rsidRDefault="00B97BF0">
      <w:pPr>
        <w:rPr>
          <w:lang w:val="en-US"/>
        </w:rPr>
      </w:pPr>
    </w:p>
    <w:p w14:paraId="6575864F" w14:textId="0B322425" w:rsidR="00B97BF0" w:rsidRDefault="00B97BF0" w:rsidP="00B97BF0">
      <w:pPr>
        <w:pStyle w:val="Heading1"/>
        <w:rPr>
          <w:lang w:val="en-US"/>
        </w:rPr>
      </w:pPr>
      <w:r>
        <w:rPr>
          <w:lang w:val="en-US"/>
        </w:rPr>
        <w:t>Population</w:t>
      </w:r>
    </w:p>
    <w:p w14:paraId="23A0EDDB" w14:textId="1BABD1C4" w:rsidR="001B13A4" w:rsidRDefault="001B13A4" w:rsidP="001B13A4">
      <w:pPr>
        <w:jc w:val="both"/>
      </w:pPr>
      <w:r w:rsidRPr="005D6AE5">
        <w:t xml:space="preserve">The final dataset contained </w:t>
      </w:r>
      <w:r>
        <w:t>513 chromogenic</w:t>
      </w:r>
      <w:r w:rsidRPr="005D6AE5">
        <w:t xml:space="preserve"> assay </w:t>
      </w:r>
      <w:r>
        <w:t xml:space="preserve">measurements </w:t>
      </w:r>
      <w:r w:rsidRPr="005D6AE5">
        <w:t xml:space="preserve">from </w:t>
      </w:r>
      <w:r>
        <w:t>16 participants</w:t>
      </w:r>
      <w:r w:rsidRPr="005D6AE5">
        <w:t xml:space="preserve"> </w:t>
      </w:r>
      <w:r>
        <w:t xml:space="preserve">(average of 32.1 measurements per participant) ranging from 4 to 42 years of age </w:t>
      </w:r>
      <w:r w:rsidRPr="005D6AE5">
        <w:t xml:space="preserve">(including </w:t>
      </w:r>
      <w:r>
        <w:t>2</w:t>
      </w:r>
      <w:r w:rsidRPr="005D6AE5">
        <w:t xml:space="preserve"> </w:t>
      </w:r>
      <w:r>
        <w:t xml:space="preserve">only </w:t>
      </w:r>
      <w:r w:rsidRPr="005D6AE5">
        <w:t>observations</w:t>
      </w:r>
      <w:r>
        <w:t xml:space="preserve"> below the limit of quantification</w:t>
      </w:r>
      <w:r w:rsidRPr="005D6AE5">
        <w:t>)</w:t>
      </w:r>
      <w:r>
        <w:t xml:space="preserve"> and a total of 2889 doses (average of 180.6 doses per participant). Figure S1 shows the PK measurements and provides the 5</w:t>
      </w:r>
      <w:r w:rsidRPr="000A0509">
        <w:rPr>
          <w:vertAlign w:val="superscript"/>
        </w:rPr>
        <w:t>th</w:t>
      </w:r>
      <w:r>
        <w:t>, 50</w:t>
      </w:r>
      <w:r w:rsidRPr="000A0509">
        <w:rPr>
          <w:vertAlign w:val="superscript"/>
        </w:rPr>
        <w:t>th</w:t>
      </w:r>
      <w:r>
        <w:t xml:space="preserve"> and 95</w:t>
      </w:r>
      <w:r w:rsidRPr="000A0509">
        <w:rPr>
          <w:vertAlign w:val="superscript"/>
        </w:rPr>
        <w:t>th</w:t>
      </w:r>
      <w:r>
        <w:t xml:space="preserve"> percentiles of the plasminogen activity as a function of time after dose. The characteristics of the population are described in </w:t>
      </w:r>
      <w:r w:rsidR="006E6D3D" w:rsidRPr="006E6D3D">
        <w:t>Table 1</w:t>
      </w:r>
      <w:r w:rsidRPr="006E6D3D">
        <w:t>. Estimation of</w:t>
      </w:r>
      <w:r>
        <w:t xml:space="preserve"> the missing height led to a median [range] of 161 [104 – 178] cm in the population (handling of the missing values is detailed below). Which was translated in terms of BMI and </w:t>
      </w:r>
      <w:r w:rsidR="006E6D3D">
        <w:t>fat-free mass (</w:t>
      </w:r>
      <w:r>
        <w:t>FFM</w:t>
      </w:r>
      <w:r w:rsidR="006E6D3D">
        <w:t>)</w:t>
      </w:r>
      <w:r>
        <w:t xml:space="preserve"> as 26.0 [15.7 – 36.1] kg/m2 and 41.2 [11.0 – 71.2] kg, respectively.</w:t>
      </w:r>
    </w:p>
    <w:p w14:paraId="462DBA5E" w14:textId="77777777" w:rsidR="001B13A4" w:rsidRDefault="001B13A4" w:rsidP="001B13A4">
      <w:pPr>
        <w:jc w:val="both"/>
        <w:rPr>
          <w:lang w:val="en-US"/>
        </w:rPr>
      </w:pPr>
    </w:p>
    <w:p w14:paraId="42A2C659" w14:textId="77777777" w:rsidR="001B13A4" w:rsidRDefault="001B13A4" w:rsidP="001B13A4">
      <w:pPr>
        <w:pStyle w:val="BodyText"/>
        <w:rPr>
          <w:lang w:val="en-US"/>
        </w:rPr>
      </w:pPr>
      <w:r>
        <w:rPr>
          <w:noProof/>
          <w:lang w:eastAsia="en-CA"/>
        </w:rPr>
        <w:drawing>
          <wp:inline distT="0" distB="0" distL="0" distR="0" wp14:anchorId="79A01BEC" wp14:editId="0E5C138A">
            <wp:extent cx="5943600" cy="3319780"/>
            <wp:effectExtent l="0" t="0" r="0" b="0"/>
            <wp:docPr id="1179026291" name="Picture 1179026291" descr="A graph of different types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26291" name="Picture 1179026291" descr="A graph of different types of people&#10;&#10;Description automatically generated with medium confidence"/>
                    <pic:cNvPicPr/>
                  </pic:nvPicPr>
                  <pic:blipFill>
                    <a:blip r:embed="rId7"/>
                    <a:stretch>
                      <a:fillRect/>
                    </a:stretch>
                  </pic:blipFill>
                  <pic:spPr>
                    <a:xfrm>
                      <a:off x="0" y="0"/>
                      <a:ext cx="5943600" cy="3319780"/>
                    </a:xfrm>
                    <a:prstGeom prst="rect">
                      <a:avLst/>
                    </a:prstGeom>
                  </pic:spPr>
                </pic:pic>
              </a:graphicData>
            </a:graphic>
          </wp:inline>
        </w:drawing>
      </w:r>
    </w:p>
    <w:p w14:paraId="6BEA73CF" w14:textId="06EAC957" w:rsidR="001B13A4" w:rsidRPr="00B547EB" w:rsidRDefault="001B13A4" w:rsidP="001B13A4">
      <w:pPr>
        <w:pStyle w:val="Caption"/>
        <w:rPr>
          <w:sz w:val="22"/>
          <w:szCs w:val="22"/>
        </w:rPr>
      </w:pPr>
      <w:bookmarkStart w:id="0" w:name="_Ref149274530"/>
      <w:bookmarkStart w:id="1" w:name="_Hlk149274320"/>
      <w:r w:rsidRPr="00B547EB">
        <w:rPr>
          <w:sz w:val="22"/>
          <w:szCs w:val="22"/>
        </w:rPr>
        <w:t xml:space="preserve">Figure </w:t>
      </w:r>
      <w:r>
        <w:rPr>
          <w:sz w:val="22"/>
          <w:szCs w:val="22"/>
        </w:rPr>
        <w:t>S</w:t>
      </w:r>
      <w:r w:rsidRPr="00B547EB">
        <w:rPr>
          <w:sz w:val="22"/>
          <w:szCs w:val="22"/>
        </w:rPr>
        <w:fldChar w:fldCharType="begin"/>
      </w:r>
      <w:r w:rsidRPr="00B547EB">
        <w:rPr>
          <w:sz w:val="22"/>
          <w:szCs w:val="22"/>
        </w:rPr>
        <w:instrText xml:space="preserve"> SEQ Figure \* ARABIC </w:instrText>
      </w:r>
      <w:r w:rsidRPr="00B547EB">
        <w:rPr>
          <w:sz w:val="22"/>
          <w:szCs w:val="22"/>
        </w:rPr>
        <w:fldChar w:fldCharType="separate"/>
      </w:r>
      <w:r>
        <w:rPr>
          <w:noProof/>
          <w:sz w:val="22"/>
          <w:szCs w:val="22"/>
        </w:rPr>
        <w:t>1</w:t>
      </w:r>
      <w:r w:rsidRPr="00B547EB">
        <w:rPr>
          <w:sz w:val="22"/>
          <w:szCs w:val="22"/>
        </w:rPr>
        <w:fldChar w:fldCharType="end"/>
      </w:r>
      <w:bookmarkEnd w:id="0"/>
      <w:r w:rsidRPr="00B547EB">
        <w:rPr>
          <w:sz w:val="22"/>
          <w:szCs w:val="22"/>
        </w:rPr>
        <w:t>: a) Observed plasminogen data on linear scale, and b) on logarithmic scale; c) baseline adjusted plasminogen data on linear scale, and d) on logarithmic scale.</w:t>
      </w:r>
    </w:p>
    <w:bookmarkEnd w:id="1"/>
    <w:p w14:paraId="585AC8EC" w14:textId="77777777" w:rsidR="001B13A4" w:rsidRPr="001B13A4" w:rsidRDefault="001B13A4" w:rsidP="001B13A4">
      <w:pPr>
        <w:rPr>
          <w:lang w:val="en-US"/>
        </w:rPr>
      </w:pPr>
    </w:p>
    <w:p w14:paraId="14F0E11F" w14:textId="77777777" w:rsidR="001B13A4" w:rsidRDefault="001B13A4">
      <w:r>
        <w:br w:type="page"/>
      </w:r>
    </w:p>
    <w:p w14:paraId="54272E50" w14:textId="5634D626" w:rsidR="00B97BF0" w:rsidRDefault="00B936AD" w:rsidP="00B97BF0">
      <w:pPr>
        <w:jc w:val="both"/>
      </w:pPr>
      <w:r>
        <w:lastRenderedPageBreak/>
        <w:t>Imputation of</w:t>
      </w:r>
      <w:r w:rsidR="00B97BF0">
        <w:t xml:space="preserve"> missing Height </w:t>
      </w:r>
      <w:r>
        <w:t xml:space="preserve">values </w:t>
      </w:r>
      <w:r w:rsidR="00B97BF0">
        <w:t xml:space="preserve">was performed using a loess regression model of NHANES demographic data describing Height as a function of Age, Body </w:t>
      </w:r>
      <w:proofErr w:type="gramStart"/>
      <w:r w:rsidR="00B97BF0">
        <w:t>Weight</w:t>
      </w:r>
      <w:proofErr w:type="gramEnd"/>
      <w:r w:rsidR="00B97BF0">
        <w:t xml:space="preserve"> and Gender. The figure below shows on the top plots the recorded body weight of the participants compared to the median and 5-95</w:t>
      </w:r>
      <w:r w:rsidR="00B97BF0" w:rsidRPr="00B97BF0">
        <w:rPr>
          <w:vertAlign w:val="superscript"/>
        </w:rPr>
        <w:t>th</w:t>
      </w:r>
      <w:r w:rsidR="00B97BF0">
        <w:t xml:space="preserve"> percentile range of the NHANES population as a function of Age and Gender; and on the bottom plots the height predicted from the regression compared to the median and 5-95</w:t>
      </w:r>
      <w:r w:rsidR="00B97BF0" w:rsidRPr="00B97BF0">
        <w:rPr>
          <w:vertAlign w:val="superscript"/>
        </w:rPr>
        <w:t>th</w:t>
      </w:r>
      <w:r w:rsidR="00B97BF0">
        <w:t xml:space="preserve"> percentile range of the NHANES population as a function of Age and Gender.</w:t>
      </w:r>
    </w:p>
    <w:p w14:paraId="2A36C029" w14:textId="7DD3D3B8" w:rsidR="001B13A4" w:rsidRDefault="001B13A4" w:rsidP="00B97BF0">
      <w:pPr>
        <w:jc w:val="both"/>
      </w:pPr>
    </w:p>
    <w:p w14:paraId="1845C0AA" w14:textId="77777777" w:rsidR="001B13A4" w:rsidRPr="00B97BF0" w:rsidRDefault="001B13A4" w:rsidP="00B97BF0">
      <w:pPr>
        <w:jc w:val="both"/>
      </w:pPr>
    </w:p>
    <w:p w14:paraId="40B214A1" w14:textId="0ACE38C9" w:rsidR="00B97BF0" w:rsidRDefault="00B97BF0">
      <w:pPr>
        <w:rPr>
          <w:lang w:val="en-US"/>
        </w:rPr>
      </w:pPr>
      <w:r w:rsidRPr="00793450">
        <w:rPr>
          <w:noProof/>
          <w:lang w:eastAsia="en-CA"/>
        </w:rPr>
        <w:drawing>
          <wp:inline distT="0" distB="0" distL="0" distR="0" wp14:anchorId="246537C2" wp14:editId="5A18E4EB">
            <wp:extent cx="5760720" cy="4320540"/>
            <wp:effectExtent l="0" t="0" r="0" b="3810"/>
            <wp:docPr id="17" name="Picture 17" descr="C:\Users\pchelle\Desktop\Plasminogen\Data\ffm-regre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helle\Desktop\Plasminogen\Data\ffm-regressi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4D8F39FC" w14:textId="418B236B" w:rsidR="00B97BF0" w:rsidRPr="00AC388A" w:rsidRDefault="00B97BF0" w:rsidP="00B97BF0">
      <w:pPr>
        <w:pStyle w:val="Caption"/>
        <w:rPr>
          <w:sz w:val="22"/>
          <w:lang w:val="en-CA" w:bidi="ar-SA"/>
        </w:rPr>
      </w:pPr>
      <w:r w:rsidRPr="00AC388A">
        <w:rPr>
          <w:sz w:val="22"/>
        </w:rPr>
        <w:t xml:space="preserve">Figure </w:t>
      </w:r>
      <w:r>
        <w:rPr>
          <w:sz w:val="22"/>
        </w:rPr>
        <w:t>S</w:t>
      </w:r>
      <w:r w:rsidRPr="00AC388A">
        <w:rPr>
          <w:sz w:val="22"/>
        </w:rPr>
        <w:fldChar w:fldCharType="begin"/>
      </w:r>
      <w:r w:rsidRPr="00AC388A">
        <w:rPr>
          <w:sz w:val="22"/>
        </w:rPr>
        <w:instrText xml:space="preserve"> SEQ Figure \* ARABIC </w:instrText>
      </w:r>
      <w:r w:rsidRPr="00AC388A">
        <w:rPr>
          <w:sz w:val="22"/>
        </w:rPr>
        <w:fldChar w:fldCharType="separate"/>
      </w:r>
      <w:r w:rsidR="001B13A4">
        <w:rPr>
          <w:noProof/>
          <w:sz w:val="22"/>
        </w:rPr>
        <w:t>2</w:t>
      </w:r>
      <w:r w:rsidRPr="00AC388A">
        <w:rPr>
          <w:noProof/>
          <w:sz w:val="22"/>
        </w:rPr>
        <w:fldChar w:fldCharType="end"/>
      </w:r>
      <w:r w:rsidRPr="00AC388A">
        <w:rPr>
          <w:sz w:val="22"/>
        </w:rPr>
        <w:t xml:space="preserve">: </w:t>
      </w:r>
      <w:r>
        <w:rPr>
          <w:sz w:val="22"/>
        </w:rPr>
        <w:t>Observed weight and predicted height values of the study population compared to NHANES median and 90% population range. Predicted height values come from NHANES loess regression model describing height as a function of body weight, age and gender.</w:t>
      </w:r>
    </w:p>
    <w:p w14:paraId="0A3FD306" w14:textId="77777777" w:rsidR="00B97BF0" w:rsidRDefault="00B97BF0"/>
    <w:p w14:paraId="695EA66C" w14:textId="6F236EC0" w:rsidR="00B97BF0" w:rsidRDefault="00B97BF0">
      <w:r>
        <w:br w:type="page"/>
      </w:r>
    </w:p>
    <w:p w14:paraId="532DB698" w14:textId="233CA4CE" w:rsidR="00B97BF0" w:rsidRDefault="00B97BF0" w:rsidP="00B97BF0">
      <w:pPr>
        <w:pStyle w:val="Heading1"/>
        <w:rPr>
          <w:lang w:val="en-US"/>
        </w:rPr>
      </w:pPr>
      <w:proofErr w:type="spellStart"/>
      <w:r>
        <w:rPr>
          <w:lang w:val="en-US"/>
        </w:rPr>
        <w:lastRenderedPageBreak/>
        <w:t>PopPK</w:t>
      </w:r>
      <w:proofErr w:type="spellEnd"/>
      <w:r>
        <w:rPr>
          <w:lang w:val="en-US"/>
        </w:rPr>
        <w:t xml:space="preserve"> Model </w:t>
      </w:r>
      <w:r w:rsidR="006A5D2E">
        <w:rPr>
          <w:lang w:val="en-US"/>
        </w:rPr>
        <w:t xml:space="preserve">Development and </w:t>
      </w:r>
      <w:r>
        <w:rPr>
          <w:lang w:val="en-US"/>
        </w:rPr>
        <w:t>Evaluations</w:t>
      </w:r>
    </w:p>
    <w:p w14:paraId="39C53CFD" w14:textId="4408461F" w:rsidR="006A5D2E" w:rsidRDefault="006A5D2E" w:rsidP="006A5D2E">
      <w:pPr>
        <w:jc w:val="both"/>
      </w:pPr>
      <w:r>
        <w:t xml:space="preserve">The structural model selection process was initiated by exploring 1-, 2- and 3-compartment models without </w:t>
      </w:r>
      <w:r w:rsidR="006E6D3D">
        <w:t>Between Subject Variability (</w:t>
      </w:r>
      <w:r>
        <w:t>BSV</w:t>
      </w:r>
      <w:r w:rsidR="006E6D3D">
        <w:t>)</w:t>
      </w:r>
      <w:r>
        <w:t xml:space="preserve">. </w:t>
      </w:r>
      <w:r w:rsidR="006E6D3D">
        <w:t>Objective Function Value (</w:t>
      </w:r>
      <w:r>
        <w:t>OFV</w:t>
      </w:r>
      <w:r w:rsidR="006E6D3D">
        <w:t>)</w:t>
      </w:r>
      <w:r>
        <w:t xml:space="preserve"> were for 2- and 3-compartment models compared to 1-compartment model. Inclusion of BSV on clearance (CL) and central volume (V1) parameters significantly improved OFV in all structural models (</w:t>
      </w:r>
      <w:proofErr w:type="spellStart"/>
      <w:r>
        <w:t>dOFV</w:t>
      </w:r>
      <w:proofErr w:type="spellEnd"/>
      <w:r>
        <w:t>&gt;600). At that stage, the 2-compartment model with BSV on CL and V1 as well as combined RUV was significantly better than the 1-compartment model and not significantly different from the 3-compartment model with the same BSV and RUV structures. Consequently, the model was kept for testing BSV on Q/V2 parameters. Addition of BSV on V2 alone significantly decreased OFV (</w:t>
      </w:r>
      <w:proofErr w:type="spellStart"/>
      <w:r>
        <w:t>dOBJ</w:t>
      </w:r>
      <w:proofErr w:type="spellEnd"/>
      <w:r>
        <w:t xml:space="preserve">&gt;35), the decrease was associated with an acceptable </w:t>
      </w:r>
      <w:r>
        <w:rPr>
          <w:rFonts w:cstheme="minorHAnsi"/>
        </w:rPr>
        <w:t>η</w:t>
      </w:r>
      <w:r>
        <w:t xml:space="preserve">-shrinkage on each BSV parameter (in particular, 10.9% for V2). Addition of BSV on Q did not improve significantly the OFV and was associated with high shrinkage on each BSV parameter (in particular, </w:t>
      </w:r>
      <w:r>
        <w:rPr>
          <w:rFonts w:cstheme="minorHAnsi"/>
        </w:rPr>
        <w:t>η</w:t>
      </w:r>
      <w:r>
        <w:t>-shrinkage&gt;45% for Q). Introduction of</w:t>
      </w:r>
      <w:r w:rsidR="006E6D3D">
        <w:t xml:space="preserve"> Within Subject Variability</w:t>
      </w:r>
      <w:r>
        <w:t xml:space="preserve"> </w:t>
      </w:r>
      <w:r w:rsidR="006E6D3D">
        <w:t>(</w:t>
      </w:r>
      <w:r>
        <w:t>WSV</w:t>
      </w:r>
      <w:r w:rsidR="006E6D3D">
        <w:t>)</w:t>
      </w:r>
      <w:r>
        <w:t xml:space="preserve"> on CL did not significantly improve the OFV. Thus, the 2-compartment model with BSV on CL, V1 and V2 as well as combined RUV was selected for covariate analysis.</w:t>
      </w:r>
    </w:p>
    <w:p w14:paraId="5EC18316" w14:textId="77DBDA4A" w:rsidR="006A5D2E" w:rsidRDefault="006A5D2E" w:rsidP="006A5D2E">
      <w:pPr>
        <w:jc w:val="both"/>
        <w:rPr>
          <w:lang w:val="en-US"/>
        </w:rPr>
      </w:pPr>
      <w:r>
        <w:t>Since the body weight and FFM are strongly correlated by construction, only the covariate that leads to better fits and decrease in BSV was kept. Interestingly, inclusion of FFM on CL, V1 and V2 led to a better fit and more significant reduction of BSV than body weight (</w:t>
      </w:r>
      <w:proofErr w:type="spellStart"/>
      <w:r>
        <w:t>dOFV</w:t>
      </w:r>
      <w:proofErr w:type="spellEnd"/>
      <w:r>
        <w:t xml:space="preserve">=92.6 compared to structural model and </w:t>
      </w:r>
      <w:proofErr w:type="spellStart"/>
      <w:r>
        <w:t>dOFV</w:t>
      </w:r>
      <w:proofErr w:type="spellEnd"/>
      <w:r>
        <w:t>=14.2 compared the model that included body weight). However, the</w:t>
      </w:r>
      <w:r w:rsidR="00B936AD">
        <w:t xml:space="preserve"> BSV</w:t>
      </w:r>
      <w:r>
        <w:t xml:space="preserve"> decrease in V2 was also associated with an increase of </w:t>
      </w:r>
      <w:r>
        <w:rPr>
          <w:rFonts w:cstheme="minorHAnsi"/>
        </w:rPr>
        <w:t>η</w:t>
      </w:r>
      <w:r>
        <w:t xml:space="preserve">-shrinkage showing a potential over-parametrization of the model. Since removing BSV on V2 for that selected model did not re-increase the OFV significantly, BSV on V2 was removed to prevent an over-parametrization of the model that could lead to unstable Bayesian forecasting. Inclusion of FFM on Q further decreased significantly the OFV. So was the addition of a correlation term </w:t>
      </w:r>
      <w:r w:rsidR="00031AD3">
        <w:t>between</w:t>
      </w:r>
      <w:r>
        <w:t xml:space="preserve"> CL and V1. The final model developed after the covariate analysis was consequently the 2-compartment model with BSV on CL and V1, combined RUV and FFM as a covariate on CL, V1, Q and V2 (Model structure is described in equations hereafter while parameters are described in </w:t>
      </w:r>
      <w:r w:rsidR="00AF5990">
        <w:t>Table 2</w:t>
      </w:r>
      <w:r>
        <w:t>).</w:t>
      </w:r>
    </w:p>
    <w:p w14:paraId="40CEC047" w14:textId="6BF48394" w:rsidR="006A5D2E" w:rsidRDefault="006A5D2E" w:rsidP="00AF5990">
      <w:pPr>
        <w:jc w:val="both"/>
      </w:pPr>
      <w:r w:rsidRPr="00B370D9">
        <w:t xml:space="preserve">Standard goodness of fit plots for </w:t>
      </w:r>
      <w:r>
        <w:t xml:space="preserve">the final Plasminogen </w:t>
      </w:r>
      <w:proofErr w:type="spellStart"/>
      <w:r>
        <w:t>PopPK</w:t>
      </w:r>
      <w:proofErr w:type="spellEnd"/>
      <w:r>
        <w:t xml:space="preserve"> </w:t>
      </w:r>
      <w:r w:rsidRPr="00B370D9">
        <w:t>model show</w:t>
      </w:r>
      <w:r>
        <w:t>ed</w:t>
      </w:r>
      <w:r w:rsidRPr="00B370D9">
        <w:t xml:space="preserve"> that the model described the data well, with</w:t>
      </w:r>
      <w:r>
        <w:t xml:space="preserve"> an</w:t>
      </w:r>
      <w:r w:rsidRPr="00B370D9">
        <w:t xml:space="preserve"> </w:t>
      </w:r>
      <w:r>
        <w:t>R</w:t>
      </w:r>
      <w:r w:rsidRPr="00486FC4">
        <w:rPr>
          <w:vertAlign w:val="superscript"/>
        </w:rPr>
        <w:t>2</w:t>
      </w:r>
      <w:r>
        <w:t xml:space="preserve"> value of 0.96 and </w:t>
      </w:r>
      <w:r w:rsidRPr="00B370D9">
        <w:t>smoothers of the data lying on the line of unity</w:t>
      </w:r>
      <w:r>
        <w:t xml:space="preserve"> </w:t>
      </w:r>
      <w:r w:rsidRPr="00B370D9">
        <w:t xml:space="preserve">The distribution of </w:t>
      </w:r>
      <w:r>
        <w:t>conditional weighted residuals (</w:t>
      </w:r>
      <w:r w:rsidRPr="00B370D9">
        <w:t>CWRES</w:t>
      </w:r>
      <w:r>
        <w:t xml:space="preserve">) was </w:t>
      </w:r>
      <w:r w:rsidRPr="00B370D9">
        <w:t>normally distributed and centered around zero</w:t>
      </w:r>
      <w:r>
        <w:t xml:space="preserve"> </w:t>
      </w:r>
      <w:r w:rsidR="00031AD3">
        <w:t xml:space="preserve">across </w:t>
      </w:r>
      <w:r>
        <w:t xml:space="preserve">the population prediction values </w:t>
      </w:r>
      <w:r w:rsidR="00031AD3">
        <w:t>and</w:t>
      </w:r>
      <w:r>
        <w:t xml:space="preserve"> the time after dose</w:t>
      </w:r>
      <w:r w:rsidRPr="00B370D9">
        <w:t xml:space="preserve">, </w:t>
      </w:r>
      <w:r>
        <w:t>all values</w:t>
      </w:r>
      <w:r w:rsidRPr="00B370D9">
        <w:t xml:space="preserve"> </w:t>
      </w:r>
      <w:r>
        <w:t xml:space="preserve">were within a range of ±4, </w:t>
      </w:r>
      <w:r w:rsidRPr="00B370D9">
        <w:t xml:space="preserve">suggesting </w:t>
      </w:r>
      <w:r>
        <w:t xml:space="preserve">there </w:t>
      </w:r>
      <w:r w:rsidR="00031AD3">
        <w:t xml:space="preserve">were </w:t>
      </w:r>
      <w:r>
        <w:t>no outlier</w:t>
      </w:r>
      <w:r w:rsidR="00031AD3">
        <w:t>s</w:t>
      </w:r>
      <w:r w:rsidRPr="00B370D9">
        <w:t>.</w:t>
      </w:r>
      <w:r>
        <w:t xml:space="preserve"> </w:t>
      </w:r>
      <w:r w:rsidRPr="006C267B">
        <w:t xml:space="preserve">Shrinkage of the standard deviations was </w:t>
      </w:r>
      <w:r>
        <w:t>low for both BSV parameters with respectively 3.0</w:t>
      </w:r>
      <w:r w:rsidRPr="006C267B">
        <w:t xml:space="preserve"> % for </w:t>
      </w:r>
      <w:r>
        <w:t xml:space="preserve">CL </w:t>
      </w:r>
      <w:r w:rsidRPr="006C267B">
        <w:t xml:space="preserve">and </w:t>
      </w:r>
      <w:r>
        <w:t>10.9</w:t>
      </w:r>
      <w:r w:rsidRPr="006C267B">
        <w:t xml:space="preserve"> % for </w:t>
      </w:r>
      <w:r>
        <w:t>V1</w:t>
      </w:r>
      <w:r w:rsidRPr="006C267B">
        <w:t xml:space="preserve"> distributions. Compared to the base model the coefficient of variation for every BSV parameter was significantly reduced</w:t>
      </w:r>
      <w:r>
        <w:t xml:space="preserve"> (from 52.8% and 39.6% to 12.8% and 13.2% for CL and V1 respectively)</w:t>
      </w:r>
      <w:r w:rsidRPr="006C267B">
        <w:t>.</w:t>
      </w:r>
      <w:r>
        <w:t xml:space="preserve"> Results of the stratified bootstrap analysis showed that, except for FFM effects on Q and V2, every parameter estimate had low standard errors and seemed to follow a normal distribution with acceptable confidence intervals (</w:t>
      </w:r>
      <w:r w:rsidR="00AF5990">
        <w:t xml:space="preserve">Table 2, </w:t>
      </w:r>
      <w:r w:rsidR="00AF5990">
        <w:fldChar w:fldCharType="begin"/>
      </w:r>
      <w:r w:rsidR="00AF5990">
        <w:instrText xml:space="preserve"> REF _Ref501140141 \h </w:instrText>
      </w:r>
      <w:r w:rsidR="00AF5990">
        <w:fldChar w:fldCharType="separate"/>
      </w:r>
      <w:r w:rsidR="00AF5990" w:rsidRPr="007F0B7F">
        <w:t xml:space="preserve">Figure </w:t>
      </w:r>
      <w:r w:rsidR="00AF5990">
        <w:t>S</w:t>
      </w:r>
      <w:r w:rsidR="00AF5990">
        <w:rPr>
          <w:noProof/>
        </w:rPr>
        <w:t>3</w:t>
      </w:r>
      <w:r w:rsidR="00AF5990">
        <w:fldChar w:fldCharType="end"/>
      </w:r>
      <w:r w:rsidR="00AF5990">
        <w:t xml:space="preserve"> and </w:t>
      </w:r>
      <w:r w:rsidR="00AF5990">
        <w:fldChar w:fldCharType="begin"/>
      </w:r>
      <w:r w:rsidR="00AF5990">
        <w:instrText xml:space="preserve"> REF _Ref501138038 \h </w:instrText>
      </w:r>
      <w:r w:rsidR="00AF5990">
        <w:fldChar w:fldCharType="separate"/>
      </w:r>
      <w:r w:rsidR="00AF5990" w:rsidRPr="007F0B7F">
        <w:t xml:space="preserve">Figure </w:t>
      </w:r>
      <w:r w:rsidR="00AF5990">
        <w:t>S</w:t>
      </w:r>
      <w:r w:rsidR="00AF5990">
        <w:rPr>
          <w:noProof/>
        </w:rPr>
        <w:t>4</w:t>
      </w:r>
      <w:r w:rsidR="00AF5990">
        <w:fldChar w:fldCharType="end"/>
      </w:r>
      <w:r w:rsidR="00AF5990">
        <w:t>)</w:t>
      </w:r>
      <w:r>
        <w:t xml:space="preserve">. FFM effects on Q and V2 had a wide confidence interval mainly due to lower identifiability and small </w:t>
      </w:r>
      <w:r w:rsidR="00031AD3">
        <w:t xml:space="preserve">sample </w:t>
      </w:r>
      <w:r>
        <w:t xml:space="preserve">size. However, their estimates were within physiological range and kept to account for the physiology of young patients regarding Bayesian forecasting in this final model. </w:t>
      </w:r>
    </w:p>
    <w:p w14:paraId="56B3431A" w14:textId="5DC8B7F6" w:rsidR="006A5D2E" w:rsidRDefault="006A5D2E" w:rsidP="006A5D2E">
      <w:pPr>
        <w:jc w:val="both"/>
      </w:pPr>
      <w:r>
        <w:t>M</w:t>
      </w:r>
      <w:r w:rsidRPr="00B370D9">
        <w:t>edian</w:t>
      </w:r>
      <w:r>
        <w:t>, 5</w:t>
      </w:r>
      <w:r w:rsidRPr="00C7315F">
        <w:rPr>
          <w:vertAlign w:val="superscript"/>
        </w:rPr>
        <w:t>th</w:t>
      </w:r>
      <w:r>
        <w:t xml:space="preserve"> and</w:t>
      </w:r>
      <w:r w:rsidRPr="00B370D9">
        <w:t xml:space="preserve"> </w:t>
      </w:r>
      <w:r>
        <w:t>95</w:t>
      </w:r>
      <w:r w:rsidRPr="00C7315F">
        <w:rPr>
          <w:vertAlign w:val="superscript"/>
        </w:rPr>
        <w:t>th</w:t>
      </w:r>
      <w:r>
        <w:t xml:space="preserve"> percentiles of </w:t>
      </w:r>
      <w:r w:rsidRPr="00B370D9">
        <w:t xml:space="preserve">observations </w:t>
      </w:r>
      <w:r>
        <w:t>were</w:t>
      </w:r>
      <w:r w:rsidRPr="00B370D9">
        <w:t xml:space="preserve"> </w:t>
      </w:r>
      <w:r>
        <w:t xml:space="preserve">well </w:t>
      </w:r>
      <w:r w:rsidRPr="00B370D9">
        <w:t>described</w:t>
      </w:r>
      <w:r>
        <w:t xml:space="preserve"> along time after dose by the data simulated from the final </w:t>
      </w:r>
      <w:proofErr w:type="spellStart"/>
      <w:r>
        <w:t>PopPK</w:t>
      </w:r>
      <w:proofErr w:type="spellEnd"/>
      <w:r>
        <w:t xml:space="preserve"> model as illustrated by the</w:t>
      </w:r>
      <w:r w:rsidR="006E6D3D">
        <w:t xml:space="preserve"> prediction-corrected</w:t>
      </w:r>
      <w:r>
        <w:t xml:space="preserve"> </w:t>
      </w:r>
      <w:r w:rsidR="006E6D3D">
        <w:t>visual predictive check (</w:t>
      </w:r>
      <w:proofErr w:type="spellStart"/>
      <w:r>
        <w:t>pcVPC</w:t>
      </w:r>
      <w:proofErr w:type="spellEnd"/>
      <w:r w:rsidR="006E6D3D">
        <w:t>)</w:t>
      </w:r>
      <w:r w:rsidR="00AF5990">
        <w:t xml:space="preserve"> Figure 1</w:t>
      </w:r>
      <w:r>
        <w:t xml:space="preserve"> supporting the </w:t>
      </w:r>
      <w:proofErr w:type="spellStart"/>
      <w:r>
        <w:t>PopPK</w:t>
      </w:r>
      <w:proofErr w:type="spellEnd"/>
      <w:r>
        <w:t xml:space="preserve"> model could correctly predict the observed data.</w:t>
      </w:r>
    </w:p>
    <w:p w14:paraId="3D5C9CB5" w14:textId="77777777" w:rsidR="00B97BF0" w:rsidRDefault="00B97BF0"/>
    <w:p w14:paraId="64FADEAD" w14:textId="6CEFBAD3" w:rsidR="00270E34" w:rsidRPr="005A20E8" w:rsidRDefault="00270E34" w:rsidP="00270E34">
      <w:pPr>
        <w:jc w:val="both"/>
      </w:pPr>
      <w:r w:rsidRPr="005A20E8">
        <w:t xml:space="preserve">The final </w:t>
      </w:r>
      <w:proofErr w:type="spellStart"/>
      <w:r>
        <w:t>P</w:t>
      </w:r>
      <w:r w:rsidRPr="005A20E8">
        <w:t>opPK</w:t>
      </w:r>
      <w:proofErr w:type="spellEnd"/>
      <w:r w:rsidRPr="005A20E8">
        <w:t xml:space="preserve"> model developed for </w:t>
      </w:r>
      <w:r>
        <w:t>the plasminogen</w:t>
      </w:r>
      <w:r w:rsidRPr="005A20E8">
        <w:t xml:space="preserve"> </w:t>
      </w:r>
      <w:r>
        <w:t>concentrate was a 2-</w:t>
      </w:r>
      <w:r w:rsidRPr="005A20E8">
        <w:t xml:space="preserve">compartment </w:t>
      </w:r>
      <w:r>
        <w:t xml:space="preserve">IV PK </w:t>
      </w:r>
      <w:r w:rsidRPr="005A20E8">
        <w:t>model with fat-free mass (FFM) as covariate</w:t>
      </w:r>
      <w:r>
        <w:t xml:space="preserve"> on each PK parameters</w:t>
      </w:r>
      <w:r w:rsidRPr="005A20E8">
        <w:t>. The parameters of the model are population clearance (</w:t>
      </w:r>
      <m:oMath>
        <m:sSub>
          <m:sSubPr>
            <m:ctrlPr>
              <w:rPr>
                <w:rFonts w:ascii="Cambria Math" w:hAnsi="Cambria Math"/>
                <w:i/>
              </w:rPr>
            </m:ctrlPr>
          </m:sSubPr>
          <m:e>
            <m:r>
              <w:rPr>
                <w:rFonts w:ascii="Cambria Math" w:hAnsi="Cambria Math"/>
              </w:rPr>
              <m:t>CL</m:t>
            </m:r>
          </m:e>
          <m:sub>
            <m:r>
              <w:rPr>
                <w:rFonts w:ascii="Cambria Math" w:hAnsi="Cambria Math"/>
              </w:rPr>
              <m:t>pop</m:t>
            </m:r>
          </m:sub>
        </m:sSub>
      </m:oMath>
      <w:r w:rsidRPr="005A20E8">
        <w:t>), population central volume (</w:t>
      </w:r>
      <m:oMath>
        <m:sSub>
          <m:sSubPr>
            <m:ctrlPr>
              <w:rPr>
                <w:rFonts w:ascii="Cambria Math" w:hAnsi="Cambria Math"/>
                <w:i/>
              </w:rPr>
            </m:ctrlPr>
          </m:sSubPr>
          <m:e>
            <m:r>
              <w:rPr>
                <w:rFonts w:ascii="Cambria Math" w:hAnsi="Cambria Math"/>
              </w:rPr>
              <m:t>V1</m:t>
            </m:r>
          </m:e>
          <m:sub>
            <m:r>
              <w:rPr>
                <w:rFonts w:ascii="Cambria Math" w:hAnsi="Cambria Math"/>
              </w:rPr>
              <m:t>pop</m:t>
            </m:r>
          </m:sub>
        </m:sSub>
      </m:oMath>
      <w:r w:rsidRPr="005A20E8">
        <w:t>), inter-compartment clearance (</w:t>
      </w:r>
      <m:oMath>
        <m:sSub>
          <m:sSubPr>
            <m:ctrlPr>
              <w:rPr>
                <w:rFonts w:ascii="Cambria Math" w:hAnsi="Cambria Math"/>
                <w:i/>
              </w:rPr>
            </m:ctrlPr>
          </m:sSubPr>
          <m:e>
            <m:r>
              <w:rPr>
                <w:rFonts w:ascii="Cambria Math" w:hAnsi="Cambria Math"/>
              </w:rPr>
              <m:t>Q</m:t>
            </m:r>
          </m:e>
          <m:sub>
            <m:r>
              <w:rPr>
                <w:rFonts w:ascii="Cambria Math" w:hAnsi="Cambria Math"/>
              </w:rPr>
              <m:t>pop</m:t>
            </m:r>
          </m:sub>
        </m:sSub>
      </m:oMath>
      <w:r w:rsidRPr="005A20E8">
        <w:t>), peripheral volume (</w:t>
      </w:r>
      <m:oMath>
        <m:sSub>
          <m:sSubPr>
            <m:ctrlPr>
              <w:rPr>
                <w:rFonts w:ascii="Cambria Math" w:hAnsi="Cambria Math"/>
                <w:i/>
              </w:rPr>
            </m:ctrlPr>
          </m:sSubPr>
          <m:e>
            <m:r>
              <w:rPr>
                <w:rFonts w:ascii="Cambria Math" w:hAnsi="Cambria Math"/>
              </w:rPr>
              <m:t>V2</m:t>
            </m:r>
          </m:e>
          <m:sub>
            <m:r>
              <w:rPr>
                <w:rFonts w:ascii="Cambria Math" w:hAnsi="Cambria Math"/>
              </w:rPr>
              <m:t>pop</m:t>
            </m:r>
          </m:sub>
        </m:sSub>
      </m:oMath>
      <w:r w:rsidRPr="005A20E8">
        <w:t>), FFM effect</w:t>
      </w:r>
      <w:r>
        <w:t>s</w:t>
      </w:r>
      <w:r w:rsidRPr="005A20E8">
        <w:t xml:space="preserve"> </w:t>
      </w:r>
      <w:r>
        <w:t>(</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FFM</m:t>
            </m:r>
          </m:sub>
        </m:sSub>
      </m:oMath>
      <w:r>
        <w:t xml:space="preserve">) </w:t>
      </w:r>
      <w:r w:rsidRPr="005A20E8">
        <w:t>on CL</w:t>
      </w:r>
      <w:r>
        <w:t xml:space="preserve">, </w:t>
      </w:r>
      <w:r w:rsidRPr="005A20E8">
        <w:t>V1</w:t>
      </w:r>
      <w:r>
        <w:t xml:space="preserve">, Q and V2, BSV </w:t>
      </w:r>
      <w:r w:rsidRPr="005A20E8">
        <w:t>on CL (</w:t>
      </w:r>
      <m:oMath>
        <m:sSub>
          <m:sSubPr>
            <m:ctrlPr>
              <w:rPr>
                <w:rFonts w:ascii="Cambria Math" w:hAnsi="Cambria Math"/>
                <w:i/>
              </w:rPr>
            </m:ctrlPr>
          </m:sSubPr>
          <m:e>
            <m:r>
              <w:rPr>
                <w:rFonts w:ascii="Cambria Math" w:hAnsi="Cambria Math"/>
              </w:rPr>
              <m:t>η</m:t>
            </m:r>
          </m:e>
          <m:sub>
            <m:r>
              <w:rPr>
                <w:rFonts w:ascii="Cambria Math" w:hAnsi="Cambria Math"/>
              </w:rPr>
              <m:t>CL</m:t>
            </m:r>
          </m:sub>
        </m:sSub>
        <m:r>
          <w:rPr>
            <w:rFonts w:ascii="Cambria Math" w:eastAsiaTheme="minorEastAsia" w:hAnsi="Cambria Math"/>
          </w:rPr>
          <m:t xml:space="preserve">~N(0, </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CL</m:t>
            </m:r>
          </m:sub>
          <m:sup>
            <m:r>
              <w:rPr>
                <w:rFonts w:ascii="Cambria Math" w:eastAsiaTheme="minorEastAsia" w:hAnsi="Cambria Math"/>
              </w:rPr>
              <m:t>2</m:t>
            </m:r>
          </m:sup>
        </m:sSubSup>
        <m:r>
          <w:rPr>
            <w:rFonts w:ascii="Cambria Math" w:eastAsiaTheme="minorEastAsia" w:hAnsi="Cambria Math"/>
          </w:rPr>
          <m:t>)</m:t>
        </m:r>
      </m:oMath>
      <w:r w:rsidRPr="005A20E8">
        <w:t>)</w:t>
      </w:r>
      <w:r>
        <w:t xml:space="preserve"> and</w:t>
      </w:r>
      <w:r w:rsidRPr="005A20E8">
        <w:t xml:space="preserve"> </w:t>
      </w:r>
      <w:r>
        <w:t xml:space="preserve">V1 </w:t>
      </w:r>
      <w:r w:rsidRPr="005A20E8">
        <w:t>(</w:t>
      </w:r>
      <m:oMath>
        <m:sSub>
          <m:sSubPr>
            <m:ctrlPr>
              <w:rPr>
                <w:rFonts w:ascii="Cambria Math" w:hAnsi="Cambria Math"/>
                <w:i/>
              </w:rPr>
            </m:ctrlPr>
          </m:sSubPr>
          <m:e>
            <m:r>
              <w:rPr>
                <w:rFonts w:ascii="Cambria Math" w:hAnsi="Cambria Math"/>
              </w:rPr>
              <m:t>η</m:t>
            </m:r>
          </m:e>
          <m:sub>
            <m:r>
              <w:rPr>
                <w:rFonts w:ascii="Cambria Math" w:hAnsi="Cambria Math"/>
              </w:rPr>
              <m:t>V1</m:t>
            </m:r>
          </m:sub>
        </m:sSub>
        <m:r>
          <w:rPr>
            <w:rFonts w:ascii="Cambria Math" w:eastAsiaTheme="minorEastAsia" w:hAnsi="Cambria Math"/>
          </w:rPr>
          <m:t xml:space="preserve">~N(0, </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V1</m:t>
            </m:r>
          </m:sub>
          <m:sup>
            <m:r>
              <w:rPr>
                <w:rFonts w:ascii="Cambria Math" w:eastAsiaTheme="minorEastAsia" w:hAnsi="Cambria Math"/>
              </w:rPr>
              <m:t>2</m:t>
            </m:r>
          </m:sup>
        </m:sSubSup>
        <m:r>
          <w:rPr>
            <w:rFonts w:ascii="Cambria Math" w:eastAsiaTheme="minorEastAsia" w:hAnsi="Cambria Math"/>
          </w:rPr>
          <m:t>)</m:t>
        </m:r>
      </m:oMath>
      <w:r w:rsidRPr="005A20E8">
        <w:t xml:space="preserve">). </w:t>
      </w:r>
    </w:p>
    <w:p w14:paraId="073D8724" w14:textId="743FB85F" w:rsidR="00270E34" w:rsidRPr="005A20E8" w:rsidRDefault="00270E34" w:rsidP="00270E34">
      <w:pPr>
        <w:jc w:val="both"/>
      </w:pPr>
      <w:r w:rsidRPr="005A20E8">
        <w:t xml:space="preserve">The final model can be summarized by the following </w:t>
      </w:r>
      <w:r>
        <w:t>equation:</w:t>
      </w:r>
    </w:p>
    <w:p w14:paraId="5E761FF5" w14:textId="77777777" w:rsidR="00270E34" w:rsidRPr="00270E34" w:rsidRDefault="003F2F16" w:rsidP="00270E34">
      <w:pPr>
        <w:rPr>
          <w:sz w:val="24"/>
          <w:szCs w:val="24"/>
        </w:rPr>
      </w:pPr>
      <m:oMathPara>
        <m:oMath>
          <m:d>
            <m:dPr>
              <m:begChr m:val="{"/>
              <m:endChr m:val="}"/>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r>
                      <w:rPr>
                        <w:rFonts w:ascii="Cambria Math" w:hAnsi="Cambria Math"/>
                        <w:sz w:val="24"/>
                        <w:szCs w:val="24"/>
                      </w:rPr>
                      <m:t>CL=</m:t>
                    </m:r>
                    <m:sSub>
                      <m:sSubPr>
                        <m:ctrlPr>
                          <w:rPr>
                            <w:rFonts w:ascii="Cambria Math" w:hAnsi="Cambria Math"/>
                            <w:i/>
                            <w:sz w:val="24"/>
                            <w:szCs w:val="24"/>
                          </w:rPr>
                        </m:ctrlPr>
                      </m:sSubPr>
                      <m:e>
                        <m:r>
                          <w:rPr>
                            <w:rFonts w:ascii="Cambria Math" w:hAnsi="Cambria Math"/>
                            <w:sz w:val="24"/>
                            <w:szCs w:val="24"/>
                          </w:rPr>
                          <m:t>CL</m:t>
                        </m:r>
                      </m:e>
                      <m:sub>
                        <m:r>
                          <w:rPr>
                            <w:rFonts w:ascii="Cambria Math" w:hAnsi="Cambria Math"/>
                            <w:sz w:val="24"/>
                            <w:szCs w:val="24"/>
                          </w:rPr>
                          <m:t>pop</m:t>
                        </m:r>
                      </m:sub>
                    </m:sSub>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FFM</m:t>
                                </m:r>
                              </m:num>
                              <m:den>
                                <m:r>
                                  <w:rPr>
                                    <w:rFonts w:ascii="Cambria Math" w:hAnsi="Cambria Math"/>
                                    <w:sz w:val="24"/>
                                    <w:szCs w:val="24"/>
                                  </w:rPr>
                                  <m:t>41.2</m:t>
                                </m:r>
                              </m:den>
                            </m:f>
                          </m:e>
                        </m:d>
                      </m:e>
                      <m:sup>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FFM-CL</m:t>
                            </m:r>
                          </m:sub>
                        </m:sSub>
                      </m:sup>
                    </m:sSup>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CL</m:t>
                            </m:r>
                          </m:sub>
                        </m:sSub>
                      </m:sup>
                    </m:sSup>
                  </m:e>
                </m:mr>
                <m:mr>
                  <m:e>
                    <m:m>
                      <m:mPr>
                        <m:mcs>
                          <m:mc>
                            <m:mcPr>
                              <m:count m:val="1"/>
                              <m:mcJc m:val="center"/>
                            </m:mcPr>
                          </m:mc>
                        </m:mcs>
                        <m:ctrlPr>
                          <w:rPr>
                            <w:rFonts w:ascii="Cambria Math" w:hAnsi="Cambria Math"/>
                            <w:i/>
                            <w:sz w:val="24"/>
                            <w:szCs w:val="24"/>
                          </w:rPr>
                        </m:ctrlPr>
                      </m:mPr>
                      <m:mr>
                        <m:e>
                          <m:r>
                            <w:rPr>
                              <w:rFonts w:ascii="Cambria Math" w:hAnsi="Cambria Math"/>
                              <w:sz w:val="24"/>
                              <w:szCs w:val="24"/>
                            </w:rPr>
                            <m:t>V1=</m:t>
                          </m:r>
                          <m:sSub>
                            <m:sSubPr>
                              <m:ctrlPr>
                                <w:rPr>
                                  <w:rFonts w:ascii="Cambria Math" w:hAnsi="Cambria Math"/>
                                  <w:i/>
                                  <w:sz w:val="24"/>
                                  <w:szCs w:val="24"/>
                                </w:rPr>
                              </m:ctrlPr>
                            </m:sSubPr>
                            <m:e>
                              <m:r>
                                <w:rPr>
                                  <w:rFonts w:ascii="Cambria Math" w:hAnsi="Cambria Math"/>
                                  <w:sz w:val="24"/>
                                  <w:szCs w:val="24"/>
                                </w:rPr>
                                <m:t>V1</m:t>
                              </m:r>
                            </m:e>
                            <m:sub>
                              <m:r>
                                <w:rPr>
                                  <w:rFonts w:ascii="Cambria Math" w:hAnsi="Cambria Math"/>
                                  <w:sz w:val="24"/>
                                  <w:szCs w:val="24"/>
                                </w:rPr>
                                <m:t>pop</m:t>
                              </m:r>
                            </m:sub>
                          </m:sSub>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FFM</m:t>
                                      </m:r>
                                    </m:num>
                                    <m:den>
                                      <m:r>
                                        <w:rPr>
                                          <w:rFonts w:ascii="Cambria Math" w:hAnsi="Cambria Math"/>
                                          <w:sz w:val="24"/>
                                          <w:szCs w:val="24"/>
                                        </w:rPr>
                                        <m:t>41.2</m:t>
                                      </m:r>
                                    </m:den>
                                  </m:f>
                                </m:e>
                              </m:d>
                            </m:e>
                            <m:sup>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FFM-V1</m:t>
                                  </m:r>
                                </m:sub>
                              </m:sSub>
                            </m:sup>
                          </m:sSup>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V1</m:t>
                                  </m:r>
                                </m:sub>
                              </m:sSub>
                            </m:sup>
                          </m:sSup>
                        </m:e>
                      </m:mr>
                      <m:mr>
                        <m:e>
                          <m:m>
                            <m:mPr>
                              <m:mcs>
                                <m:mc>
                                  <m:mcPr>
                                    <m:count m:val="1"/>
                                    <m:mcJc m:val="center"/>
                                  </m:mcPr>
                                </m:mc>
                              </m:mcs>
                              <m:ctrlPr>
                                <w:rPr>
                                  <w:rFonts w:ascii="Cambria Math" w:hAnsi="Cambria Math"/>
                                  <w:i/>
                                  <w:sz w:val="24"/>
                                  <w:szCs w:val="24"/>
                                </w:rPr>
                              </m:ctrlPr>
                            </m:mPr>
                            <m:mr>
                              <m:e>
                                <m:r>
                                  <w:rPr>
                                    <w:rFonts w:ascii="Cambria Math" w:hAnsi="Cambria Math"/>
                                    <w:sz w:val="24"/>
                                    <w:szCs w:val="24"/>
                                  </w:rPr>
                                  <m:t>Q=</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pop</m:t>
                                    </m:r>
                                  </m:sub>
                                </m:sSub>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FFM</m:t>
                                            </m:r>
                                          </m:num>
                                          <m:den>
                                            <m:r>
                                              <w:rPr>
                                                <w:rFonts w:ascii="Cambria Math" w:hAnsi="Cambria Math"/>
                                                <w:sz w:val="24"/>
                                                <w:szCs w:val="24"/>
                                              </w:rPr>
                                              <m:t>41.2</m:t>
                                            </m:r>
                                          </m:den>
                                        </m:f>
                                      </m:e>
                                    </m:d>
                                  </m:e>
                                  <m:sup>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FFM-Q</m:t>
                                        </m:r>
                                      </m:sub>
                                    </m:sSub>
                                  </m:sup>
                                </m:sSup>
                              </m:e>
                            </m:mr>
                            <m:mr>
                              <m:e>
                                <m:r>
                                  <w:rPr>
                                    <w:rFonts w:ascii="Cambria Math" w:hAnsi="Cambria Math"/>
                                    <w:sz w:val="24"/>
                                    <w:szCs w:val="24"/>
                                  </w:rPr>
                                  <m:t>V2=</m:t>
                                </m:r>
                                <m:sSub>
                                  <m:sSubPr>
                                    <m:ctrlPr>
                                      <w:rPr>
                                        <w:rFonts w:ascii="Cambria Math" w:hAnsi="Cambria Math"/>
                                        <w:i/>
                                        <w:sz w:val="24"/>
                                        <w:szCs w:val="24"/>
                                      </w:rPr>
                                    </m:ctrlPr>
                                  </m:sSubPr>
                                  <m:e>
                                    <m:r>
                                      <w:rPr>
                                        <w:rFonts w:ascii="Cambria Math" w:hAnsi="Cambria Math"/>
                                        <w:sz w:val="24"/>
                                        <w:szCs w:val="24"/>
                                      </w:rPr>
                                      <m:t>V2</m:t>
                                    </m:r>
                                  </m:e>
                                  <m:sub>
                                    <m:r>
                                      <w:rPr>
                                        <w:rFonts w:ascii="Cambria Math" w:hAnsi="Cambria Math"/>
                                        <w:sz w:val="24"/>
                                        <w:szCs w:val="24"/>
                                      </w:rPr>
                                      <m:t>pop</m:t>
                                    </m:r>
                                  </m:sub>
                                </m:sSub>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FFM</m:t>
                                            </m:r>
                                          </m:num>
                                          <m:den>
                                            <m:r>
                                              <w:rPr>
                                                <w:rFonts w:ascii="Cambria Math" w:hAnsi="Cambria Math"/>
                                                <w:sz w:val="24"/>
                                                <w:szCs w:val="24"/>
                                              </w:rPr>
                                              <m:t>41.2</m:t>
                                            </m:r>
                                          </m:den>
                                        </m:f>
                                      </m:e>
                                    </m:d>
                                  </m:e>
                                  <m:sup>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FFM-V2</m:t>
                                        </m:r>
                                      </m:sub>
                                    </m:sSub>
                                  </m:sup>
                                </m:sSup>
                              </m:e>
                            </m:mr>
                          </m:m>
                        </m:e>
                      </m:mr>
                    </m:m>
                  </m:e>
                </m:mr>
              </m:m>
            </m:e>
          </m:d>
        </m:oMath>
      </m:oMathPara>
    </w:p>
    <w:p w14:paraId="0E1A74D0" w14:textId="77777777" w:rsidR="00270E34" w:rsidRDefault="00270E34" w:rsidP="00270E34"/>
    <w:p w14:paraId="08658B46" w14:textId="1E68C3B2" w:rsidR="00270E34" w:rsidRDefault="00270E34" w:rsidP="00C20977">
      <w:pPr>
        <w:jc w:val="both"/>
      </w:pPr>
      <w:r w:rsidRPr="007E0584">
        <w:t xml:space="preserve">The </w:t>
      </w:r>
      <w:proofErr w:type="gramStart"/>
      <w:r w:rsidRPr="007E0584">
        <w:t>values</w:t>
      </w:r>
      <w:proofErr w:type="gramEnd"/>
      <w:r w:rsidRPr="007E0584">
        <w:t xml:space="preserve"> of the parameter</w:t>
      </w:r>
      <w:r>
        <w:t xml:space="preserve"> </w:t>
      </w:r>
      <w:r w:rsidRPr="007E0584">
        <w:t>estimates</w:t>
      </w:r>
      <w:r>
        <w:t xml:space="preserve"> </w:t>
      </w:r>
      <w:r w:rsidRPr="007E0584">
        <w:t xml:space="preserve">of the </w:t>
      </w:r>
      <w:proofErr w:type="spellStart"/>
      <w:r>
        <w:t>P</w:t>
      </w:r>
      <w:r w:rsidRPr="007E0584">
        <w:t>opPK</w:t>
      </w:r>
      <w:proofErr w:type="spellEnd"/>
      <w:r w:rsidRPr="007E0584">
        <w:t xml:space="preserve"> model are indicated in</w:t>
      </w:r>
      <w:r>
        <w:t xml:space="preserve"> </w:t>
      </w:r>
      <w:r>
        <w:rPr>
          <w:bCs/>
        </w:rPr>
        <w:t>Table 2</w:t>
      </w:r>
      <w:r w:rsidRPr="007E0584">
        <w:t xml:space="preserve">. </w:t>
      </w:r>
      <w:r>
        <w:t>Estimates, c</w:t>
      </w:r>
      <w:r w:rsidRPr="007E0584">
        <w:t>onfidence intervals and RSE were obtained from bootstrap analysis (</w:t>
      </w:r>
      <w:r>
        <w:t xml:space="preserve">1000 runs stratified by </w:t>
      </w:r>
      <w:r w:rsidR="00C20977">
        <w:t xml:space="preserve">age </w:t>
      </w:r>
      <w:r w:rsidRPr="007E0584">
        <w:t>illustrated in</w:t>
      </w:r>
      <w:r w:rsidR="00C20977">
        <w:t xml:space="preserve"> </w:t>
      </w:r>
      <w:r w:rsidR="00C20977">
        <w:fldChar w:fldCharType="begin"/>
      </w:r>
      <w:r w:rsidR="00C20977">
        <w:instrText xml:space="preserve"> REF _Ref501140141 \h </w:instrText>
      </w:r>
      <w:r w:rsidR="00C20977">
        <w:fldChar w:fldCharType="separate"/>
      </w:r>
      <w:r w:rsidR="001B13A4" w:rsidRPr="007F0B7F">
        <w:t xml:space="preserve">Figure </w:t>
      </w:r>
      <w:r w:rsidR="001B13A4">
        <w:t>S</w:t>
      </w:r>
      <w:r w:rsidR="001B13A4">
        <w:rPr>
          <w:noProof/>
        </w:rPr>
        <w:t>3</w:t>
      </w:r>
      <w:r w:rsidR="00C20977">
        <w:fldChar w:fldCharType="end"/>
      </w:r>
      <w:r w:rsidR="00C20977">
        <w:t xml:space="preserve"> and </w:t>
      </w:r>
      <w:r w:rsidR="00C20977">
        <w:fldChar w:fldCharType="begin"/>
      </w:r>
      <w:r w:rsidR="00C20977">
        <w:instrText xml:space="preserve"> REF _Ref501138038 \h </w:instrText>
      </w:r>
      <w:r w:rsidR="00C20977">
        <w:fldChar w:fldCharType="separate"/>
      </w:r>
      <w:r w:rsidR="001B13A4" w:rsidRPr="007F0B7F">
        <w:t xml:space="preserve">Figure </w:t>
      </w:r>
      <w:r w:rsidR="001B13A4">
        <w:t>S</w:t>
      </w:r>
      <w:r w:rsidR="001B13A4">
        <w:rPr>
          <w:noProof/>
        </w:rPr>
        <w:t>4</w:t>
      </w:r>
      <w:r w:rsidR="00C20977">
        <w:fldChar w:fldCharType="end"/>
      </w:r>
      <w:r w:rsidRPr="007E0584">
        <w:t>).</w:t>
      </w:r>
      <w:r>
        <w:t xml:space="preserve"> Every parameter </w:t>
      </w:r>
      <w:proofErr w:type="gramStart"/>
      <w:r>
        <w:t>estimate</w:t>
      </w:r>
      <w:proofErr w:type="gramEnd"/>
      <w:r>
        <w:t>, except for</w:t>
      </w:r>
      <w:r w:rsidR="004674A6">
        <w:t xml:space="preserve"> the</w:t>
      </w:r>
      <w:r>
        <w:t xml:space="preserve"> FFM effects on Q and V2, had low standard errors and seemed to follow a normal distribution with acceptable confidence intervals. FFM effects on Q and V2 had a wide confidence interval mainly due to lower identifiability and small </w:t>
      </w:r>
      <w:r w:rsidR="004674A6">
        <w:t xml:space="preserve">sample </w:t>
      </w:r>
      <w:r>
        <w:t>size. However, their estimates were within physiological range and kept to account for the physiology of young patients regarding Bayesian forecasting.</w:t>
      </w:r>
    </w:p>
    <w:p w14:paraId="7B35DF87" w14:textId="77777777" w:rsidR="00C20977" w:rsidRDefault="00C20977" w:rsidP="00270E34"/>
    <w:p w14:paraId="6C622A0A" w14:textId="77777777" w:rsidR="00C20977" w:rsidRDefault="00C20977" w:rsidP="00C20977">
      <w:pPr>
        <w:spacing w:after="0" w:line="240" w:lineRule="auto"/>
      </w:pPr>
      <w:r w:rsidRPr="00A17501">
        <w:rPr>
          <w:noProof/>
          <w:lang w:eastAsia="en-CA"/>
        </w:rPr>
        <w:lastRenderedPageBreak/>
        <w:drawing>
          <wp:inline distT="0" distB="0" distL="0" distR="0" wp14:anchorId="257CAC7C" wp14:editId="3AF1CF50">
            <wp:extent cx="5760720" cy="3239849"/>
            <wp:effectExtent l="0" t="0" r="0" b="0"/>
            <wp:docPr id="28" name="Picture 28" descr="C:\Users\pchelle\Desktop\Plasminogen\Analysis\bootstrap-the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chelle\Desktop\Plasminogen\Analysis\bootstrap-theta.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239849"/>
                    </a:xfrm>
                    <a:prstGeom prst="rect">
                      <a:avLst/>
                    </a:prstGeom>
                    <a:noFill/>
                    <a:ln>
                      <a:noFill/>
                    </a:ln>
                  </pic:spPr>
                </pic:pic>
              </a:graphicData>
            </a:graphic>
          </wp:inline>
        </w:drawing>
      </w:r>
    </w:p>
    <w:p w14:paraId="0CF3BB8B" w14:textId="77777777" w:rsidR="00C20977" w:rsidRPr="00C21FDD" w:rsidRDefault="00C20977" w:rsidP="00C20977">
      <w:pPr>
        <w:spacing w:after="0" w:line="240" w:lineRule="auto"/>
      </w:pPr>
    </w:p>
    <w:p w14:paraId="7D6E8B59" w14:textId="60738DDC" w:rsidR="00C20977" w:rsidRDefault="00C20977" w:rsidP="00C20977">
      <w:pPr>
        <w:pStyle w:val="Caption"/>
        <w:spacing w:after="0"/>
        <w:rPr>
          <w:sz w:val="22"/>
          <w:lang w:val="en-CA"/>
        </w:rPr>
      </w:pPr>
      <w:bookmarkStart w:id="2" w:name="_Ref501140141"/>
      <w:r w:rsidRPr="007F0B7F">
        <w:rPr>
          <w:sz w:val="22"/>
          <w:szCs w:val="22"/>
          <w:lang w:val="en-CA"/>
        </w:rPr>
        <w:t xml:space="preserve">Figure </w:t>
      </w:r>
      <w:r>
        <w:rPr>
          <w:sz w:val="22"/>
          <w:szCs w:val="22"/>
          <w:lang w:val="en-CA"/>
        </w:rPr>
        <w:t>S</w:t>
      </w:r>
      <w:r w:rsidRPr="007F0B7F">
        <w:rPr>
          <w:sz w:val="22"/>
          <w:szCs w:val="22"/>
          <w:lang w:val="en-CA"/>
        </w:rPr>
        <w:fldChar w:fldCharType="begin"/>
      </w:r>
      <w:r w:rsidRPr="007F0B7F">
        <w:rPr>
          <w:sz w:val="22"/>
          <w:szCs w:val="22"/>
          <w:lang w:val="en-CA"/>
        </w:rPr>
        <w:instrText xml:space="preserve"> SEQ Figure \* ARABIC </w:instrText>
      </w:r>
      <w:r w:rsidRPr="007F0B7F">
        <w:rPr>
          <w:sz w:val="22"/>
          <w:szCs w:val="22"/>
          <w:lang w:val="en-CA"/>
        </w:rPr>
        <w:fldChar w:fldCharType="separate"/>
      </w:r>
      <w:r w:rsidR="001B13A4">
        <w:rPr>
          <w:noProof/>
          <w:sz w:val="22"/>
          <w:szCs w:val="22"/>
          <w:lang w:val="en-CA"/>
        </w:rPr>
        <w:t>3</w:t>
      </w:r>
      <w:r w:rsidRPr="007F0B7F">
        <w:rPr>
          <w:sz w:val="22"/>
          <w:szCs w:val="22"/>
          <w:lang w:val="en-CA"/>
        </w:rPr>
        <w:fldChar w:fldCharType="end"/>
      </w:r>
      <w:bookmarkEnd w:id="2"/>
      <w:r w:rsidRPr="00B55513">
        <w:rPr>
          <w:sz w:val="22"/>
          <w:szCs w:val="22"/>
          <w:lang w:val="en-CA"/>
        </w:rPr>
        <w:t xml:space="preserve">: </w:t>
      </w:r>
      <w:r>
        <w:rPr>
          <w:sz w:val="22"/>
          <w:szCs w:val="22"/>
          <w:lang w:val="en-CA"/>
        </w:rPr>
        <w:t>Bootstrap results for structural p</w:t>
      </w:r>
      <w:r w:rsidRPr="00B55513">
        <w:rPr>
          <w:sz w:val="22"/>
          <w:szCs w:val="22"/>
          <w:lang w:val="en-CA"/>
        </w:rPr>
        <w:t>arameter</w:t>
      </w:r>
      <w:r w:rsidRPr="00A91271">
        <w:rPr>
          <w:sz w:val="22"/>
          <w:lang w:val="en-CA"/>
        </w:rPr>
        <w:t xml:space="preserve"> estimates</w:t>
      </w:r>
      <w:r>
        <w:rPr>
          <w:sz w:val="22"/>
          <w:lang w:val="en-CA"/>
        </w:rPr>
        <w:t>.</w:t>
      </w:r>
    </w:p>
    <w:p w14:paraId="14E4DCF5" w14:textId="77777777" w:rsidR="00C20977" w:rsidRDefault="00C20977" w:rsidP="00C20977">
      <w:pPr>
        <w:spacing w:after="0" w:line="240" w:lineRule="auto"/>
      </w:pPr>
    </w:p>
    <w:p w14:paraId="2AFD4DCA" w14:textId="77777777" w:rsidR="00C20977" w:rsidRDefault="00C20977" w:rsidP="00C20977">
      <w:pPr>
        <w:spacing w:after="0" w:line="240" w:lineRule="auto"/>
      </w:pPr>
      <w:r w:rsidRPr="00A17501">
        <w:rPr>
          <w:noProof/>
          <w:lang w:eastAsia="en-CA"/>
        </w:rPr>
        <w:drawing>
          <wp:inline distT="0" distB="0" distL="0" distR="0" wp14:anchorId="69AB07BA" wp14:editId="61545857">
            <wp:extent cx="5760720" cy="2157782"/>
            <wp:effectExtent l="0" t="0" r="0" b="0"/>
            <wp:docPr id="29" name="Picture 29" descr="C:\Users\pchelle\Desktop\Plasminogen\Analysis\bootstrap-ome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chelle\Desktop\Plasminogen\Analysis\bootstrap-omega.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2157782"/>
                    </a:xfrm>
                    <a:prstGeom prst="rect">
                      <a:avLst/>
                    </a:prstGeom>
                    <a:noFill/>
                    <a:ln>
                      <a:noFill/>
                    </a:ln>
                  </pic:spPr>
                </pic:pic>
              </a:graphicData>
            </a:graphic>
          </wp:inline>
        </w:drawing>
      </w:r>
    </w:p>
    <w:p w14:paraId="529E0D5B" w14:textId="77777777" w:rsidR="00C20977" w:rsidRPr="00CF5574" w:rsidRDefault="00C20977" w:rsidP="00C20977">
      <w:pPr>
        <w:spacing w:after="0" w:line="240" w:lineRule="auto"/>
      </w:pPr>
      <w:r w:rsidRPr="00A17501">
        <w:rPr>
          <w:noProof/>
          <w:lang w:eastAsia="en-CA"/>
        </w:rPr>
        <w:drawing>
          <wp:inline distT="0" distB="0" distL="0" distR="0" wp14:anchorId="7BCDDF6A" wp14:editId="111D32A3">
            <wp:extent cx="3600000" cy="2022668"/>
            <wp:effectExtent l="0" t="0" r="0" b="0"/>
            <wp:docPr id="30" name="Picture 30" descr="C:\Users\pchelle\Desktop\Plasminogen\Analysis\bootstrap-sig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helle\Desktop\Plasminogen\Analysis\bootstrap-sigma.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000" cy="2022668"/>
                    </a:xfrm>
                    <a:prstGeom prst="rect">
                      <a:avLst/>
                    </a:prstGeom>
                    <a:noFill/>
                    <a:ln>
                      <a:noFill/>
                    </a:ln>
                  </pic:spPr>
                </pic:pic>
              </a:graphicData>
            </a:graphic>
          </wp:inline>
        </w:drawing>
      </w:r>
    </w:p>
    <w:p w14:paraId="7F8604D3" w14:textId="5F7CFC8C" w:rsidR="00C20977" w:rsidRPr="00A91271" w:rsidRDefault="00C20977" w:rsidP="00C20977">
      <w:pPr>
        <w:pStyle w:val="Caption"/>
        <w:rPr>
          <w:sz w:val="22"/>
          <w:lang w:val="en-CA"/>
        </w:rPr>
      </w:pPr>
      <w:bookmarkStart w:id="3" w:name="_Ref501138038"/>
      <w:r w:rsidRPr="007F0B7F">
        <w:rPr>
          <w:sz w:val="22"/>
          <w:szCs w:val="22"/>
          <w:lang w:val="en-CA"/>
        </w:rPr>
        <w:t xml:space="preserve">Figure </w:t>
      </w:r>
      <w:r>
        <w:rPr>
          <w:sz w:val="22"/>
          <w:szCs w:val="22"/>
          <w:lang w:val="en-CA"/>
        </w:rPr>
        <w:t>S</w:t>
      </w:r>
      <w:r w:rsidRPr="007F0B7F">
        <w:rPr>
          <w:sz w:val="22"/>
          <w:szCs w:val="22"/>
          <w:lang w:val="en-CA"/>
        </w:rPr>
        <w:fldChar w:fldCharType="begin"/>
      </w:r>
      <w:r w:rsidRPr="007F0B7F">
        <w:rPr>
          <w:sz w:val="22"/>
          <w:szCs w:val="22"/>
          <w:lang w:val="en-CA"/>
        </w:rPr>
        <w:instrText xml:space="preserve"> SEQ Figure \* ARABIC </w:instrText>
      </w:r>
      <w:r w:rsidRPr="007F0B7F">
        <w:rPr>
          <w:sz w:val="22"/>
          <w:szCs w:val="22"/>
          <w:lang w:val="en-CA"/>
        </w:rPr>
        <w:fldChar w:fldCharType="separate"/>
      </w:r>
      <w:r w:rsidR="001B13A4">
        <w:rPr>
          <w:noProof/>
          <w:sz w:val="22"/>
          <w:szCs w:val="22"/>
          <w:lang w:val="en-CA"/>
        </w:rPr>
        <w:t>4</w:t>
      </w:r>
      <w:r w:rsidRPr="007F0B7F">
        <w:rPr>
          <w:sz w:val="22"/>
          <w:szCs w:val="22"/>
          <w:lang w:val="en-CA"/>
        </w:rPr>
        <w:fldChar w:fldCharType="end"/>
      </w:r>
      <w:bookmarkEnd w:id="3"/>
      <w:r w:rsidRPr="00B55513">
        <w:rPr>
          <w:sz w:val="22"/>
          <w:lang w:val="en-CA"/>
        </w:rPr>
        <w:t xml:space="preserve">: </w:t>
      </w:r>
      <w:r>
        <w:rPr>
          <w:sz w:val="22"/>
          <w:lang w:val="en-CA"/>
        </w:rPr>
        <w:t>Bootstrap results for BSV and RUV es</w:t>
      </w:r>
      <w:r w:rsidRPr="00B55513">
        <w:rPr>
          <w:sz w:val="22"/>
          <w:lang w:val="en-CA"/>
        </w:rPr>
        <w:t>timates</w:t>
      </w:r>
      <w:r>
        <w:rPr>
          <w:sz w:val="22"/>
          <w:lang w:val="en-CA"/>
        </w:rPr>
        <w:t>.</w:t>
      </w:r>
    </w:p>
    <w:p w14:paraId="750DD594" w14:textId="4675C4FC" w:rsidR="001D2E8E" w:rsidRPr="006C267B" w:rsidRDefault="001D2E8E" w:rsidP="001D2E8E">
      <w:pPr>
        <w:jc w:val="both"/>
      </w:pPr>
      <w:r w:rsidRPr="006C267B">
        <w:lastRenderedPageBreak/>
        <w:t xml:space="preserve">Distributions of the </w:t>
      </w:r>
      <w:r>
        <w:t xml:space="preserve">Empirical Bayesian Estimates </w:t>
      </w:r>
      <w:r w:rsidRPr="006C267B">
        <w:t>(</w:t>
      </w:r>
      <w:proofErr w:type="spellStart"/>
      <w:r w:rsidRPr="00087B4E">
        <w:rPr>
          <w:i/>
        </w:rPr>
        <w:t>η</w:t>
      </w:r>
      <w:r w:rsidRPr="006C267B">
        <w:t>s</w:t>
      </w:r>
      <w:proofErr w:type="spellEnd"/>
      <w:r w:rsidRPr="006C267B">
        <w:t>)</w:t>
      </w:r>
      <w:r>
        <w:t xml:space="preserve"> corresponding to </w:t>
      </w:r>
      <w:r w:rsidRPr="006C267B">
        <w:t>BSV random effects are shown in</w:t>
      </w:r>
      <w:r>
        <w:t xml:space="preserve"> </w:t>
      </w:r>
      <w:r>
        <w:fldChar w:fldCharType="begin"/>
      </w:r>
      <w:r>
        <w:instrText xml:space="preserve"> REF _Ref41543718 \h </w:instrText>
      </w:r>
      <w:r>
        <w:fldChar w:fldCharType="separate"/>
      </w:r>
      <w:r w:rsidR="001B13A4" w:rsidRPr="007F0B7F">
        <w:t xml:space="preserve">Figure </w:t>
      </w:r>
      <w:r w:rsidR="001B13A4">
        <w:t>S</w:t>
      </w:r>
      <w:r w:rsidR="001B13A4">
        <w:rPr>
          <w:noProof/>
        </w:rPr>
        <w:t>5</w:t>
      </w:r>
      <w:r>
        <w:fldChar w:fldCharType="end"/>
      </w:r>
      <w:r w:rsidRPr="006C267B">
        <w:t xml:space="preserve">. The estimated random effects </w:t>
      </w:r>
      <w:r>
        <w:t xml:space="preserve">for </w:t>
      </w:r>
      <m:oMath>
        <m:sSub>
          <m:sSubPr>
            <m:ctrlPr>
              <w:rPr>
                <w:rFonts w:ascii="Cambria Math" w:hAnsi="Cambria Math"/>
                <w:i/>
              </w:rPr>
            </m:ctrlPr>
          </m:sSubPr>
          <m:e>
            <m:r>
              <w:rPr>
                <w:rFonts w:ascii="Cambria Math" w:hAnsi="Cambria Math"/>
              </w:rPr>
              <m:t>η</m:t>
            </m:r>
          </m:e>
          <m:sub>
            <m:r>
              <w:rPr>
                <w:rFonts w:ascii="Cambria Math" w:hAnsi="Cambria Math"/>
              </w:rPr>
              <m:t>CL</m:t>
            </m:r>
          </m:sub>
        </m:sSub>
      </m:oMath>
      <w:r w:rsidRPr="006C267B">
        <w:t xml:space="preserve"> and </w:t>
      </w:r>
      <m:oMath>
        <m:sSub>
          <m:sSubPr>
            <m:ctrlPr>
              <w:rPr>
                <w:rFonts w:ascii="Cambria Math" w:hAnsi="Cambria Math"/>
                <w:i/>
              </w:rPr>
            </m:ctrlPr>
          </m:sSubPr>
          <m:e>
            <m:r>
              <w:rPr>
                <w:rFonts w:ascii="Cambria Math" w:hAnsi="Cambria Math"/>
              </w:rPr>
              <m:t>η</m:t>
            </m:r>
          </m:e>
          <m:sub>
            <m:r>
              <w:rPr>
                <w:rFonts w:ascii="Cambria Math" w:hAnsi="Cambria Math"/>
              </w:rPr>
              <m:t>V1</m:t>
            </m:r>
          </m:sub>
        </m:sSub>
      </m:oMath>
      <w:r w:rsidRPr="006C267B">
        <w:t xml:space="preserve"> appear normally distributed. Shrinkage of the standard deviations </w:t>
      </w:r>
      <w:r>
        <w:t>was</w:t>
      </w:r>
      <w:r w:rsidRPr="006C267B">
        <w:t xml:space="preserve"> </w:t>
      </w:r>
      <w:r>
        <w:t>low for both BSV parameters with respectively 3.0</w:t>
      </w:r>
      <w:r w:rsidRPr="006C267B">
        <w:t xml:space="preserve"> % for </w:t>
      </w:r>
      <m:oMath>
        <m:sSub>
          <m:sSubPr>
            <m:ctrlPr>
              <w:rPr>
                <w:rFonts w:ascii="Cambria Math" w:hAnsi="Cambria Math"/>
                <w:i/>
              </w:rPr>
            </m:ctrlPr>
          </m:sSubPr>
          <m:e>
            <m:r>
              <w:rPr>
                <w:rFonts w:ascii="Cambria Math" w:hAnsi="Cambria Math"/>
              </w:rPr>
              <m:t>η</m:t>
            </m:r>
          </m:e>
          <m:sub>
            <m:r>
              <w:rPr>
                <w:rFonts w:ascii="Cambria Math" w:hAnsi="Cambria Math"/>
              </w:rPr>
              <m:t>CL</m:t>
            </m:r>
          </m:sub>
        </m:sSub>
      </m:oMath>
      <w:r w:rsidRPr="006C267B">
        <w:t xml:space="preserve"> and </w:t>
      </w:r>
      <w:r>
        <w:t>10.9</w:t>
      </w:r>
      <w:r w:rsidRPr="006C267B">
        <w:t xml:space="preserve"> % for </w:t>
      </w:r>
      <m:oMath>
        <m:sSub>
          <m:sSubPr>
            <m:ctrlPr>
              <w:rPr>
                <w:rFonts w:ascii="Cambria Math" w:hAnsi="Cambria Math"/>
                <w:i/>
              </w:rPr>
            </m:ctrlPr>
          </m:sSubPr>
          <m:e>
            <m:r>
              <w:rPr>
                <w:rFonts w:ascii="Cambria Math" w:hAnsi="Cambria Math"/>
              </w:rPr>
              <m:t>η</m:t>
            </m:r>
          </m:e>
          <m:sub>
            <m:r>
              <w:rPr>
                <w:rFonts w:ascii="Cambria Math" w:hAnsi="Cambria Math"/>
              </w:rPr>
              <m:t>V1</m:t>
            </m:r>
          </m:sub>
        </m:sSub>
      </m:oMath>
      <w:r w:rsidRPr="006C267B">
        <w:t xml:space="preserve"> distributions. </w:t>
      </w:r>
      <w:r>
        <w:t xml:space="preserve">Spearman correlation between </w:t>
      </w:r>
      <m:oMath>
        <m:sSub>
          <m:sSubPr>
            <m:ctrlPr>
              <w:rPr>
                <w:rFonts w:ascii="Cambria Math" w:hAnsi="Cambria Math"/>
                <w:i/>
              </w:rPr>
            </m:ctrlPr>
          </m:sSubPr>
          <m:e>
            <m:r>
              <w:rPr>
                <w:rFonts w:ascii="Cambria Math" w:hAnsi="Cambria Math"/>
              </w:rPr>
              <m:t>η</m:t>
            </m:r>
          </m:e>
          <m:sub>
            <m:r>
              <w:rPr>
                <w:rFonts w:ascii="Cambria Math" w:hAnsi="Cambria Math"/>
              </w:rPr>
              <m:t>CL</m:t>
            </m:r>
          </m:sub>
        </m:sSub>
      </m:oMath>
      <w:r>
        <w:t xml:space="preserve"> and </w:t>
      </w:r>
      <m:oMath>
        <m:sSub>
          <m:sSubPr>
            <m:ctrlPr>
              <w:rPr>
                <w:rFonts w:ascii="Cambria Math" w:hAnsi="Cambria Math"/>
                <w:i/>
              </w:rPr>
            </m:ctrlPr>
          </m:sSubPr>
          <m:e>
            <m:r>
              <w:rPr>
                <w:rFonts w:ascii="Cambria Math" w:hAnsi="Cambria Math"/>
              </w:rPr>
              <m:t>η</m:t>
            </m:r>
          </m:e>
          <m:sub>
            <m:r>
              <w:rPr>
                <w:rFonts w:ascii="Cambria Math" w:hAnsi="Cambria Math"/>
              </w:rPr>
              <m:t>V1</m:t>
            </m:r>
          </m:sub>
        </m:sSub>
      </m:oMath>
      <w:r>
        <w:t xml:space="preserve"> was 0.365.</w:t>
      </w:r>
    </w:p>
    <w:p w14:paraId="2EC773EC" w14:textId="77777777" w:rsidR="001D2E8E" w:rsidRDefault="001D2E8E" w:rsidP="001D2E8E">
      <w:pPr>
        <w:jc w:val="center"/>
      </w:pPr>
    </w:p>
    <w:p w14:paraId="34B6E09A" w14:textId="77777777" w:rsidR="001D2E8E" w:rsidRDefault="001D2E8E" w:rsidP="001D2E8E">
      <w:pPr>
        <w:pStyle w:val="Caption"/>
        <w:jc w:val="center"/>
        <w:rPr>
          <w:lang w:val="en-CA"/>
        </w:rPr>
      </w:pPr>
      <w:r w:rsidRPr="00D8748B">
        <w:rPr>
          <w:noProof/>
          <w:lang w:val="en-CA" w:eastAsia="en-CA" w:bidi="ar-SA"/>
        </w:rPr>
        <w:drawing>
          <wp:inline distT="0" distB="0" distL="0" distR="0" wp14:anchorId="541C8107" wp14:editId="648EBB5D">
            <wp:extent cx="5753100" cy="3238500"/>
            <wp:effectExtent l="0" t="0" r="0" b="0"/>
            <wp:docPr id="1" name="Picture 1" descr="C:\Users\pchelle\Desktop\Plasminogen\Analysis\Figures\eta-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helle\Desktop\Plasminogen\Analysis\Figures\eta-distributio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06EFE077" w14:textId="363279F7" w:rsidR="001D2E8E" w:rsidRPr="00235F9F" w:rsidRDefault="001D2E8E" w:rsidP="001D2E8E">
      <w:pPr>
        <w:pStyle w:val="Caption"/>
        <w:rPr>
          <w:sz w:val="22"/>
          <w:lang w:val="en-CA"/>
        </w:rPr>
      </w:pPr>
      <w:bookmarkStart w:id="4" w:name="_Ref41543718"/>
      <w:bookmarkStart w:id="5" w:name="_Ref501134799"/>
      <w:r w:rsidRPr="007F0B7F">
        <w:rPr>
          <w:sz w:val="22"/>
          <w:szCs w:val="22"/>
          <w:lang w:val="en-CA"/>
        </w:rPr>
        <w:t xml:space="preserve">Figure </w:t>
      </w:r>
      <w:r w:rsidR="00EF07CB">
        <w:rPr>
          <w:sz w:val="22"/>
          <w:szCs w:val="22"/>
          <w:lang w:val="en-CA"/>
        </w:rPr>
        <w:t>S</w:t>
      </w:r>
      <w:r w:rsidRPr="007F0B7F">
        <w:rPr>
          <w:sz w:val="22"/>
          <w:szCs w:val="22"/>
          <w:lang w:val="en-CA"/>
        </w:rPr>
        <w:fldChar w:fldCharType="begin"/>
      </w:r>
      <w:r w:rsidRPr="007F0B7F">
        <w:rPr>
          <w:sz w:val="22"/>
          <w:szCs w:val="22"/>
          <w:lang w:val="en-CA"/>
        </w:rPr>
        <w:instrText xml:space="preserve"> SEQ Figure \* ARABIC </w:instrText>
      </w:r>
      <w:r w:rsidRPr="007F0B7F">
        <w:rPr>
          <w:sz w:val="22"/>
          <w:szCs w:val="22"/>
          <w:lang w:val="en-CA"/>
        </w:rPr>
        <w:fldChar w:fldCharType="separate"/>
      </w:r>
      <w:r w:rsidR="001B13A4">
        <w:rPr>
          <w:noProof/>
          <w:sz w:val="22"/>
          <w:szCs w:val="22"/>
          <w:lang w:val="en-CA"/>
        </w:rPr>
        <w:t>5</w:t>
      </w:r>
      <w:r w:rsidRPr="007F0B7F">
        <w:rPr>
          <w:sz w:val="22"/>
          <w:szCs w:val="22"/>
          <w:lang w:val="en-CA"/>
        </w:rPr>
        <w:fldChar w:fldCharType="end"/>
      </w:r>
      <w:bookmarkEnd w:id="4"/>
      <w:r w:rsidRPr="00B55513">
        <w:rPr>
          <w:sz w:val="22"/>
          <w:lang w:val="en-CA"/>
        </w:rPr>
        <w:t>:</w:t>
      </w:r>
      <w:bookmarkEnd w:id="5"/>
      <w:r w:rsidRPr="00B55513">
        <w:rPr>
          <w:sz w:val="22"/>
          <w:lang w:val="en-CA"/>
        </w:rPr>
        <w:t xml:space="preserve"> </w:t>
      </w:r>
      <w:r w:rsidRPr="00D8748B">
        <w:rPr>
          <w:i/>
          <w:sz w:val="22"/>
          <w:lang w:val="en-CA"/>
        </w:rPr>
        <w:t>η</w:t>
      </w:r>
      <w:r>
        <w:rPr>
          <w:sz w:val="22"/>
          <w:lang w:val="en-CA"/>
        </w:rPr>
        <w:t>-</w:t>
      </w:r>
      <w:r>
        <w:rPr>
          <w:sz w:val="22"/>
        </w:rPr>
        <w:t>d</w:t>
      </w:r>
      <w:r w:rsidRPr="00132273">
        <w:rPr>
          <w:sz w:val="22"/>
        </w:rPr>
        <w:t>istribution</w:t>
      </w:r>
      <w:r>
        <w:rPr>
          <w:sz w:val="22"/>
        </w:rPr>
        <w:t>s and</w:t>
      </w:r>
      <w:r w:rsidRPr="00132273">
        <w:rPr>
          <w:sz w:val="22"/>
        </w:rPr>
        <w:t xml:space="preserve"> </w:t>
      </w:r>
      <w:r>
        <w:rPr>
          <w:sz w:val="22"/>
          <w:lang w:val="en-CA"/>
        </w:rPr>
        <w:t>r</w:t>
      </w:r>
      <w:r w:rsidRPr="00B55513">
        <w:rPr>
          <w:sz w:val="22"/>
          <w:lang w:val="en-CA"/>
        </w:rPr>
        <w:t xml:space="preserve">elationship </w:t>
      </w:r>
      <w:r w:rsidRPr="00132273">
        <w:rPr>
          <w:sz w:val="22"/>
        </w:rPr>
        <w:t xml:space="preserve">of the </w:t>
      </w:r>
      <w:r>
        <w:rPr>
          <w:sz w:val="22"/>
        </w:rPr>
        <w:t>final</w:t>
      </w:r>
      <w:r w:rsidRPr="00132273">
        <w:rPr>
          <w:sz w:val="22"/>
        </w:rPr>
        <w:t xml:space="preserve"> model</w:t>
      </w:r>
      <w:r>
        <w:rPr>
          <w:sz w:val="22"/>
        </w:rPr>
        <w:t xml:space="preserve"> (Red line: distribution expected from the model assumptions. Blue line: actual distribution of individual </w:t>
      </w:r>
      <w:r w:rsidRPr="005E64A3">
        <w:rPr>
          <w:rFonts w:ascii="Cambria Math" w:hAnsi="Cambria Math" w:cs="Cambria Math"/>
          <w:b w:val="0"/>
          <w:sz w:val="22"/>
          <w:szCs w:val="22"/>
          <w:lang w:val="en-CA"/>
        </w:rPr>
        <w:t>𝜂s</w:t>
      </w:r>
      <w:r>
        <w:rPr>
          <w:sz w:val="22"/>
        </w:rPr>
        <w:t>)</w:t>
      </w:r>
    </w:p>
    <w:p w14:paraId="0208467D" w14:textId="77777777" w:rsidR="001D2E8E" w:rsidRDefault="001D2E8E" w:rsidP="001D2E8E"/>
    <w:p w14:paraId="45AF2D1A" w14:textId="3428521D" w:rsidR="00C20977" w:rsidRDefault="001D2E8E" w:rsidP="001D2E8E">
      <w:pPr>
        <w:jc w:val="both"/>
      </w:pPr>
      <w:r w:rsidRPr="00B370D9">
        <w:t xml:space="preserve">Standard goodness of fit plots for </w:t>
      </w:r>
      <w:r>
        <w:t xml:space="preserve">the final Plasminogen </w:t>
      </w:r>
      <w:proofErr w:type="spellStart"/>
      <w:r>
        <w:t>PopPK</w:t>
      </w:r>
      <w:proofErr w:type="spellEnd"/>
      <w:r>
        <w:t xml:space="preserve"> </w:t>
      </w:r>
      <w:r w:rsidRPr="00B370D9">
        <w:t>model are provided</w:t>
      </w:r>
      <w:r>
        <w:t xml:space="preserve"> in</w:t>
      </w:r>
      <w:r w:rsidRPr="00B370D9">
        <w:t xml:space="preserve"> </w:t>
      </w:r>
      <w:r>
        <w:rPr>
          <w:color w:val="000000" w:themeColor="text1"/>
        </w:rPr>
        <w:fldChar w:fldCharType="begin"/>
      </w:r>
      <w:r>
        <w:rPr>
          <w:color w:val="000000" w:themeColor="text1"/>
        </w:rPr>
        <w:instrText xml:space="preserve"> REF _Ref501135086 \h </w:instrText>
      </w:r>
      <w:r>
        <w:rPr>
          <w:color w:val="000000" w:themeColor="text1"/>
        </w:rPr>
      </w:r>
      <w:r>
        <w:rPr>
          <w:color w:val="000000" w:themeColor="text1"/>
        </w:rPr>
        <w:fldChar w:fldCharType="separate"/>
      </w:r>
      <w:r w:rsidR="001B13A4" w:rsidRPr="007F0B7F">
        <w:t xml:space="preserve">Figure </w:t>
      </w:r>
      <w:r w:rsidR="001B13A4">
        <w:t>S</w:t>
      </w:r>
      <w:r w:rsidR="001B13A4">
        <w:rPr>
          <w:noProof/>
        </w:rPr>
        <w:t>6</w:t>
      </w:r>
      <w:r>
        <w:rPr>
          <w:color w:val="000000" w:themeColor="text1"/>
        </w:rPr>
        <w:fldChar w:fldCharType="end"/>
      </w:r>
      <w:r>
        <w:rPr>
          <w:color w:val="000000" w:themeColor="text1"/>
        </w:rPr>
        <w:t xml:space="preserve"> </w:t>
      </w:r>
      <w:r w:rsidRPr="0086385A">
        <w:rPr>
          <w:color w:val="000000" w:themeColor="text1"/>
        </w:rPr>
        <w:t>and</w:t>
      </w:r>
      <w:r>
        <w:rPr>
          <w:color w:val="000000" w:themeColor="text1"/>
        </w:rPr>
        <w:t xml:space="preserve"> </w:t>
      </w:r>
      <w:r w:rsidRPr="0086385A">
        <w:rPr>
          <w:color w:val="000000" w:themeColor="text1"/>
        </w:rPr>
        <w:fldChar w:fldCharType="begin"/>
      </w:r>
      <w:r w:rsidRPr="0086385A">
        <w:rPr>
          <w:color w:val="000000" w:themeColor="text1"/>
        </w:rPr>
        <w:instrText xml:space="preserve"> REF _Ref501134942 \h  \* MERGEFORMAT </w:instrText>
      </w:r>
      <w:r w:rsidRPr="0086385A">
        <w:rPr>
          <w:color w:val="000000" w:themeColor="text1"/>
        </w:rPr>
      </w:r>
      <w:r w:rsidRPr="0086385A">
        <w:rPr>
          <w:color w:val="000000" w:themeColor="text1"/>
        </w:rPr>
        <w:fldChar w:fldCharType="separate"/>
      </w:r>
      <w:r w:rsidR="001B13A4" w:rsidRPr="001B13A4">
        <w:rPr>
          <w:color w:val="000000" w:themeColor="text1"/>
        </w:rPr>
        <w:t>Figure S7</w:t>
      </w:r>
      <w:r w:rsidRPr="0086385A">
        <w:rPr>
          <w:color w:val="000000" w:themeColor="text1"/>
        </w:rPr>
        <w:fldChar w:fldCharType="end"/>
      </w:r>
      <w:r w:rsidRPr="00B370D9">
        <w:t xml:space="preserve">. The observed versus population and individual predicted </w:t>
      </w:r>
      <w:r w:rsidR="00EF07CB">
        <w:t>plasminogen</w:t>
      </w:r>
      <w:r w:rsidRPr="00B370D9">
        <w:t xml:space="preserve"> activity show that the model described the data well, with</w:t>
      </w:r>
      <w:r>
        <w:t xml:space="preserve"> an</w:t>
      </w:r>
      <w:r w:rsidRPr="00B370D9">
        <w:t xml:space="preserve"> </w:t>
      </w:r>
      <w:r>
        <w:t>R</w:t>
      </w:r>
      <w:r w:rsidRPr="00486FC4">
        <w:rPr>
          <w:vertAlign w:val="superscript"/>
        </w:rPr>
        <w:t>2</w:t>
      </w:r>
      <w:r>
        <w:t xml:space="preserve"> value of 0.96 and </w:t>
      </w:r>
      <w:r w:rsidRPr="00B370D9">
        <w:t>smoothers of the data lying on the line of unity</w:t>
      </w:r>
      <w:r>
        <w:t xml:space="preserve"> </w:t>
      </w:r>
      <w:r w:rsidRPr="00B370D9">
        <w:t>(</w:t>
      </w:r>
      <w:r>
        <w:rPr>
          <w:color w:val="000000" w:themeColor="text1"/>
        </w:rPr>
        <w:fldChar w:fldCharType="begin"/>
      </w:r>
      <w:r>
        <w:rPr>
          <w:color w:val="000000" w:themeColor="text1"/>
        </w:rPr>
        <w:instrText xml:space="preserve"> REF _Ref501135086 \h </w:instrText>
      </w:r>
      <w:r>
        <w:rPr>
          <w:color w:val="000000" w:themeColor="text1"/>
        </w:rPr>
      </w:r>
      <w:r>
        <w:rPr>
          <w:color w:val="000000" w:themeColor="text1"/>
        </w:rPr>
        <w:fldChar w:fldCharType="separate"/>
      </w:r>
      <w:r w:rsidR="001B13A4" w:rsidRPr="007F0B7F">
        <w:t xml:space="preserve">Figure </w:t>
      </w:r>
      <w:r w:rsidR="001B13A4">
        <w:t>S</w:t>
      </w:r>
      <w:r w:rsidR="001B13A4">
        <w:rPr>
          <w:noProof/>
        </w:rPr>
        <w:t>6</w:t>
      </w:r>
      <w:r>
        <w:rPr>
          <w:color w:val="000000" w:themeColor="text1"/>
        </w:rPr>
        <w:fldChar w:fldCharType="end"/>
      </w:r>
      <w:r w:rsidRPr="00B370D9">
        <w:t>). The distribution of CWRES (</w:t>
      </w:r>
      <w:r w:rsidRPr="0086385A">
        <w:rPr>
          <w:color w:val="000000" w:themeColor="text1"/>
        </w:rPr>
        <w:fldChar w:fldCharType="begin"/>
      </w:r>
      <w:r w:rsidRPr="0086385A">
        <w:rPr>
          <w:color w:val="000000" w:themeColor="text1"/>
        </w:rPr>
        <w:instrText xml:space="preserve"> REF _Ref501134942 \h  \* MERGEFORMAT </w:instrText>
      </w:r>
      <w:r w:rsidRPr="0086385A">
        <w:rPr>
          <w:color w:val="000000" w:themeColor="text1"/>
        </w:rPr>
      </w:r>
      <w:r w:rsidRPr="0086385A">
        <w:rPr>
          <w:color w:val="000000" w:themeColor="text1"/>
        </w:rPr>
        <w:fldChar w:fldCharType="separate"/>
      </w:r>
      <w:r w:rsidR="001B13A4" w:rsidRPr="001B13A4">
        <w:rPr>
          <w:color w:val="000000" w:themeColor="text1"/>
        </w:rPr>
        <w:t>Figure S7</w:t>
      </w:r>
      <w:r w:rsidRPr="0086385A">
        <w:rPr>
          <w:color w:val="000000" w:themeColor="text1"/>
        </w:rPr>
        <w:fldChar w:fldCharType="end"/>
      </w:r>
      <w:r w:rsidRPr="00B370D9">
        <w:t>) was approximately normally distributed and centered around zero</w:t>
      </w:r>
      <w:r>
        <w:t xml:space="preserve"> along either the population prediction values or the time after dose</w:t>
      </w:r>
      <w:r w:rsidRPr="00B370D9">
        <w:t xml:space="preserve">, </w:t>
      </w:r>
      <w:r>
        <w:t>all values</w:t>
      </w:r>
      <w:r w:rsidRPr="00B370D9">
        <w:t xml:space="preserve"> </w:t>
      </w:r>
      <w:r>
        <w:t xml:space="preserve">were within a range of ±4, </w:t>
      </w:r>
      <w:r w:rsidRPr="00B370D9">
        <w:t xml:space="preserve">suggesting </w:t>
      </w:r>
      <w:r w:rsidR="004674A6">
        <w:t>the absence of outliers</w:t>
      </w:r>
      <w:r w:rsidRPr="00B370D9">
        <w:t>.</w:t>
      </w:r>
    </w:p>
    <w:p w14:paraId="0FB3C753" w14:textId="77777777" w:rsidR="001D2E8E" w:rsidRDefault="001D2E8E" w:rsidP="001D2E8E">
      <w:pPr>
        <w:jc w:val="both"/>
      </w:pPr>
      <w:r w:rsidRPr="008C592D">
        <w:rPr>
          <w:noProof/>
          <w:lang w:eastAsia="en-CA"/>
        </w:rPr>
        <w:lastRenderedPageBreak/>
        <w:drawing>
          <wp:inline distT="0" distB="0" distL="0" distR="0" wp14:anchorId="6E9583BF" wp14:editId="78EC2F3E">
            <wp:extent cx="5760720" cy="2880360"/>
            <wp:effectExtent l="0" t="0" r="0" b="0"/>
            <wp:docPr id="15" name="Picture 15" descr="C:\Users\pchelle\Desktop\Plasminogen\Analysis\Figures\obs-vs-p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helle\Desktop\Plasminogen\Analysis\Figures\obs-vs-pred.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880360"/>
                    </a:xfrm>
                    <a:prstGeom prst="rect">
                      <a:avLst/>
                    </a:prstGeom>
                    <a:noFill/>
                    <a:ln>
                      <a:noFill/>
                    </a:ln>
                  </pic:spPr>
                </pic:pic>
              </a:graphicData>
            </a:graphic>
          </wp:inline>
        </w:drawing>
      </w:r>
    </w:p>
    <w:p w14:paraId="7EF27D16" w14:textId="012B7E1B" w:rsidR="001D2E8E" w:rsidRPr="00A91271" w:rsidRDefault="001D2E8E" w:rsidP="001D2E8E">
      <w:pPr>
        <w:pStyle w:val="Caption"/>
        <w:rPr>
          <w:sz w:val="22"/>
          <w:lang w:val="en-CA"/>
        </w:rPr>
      </w:pPr>
      <w:bookmarkStart w:id="6" w:name="_Ref501135086"/>
      <w:r w:rsidRPr="007F0B7F">
        <w:rPr>
          <w:sz w:val="22"/>
          <w:szCs w:val="22"/>
          <w:lang w:val="en-CA"/>
        </w:rPr>
        <w:t xml:space="preserve">Figure </w:t>
      </w:r>
      <w:r w:rsidR="00EF07CB">
        <w:rPr>
          <w:sz w:val="22"/>
          <w:szCs w:val="22"/>
          <w:lang w:val="en-CA"/>
        </w:rPr>
        <w:t>S</w:t>
      </w:r>
      <w:r w:rsidRPr="007F0B7F">
        <w:rPr>
          <w:sz w:val="22"/>
          <w:szCs w:val="22"/>
          <w:lang w:val="en-CA"/>
        </w:rPr>
        <w:fldChar w:fldCharType="begin"/>
      </w:r>
      <w:r w:rsidRPr="007F0B7F">
        <w:rPr>
          <w:sz w:val="22"/>
          <w:szCs w:val="22"/>
          <w:lang w:val="en-CA"/>
        </w:rPr>
        <w:instrText xml:space="preserve"> SEQ Figure \* ARABIC </w:instrText>
      </w:r>
      <w:r w:rsidRPr="007F0B7F">
        <w:rPr>
          <w:sz w:val="22"/>
          <w:szCs w:val="22"/>
          <w:lang w:val="en-CA"/>
        </w:rPr>
        <w:fldChar w:fldCharType="separate"/>
      </w:r>
      <w:r w:rsidR="001B13A4">
        <w:rPr>
          <w:noProof/>
          <w:sz w:val="22"/>
          <w:szCs w:val="22"/>
          <w:lang w:val="en-CA"/>
        </w:rPr>
        <w:t>6</w:t>
      </w:r>
      <w:r w:rsidRPr="007F0B7F">
        <w:rPr>
          <w:sz w:val="22"/>
          <w:szCs w:val="22"/>
          <w:lang w:val="en-CA"/>
        </w:rPr>
        <w:fldChar w:fldCharType="end"/>
      </w:r>
      <w:bookmarkEnd w:id="6"/>
      <w:r w:rsidRPr="00B55513">
        <w:rPr>
          <w:sz w:val="22"/>
          <w:lang w:val="en-CA"/>
        </w:rPr>
        <w:t>: Goodness of fit plots</w:t>
      </w:r>
      <w:r>
        <w:rPr>
          <w:sz w:val="22"/>
          <w:lang w:val="en-CA"/>
        </w:rPr>
        <w:t xml:space="preserve"> on a linear (left graph) and log (right graph) scale</w:t>
      </w:r>
    </w:p>
    <w:p w14:paraId="37B5AF33" w14:textId="77777777" w:rsidR="001D2E8E" w:rsidRDefault="001D2E8E" w:rsidP="001D2E8E">
      <w:r w:rsidRPr="00A95DA1">
        <w:rPr>
          <w:noProof/>
          <w:lang w:eastAsia="en-CA"/>
        </w:rPr>
        <w:drawing>
          <wp:inline distT="0" distB="0" distL="0" distR="0" wp14:anchorId="17DD5D47" wp14:editId="22503B18">
            <wp:extent cx="5760720" cy="3451860"/>
            <wp:effectExtent l="0" t="0" r="0" b="0"/>
            <wp:docPr id="31" name="Picture 31" descr="C:\Users\pchelle\Desktop\Plasminogen\Analysis\Figures\cwres-distribu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chelle\Desktop\Plasminogen\Analysis\Figures\cwres-distributions.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3451860"/>
                    </a:xfrm>
                    <a:prstGeom prst="rect">
                      <a:avLst/>
                    </a:prstGeom>
                    <a:noFill/>
                    <a:ln>
                      <a:noFill/>
                    </a:ln>
                  </pic:spPr>
                </pic:pic>
              </a:graphicData>
            </a:graphic>
          </wp:inline>
        </w:drawing>
      </w:r>
    </w:p>
    <w:p w14:paraId="500F1B42" w14:textId="23B54716" w:rsidR="001D2E8E" w:rsidRDefault="001D2E8E" w:rsidP="001D2E8E">
      <w:pPr>
        <w:pStyle w:val="Caption"/>
        <w:rPr>
          <w:sz w:val="22"/>
          <w:lang w:val="en-CA"/>
        </w:rPr>
      </w:pPr>
      <w:bookmarkStart w:id="7" w:name="_Ref501134942"/>
      <w:r w:rsidRPr="00C22C95">
        <w:rPr>
          <w:sz w:val="22"/>
          <w:lang w:val="en-CA"/>
        </w:rPr>
        <w:t xml:space="preserve">Figure </w:t>
      </w:r>
      <w:r w:rsidR="00EF07CB">
        <w:rPr>
          <w:sz w:val="22"/>
          <w:lang w:val="en-CA"/>
        </w:rPr>
        <w:t>S</w:t>
      </w:r>
      <w:r w:rsidRPr="002F2659">
        <w:rPr>
          <w:sz w:val="22"/>
          <w:lang w:val="en-CA"/>
        </w:rPr>
        <w:fldChar w:fldCharType="begin"/>
      </w:r>
      <w:r w:rsidRPr="007F0B7F">
        <w:rPr>
          <w:sz w:val="22"/>
          <w:lang w:val="en-CA"/>
        </w:rPr>
        <w:instrText xml:space="preserve"> SEQ Figure \* ARABIC </w:instrText>
      </w:r>
      <w:r w:rsidRPr="002F2659">
        <w:rPr>
          <w:sz w:val="22"/>
          <w:lang w:val="en-CA"/>
        </w:rPr>
        <w:fldChar w:fldCharType="separate"/>
      </w:r>
      <w:r w:rsidR="001B13A4">
        <w:rPr>
          <w:noProof/>
          <w:sz w:val="22"/>
          <w:lang w:val="en-CA"/>
        </w:rPr>
        <w:t>7</w:t>
      </w:r>
      <w:r w:rsidRPr="002F2659">
        <w:rPr>
          <w:noProof/>
          <w:sz w:val="22"/>
          <w:lang w:val="en-CA"/>
        </w:rPr>
        <w:fldChar w:fldCharType="end"/>
      </w:r>
      <w:bookmarkEnd w:id="7"/>
      <w:r w:rsidRPr="002F2659">
        <w:rPr>
          <w:sz w:val="22"/>
          <w:lang w:val="en-CA"/>
        </w:rPr>
        <w:t>: Conditional weighted residuals (CWRES) plots</w:t>
      </w:r>
    </w:p>
    <w:p w14:paraId="5459AFA2" w14:textId="2E74852A" w:rsidR="00A34AB6" w:rsidRDefault="00A34AB6">
      <w:r>
        <w:br w:type="page"/>
      </w:r>
    </w:p>
    <w:p w14:paraId="472579EB" w14:textId="25DF49B1" w:rsidR="001D2E8E" w:rsidRDefault="00A34AB6" w:rsidP="003578B3">
      <w:pPr>
        <w:pStyle w:val="Heading1"/>
      </w:pPr>
      <w:r>
        <w:lastRenderedPageBreak/>
        <w:t>Terminal Half-life</w:t>
      </w:r>
    </w:p>
    <w:p w14:paraId="55FC0076" w14:textId="0AD24D3C" w:rsidR="00795EB7" w:rsidRDefault="000F0491" w:rsidP="000F0491">
      <w:r>
        <w:t>In this section, apparent half-life was calculated from the simulated time, plasminogen activity and plasminogen activity baseline level using the formula below:</w:t>
      </w:r>
    </w:p>
    <w:p w14:paraId="04A9A700" w14:textId="44DDDFE9" w:rsidR="00795EB7" w:rsidRDefault="003F2F16" w:rsidP="001D2E8E">
      <m:oMathPara>
        <m:oMath>
          <m:sSubSup>
            <m:sSubSupPr>
              <m:ctrlPr>
                <w:rPr>
                  <w:rFonts w:ascii="Cambria Math" w:hAnsi="Cambria Math"/>
                  <w:i/>
                </w:rPr>
              </m:ctrlPr>
            </m:sSubSupPr>
            <m:e>
              <m:r>
                <w:rPr>
                  <w:rFonts w:ascii="Cambria Math" w:hAnsi="Cambria Math"/>
                </w:rPr>
                <m:t>t</m:t>
              </m:r>
            </m:e>
            <m:sub>
              <m:r>
                <w:rPr>
                  <w:rFonts w:ascii="Cambria Math" w:hAnsi="Cambria Math"/>
                </w:rPr>
                <m:t>1/2</m:t>
              </m:r>
            </m:sub>
            <m:sup>
              <m:r>
                <w:rPr>
                  <w:rFonts w:ascii="Cambria Math" w:hAnsi="Cambria Math"/>
                </w:rPr>
                <m:t>apparent</m:t>
              </m:r>
            </m:sup>
          </m:sSubSup>
          <m:r>
            <w:rPr>
              <w:rFonts w:ascii="Cambria Math" w:hAnsi="Cambria Math"/>
            </w:rPr>
            <m:t>=</m:t>
          </m:r>
          <m:func>
            <m:funcPr>
              <m:ctrlPr>
                <w:rPr>
                  <w:rFonts w:ascii="Cambria Math" w:hAnsi="Cambria Math"/>
                </w:rPr>
              </m:ctrlPr>
            </m:funcPr>
            <m:fName>
              <m:r>
                <m:rPr>
                  <m:sty m:val="p"/>
                </m:rPr>
                <w:rPr>
                  <w:rFonts w:ascii="Cambria Math" w:hAnsi="Cambria Math"/>
                </w:rPr>
                <m:t>- log</m:t>
              </m:r>
            </m:fName>
            <m:e>
              <m:d>
                <m:dPr>
                  <m:ctrlPr>
                    <w:rPr>
                      <w:rFonts w:ascii="Cambria Math" w:hAnsi="Cambria Math"/>
                      <w:i/>
                    </w:rPr>
                  </m:ctrlPr>
                </m:dPr>
                <m:e>
                  <m:r>
                    <w:rPr>
                      <w:rFonts w:ascii="Cambria Math" w:hAnsi="Cambria Math"/>
                    </w:rPr>
                    <m:t>2</m:t>
                  </m:r>
                </m:e>
              </m:d>
            </m:e>
          </m:func>
          <m:r>
            <w:rPr>
              <w:rFonts w:ascii="Cambria Math" w:hAnsi="Cambria Math"/>
            </w:rPr>
            <m:t>*</m:t>
          </m:r>
          <m:f>
            <m:fPr>
              <m:ctrlPr>
                <w:rPr>
                  <w:rFonts w:ascii="Cambria Math" w:hAnsi="Cambria Math"/>
                  <w:i/>
                </w:rPr>
              </m:ctrlPr>
            </m:fPr>
            <m:num>
              <m:r>
                <w:rPr>
                  <w:rFonts w:ascii="Cambria Math" w:hAnsi="Cambria Math"/>
                </w:rPr>
                <m:t>∆time</m:t>
              </m:r>
            </m:num>
            <m:den>
              <m:r>
                <w:rPr>
                  <w:rFonts w:ascii="Cambria Math" w:hAnsi="Cambria Math"/>
                </w:rPr>
                <m:t>∆</m:t>
              </m:r>
              <m:r>
                <m:rPr>
                  <m:sty m:val="p"/>
                </m:rPr>
                <w:rPr>
                  <w:rFonts w:ascii="Cambria Math" w:hAnsi="Cambria Math"/>
                </w:rPr>
                <m:t>log⁡</m:t>
              </m:r>
              <m:r>
                <w:rPr>
                  <w:rFonts w:ascii="Cambria Math" w:hAnsi="Cambria Math"/>
                </w:rPr>
                <m:t>(activity-baseline)</m:t>
              </m:r>
            </m:den>
          </m:f>
        </m:oMath>
      </m:oMathPara>
    </w:p>
    <w:p w14:paraId="5409AA7A" w14:textId="5B6FE25D" w:rsidR="000F0491" w:rsidRDefault="000F0491" w:rsidP="000F0491">
      <w:pPr>
        <w:jc w:val="both"/>
      </w:pPr>
      <w:r>
        <w:t xml:space="preserve">For the 5 participants who had rich sampled data over a 10-days period, the estimated activity vs time profile was simulated and displayed in </w:t>
      </w:r>
      <w:r>
        <w:fldChar w:fldCharType="begin"/>
      </w:r>
      <w:r>
        <w:instrText xml:space="preserve"> REF _Ref149621733 \h </w:instrText>
      </w:r>
      <w:r>
        <w:fldChar w:fldCharType="separate"/>
      </w:r>
      <w:r w:rsidR="001B13A4" w:rsidRPr="00C22C95">
        <w:t xml:space="preserve">Figure </w:t>
      </w:r>
      <w:r w:rsidR="001B13A4">
        <w:t>S</w:t>
      </w:r>
      <w:r w:rsidR="001B13A4">
        <w:rPr>
          <w:noProof/>
        </w:rPr>
        <w:t>8</w:t>
      </w:r>
      <w:r>
        <w:fldChar w:fldCharType="end"/>
      </w:r>
      <w:r>
        <w:t xml:space="preserve">. On the top </w:t>
      </w:r>
      <w:r w:rsidR="004674A6">
        <w:t>panel</w:t>
      </w:r>
      <w:r>
        <w:t xml:space="preserve">, the estimated total plasminogen activities fit very well the observed. </w:t>
      </w:r>
      <w:r w:rsidR="00E32732">
        <w:t xml:space="preserve">Adjusting to baseline activity level, </w:t>
      </w:r>
      <w:r w:rsidR="004674A6">
        <w:t xml:space="preserve">the middle </w:t>
      </w:r>
      <w:proofErr w:type="gramStart"/>
      <w:r w:rsidR="004674A6">
        <w:t xml:space="preserve">panel </w:t>
      </w:r>
      <w:r w:rsidR="00E32732">
        <w:t xml:space="preserve"> shows</w:t>
      </w:r>
      <w:proofErr w:type="gramEnd"/>
      <w:r w:rsidR="00E32732">
        <w:t xml:space="preserve"> more error variability after 5 days post infusion. Except for participant #2 whose profile is underestimated (because his PK estimate also accounts for his Phase 2/3 data), the baseline-adjusted observed data is still well fitted by the estimated. </w:t>
      </w:r>
      <w:r>
        <w:t xml:space="preserve">The apparent half-life profiles </w:t>
      </w:r>
      <w:r w:rsidR="004674A6">
        <w:t xml:space="preserve">in the last panel </w:t>
      </w:r>
      <w:r w:rsidR="00E32732">
        <w:t xml:space="preserve">for all these participants show an increase </w:t>
      </w:r>
      <w:r w:rsidR="004674A6">
        <w:t xml:space="preserve">across </w:t>
      </w:r>
      <w:r w:rsidR="00E32732">
        <w:t>time until reaching a plateau at 8 days post-infusion corresponding to their terminal half-life (</w:t>
      </w:r>
      <w:r w:rsidR="00E32732">
        <w:fldChar w:fldCharType="begin"/>
      </w:r>
      <w:r w:rsidR="00E32732">
        <w:instrText xml:space="preserve"> REF _Ref149621733 \h </w:instrText>
      </w:r>
      <w:r w:rsidR="00E32732">
        <w:fldChar w:fldCharType="separate"/>
      </w:r>
      <w:r w:rsidR="001B13A4" w:rsidRPr="00C22C95">
        <w:t xml:space="preserve">Figure </w:t>
      </w:r>
      <w:r w:rsidR="001B13A4">
        <w:t>S</w:t>
      </w:r>
      <w:r w:rsidR="001B13A4">
        <w:rPr>
          <w:noProof/>
        </w:rPr>
        <w:t>8</w:t>
      </w:r>
      <w:r w:rsidR="00E32732">
        <w:fldChar w:fldCharType="end"/>
      </w:r>
      <w:r w:rsidR="00E32732">
        <w:t xml:space="preserve"> bottom plot). The apparent half-life at 4 days post-infusion was twice </w:t>
      </w:r>
      <w:r w:rsidR="004674A6">
        <w:t xml:space="preserve">times </w:t>
      </w:r>
      <w:r w:rsidR="00E32732">
        <w:t xml:space="preserve">lower than terminal half-life. These simulations show that reported terminal half-life values for plasminogen PK can vary due to sampling and estimation methods. Since Plasminogen treatment is recommended twice weekly, the terminal phase may not be reached in routine settings and </w:t>
      </w:r>
      <w:r w:rsidR="00215997">
        <w:t xml:space="preserve">apparent half-life </w:t>
      </w:r>
      <w:r w:rsidR="00256FB7">
        <w:t>values may be</w:t>
      </w:r>
      <w:r w:rsidR="00215997">
        <w:t xml:space="preserve"> discrepant from terminal half-life</w:t>
      </w:r>
      <w:r w:rsidR="00256FB7">
        <w:t xml:space="preserve"> values</w:t>
      </w:r>
      <w:r w:rsidR="00215997">
        <w:t>.</w:t>
      </w:r>
    </w:p>
    <w:p w14:paraId="1C462283" w14:textId="77777777" w:rsidR="00215997" w:rsidRDefault="00215997" w:rsidP="000F0491">
      <w:pPr>
        <w:jc w:val="both"/>
      </w:pPr>
    </w:p>
    <w:p w14:paraId="788162CF" w14:textId="7A6BD1E5" w:rsidR="000F0491" w:rsidRPr="000F0491" w:rsidRDefault="000F0491" w:rsidP="000F0491">
      <w:pPr>
        <w:pStyle w:val="Caption"/>
        <w:rPr>
          <w:sz w:val="22"/>
          <w:szCs w:val="22"/>
        </w:rPr>
      </w:pPr>
      <w:r w:rsidRPr="000F0491">
        <w:rPr>
          <w:sz w:val="22"/>
          <w:szCs w:val="22"/>
        </w:rPr>
        <w:t xml:space="preserve">Table </w:t>
      </w:r>
      <w:r>
        <w:rPr>
          <w:sz w:val="22"/>
          <w:szCs w:val="22"/>
        </w:rPr>
        <w:t>S</w:t>
      </w:r>
      <w:r w:rsidRPr="000F0491">
        <w:rPr>
          <w:sz w:val="22"/>
          <w:szCs w:val="22"/>
        </w:rPr>
        <w:fldChar w:fldCharType="begin"/>
      </w:r>
      <w:r w:rsidRPr="000F0491">
        <w:rPr>
          <w:sz w:val="22"/>
          <w:szCs w:val="22"/>
        </w:rPr>
        <w:instrText xml:space="preserve"> SEQ Table \* ARABIC </w:instrText>
      </w:r>
      <w:r w:rsidRPr="000F0491">
        <w:rPr>
          <w:sz w:val="22"/>
          <w:szCs w:val="22"/>
        </w:rPr>
        <w:fldChar w:fldCharType="separate"/>
      </w:r>
      <w:r w:rsidR="001B13A4">
        <w:rPr>
          <w:noProof/>
          <w:sz w:val="22"/>
          <w:szCs w:val="22"/>
        </w:rPr>
        <w:t>1</w:t>
      </w:r>
      <w:r w:rsidRPr="000F0491">
        <w:rPr>
          <w:sz w:val="22"/>
          <w:szCs w:val="22"/>
        </w:rPr>
        <w:fldChar w:fldCharType="end"/>
      </w:r>
      <w:r w:rsidRPr="000F0491">
        <w:rPr>
          <w:sz w:val="22"/>
          <w:szCs w:val="22"/>
        </w:rPr>
        <w:t>: Input information and estimated terminal half-life for the 5 participants with rich sampled data over a 10-days period.</w:t>
      </w:r>
    </w:p>
    <w:tbl>
      <w:tblPr>
        <w:tblStyle w:val="TableGrid"/>
        <w:tblW w:w="5000" w:type="pct"/>
        <w:tblLook w:val="04A0" w:firstRow="1" w:lastRow="0" w:firstColumn="1" w:lastColumn="0" w:noHBand="0" w:noVBand="1"/>
      </w:tblPr>
      <w:tblGrid>
        <w:gridCol w:w="1630"/>
        <w:gridCol w:w="1664"/>
        <w:gridCol w:w="1275"/>
        <w:gridCol w:w="1322"/>
        <w:gridCol w:w="1593"/>
        <w:gridCol w:w="1866"/>
      </w:tblGrid>
      <w:tr w:rsidR="005D76EE" w:rsidRPr="00795EB7" w14:paraId="758A7F79" w14:textId="77777777" w:rsidTr="00795EB7">
        <w:tc>
          <w:tcPr>
            <w:tcW w:w="871" w:type="pct"/>
            <w:vAlign w:val="center"/>
          </w:tcPr>
          <w:p w14:paraId="6E9EA170" w14:textId="4E0FAEB7" w:rsidR="005D76EE" w:rsidRPr="00795EB7" w:rsidRDefault="005D76EE" w:rsidP="00795EB7">
            <w:pPr>
              <w:rPr>
                <w:b/>
                <w:bCs/>
              </w:rPr>
            </w:pPr>
            <w:r w:rsidRPr="00795EB7">
              <w:rPr>
                <w:b/>
                <w:bCs/>
              </w:rPr>
              <w:t>Participant</w:t>
            </w:r>
          </w:p>
        </w:tc>
        <w:tc>
          <w:tcPr>
            <w:tcW w:w="890" w:type="pct"/>
            <w:vAlign w:val="center"/>
          </w:tcPr>
          <w:p w14:paraId="53434A9D" w14:textId="77777777" w:rsidR="005D76EE" w:rsidRPr="00795EB7" w:rsidRDefault="005D76EE" w:rsidP="00795EB7">
            <w:pPr>
              <w:rPr>
                <w:b/>
                <w:bCs/>
              </w:rPr>
            </w:pPr>
            <w:r w:rsidRPr="00795EB7">
              <w:rPr>
                <w:b/>
                <w:bCs/>
              </w:rPr>
              <w:t xml:space="preserve">Terminal </w:t>
            </w:r>
          </w:p>
          <w:p w14:paraId="0CA5D029" w14:textId="6AFB01DD" w:rsidR="005D76EE" w:rsidRPr="00795EB7" w:rsidRDefault="005D76EE" w:rsidP="00795EB7">
            <w:pPr>
              <w:rPr>
                <w:b/>
                <w:bCs/>
              </w:rPr>
            </w:pPr>
            <w:r w:rsidRPr="00795EB7">
              <w:rPr>
                <w:b/>
                <w:bCs/>
              </w:rPr>
              <w:t>Half-life (h)</w:t>
            </w:r>
          </w:p>
        </w:tc>
        <w:tc>
          <w:tcPr>
            <w:tcW w:w="682" w:type="pct"/>
            <w:vAlign w:val="center"/>
          </w:tcPr>
          <w:p w14:paraId="058FC292" w14:textId="77777777" w:rsidR="00795EB7" w:rsidRPr="00795EB7" w:rsidRDefault="005D76EE" w:rsidP="00795EB7">
            <w:pPr>
              <w:rPr>
                <w:b/>
                <w:bCs/>
              </w:rPr>
            </w:pPr>
            <w:r w:rsidRPr="00795EB7">
              <w:rPr>
                <w:b/>
                <w:bCs/>
              </w:rPr>
              <w:t xml:space="preserve">Dose </w:t>
            </w:r>
          </w:p>
          <w:p w14:paraId="50A0953A" w14:textId="7429E053" w:rsidR="005D76EE" w:rsidRPr="00795EB7" w:rsidRDefault="005D76EE" w:rsidP="00795EB7">
            <w:pPr>
              <w:rPr>
                <w:b/>
                <w:bCs/>
              </w:rPr>
            </w:pPr>
            <w:r w:rsidRPr="00795EB7">
              <w:rPr>
                <w:b/>
                <w:bCs/>
              </w:rPr>
              <w:t>(mg/kg)</w:t>
            </w:r>
          </w:p>
        </w:tc>
        <w:tc>
          <w:tcPr>
            <w:tcW w:w="707" w:type="pct"/>
            <w:vAlign w:val="center"/>
          </w:tcPr>
          <w:p w14:paraId="5EB65E8A" w14:textId="55198F70" w:rsidR="005D76EE" w:rsidRPr="00795EB7" w:rsidRDefault="005D76EE" w:rsidP="00795EB7">
            <w:pPr>
              <w:rPr>
                <w:b/>
                <w:bCs/>
              </w:rPr>
            </w:pPr>
            <w:r w:rsidRPr="00795EB7">
              <w:rPr>
                <w:b/>
                <w:bCs/>
              </w:rPr>
              <w:t>Samples</w:t>
            </w:r>
          </w:p>
        </w:tc>
        <w:tc>
          <w:tcPr>
            <w:tcW w:w="852" w:type="pct"/>
            <w:vAlign w:val="center"/>
          </w:tcPr>
          <w:p w14:paraId="593C4AF6" w14:textId="7D2F87EE" w:rsidR="005D76EE" w:rsidRPr="00795EB7" w:rsidRDefault="005D76EE" w:rsidP="00795EB7">
            <w:pPr>
              <w:rPr>
                <w:b/>
                <w:bCs/>
              </w:rPr>
            </w:pPr>
            <w:r w:rsidRPr="00795EB7">
              <w:rPr>
                <w:b/>
                <w:bCs/>
              </w:rPr>
              <w:t xml:space="preserve">Latest </w:t>
            </w:r>
          </w:p>
          <w:p w14:paraId="426FEA8D" w14:textId="375BD662" w:rsidR="005D76EE" w:rsidRPr="00795EB7" w:rsidRDefault="005D76EE" w:rsidP="00795EB7">
            <w:pPr>
              <w:rPr>
                <w:b/>
                <w:bCs/>
              </w:rPr>
            </w:pPr>
            <w:r w:rsidRPr="00795EB7">
              <w:rPr>
                <w:b/>
                <w:bCs/>
              </w:rPr>
              <w:t>sample (h)</w:t>
            </w:r>
          </w:p>
        </w:tc>
        <w:tc>
          <w:tcPr>
            <w:tcW w:w="999" w:type="pct"/>
            <w:vAlign w:val="center"/>
          </w:tcPr>
          <w:p w14:paraId="58DE174F" w14:textId="77777777" w:rsidR="00795EB7" w:rsidRPr="00795EB7" w:rsidRDefault="005D76EE" w:rsidP="00795EB7">
            <w:pPr>
              <w:rPr>
                <w:b/>
                <w:bCs/>
              </w:rPr>
            </w:pPr>
            <w:r w:rsidRPr="00795EB7">
              <w:rPr>
                <w:b/>
                <w:bCs/>
              </w:rPr>
              <w:t xml:space="preserve">Baseline </w:t>
            </w:r>
          </w:p>
          <w:p w14:paraId="44F4889E" w14:textId="77281C99" w:rsidR="00795EB7" w:rsidRPr="00795EB7" w:rsidRDefault="005D76EE" w:rsidP="00795EB7">
            <w:pPr>
              <w:rPr>
                <w:b/>
                <w:bCs/>
              </w:rPr>
            </w:pPr>
            <w:r w:rsidRPr="00795EB7">
              <w:rPr>
                <w:b/>
                <w:bCs/>
              </w:rPr>
              <w:t xml:space="preserve">Plasminogen </w:t>
            </w:r>
          </w:p>
          <w:p w14:paraId="56A43B79" w14:textId="61C45B6E" w:rsidR="005D76EE" w:rsidRPr="00795EB7" w:rsidRDefault="005D76EE" w:rsidP="00795EB7">
            <w:pPr>
              <w:rPr>
                <w:b/>
                <w:bCs/>
              </w:rPr>
            </w:pPr>
            <w:r w:rsidRPr="00795EB7">
              <w:rPr>
                <w:b/>
                <w:bCs/>
              </w:rPr>
              <w:t>Level (%)</w:t>
            </w:r>
          </w:p>
        </w:tc>
      </w:tr>
      <w:tr w:rsidR="005D76EE" w14:paraId="69C0E94A" w14:textId="77777777" w:rsidTr="00795EB7">
        <w:tc>
          <w:tcPr>
            <w:tcW w:w="871" w:type="pct"/>
            <w:vAlign w:val="center"/>
          </w:tcPr>
          <w:p w14:paraId="5D494216" w14:textId="4AAE7F2B" w:rsidR="005D76EE" w:rsidRDefault="005D76EE" w:rsidP="00795EB7">
            <w:r>
              <w:t>1</w:t>
            </w:r>
          </w:p>
        </w:tc>
        <w:tc>
          <w:tcPr>
            <w:tcW w:w="890" w:type="pct"/>
            <w:vAlign w:val="center"/>
          </w:tcPr>
          <w:p w14:paraId="4661EF12" w14:textId="7F1575C3" w:rsidR="005D76EE" w:rsidRDefault="005D76EE" w:rsidP="00795EB7">
            <w:r>
              <w:t>114</w:t>
            </w:r>
          </w:p>
        </w:tc>
        <w:tc>
          <w:tcPr>
            <w:tcW w:w="682" w:type="pct"/>
            <w:vAlign w:val="center"/>
          </w:tcPr>
          <w:p w14:paraId="2BEDF74F" w14:textId="69BBCE2F" w:rsidR="005D76EE" w:rsidRDefault="005D76EE" w:rsidP="00795EB7">
            <w:r>
              <w:t>6</w:t>
            </w:r>
          </w:p>
        </w:tc>
        <w:tc>
          <w:tcPr>
            <w:tcW w:w="707" w:type="pct"/>
            <w:vAlign w:val="center"/>
          </w:tcPr>
          <w:p w14:paraId="159ADD21" w14:textId="3B89AE3C" w:rsidR="005D76EE" w:rsidRDefault="005D76EE" w:rsidP="00795EB7">
            <w:r>
              <w:t>11</w:t>
            </w:r>
          </w:p>
        </w:tc>
        <w:tc>
          <w:tcPr>
            <w:tcW w:w="852" w:type="pct"/>
            <w:vAlign w:val="center"/>
          </w:tcPr>
          <w:p w14:paraId="6041AC61" w14:textId="67221E6D" w:rsidR="005D76EE" w:rsidRDefault="005D76EE" w:rsidP="00795EB7">
            <w:r>
              <w:t>214</w:t>
            </w:r>
          </w:p>
        </w:tc>
        <w:tc>
          <w:tcPr>
            <w:tcW w:w="999" w:type="pct"/>
            <w:vAlign w:val="center"/>
          </w:tcPr>
          <w:p w14:paraId="5E792D04" w14:textId="30489F79" w:rsidR="005D76EE" w:rsidRDefault="005D76EE" w:rsidP="00795EB7">
            <w:r>
              <w:t>26</w:t>
            </w:r>
          </w:p>
        </w:tc>
      </w:tr>
      <w:tr w:rsidR="005D76EE" w14:paraId="68BA0F89" w14:textId="77777777" w:rsidTr="00795EB7">
        <w:tc>
          <w:tcPr>
            <w:tcW w:w="871" w:type="pct"/>
            <w:vAlign w:val="center"/>
          </w:tcPr>
          <w:p w14:paraId="28C298DF" w14:textId="2351628C" w:rsidR="005D76EE" w:rsidRDefault="005D76EE" w:rsidP="00795EB7">
            <w:r>
              <w:t>2</w:t>
            </w:r>
          </w:p>
        </w:tc>
        <w:tc>
          <w:tcPr>
            <w:tcW w:w="890" w:type="pct"/>
            <w:vAlign w:val="center"/>
          </w:tcPr>
          <w:p w14:paraId="2056B89C" w14:textId="42AA0B2E" w:rsidR="005D76EE" w:rsidRDefault="005D76EE" w:rsidP="00795EB7">
            <w:r>
              <w:t>143</w:t>
            </w:r>
          </w:p>
        </w:tc>
        <w:tc>
          <w:tcPr>
            <w:tcW w:w="682" w:type="pct"/>
            <w:vAlign w:val="center"/>
          </w:tcPr>
          <w:p w14:paraId="11745571" w14:textId="64E1D848" w:rsidR="005D76EE" w:rsidRDefault="005D76EE" w:rsidP="00795EB7">
            <w:r>
              <w:t>6</w:t>
            </w:r>
          </w:p>
        </w:tc>
        <w:tc>
          <w:tcPr>
            <w:tcW w:w="707" w:type="pct"/>
            <w:vAlign w:val="center"/>
          </w:tcPr>
          <w:p w14:paraId="3E27D881" w14:textId="63355E6D" w:rsidR="005D76EE" w:rsidRDefault="005D76EE" w:rsidP="00795EB7">
            <w:r>
              <w:t>11</w:t>
            </w:r>
          </w:p>
        </w:tc>
        <w:tc>
          <w:tcPr>
            <w:tcW w:w="852" w:type="pct"/>
            <w:vAlign w:val="center"/>
          </w:tcPr>
          <w:p w14:paraId="6D42DA41" w14:textId="73B2C04A" w:rsidR="005D76EE" w:rsidRDefault="005D76EE" w:rsidP="00795EB7">
            <w:r>
              <w:t>223</w:t>
            </w:r>
          </w:p>
        </w:tc>
        <w:tc>
          <w:tcPr>
            <w:tcW w:w="999" w:type="pct"/>
            <w:vAlign w:val="center"/>
          </w:tcPr>
          <w:p w14:paraId="4C6F6672" w14:textId="509A6520" w:rsidR="005D76EE" w:rsidRDefault="005D76EE" w:rsidP="00795EB7">
            <w:r>
              <w:t>27</w:t>
            </w:r>
          </w:p>
        </w:tc>
      </w:tr>
      <w:tr w:rsidR="005D76EE" w14:paraId="1CF96759" w14:textId="77777777" w:rsidTr="00795EB7">
        <w:tc>
          <w:tcPr>
            <w:tcW w:w="871" w:type="pct"/>
            <w:vAlign w:val="center"/>
          </w:tcPr>
          <w:p w14:paraId="44F2D8BB" w14:textId="043E6B1B" w:rsidR="005D76EE" w:rsidRDefault="005D76EE" w:rsidP="00795EB7">
            <w:r>
              <w:t>3</w:t>
            </w:r>
          </w:p>
        </w:tc>
        <w:tc>
          <w:tcPr>
            <w:tcW w:w="890" w:type="pct"/>
            <w:vAlign w:val="center"/>
          </w:tcPr>
          <w:p w14:paraId="076FB8D0" w14:textId="2C0AA4AF" w:rsidR="005D76EE" w:rsidRDefault="005D76EE" w:rsidP="00795EB7">
            <w:r>
              <w:t>116</w:t>
            </w:r>
          </w:p>
        </w:tc>
        <w:tc>
          <w:tcPr>
            <w:tcW w:w="682" w:type="pct"/>
            <w:vAlign w:val="center"/>
          </w:tcPr>
          <w:p w14:paraId="5BCF51CF" w14:textId="473341FC" w:rsidR="005D76EE" w:rsidRDefault="005D76EE" w:rsidP="00795EB7">
            <w:r>
              <w:t>6</w:t>
            </w:r>
          </w:p>
        </w:tc>
        <w:tc>
          <w:tcPr>
            <w:tcW w:w="707" w:type="pct"/>
            <w:vAlign w:val="center"/>
          </w:tcPr>
          <w:p w14:paraId="1E5B82D2" w14:textId="36FE7B5C" w:rsidR="005D76EE" w:rsidRDefault="005D76EE" w:rsidP="00795EB7">
            <w:r>
              <w:t>11</w:t>
            </w:r>
          </w:p>
        </w:tc>
        <w:tc>
          <w:tcPr>
            <w:tcW w:w="852" w:type="pct"/>
            <w:vAlign w:val="center"/>
          </w:tcPr>
          <w:p w14:paraId="1D5EF181" w14:textId="50EC5E2C" w:rsidR="005D76EE" w:rsidRDefault="005D76EE" w:rsidP="00795EB7">
            <w:r>
              <w:t>216</w:t>
            </w:r>
          </w:p>
        </w:tc>
        <w:tc>
          <w:tcPr>
            <w:tcW w:w="999" w:type="pct"/>
            <w:vAlign w:val="center"/>
          </w:tcPr>
          <w:p w14:paraId="33714F3B" w14:textId="65FA123C" w:rsidR="005D76EE" w:rsidRDefault="005D76EE" w:rsidP="00795EB7">
            <w:r>
              <w:t>28</w:t>
            </w:r>
          </w:p>
        </w:tc>
      </w:tr>
      <w:tr w:rsidR="005D76EE" w14:paraId="324DB948" w14:textId="77777777" w:rsidTr="00795EB7">
        <w:tc>
          <w:tcPr>
            <w:tcW w:w="871" w:type="pct"/>
            <w:vAlign w:val="center"/>
          </w:tcPr>
          <w:p w14:paraId="26FE7DCD" w14:textId="699FA0E8" w:rsidR="005D76EE" w:rsidRDefault="005D76EE" w:rsidP="00795EB7">
            <w:r>
              <w:t>5</w:t>
            </w:r>
          </w:p>
        </w:tc>
        <w:tc>
          <w:tcPr>
            <w:tcW w:w="890" w:type="pct"/>
            <w:vAlign w:val="center"/>
          </w:tcPr>
          <w:p w14:paraId="15E734F9" w14:textId="0CDB8B9A" w:rsidR="005D76EE" w:rsidRDefault="005D76EE" w:rsidP="00795EB7">
            <w:r>
              <w:t>118</w:t>
            </w:r>
          </w:p>
        </w:tc>
        <w:tc>
          <w:tcPr>
            <w:tcW w:w="682" w:type="pct"/>
            <w:vAlign w:val="center"/>
          </w:tcPr>
          <w:p w14:paraId="14AE1F23" w14:textId="147735BE" w:rsidR="005D76EE" w:rsidRDefault="005D76EE" w:rsidP="00795EB7">
            <w:r>
              <w:t>6</w:t>
            </w:r>
          </w:p>
        </w:tc>
        <w:tc>
          <w:tcPr>
            <w:tcW w:w="707" w:type="pct"/>
            <w:vAlign w:val="center"/>
          </w:tcPr>
          <w:p w14:paraId="6E5BFFFD" w14:textId="3B8266CA" w:rsidR="005D76EE" w:rsidRDefault="005D76EE" w:rsidP="00795EB7">
            <w:r>
              <w:t>11</w:t>
            </w:r>
          </w:p>
        </w:tc>
        <w:tc>
          <w:tcPr>
            <w:tcW w:w="852" w:type="pct"/>
            <w:vAlign w:val="center"/>
          </w:tcPr>
          <w:p w14:paraId="2CAA24AF" w14:textId="5010CC03" w:rsidR="005D76EE" w:rsidRDefault="005D76EE" w:rsidP="00795EB7">
            <w:r>
              <w:t>214</w:t>
            </w:r>
          </w:p>
        </w:tc>
        <w:tc>
          <w:tcPr>
            <w:tcW w:w="999" w:type="pct"/>
            <w:vAlign w:val="center"/>
          </w:tcPr>
          <w:p w14:paraId="0C2CEB5B" w14:textId="50BCC05C" w:rsidR="005D76EE" w:rsidRDefault="005D76EE" w:rsidP="00795EB7">
            <w:r>
              <w:t>37</w:t>
            </w:r>
          </w:p>
        </w:tc>
      </w:tr>
      <w:tr w:rsidR="005D76EE" w14:paraId="403B99B3" w14:textId="77777777" w:rsidTr="00795EB7">
        <w:tc>
          <w:tcPr>
            <w:tcW w:w="871" w:type="pct"/>
            <w:vAlign w:val="center"/>
          </w:tcPr>
          <w:p w14:paraId="62F84076" w14:textId="498432CE" w:rsidR="005D76EE" w:rsidRDefault="005D76EE" w:rsidP="00795EB7">
            <w:r>
              <w:t>6</w:t>
            </w:r>
          </w:p>
        </w:tc>
        <w:tc>
          <w:tcPr>
            <w:tcW w:w="890" w:type="pct"/>
            <w:vAlign w:val="center"/>
          </w:tcPr>
          <w:p w14:paraId="19CAA136" w14:textId="4EC7B31E" w:rsidR="005D76EE" w:rsidRDefault="005D76EE" w:rsidP="00795EB7">
            <w:r>
              <w:t>101</w:t>
            </w:r>
          </w:p>
        </w:tc>
        <w:tc>
          <w:tcPr>
            <w:tcW w:w="682" w:type="pct"/>
            <w:vAlign w:val="center"/>
          </w:tcPr>
          <w:p w14:paraId="08CA6030" w14:textId="3C5581A8" w:rsidR="005D76EE" w:rsidRDefault="005D76EE" w:rsidP="00795EB7">
            <w:r>
              <w:t>6</w:t>
            </w:r>
          </w:p>
        </w:tc>
        <w:tc>
          <w:tcPr>
            <w:tcW w:w="707" w:type="pct"/>
            <w:vAlign w:val="center"/>
          </w:tcPr>
          <w:p w14:paraId="68CDD285" w14:textId="76ED4DB0" w:rsidR="005D76EE" w:rsidRDefault="005D76EE" w:rsidP="00795EB7">
            <w:r>
              <w:t>11</w:t>
            </w:r>
          </w:p>
        </w:tc>
        <w:tc>
          <w:tcPr>
            <w:tcW w:w="852" w:type="pct"/>
            <w:vAlign w:val="center"/>
          </w:tcPr>
          <w:p w14:paraId="3B12287C" w14:textId="026D5259" w:rsidR="005D76EE" w:rsidRDefault="005D76EE" w:rsidP="00795EB7">
            <w:r>
              <w:t>214</w:t>
            </w:r>
          </w:p>
        </w:tc>
        <w:tc>
          <w:tcPr>
            <w:tcW w:w="999" w:type="pct"/>
            <w:vAlign w:val="center"/>
          </w:tcPr>
          <w:p w14:paraId="42A7F3AA" w14:textId="1C6A9CF8" w:rsidR="005D76EE" w:rsidRDefault="005D76EE" w:rsidP="00795EB7">
            <w:r>
              <w:t>28</w:t>
            </w:r>
          </w:p>
        </w:tc>
      </w:tr>
    </w:tbl>
    <w:p w14:paraId="6C6354D0" w14:textId="77777777" w:rsidR="005D76EE" w:rsidRDefault="005D76EE" w:rsidP="001D2E8E"/>
    <w:p w14:paraId="3B081EFC" w14:textId="7570DE10" w:rsidR="005D76EE" w:rsidRDefault="005D76EE" w:rsidP="001D2E8E">
      <w:r>
        <w:rPr>
          <w:noProof/>
        </w:rPr>
        <w:lastRenderedPageBreak/>
        <w:drawing>
          <wp:inline distT="0" distB="0" distL="0" distR="0" wp14:anchorId="1AADD15D" wp14:editId="237EB85D">
            <wp:extent cx="5943600" cy="5943600"/>
            <wp:effectExtent l="0" t="0" r="0" b="0"/>
            <wp:docPr id="2128891840" name="Picture 1" descr="A group of graphs showing different types of resul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891840" name="Picture 1" descr="A group of graphs showing different types of results&#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2B841807" w14:textId="720D00C8" w:rsidR="00795EB7" w:rsidRDefault="00795EB7" w:rsidP="00795EB7">
      <w:pPr>
        <w:pStyle w:val="Caption"/>
        <w:rPr>
          <w:sz w:val="22"/>
          <w:lang w:val="en-CA"/>
        </w:rPr>
      </w:pPr>
      <w:bookmarkStart w:id="8" w:name="_Ref149621733"/>
      <w:r w:rsidRPr="00C22C95">
        <w:rPr>
          <w:sz w:val="22"/>
          <w:lang w:val="en-CA"/>
        </w:rPr>
        <w:t xml:space="preserve">Figure </w:t>
      </w:r>
      <w:r>
        <w:rPr>
          <w:sz w:val="22"/>
          <w:lang w:val="en-CA"/>
        </w:rPr>
        <w:t>S</w:t>
      </w:r>
      <w:r w:rsidRPr="002F2659">
        <w:rPr>
          <w:sz w:val="22"/>
          <w:lang w:val="en-CA"/>
        </w:rPr>
        <w:fldChar w:fldCharType="begin"/>
      </w:r>
      <w:r w:rsidRPr="007F0B7F">
        <w:rPr>
          <w:sz w:val="22"/>
          <w:lang w:val="en-CA"/>
        </w:rPr>
        <w:instrText xml:space="preserve"> SEQ Figure \* ARABIC </w:instrText>
      </w:r>
      <w:r w:rsidRPr="002F2659">
        <w:rPr>
          <w:sz w:val="22"/>
          <w:lang w:val="en-CA"/>
        </w:rPr>
        <w:fldChar w:fldCharType="separate"/>
      </w:r>
      <w:r w:rsidR="001B13A4">
        <w:rPr>
          <w:noProof/>
          <w:sz w:val="22"/>
          <w:lang w:val="en-CA"/>
        </w:rPr>
        <w:t>8</w:t>
      </w:r>
      <w:r w:rsidRPr="002F2659">
        <w:rPr>
          <w:noProof/>
          <w:sz w:val="22"/>
          <w:lang w:val="en-CA"/>
        </w:rPr>
        <w:fldChar w:fldCharType="end"/>
      </w:r>
      <w:bookmarkEnd w:id="8"/>
      <w:r w:rsidRPr="002F2659">
        <w:rPr>
          <w:sz w:val="22"/>
          <w:lang w:val="en-CA"/>
        </w:rPr>
        <w:t xml:space="preserve">: </w:t>
      </w:r>
      <w:r>
        <w:rPr>
          <w:sz w:val="22"/>
          <w:lang w:val="en-CA"/>
        </w:rPr>
        <w:t>Observed and simulated PK profiles (as total plasminogen activity on top plot and baseline-adjusted plasminogen activity on middle plot) for 5 participants that had 11 measurements sampled within a 10-days interval. Bottom plot displays the apparent half-life of each PK profile.</w:t>
      </w:r>
    </w:p>
    <w:p w14:paraId="330A419E" w14:textId="77777777" w:rsidR="00795EB7" w:rsidRPr="00B97BF0" w:rsidRDefault="00795EB7" w:rsidP="001D2E8E"/>
    <w:sectPr w:rsidR="00795EB7" w:rsidRPr="00B97BF0">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3F195" w14:textId="77777777" w:rsidR="00E4630C" w:rsidRDefault="00E4630C" w:rsidP="00E2191A">
      <w:pPr>
        <w:spacing w:after="0" w:line="240" w:lineRule="auto"/>
      </w:pPr>
      <w:r>
        <w:separator/>
      </w:r>
    </w:p>
  </w:endnote>
  <w:endnote w:type="continuationSeparator" w:id="0">
    <w:p w14:paraId="1A81D748" w14:textId="77777777" w:rsidR="00E4630C" w:rsidRDefault="00E4630C" w:rsidP="00E21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C26B4" w14:textId="77777777" w:rsidR="00E2191A" w:rsidRDefault="00E2191A">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08B4AB23" w14:textId="77777777" w:rsidR="00E2191A" w:rsidRDefault="00E219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8CDB2" w14:textId="77777777" w:rsidR="00E4630C" w:rsidRDefault="00E4630C" w:rsidP="00E2191A">
      <w:pPr>
        <w:spacing w:after="0" w:line="240" w:lineRule="auto"/>
      </w:pPr>
      <w:r>
        <w:separator/>
      </w:r>
    </w:p>
  </w:footnote>
  <w:footnote w:type="continuationSeparator" w:id="0">
    <w:p w14:paraId="0681BAE3" w14:textId="77777777" w:rsidR="00E4630C" w:rsidRDefault="00E4630C" w:rsidP="00E219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BF0"/>
    <w:rsid w:val="00031AD3"/>
    <w:rsid w:val="000F0491"/>
    <w:rsid w:val="001915BE"/>
    <w:rsid w:val="001B13A4"/>
    <w:rsid w:val="001D2E8E"/>
    <w:rsid w:val="00215997"/>
    <w:rsid w:val="00256FB7"/>
    <w:rsid w:val="00270E34"/>
    <w:rsid w:val="003578B3"/>
    <w:rsid w:val="003F2F16"/>
    <w:rsid w:val="004674A6"/>
    <w:rsid w:val="005D76EE"/>
    <w:rsid w:val="006A5D2E"/>
    <w:rsid w:val="006E6D3D"/>
    <w:rsid w:val="00795EB7"/>
    <w:rsid w:val="00A34AB6"/>
    <w:rsid w:val="00A76A12"/>
    <w:rsid w:val="00AF5990"/>
    <w:rsid w:val="00B936AD"/>
    <w:rsid w:val="00B97BF0"/>
    <w:rsid w:val="00BE60CE"/>
    <w:rsid w:val="00C20977"/>
    <w:rsid w:val="00CF3787"/>
    <w:rsid w:val="00D54CE4"/>
    <w:rsid w:val="00E2191A"/>
    <w:rsid w:val="00E32732"/>
    <w:rsid w:val="00E4630C"/>
    <w:rsid w:val="00E646D0"/>
    <w:rsid w:val="00EF07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7D896"/>
  <w15:docId w15:val="{3E7E7C33-BE2E-4DCC-BFA8-FB84D5656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7B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97BF0"/>
    <w:pPr>
      <w:keepNext/>
      <w:keepLines/>
      <w:spacing w:before="40" w:after="0"/>
      <w:outlineLvl w:val="1"/>
    </w:pPr>
    <w:rPr>
      <w:rFonts w:asciiTheme="majorHAnsi" w:eastAsiaTheme="majorEastAsia" w:hAnsiTheme="majorHAnsi" w:cstheme="majorBidi"/>
      <w:color w:val="2F5496" w:themeColor="accent1" w:themeShade="BF"/>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rsid w:val="00B97BF0"/>
    <w:pPr>
      <w:spacing w:after="200" w:line="240" w:lineRule="auto"/>
    </w:pPr>
    <w:rPr>
      <w:rFonts w:eastAsiaTheme="minorEastAsia"/>
      <w:b/>
      <w:bCs/>
      <w:color w:val="4472C4" w:themeColor="accent1"/>
      <w:kern w:val="0"/>
      <w:sz w:val="18"/>
      <w:szCs w:val="18"/>
      <w:lang w:val="en-US" w:bidi="en-US"/>
      <w14:ligatures w14:val="none"/>
    </w:rPr>
  </w:style>
  <w:style w:type="paragraph" w:styleId="Title">
    <w:name w:val="Title"/>
    <w:basedOn w:val="Normal"/>
    <w:next w:val="Normal"/>
    <w:link w:val="TitleChar"/>
    <w:uiPriority w:val="10"/>
    <w:qFormat/>
    <w:rsid w:val="00B97BF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7BF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97BF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97BF0"/>
    <w:rPr>
      <w:rFonts w:asciiTheme="majorHAnsi" w:eastAsiaTheme="majorEastAsia" w:hAnsiTheme="majorHAnsi" w:cstheme="majorBidi"/>
      <w:color w:val="2F5496" w:themeColor="accent1" w:themeShade="BF"/>
      <w:kern w:val="0"/>
      <w:sz w:val="26"/>
      <w:szCs w:val="26"/>
      <w14:ligatures w14:val="none"/>
    </w:rPr>
  </w:style>
  <w:style w:type="paragraph" w:styleId="Header">
    <w:name w:val="header"/>
    <w:basedOn w:val="Normal"/>
    <w:link w:val="HeaderChar"/>
    <w:uiPriority w:val="99"/>
    <w:unhideWhenUsed/>
    <w:rsid w:val="00E219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191A"/>
  </w:style>
  <w:style w:type="paragraph" w:styleId="Footer">
    <w:name w:val="footer"/>
    <w:basedOn w:val="Normal"/>
    <w:link w:val="FooterChar"/>
    <w:uiPriority w:val="99"/>
    <w:unhideWhenUsed/>
    <w:rsid w:val="00E219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191A"/>
  </w:style>
  <w:style w:type="table" w:styleId="TableGrid">
    <w:name w:val="Table Grid"/>
    <w:basedOn w:val="TableNormal"/>
    <w:uiPriority w:val="39"/>
    <w:rsid w:val="005D7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95EB7"/>
    <w:rPr>
      <w:color w:val="808080"/>
    </w:rPr>
  </w:style>
  <w:style w:type="paragraph" w:styleId="BodyText">
    <w:name w:val="Body Text"/>
    <w:basedOn w:val="Normal"/>
    <w:link w:val="BodyTextChar"/>
    <w:autoRedefine/>
    <w:qFormat/>
    <w:rsid w:val="001B13A4"/>
    <w:pPr>
      <w:spacing w:before="180" w:after="180" w:line="360" w:lineRule="auto"/>
    </w:pPr>
    <w:rPr>
      <w:rFonts w:ascii="Arial" w:hAnsi="Arial"/>
      <w:kern w:val="0"/>
      <w:sz w:val="20"/>
      <w14:ligatures w14:val="none"/>
    </w:rPr>
  </w:style>
  <w:style w:type="character" w:customStyle="1" w:styleId="BodyTextChar">
    <w:name w:val="Body Text Char"/>
    <w:basedOn w:val="DefaultParagraphFont"/>
    <w:link w:val="BodyText"/>
    <w:rsid w:val="001B13A4"/>
    <w:rPr>
      <w:rFonts w:ascii="Arial" w:hAnsi="Arial"/>
      <w:kern w:val="0"/>
      <w:sz w:val="20"/>
      <w14:ligatures w14:val="none"/>
    </w:rPr>
  </w:style>
  <w:style w:type="paragraph" w:styleId="Revision">
    <w:name w:val="Revision"/>
    <w:hidden/>
    <w:uiPriority w:val="99"/>
    <w:semiHidden/>
    <w:rsid w:val="00B936AD"/>
    <w:pPr>
      <w:spacing w:after="0" w:line="240" w:lineRule="auto"/>
    </w:pPr>
  </w:style>
  <w:style w:type="character" w:styleId="CommentReference">
    <w:name w:val="annotation reference"/>
    <w:basedOn w:val="DefaultParagraphFont"/>
    <w:uiPriority w:val="99"/>
    <w:semiHidden/>
    <w:unhideWhenUsed/>
    <w:rsid w:val="00B936AD"/>
    <w:rPr>
      <w:sz w:val="16"/>
      <w:szCs w:val="16"/>
    </w:rPr>
  </w:style>
  <w:style w:type="paragraph" w:styleId="CommentText">
    <w:name w:val="annotation text"/>
    <w:basedOn w:val="Normal"/>
    <w:link w:val="CommentTextChar"/>
    <w:uiPriority w:val="99"/>
    <w:unhideWhenUsed/>
    <w:rsid w:val="00B936AD"/>
    <w:pPr>
      <w:spacing w:line="240" w:lineRule="auto"/>
    </w:pPr>
    <w:rPr>
      <w:sz w:val="20"/>
      <w:szCs w:val="20"/>
    </w:rPr>
  </w:style>
  <w:style w:type="character" w:customStyle="1" w:styleId="CommentTextChar">
    <w:name w:val="Comment Text Char"/>
    <w:basedOn w:val="DefaultParagraphFont"/>
    <w:link w:val="CommentText"/>
    <w:uiPriority w:val="99"/>
    <w:rsid w:val="00B936AD"/>
    <w:rPr>
      <w:sz w:val="20"/>
      <w:szCs w:val="20"/>
    </w:rPr>
  </w:style>
  <w:style w:type="paragraph" w:styleId="CommentSubject">
    <w:name w:val="annotation subject"/>
    <w:basedOn w:val="CommentText"/>
    <w:next w:val="CommentText"/>
    <w:link w:val="CommentSubjectChar"/>
    <w:uiPriority w:val="99"/>
    <w:semiHidden/>
    <w:unhideWhenUsed/>
    <w:rsid w:val="00B936AD"/>
    <w:rPr>
      <w:b/>
      <w:bCs/>
    </w:rPr>
  </w:style>
  <w:style w:type="character" w:customStyle="1" w:styleId="CommentSubjectChar">
    <w:name w:val="Comment Subject Char"/>
    <w:basedOn w:val="CommentTextChar"/>
    <w:link w:val="CommentSubject"/>
    <w:uiPriority w:val="99"/>
    <w:semiHidden/>
    <w:rsid w:val="00B936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D38B7-05AD-4860-9828-20D4675CD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1684</Words>
  <Characters>9601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Chelle</dc:creator>
  <cp:keywords/>
  <dc:description/>
  <cp:lastModifiedBy>Pierre Chelle</cp:lastModifiedBy>
  <cp:revision>2</cp:revision>
  <dcterms:created xsi:type="dcterms:W3CDTF">2024-01-05T10:12:00Z</dcterms:created>
  <dcterms:modified xsi:type="dcterms:W3CDTF">2024-01-05T10:12:00Z</dcterms:modified>
</cp:coreProperties>
</file>