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page" w:horzAnchor="margin" w:tblpXSpec="center" w:tblpY="1206"/>
        <w:tblW w:w="10925" w:type="dxa"/>
        <w:tblLook w:val="04A0" w:firstRow="1" w:lastRow="0" w:firstColumn="1" w:lastColumn="0" w:noHBand="0" w:noVBand="1"/>
      </w:tblPr>
      <w:tblGrid>
        <w:gridCol w:w="426"/>
        <w:gridCol w:w="278"/>
        <w:gridCol w:w="2699"/>
        <w:gridCol w:w="2518"/>
        <w:gridCol w:w="1121"/>
        <w:gridCol w:w="2216"/>
        <w:gridCol w:w="1667"/>
      </w:tblGrid>
      <w:tr w:rsidR="004F3310" w:rsidRPr="00B71DA8" w:rsidTr="00856B29">
        <w:trPr>
          <w:trHeight w:val="843"/>
        </w:trPr>
        <w:tc>
          <w:tcPr>
            <w:tcW w:w="10925" w:type="dxa"/>
            <w:gridSpan w:val="7"/>
            <w:tcBorders>
              <w:bottom w:val="single" w:sz="4" w:space="0" w:color="auto"/>
            </w:tcBorders>
            <w:vAlign w:val="center"/>
          </w:tcPr>
          <w:p w:rsidR="004F3310" w:rsidRPr="00B71DA8" w:rsidRDefault="004F3310" w:rsidP="00856B29">
            <w:pPr>
              <w:rPr>
                <w:rFonts w:cstheme="minorHAnsi"/>
                <w:b/>
                <w:sz w:val="28"/>
              </w:rPr>
            </w:pPr>
            <w:r w:rsidRPr="00B71DA8">
              <w:rPr>
                <w:rFonts w:cstheme="minorHAnsi"/>
                <w:b/>
                <w:sz w:val="28"/>
              </w:rPr>
              <w:t>Supplemental table 1.</w:t>
            </w:r>
            <w:r w:rsidRPr="00B71DA8">
              <w:rPr>
                <w:rFonts w:cstheme="minorHAnsi"/>
                <w:sz w:val="28"/>
              </w:rPr>
              <w:t xml:space="preserve"> </w:t>
            </w:r>
            <w:r w:rsidRPr="00B71DA8">
              <w:rPr>
                <w:rFonts w:cstheme="minorHAnsi"/>
                <w:b/>
                <w:sz w:val="28"/>
              </w:rPr>
              <w:t>Univariable and multivariable analysis of clinical selection criteria associated with the administration of neoadjuvant therapy</w:t>
            </w:r>
          </w:p>
        </w:tc>
      </w:tr>
      <w:tr w:rsidR="004F3310" w:rsidRPr="00B71DA8" w:rsidTr="00856B29">
        <w:trPr>
          <w:trHeight w:val="350"/>
        </w:trPr>
        <w:tc>
          <w:tcPr>
            <w:tcW w:w="3403" w:type="dxa"/>
            <w:gridSpan w:val="3"/>
            <w:tcBorders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3639" w:type="dxa"/>
            <w:gridSpan w:val="2"/>
            <w:tcBorders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  <w:b/>
              </w:rPr>
            </w:pPr>
            <w:r w:rsidRPr="00B71DA8">
              <w:rPr>
                <w:rFonts w:cstheme="minorHAnsi"/>
                <w:b/>
              </w:rPr>
              <w:t xml:space="preserve">Univariable analysis </w:t>
            </w:r>
          </w:p>
        </w:tc>
        <w:tc>
          <w:tcPr>
            <w:tcW w:w="3883" w:type="dxa"/>
            <w:gridSpan w:val="2"/>
            <w:tcBorders>
              <w:left w:val="nil"/>
              <w:bottom w:val="nil"/>
            </w:tcBorders>
          </w:tcPr>
          <w:p w:rsidR="004F3310" w:rsidRPr="00B71DA8" w:rsidRDefault="004F3310" w:rsidP="00856B29">
            <w:pPr>
              <w:rPr>
                <w:rFonts w:cstheme="minorHAnsi"/>
                <w:b/>
              </w:rPr>
            </w:pPr>
            <w:r w:rsidRPr="00B71DA8">
              <w:rPr>
                <w:rFonts w:cstheme="minorHAnsi"/>
                <w:b/>
              </w:rPr>
              <w:t>Multivariable analysis</w:t>
            </w:r>
          </w:p>
        </w:tc>
      </w:tr>
      <w:tr w:rsidR="004F3310" w:rsidRPr="00B71DA8" w:rsidTr="00856B29">
        <w:trPr>
          <w:trHeight w:val="354"/>
        </w:trPr>
        <w:tc>
          <w:tcPr>
            <w:tcW w:w="3403" w:type="dxa"/>
            <w:gridSpan w:val="3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Factors: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OR (95% CI)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P-value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OR (95% CI)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P-value</w:t>
            </w:r>
          </w:p>
        </w:tc>
      </w:tr>
      <w:tr w:rsidR="004F3310" w:rsidRPr="00B71DA8" w:rsidTr="00856B29">
        <w:trPr>
          <w:trHeight w:val="106"/>
        </w:trPr>
        <w:tc>
          <w:tcPr>
            <w:tcW w:w="3403" w:type="dxa"/>
            <w:gridSpan w:val="3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 xml:space="preserve">Age 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181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&gt;65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Ref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Ref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181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≤65 years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1.940 (1.355-2.776)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&lt;0.001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1.813 (1.149-2.861)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0.011</w:t>
            </w:r>
          </w:p>
        </w:tc>
      </w:tr>
      <w:tr w:rsidR="004F3310" w:rsidRPr="00B71DA8" w:rsidTr="00856B29">
        <w:trPr>
          <w:trHeight w:val="181"/>
        </w:trPr>
        <w:tc>
          <w:tcPr>
            <w:tcW w:w="3403" w:type="dxa"/>
            <w:gridSpan w:val="3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 xml:space="preserve">Sex 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181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male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Ref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181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female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1.011 (0.708-1.444)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0.952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Removed step 4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181"/>
        </w:trPr>
        <w:tc>
          <w:tcPr>
            <w:tcW w:w="3403" w:type="dxa"/>
            <w:gridSpan w:val="3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  <w:bCs/>
              </w:rPr>
            </w:pPr>
            <w:r w:rsidRPr="00B71DA8">
              <w:rPr>
                <w:rFonts w:cstheme="minorHAnsi"/>
              </w:rPr>
              <w:t xml:space="preserve">ASA </w:t>
            </w:r>
            <w:r w:rsidRPr="00B71DA8">
              <w:rPr>
                <w:rFonts w:cstheme="minorHAnsi"/>
                <w:bCs/>
              </w:rPr>
              <w:t xml:space="preserve">classification 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181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I-II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Ref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181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III-IV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0.633 (0.415-0.965)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0.033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Removed step 3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80"/>
        </w:trPr>
        <w:tc>
          <w:tcPr>
            <w:tcW w:w="3403" w:type="dxa"/>
            <w:gridSpan w:val="3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Body mass index (continuously)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0.982 (0.940-1.026)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0.420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Removed step 2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80"/>
        </w:trPr>
        <w:tc>
          <w:tcPr>
            <w:tcW w:w="3403" w:type="dxa"/>
            <w:gridSpan w:val="3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Preoperative imaging showing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80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  <w:vertAlign w:val="superscript"/>
              </w:rPr>
            </w:pPr>
            <w:r w:rsidRPr="00B71DA8">
              <w:rPr>
                <w:rFonts w:cstheme="minorHAnsi"/>
              </w:rPr>
              <w:t>Major vascular involvement</w:t>
            </w:r>
            <w:r w:rsidRPr="00B71DA8">
              <w:rPr>
                <w:rFonts w:cstheme="minorHAnsi"/>
                <w:vertAlign w:val="superscript"/>
              </w:rPr>
              <w:t>a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6.900 (4.481-10.624)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&lt;0.001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7.220 (4.370-11.927)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&lt;0.001</w:t>
            </w:r>
          </w:p>
        </w:tc>
      </w:tr>
      <w:tr w:rsidR="004F3310" w:rsidRPr="00B71DA8" w:rsidTr="00856B29">
        <w:trPr>
          <w:trHeight w:val="80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 xml:space="preserve">Splenic vessel involvement 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0.906 (0.557-1.474)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0.691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Removed step 6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80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 xml:space="preserve">Additional organ involvement 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1.820 (1.100-3.010)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0.020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2.027 (1.029-3.994)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0.041</w:t>
            </w:r>
          </w:p>
        </w:tc>
      </w:tr>
      <w:tr w:rsidR="004F3310" w:rsidRPr="00B71DA8" w:rsidTr="00856B29">
        <w:trPr>
          <w:trHeight w:val="80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 xml:space="preserve">Tumor size 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80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≤50mm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Ref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Ref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80"/>
        </w:trPr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&gt;50mm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0.497 (0.337-0.734)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&lt;0.001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0.478 (0.208-1.101)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0.083</w:t>
            </w:r>
          </w:p>
        </w:tc>
      </w:tr>
      <w:tr w:rsidR="004F3310" w:rsidRPr="00B71DA8" w:rsidTr="00856B29">
        <w:tc>
          <w:tcPr>
            <w:tcW w:w="3403" w:type="dxa"/>
            <w:gridSpan w:val="3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Location tumor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Removed step 5</w:t>
            </w: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Pancreatic body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Ref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Pancreatic tail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0.536 (0.352-0.816)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0.004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c>
          <w:tcPr>
            <w:tcW w:w="426" w:type="dxa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Junction body/tail</w:t>
            </w: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  <w:r w:rsidRPr="00B71DA8">
              <w:rPr>
                <w:rFonts w:cstheme="minorHAnsi"/>
              </w:rPr>
              <w:t>0.622 (0.277-1.396)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</w:rPr>
              <w:t>0.249</w:t>
            </w: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279"/>
        </w:trPr>
        <w:tc>
          <w:tcPr>
            <w:tcW w:w="3403" w:type="dxa"/>
            <w:gridSpan w:val="3"/>
            <w:tcBorders>
              <w:top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rPr>
                <w:rFonts w:cstheme="minorHAnsi"/>
              </w:rPr>
            </w:pPr>
          </w:p>
        </w:tc>
        <w:tc>
          <w:tcPr>
            <w:tcW w:w="2216" w:type="dxa"/>
            <w:tcBorders>
              <w:top w:val="nil"/>
              <w:left w:val="nil"/>
              <w:bottom w:val="nil"/>
              <w:right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nil"/>
            </w:tcBorders>
          </w:tcPr>
          <w:p w:rsidR="004F3310" w:rsidRPr="00B71DA8" w:rsidRDefault="004F3310" w:rsidP="00856B29">
            <w:pPr>
              <w:jc w:val="center"/>
              <w:rPr>
                <w:rFonts w:cstheme="minorHAnsi"/>
              </w:rPr>
            </w:pPr>
          </w:p>
        </w:tc>
      </w:tr>
      <w:tr w:rsidR="004F3310" w:rsidRPr="00B71DA8" w:rsidTr="00856B29">
        <w:trPr>
          <w:trHeight w:val="768"/>
        </w:trPr>
        <w:tc>
          <w:tcPr>
            <w:tcW w:w="10925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F3310" w:rsidRPr="00B71DA8" w:rsidRDefault="004F3310" w:rsidP="00856B29">
            <w:pPr>
              <w:rPr>
                <w:rFonts w:cstheme="minorHAnsi"/>
              </w:rPr>
            </w:pPr>
            <w:r w:rsidRPr="00B71DA8">
              <w:rPr>
                <w:rFonts w:cstheme="minorHAnsi"/>
                <w:i/>
              </w:rPr>
              <w:t>OR</w:t>
            </w:r>
            <w:r w:rsidRPr="00B71DA8">
              <w:rPr>
                <w:rFonts w:cstheme="minorHAnsi"/>
              </w:rPr>
              <w:t xml:space="preserve"> indicates odds ratio, </w:t>
            </w:r>
            <w:r w:rsidRPr="00B71DA8">
              <w:rPr>
                <w:rFonts w:cstheme="minorHAnsi"/>
                <w:i/>
              </w:rPr>
              <w:t xml:space="preserve">CI </w:t>
            </w:r>
            <w:r w:rsidRPr="00B71DA8">
              <w:rPr>
                <w:rFonts w:cstheme="minorHAnsi"/>
              </w:rPr>
              <w:t xml:space="preserve">Confidence interval, </w:t>
            </w:r>
            <w:r w:rsidRPr="00B71DA8">
              <w:rPr>
                <w:rFonts w:cstheme="minorHAnsi"/>
                <w:i/>
              </w:rPr>
              <w:t>ASA</w:t>
            </w:r>
            <w:r w:rsidRPr="00B71DA8">
              <w:rPr>
                <w:rFonts w:cstheme="minorHAnsi"/>
              </w:rPr>
              <w:t xml:space="preserve"> American Society of Anesthesiologists. </w:t>
            </w:r>
            <w:r w:rsidRPr="00B71DA8">
              <w:rPr>
                <w:rFonts w:cstheme="minorHAnsi"/>
                <w:vertAlign w:val="superscript"/>
              </w:rPr>
              <w:t>a</w:t>
            </w:r>
            <w:r w:rsidRPr="00B71DA8">
              <w:rPr>
                <w:rFonts w:cstheme="minorHAnsi"/>
              </w:rPr>
              <w:t>Tumor involvement of vascular structures beyond splenic vessel involvement.</w:t>
            </w:r>
          </w:p>
        </w:tc>
      </w:tr>
    </w:tbl>
    <w:p w:rsidR="006E5D47" w:rsidRDefault="004F3310"/>
    <w:p w:rsidR="004F3310" w:rsidRDefault="004F3310"/>
    <w:p w:rsidR="004F3310" w:rsidRDefault="004F3310"/>
    <w:p w:rsidR="004F3310" w:rsidRDefault="004F3310"/>
    <w:p w:rsidR="004F3310" w:rsidRDefault="004F3310"/>
    <w:p w:rsidR="004F3310" w:rsidRDefault="004F3310"/>
    <w:p w:rsidR="004F3310" w:rsidRDefault="004F3310"/>
    <w:p w:rsidR="004F3310" w:rsidRDefault="004F3310"/>
    <w:p w:rsidR="004F3310" w:rsidRDefault="004F3310"/>
    <w:p w:rsidR="004F3310" w:rsidRDefault="004F3310"/>
    <w:p w:rsidR="004F3310" w:rsidRDefault="004F3310"/>
    <w:p w:rsidR="004F3310" w:rsidRDefault="004F3310" w:rsidP="004F3310">
      <w:bookmarkStart w:id="0" w:name="_GoBack"/>
      <w:r w:rsidRPr="00B71DA8">
        <w:rPr>
          <w:rFonts w:cstheme="minorHAnsi"/>
        </w:rPr>
        <w:lastRenderedPageBreak/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13.8pt;margin-top:0;width:434.35pt;height:272.25pt;z-index:251658240;mso-position-horizontal-relative:text;mso-position-vertical-relative:text">
            <v:imagedata r:id="rId4" o:title="" cropleft="7429f" cropright="9916f"/>
          </v:shape>
          <o:OLEObject Type="Embed" ProgID="Prism8.Document" ShapeID="_x0000_s1026" DrawAspect="Content" ObjectID="_1630745599" r:id="rId5"/>
        </w:object>
      </w:r>
      <w:bookmarkEnd w:id="0"/>
    </w:p>
    <w:p w:rsidR="004F3310" w:rsidRDefault="004F3310" w:rsidP="004F3310"/>
    <w:p w:rsidR="004F3310" w:rsidRPr="00B71DA8" w:rsidRDefault="004F3310" w:rsidP="004F3310">
      <w:pPr>
        <w:rPr>
          <w:rFonts w:cstheme="minorHAnsi"/>
          <w:b/>
          <w:sz w:val="24"/>
        </w:rPr>
      </w:pPr>
    </w:p>
    <w:p w:rsidR="004F3310" w:rsidRPr="00B71DA8" w:rsidRDefault="004F3310" w:rsidP="004F3310">
      <w:pPr>
        <w:rPr>
          <w:rFonts w:cstheme="minorHAnsi"/>
          <w:b/>
          <w:sz w:val="24"/>
        </w:rPr>
      </w:pPr>
    </w:p>
    <w:p w:rsidR="004F3310" w:rsidRPr="00B71DA8" w:rsidRDefault="004F3310" w:rsidP="004F3310">
      <w:pPr>
        <w:rPr>
          <w:rFonts w:cstheme="minorHAnsi"/>
          <w:b/>
          <w:sz w:val="24"/>
        </w:rPr>
      </w:pPr>
    </w:p>
    <w:p w:rsidR="004F3310" w:rsidRPr="00B71DA8" w:rsidRDefault="004F3310" w:rsidP="004F3310">
      <w:pPr>
        <w:rPr>
          <w:rFonts w:cstheme="minorHAnsi"/>
          <w:b/>
          <w:sz w:val="24"/>
        </w:rPr>
      </w:pPr>
    </w:p>
    <w:p w:rsidR="004F3310" w:rsidRPr="00B71DA8" w:rsidRDefault="004F3310" w:rsidP="004F3310">
      <w:pPr>
        <w:rPr>
          <w:rFonts w:cstheme="minorHAnsi"/>
          <w:b/>
          <w:sz w:val="24"/>
        </w:rPr>
      </w:pPr>
    </w:p>
    <w:p w:rsidR="004F3310" w:rsidRPr="00B71DA8" w:rsidRDefault="004F3310" w:rsidP="004F3310">
      <w:pPr>
        <w:rPr>
          <w:rFonts w:cstheme="minorHAnsi"/>
          <w:b/>
          <w:sz w:val="24"/>
        </w:rPr>
      </w:pPr>
    </w:p>
    <w:p w:rsidR="004F3310" w:rsidRPr="00B71DA8" w:rsidRDefault="004F3310" w:rsidP="004F3310">
      <w:pPr>
        <w:rPr>
          <w:rFonts w:cstheme="minorHAnsi"/>
          <w:b/>
          <w:sz w:val="24"/>
        </w:rPr>
      </w:pPr>
    </w:p>
    <w:p w:rsidR="004F3310" w:rsidRPr="00B71DA8" w:rsidRDefault="004F3310" w:rsidP="004F3310">
      <w:pPr>
        <w:rPr>
          <w:rFonts w:cstheme="minorHAnsi"/>
          <w:b/>
          <w:sz w:val="24"/>
        </w:rPr>
      </w:pPr>
    </w:p>
    <w:p w:rsidR="004F3310" w:rsidRPr="00B71DA8" w:rsidRDefault="004F3310" w:rsidP="004F3310">
      <w:pPr>
        <w:rPr>
          <w:rFonts w:cstheme="minorHAnsi"/>
          <w:b/>
          <w:sz w:val="24"/>
        </w:rPr>
      </w:pPr>
    </w:p>
    <w:p w:rsidR="004F3310" w:rsidRDefault="004F3310" w:rsidP="004F3310">
      <w:pPr>
        <w:rPr>
          <w:rFonts w:cstheme="minorHAnsi"/>
          <w:b/>
          <w:sz w:val="24"/>
        </w:rPr>
      </w:pPr>
    </w:p>
    <w:p w:rsidR="004F3310" w:rsidRPr="00B71DA8" w:rsidRDefault="004F3310" w:rsidP="004F3310">
      <w:pPr>
        <w:rPr>
          <w:rFonts w:cstheme="minorHAnsi"/>
          <w:sz w:val="24"/>
        </w:rPr>
      </w:pPr>
      <w:r w:rsidRPr="00B71DA8">
        <w:rPr>
          <w:rFonts w:cstheme="minorHAnsi"/>
          <w:b/>
          <w:sz w:val="24"/>
        </w:rPr>
        <w:t xml:space="preserve">Supplemental figure 1. </w:t>
      </w:r>
      <w:r w:rsidRPr="00B71DA8">
        <w:rPr>
          <w:rFonts w:cstheme="minorHAnsi"/>
          <w:sz w:val="24"/>
        </w:rPr>
        <w:t xml:space="preserve">Comparison of overall survival for FOLFIRINOX versus other chemotherapy regimes. </w:t>
      </w:r>
    </w:p>
    <w:p w:rsidR="004F3310" w:rsidRDefault="004F3310"/>
    <w:sectPr w:rsidR="004F331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310"/>
    <w:rsid w:val="0007346F"/>
    <w:rsid w:val="004F3310"/>
    <w:rsid w:val="00550C55"/>
    <w:rsid w:val="009916D6"/>
    <w:rsid w:val="00C05975"/>
    <w:rsid w:val="00EF7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B8071F7"/>
  <w15:chartTrackingRefBased/>
  <w15:docId w15:val="{20C629CA-727A-4831-9676-2EA169594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3310"/>
    <w:rPr>
      <w:noProof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3310"/>
    <w:pPr>
      <w:spacing w:after="0" w:line="240" w:lineRule="auto"/>
    </w:pPr>
    <w:rPr>
      <w:rFonts w:eastAsiaTheme="minorEastAsia"/>
      <w:lang w:val="en-GB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Southampton</Company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Lof S.</dc:creator>
  <cp:keywords/>
  <dc:description/>
  <cp:lastModifiedBy>Lof S.</cp:lastModifiedBy>
  <cp:revision>1</cp:revision>
  <dcterms:created xsi:type="dcterms:W3CDTF">2019-09-23T11:05:00Z</dcterms:created>
  <dcterms:modified xsi:type="dcterms:W3CDTF">2019-09-23T11:06:00Z</dcterms:modified>
</cp:coreProperties>
</file>