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CBB23A" w14:textId="2CE87A6B" w:rsidR="00C076CF" w:rsidRPr="009D62EE" w:rsidRDefault="00C076CF" w:rsidP="00C076CF">
      <w:pPr>
        <w:rPr>
          <w:rFonts w:ascii="Calibri" w:hAnsi="Calibri" w:cs="Calibri"/>
          <w:b/>
          <w:bCs/>
          <w:sz w:val="28"/>
          <w:szCs w:val="28"/>
        </w:rPr>
      </w:pPr>
      <w:r w:rsidRPr="009D62EE">
        <w:rPr>
          <w:rFonts w:ascii="Calibri" w:hAnsi="Calibri" w:cs="Calibri"/>
          <w:b/>
          <w:bCs/>
          <w:sz w:val="28"/>
          <w:szCs w:val="28"/>
        </w:rPr>
        <w:t xml:space="preserve">Supplemental Material – Table of Contents </w:t>
      </w:r>
    </w:p>
    <w:p w14:paraId="29811D4F" w14:textId="77777777" w:rsidR="00C076CF" w:rsidRPr="009D62EE" w:rsidRDefault="00C076CF" w:rsidP="00C076CF">
      <w:pPr>
        <w:rPr>
          <w:rFonts w:ascii="Calibri" w:hAnsi="Calibri" w:cs="Calibri"/>
          <w:sz w:val="22"/>
          <w:szCs w:val="22"/>
        </w:rPr>
      </w:pPr>
      <w:r w:rsidRPr="009D62EE">
        <w:rPr>
          <w:rFonts w:ascii="Calibri" w:hAnsi="Calibri" w:cs="Calibri"/>
          <w:b/>
          <w:bCs/>
          <w:sz w:val="22"/>
          <w:szCs w:val="22"/>
        </w:rPr>
        <w:t>Supplemental Table S1.</w:t>
      </w:r>
      <w:r w:rsidRPr="009D62EE">
        <w:rPr>
          <w:rFonts w:ascii="Calibri" w:hAnsi="Calibri" w:cs="Calibri"/>
          <w:sz w:val="22"/>
          <w:szCs w:val="22"/>
        </w:rPr>
        <w:t xml:space="preserve"> Characteristics of interventional pharmacological trials that exclude GD patients</w:t>
      </w:r>
    </w:p>
    <w:p w14:paraId="594E290E" w14:textId="77777777" w:rsidR="00C076CF" w:rsidRPr="009D62EE" w:rsidRDefault="00C076CF" w:rsidP="00C076CF">
      <w:pPr>
        <w:rPr>
          <w:rFonts w:ascii="Calibri" w:hAnsi="Calibri" w:cs="Calibri"/>
          <w:sz w:val="22"/>
          <w:szCs w:val="22"/>
        </w:rPr>
      </w:pPr>
      <w:r w:rsidRPr="009D62EE">
        <w:rPr>
          <w:rFonts w:ascii="Calibri" w:hAnsi="Calibri" w:cs="Calibri"/>
          <w:b/>
          <w:bCs/>
          <w:sz w:val="22"/>
          <w:szCs w:val="22"/>
        </w:rPr>
        <w:t xml:space="preserve">Supplemental Table S2. </w:t>
      </w:r>
      <w:r w:rsidRPr="009D62EE">
        <w:rPr>
          <w:rFonts w:ascii="Calibri" w:hAnsi="Calibri" w:cs="Calibri"/>
          <w:sz w:val="22"/>
          <w:szCs w:val="22"/>
        </w:rPr>
        <w:t>Characteristics of clinical trials excluding GD patients</w:t>
      </w:r>
    </w:p>
    <w:p w14:paraId="2689D142" w14:textId="77777777" w:rsidR="00C076CF" w:rsidRPr="009D62EE" w:rsidRDefault="00C076CF" w:rsidP="00C076CF">
      <w:pPr>
        <w:rPr>
          <w:rFonts w:ascii="Calibri" w:hAnsi="Calibri" w:cs="Calibri"/>
          <w:sz w:val="22"/>
          <w:szCs w:val="22"/>
        </w:rPr>
      </w:pPr>
      <w:r w:rsidRPr="009D62EE">
        <w:rPr>
          <w:rFonts w:ascii="Calibri" w:hAnsi="Calibri" w:cs="Calibri"/>
          <w:b/>
          <w:bCs/>
          <w:sz w:val="22"/>
          <w:szCs w:val="22"/>
        </w:rPr>
        <w:t>Supplemental Figure S1.</w:t>
      </w:r>
      <w:r w:rsidRPr="009D62EE">
        <w:rPr>
          <w:rFonts w:ascii="Calibri" w:hAnsi="Calibri" w:cs="Calibri"/>
          <w:sz w:val="22"/>
          <w:szCs w:val="22"/>
        </w:rPr>
        <w:t xml:space="preserve"> Flowchart of the trial selection process</w:t>
      </w:r>
    </w:p>
    <w:p w14:paraId="4F28AD87" w14:textId="102D9C48" w:rsidR="00C076CF" w:rsidRDefault="00C076CF" w:rsidP="00C076CF">
      <w:r w:rsidRPr="009D62EE">
        <w:rPr>
          <w:rFonts w:ascii="Calibri" w:hAnsi="Calibri" w:cs="Calibri"/>
          <w:b/>
          <w:bCs/>
          <w:sz w:val="22"/>
          <w:szCs w:val="22"/>
        </w:rPr>
        <w:t>Supplemental Methods</w:t>
      </w:r>
      <w:r w:rsidRPr="009D62EE">
        <w:rPr>
          <w:b/>
          <w:bCs/>
        </w:rPr>
        <w:t xml:space="preserve"> </w:t>
      </w:r>
      <w:r>
        <w:br w:type="page"/>
      </w:r>
    </w:p>
    <w:tbl>
      <w:tblPr>
        <w:tblStyle w:val="TableGrid"/>
        <w:tblpPr w:leftFromText="180" w:rightFromText="180" w:vertAnchor="text" w:horzAnchor="margin" w:tblpY="-2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0"/>
        <w:gridCol w:w="1080"/>
        <w:gridCol w:w="1710"/>
        <w:gridCol w:w="1710"/>
        <w:gridCol w:w="1170"/>
      </w:tblGrid>
      <w:tr w:rsidR="00C663F7" w:rsidRPr="0046038C" w14:paraId="69B09500" w14:textId="77777777" w:rsidTr="00BF6A13">
        <w:trPr>
          <w:trHeight w:val="432"/>
        </w:trPr>
        <w:tc>
          <w:tcPr>
            <w:tcW w:w="8190" w:type="dxa"/>
            <w:gridSpan w:val="5"/>
            <w:tcBorders>
              <w:top w:val="single" w:sz="12" w:space="0" w:color="747474" w:themeColor="background2" w:themeShade="80"/>
              <w:bottom w:val="single" w:sz="12" w:space="0" w:color="747474" w:themeColor="background2" w:themeShade="80"/>
            </w:tcBorders>
            <w:vAlign w:val="center"/>
          </w:tcPr>
          <w:p w14:paraId="1223278A" w14:textId="3CD19407" w:rsidR="00C663F7" w:rsidRPr="0046038C" w:rsidRDefault="00C663F7" w:rsidP="001C1398">
            <w:pPr>
              <w:rPr>
                <w:rFonts w:ascii="Calibri" w:hAnsi="Calibri" w:cs="Calibri"/>
                <w:b/>
                <w:bCs/>
                <w:sz w:val="21"/>
                <w:szCs w:val="21"/>
              </w:rPr>
            </w:pPr>
            <w:r w:rsidRPr="0046038C">
              <w:rPr>
                <w:rFonts w:ascii="Calibri" w:hAnsi="Calibri" w:cs="Calibri"/>
                <w:b/>
                <w:bCs/>
                <w:sz w:val="21"/>
                <w:szCs w:val="21"/>
              </w:rPr>
              <w:lastRenderedPageBreak/>
              <w:t xml:space="preserve">Supplemental Table </w:t>
            </w:r>
            <w:r w:rsidR="00634B24" w:rsidRPr="0046038C">
              <w:rPr>
                <w:rFonts w:ascii="Calibri" w:hAnsi="Calibri" w:cs="Calibri"/>
                <w:b/>
                <w:bCs/>
                <w:sz w:val="21"/>
                <w:szCs w:val="21"/>
              </w:rPr>
              <w:t>S</w:t>
            </w:r>
            <w:r w:rsidRPr="0046038C">
              <w:rPr>
                <w:rFonts w:ascii="Calibri" w:hAnsi="Calibri" w:cs="Calibri"/>
                <w:b/>
                <w:bCs/>
                <w:sz w:val="21"/>
                <w:szCs w:val="21"/>
              </w:rPr>
              <w:t>1.</w:t>
            </w:r>
            <w:r w:rsidR="00BB4496" w:rsidRPr="0046038C">
              <w:rPr>
                <w:rFonts w:ascii="Calibri" w:hAnsi="Calibri" w:cs="Calibri"/>
                <w:b/>
                <w:bCs/>
                <w:sz w:val="21"/>
                <w:szCs w:val="21"/>
              </w:rPr>
              <w:t xml:space="preserve">   </w:t>
            </w:r>
            <w:r w:rsidRPr="0046038C">
              <w:rPr>
                <w:rFonts w:ascii="Calibri" w:hAnsi="Calibri" w:cs="Calibri"/>
                <w:b/>
                <w:bCs/>
                <w:sz w:val="21"/>
                <w:szCs w:val="21"/>
              </w:rPr>
              <w:t>Characteristics of interventional pharmacological trials</w:t>
            </w:r>
          </w:p>
        </w:tc>
      </w:tr>
      <w:tr w:rsidR="00C663F7" w:rsidRPr="0046038C" w14:paraId="267274A7" w14:textId="77777777" w:rsidTr="00BF6A13">
        <w:trPr>
          <w:trHeight w:val="720"/>
        </w:trPr>
        <w:tc>
          <w:tcPr>
            <w:tcW w:w="2520" w:type="dxa"/>
            <w:tcBorders>
              <w:top w:val="single" w:sz="12" w:space="0" w:color="747474" w:themeColor="background2" w:themeShade="80"/>
            </w:tcBorders>
            <w:vAlign w:val="center"/>
          </w:tcPr>
          <w:p w14:paraId="3650FFDC" w14:textId="77777777" w:rsidR="00C663F7" w:rsidRPr="0046038C" w:rsidRDefault="00C663F7" w:rsidP="001C1398">
            <w:pPr>
              <w:jc w:val="center"/>
              <w:rPr>
                <w:rFonts w:ascii="Calibri" w:hAnsi="Calibri" w:cs="Calibri"/>
                <w:sz w:val="18"/>
                <w:szCs w:val="18"/>
              </w:rPr>
            </w:pPr>
          </w:p>
        </w:tc>
        <w:tc>
          <w:tcPr>
            <w:tcW w:w="1080" w:type="dxa"/>
            <w:tcBorders>
              <w:top w:val="single" w:sz="12" w:space="0" w:color="747474" w:themeColor="background2" w:themeShade="80"/>
            </w:tcBorders>
            <w:vAlign w:val="center"/>
          </w:tcPr>
          <w:p w14:paraId="5C74731C" w14:textId="77777777" w:rsidR="00C663F7" w:rsidRPr="0046038C" w:rsidRDefault="00C663F7" w:rsidP="001C1398">
            <w:pPr>
              <w:jc w:val="center"/>
              <w:rPr>
                <w:rFonts w:ascii="Calibri" w:hAnsi="Calibri" w:cs="Calibri"/>
                <w:b/>
                <w:bCs/>
                <w:sz w:val="18"/>
                <w:szCs w:val="18"/>
              </w:rPr>
            </w:pPr>
            <w:r w:rsidRPr="0046038C">
              <w:rPr>
                <w:rFonts w:ascii="Calibri" w:hAnsi="Calibri" w:cs="Calibri"/>
                <w:b/>
                <w:bCs/>
                <w:sz w:val="18"/>
                <w:szCs w:val="18"/>
              </w:rPr>
              <w:t>All trials (n=286)</w:t>
            </w:r>
          </w:p>
        </w:tc>
        <w:tc>
          <w:tcPr>
            <w:tcW w:w="1710" w:type="dxa"/>
            <w:tcBorders>
              <w:top w:val="single" w:sz="12" w:space="0" w:color="747474" w:themeColor="background2" w:themeShade="80"/>
            </w:tcBorders>
            <w:vAlign w:val="center"/>
          </w:tcPr>
          <w:p w14:paraId="7A70F15B" w14:textId="77777777" w:rsidR="00C663F7" w:rsidRPr="0046038C" w:rsidRDefault="00C663F7" w:rsidP="001C1398">
            <w:pPr>
              <w:jc w:val="center"/>
              <w:rPr>
                <w:rFonts w:ascii="Calibri" w:hAnsi="Calibri" w:cs="Calibri"/>
                <w:b/>
                <w:bCs/>
                <w:sz w:val="18"/>
                <w:szCs w:val="18"/>
              </w:rPr>
            </w:pPr>
            <w:r w:rsidRPr="0046038C">
              <w:rPr>
                <w:rFonts w:ascii="Calibri" w:hAnsi="Calibri" w:cs="Calibri"/>
                <w:b/>
                <w:bCs/>
                <w:sz w:val="18"/>
                <w:szCs w:val="18"/>
              </w:rPr>
              <w:t>Trials that exclude GD patients (n=40)</w:t>
            </w:r>
          </w:p>
        </w:tc>
        <w:tc>
          <w:tcPr>
            <w:tcW w:w="1710" w:type="dxa"/>
            <w:tcBorders>
              <w:top w:val="single" w:sz="12" w:space="0" w:color="747474" w:themeColor="background2" w:themeShade="80"/>
            </w:tcBorders>
            <w:vAlign w:val="center"/>
          </w:tcPr>
          <w:p w14:paraId="59E81762" w14:textId="77777777" w:rsidR="00C663F7" w:rsidRPr="0046038C" w:rsidRDefault="00C663F7" w:rsidP="001C1398">
            <w:pPr>
              <w:jc w:val="center"/>
              <w:rPr>
                <w:rFonts w:ascii="Calibri" w:hAnsi="Calibri" w:cs="Calibri"/>
                <w:b/>
                <w:bCs/>
                <w:sz w:val="18"/>
                <w:szCs w:val="18"/>
              </w:rPr>
            </w:pPr>
            <w:r w:rsidRPr="0046038C">
              <w:rPr>
                <w:rFonts w:ascii="Calibri" w:hAnsi="Calibri" w:cs="Calibri"/>
                <w:b/>
                <w:bCs/>
                <w:sz w:val="18"/>
                <w:szCs w:val="18"/>
              </w:rPr>
              <w:t>Trials that include GD patients (n=246)</w:t>
            </w:r>
          </w:p>
        </w:tc>
        <w:tc>
          <w:tcPr>
            <w:tcW w:w="1170" w:type="dxa"/>
            <w:tcBorders>
              <w:top w:val="single" w:sz="12" w:space="0" w:color="747474" w:themeColor="background2" w:themeShade="80"/>
            </w:tcBorders>
            <w:vAlign w:val="center"/>
          </w:tcPr>
          <w:p w14:paraId="37D5F706" w14:textId="337490D3" w:rsidR="00C663F7" w:rsidRPr="0046038C" w:rsidRDefault="00C663F7" w:rsidP="001C1398">
            <w:pPr>
              <w:jc w:val="center"/>
              <w:rPr>
                <w:rFonts w:ascii="Calibri" w:hAnsi="Calibri" w:cs="Calibri"/>
                <w:b/>
                <w:bCs/>
                <w:sz w:val="18"/>
                <w:szCs w:val="18"/>
                <w:vertAlign w:val="superscript"/>
              </w:rPr>
            </w:pPr>
            <w:r w:rsidRPr="0046038C">
              <w:rPr>
                <w:rFonts w:ascii="Calibri" w:hAnsi="Calibri" w:cs="Calibri"/>
                <w:b/>
                <w:bCs/>
                <w:sz w:val="18"/>
                <w:szCs w:val="18"/>
              </w:rPr>
              <w:t>p-value</w:t>
            </w:r>
            <w:r w:rsidR="000C2B81" w:rsidRPr="0046038C">
              <w:rPr>
                <w:rFonts w:ascii="Calibri" w:hAnsi="Calibri" w:cs="Calibri"/>
                <w:b/>
                <w:bCs/>
                <w:sz w:val="18"/>
                <w:szCs w:val="18"/>
                <w:vertAlign w:val="superscript"/>
              </w:rPr>
              <w:t>1</w:t>
            </w:r>
          </w:p>
        </w:tc>
      </w:tr>
      <w:tr w:rsidR="00C663F7" w:rsidRPr="0046038C" w14:paraId="78AA4E9A" w14:textId="77777777" w:rsidTr="00BF6A13">
        <w:tc>
          <w:tcPr>
            <w:tcW w:w="2520" w:type="dxa"/>
          </w:tcPr>
          <w:p w14:paraId="0FF1EB7C" w14:textId="77777777" w:rsidR="00C663F7" w:rsidRPr="0046038C" w:rsidRDefault="00C663F7" w:rsidP="001C1398">
            <w:pPr>
              <w:rPr>
                <w:rFonts w:ascii="Calibri" w:hAnsi="Calibri" w:cs="Calibri"/>
                <w:b/>
                <w:bCs/>
                <w:sz w:val="18"/>
                <w:szCs w:val="18"/>
              </w:rPr>
            </w:pPr>
            <w:r w:rsidRPr="0046038C">
              <w:rPr>
                <w:rFonts w:ascii="Calibri" w:hAnsi="Calibri" w:cs="Calibri"/>
                <w:b/>
                <w:bCs/>
                <w:sz w:val="18"/>
                <w:szCs w:val="18"/>
              </w:rPr>
              <w:t>Drug intervention</w:t>
            </w:r>
          </w:p>
        </w:tc>
        <w:tc>
          <w:tcPr>
            <w:tcW w:w="1080" w:type="dxa"/>
          </w:tcPr>
          <w:p w14:paraId="4EE3AC18" w14:textId="77777777" w:rsidR="00C663F7" w:rsidRPr="0046038C" w:rsidRDefault="00C663F7" w:rsidP="001C1398">
            <w:pPr>
              <w:rPr>
                <w:rFonts w:ascii="Calibri" w:hAnsi="Calibri" w:cs="Calibri"/>
                <w:sz w:val="18"/>
                <w:szCs w:val="18"/>
              </w:rPr>
            </w:pPr>
          </w:p>
        </w:tc>
        <w:tc>
          <w:tcPr>
            <w:tcW w:w="1710" w:type="dxa"/>
          </w:tcPr>
          <w:p w14:paraId="0F4DE977" w14:textId="77777777" w:rsidR="00C663F7" w:rsidRPr="0046038C" w:rsidRDefault="00C663F7" w:rsidP="001C1398">
            <w:pPr>
              <w:rPr>
                <w:rFonts w:ascii="Calibri" w:hAnsi="Calibri" w:cs="Calibri"/>
                <w:sz w:val="18"/>
                <w:szCs w:val="18"/>
              </w:rPr>
            </w:pPr>
          </w:p>
        </w:tc>
        <w:tc>
          <w:tcPr>
            <w:tcW w:w="1710" w:type="dxa"/>
          </w:tcPr>
          <w:p w14:paraId="3B023E6A" w14:textId="77777777" w:rsidR="00C663F7" w:rsidRPr="0046038C" w:rsidRDefault="00C663F7" w:rsidP="001C1398">
            <w:pPr>
              <w:rPr>
                <w:rFonts w:ascii="Calibri" w:hAnsi="Calibri" w:cs="Calibri"/>
                <w:sz w:val="18"/>
                <w:szCs w:val="18"/>
              </w:rPr>
            </w:pPr>
          </w:p>
        </w:tc>
        <w:tc>
          <w:tcPr>
            <w:tcW w:w="1170" w:type="dxa"/>
          </w:tcPr>
          <w:p w14:paraId="60214D96" w14:textId="77777777" w:rsidR="00C663F7" w:rsidRPr="0046038C" w:rsidRDefault="00C663F7" w:rsidP="001C1398">
            <w:pPr>
              <w:rPr>
                <w:rFonts w:ascii="Calibri" w:hAnsi="Calibri" w:cs="Calibri"/>
                <w:sz w:val="18"/>
                <w:szCs w:val="18"/>
              </w:rPr>
            </w:pPr>
          </w:p>
        </w:tc>
      </w:tr>
      <w:tr w:rsidR="00C663F7" w:rsidRPr="0046038C" w14:paraId="6F743F8A" w14:textId="77777777" w:rsidTr="00BF6A13">
        <w:tc>
          <w:tcPr>
            <w:tcW w:w="2520" w:type="dxa"/>
          </w:tcPr>
          <w:p w14:paraId="3896655A"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Immunosuppressants </w:t>
            </w:r>
          </w:p>
        </w:tc>
        <w:tc>
          <w:tcPr>
            <w:tcW w:w="1080" w:type="dxa"/>
          </w:tcPr>
          <w:p w14:paraId="7CBB0DD3"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125 (44)</w:t>
            </w:r>
          </w:p>
        </w:tc>
        <w:tc>
          <w:tcPr>
            <w:tcW w:w="1710" w:type="dxa"/>
          </w:tcPr>
          <w:p w14:paraId="2F0E5994"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24 (60)</w:t>
            </w:r>
          </w:p>
        </w:tc>
        <w:tc>
          <w:tcPr>
            <w:tcW w:w="1710" w:type="dxa"/>
          </w:tcPr>
          <w:p w14:paraId="548F5B41"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101 (41)</w:t>
            </w:r>
          </w:p>
        </w:tc>
        <w:tc>
          <w:tcPr>
            <w:tcW w:w="1170" w:type="dxa"/>
          </w:tcPr>
          <w:p w14:paraId="1AACBA50"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0.18</w:t>
            </w:r>
          </w:p>
        </w:tc>
      </w:tr>
      <w:tr w:rsidR="00C663F7" w:rsidRPr="0046038C" w14:paraId="52B1A18B" w14:textId="77777777" w:rsidTr="00BF6A13">
        <w:tc>
          <w:tcPr>
            <w:tcW w:w="2520" w:type="dxa"/>
          </w:tcPr>
          <w:p w14:paraId="59B67EFA"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Endocrine</w:t>
            </w:r>
          </w:p>
        </w:tc>
        <w:tc>
          <w:tcPr>
            <w:tcW w:w="1080" w:type="dxa"/>
          </w:tcPr>
          <w:p w14:paraId="49322199"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21 (7)</w:t>
            </w:r>
          </w:p>
        </w:tc>
        <w:tc>
          <w:tcPr>
            <w:tcW w:w="1710" w:type="dxa"/>
          </w:tcPr>
          <w:p w14:paraId="233FD030"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 (3)</w:t>
            </w:r>
          </w:p>
        </w:tc>
        <w:tc>
          <w:tcPr>
            <w:tcW w:w="1710" w:type="dxa"/>
          </w:tcPr>
          <w:p w14:paraId="6222809A"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20 (8)</w:t>
            </w:r>
          </w:p>
        </w:tc>
        <w:tc>
          <w:tcPr>
            <w:tcW w:w="1170" w:type="dxa"/>
          </w:tcPr>
          <w:p w14:paraId="60AC7281"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0.33</w:t>
            </w:r>
          </w:p>
        </w:tc>
      </w:tr>
      <w:tr w:rsidR="00C663F7" w:rsidRPr="0046038C" w14:paraId="0C51C40E" w14:textId="77777777" w:rsidTr="00BF6A13">
        <w:tc>
          <w:tcPr>
            <w:tcW w:w="2520" w:type="dxa"/>
          </w:tcPr>
          <w:p w14:paraId="038F33CE"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Vaccines </w:t>
            </w:r>
          </w:p>
        </w:tc>
        <w:tc>
          <w:tcPr>
            <w:tcW w:w="1080" w:type="dxa"/>
          </w:tcPr>
          <w:p w14:paraId="27C3254D"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29 (10)</w:t>
            </w:r>
          </w:p>
        </w:tc>
        <w:tc>
          <w:tcPr>
            <w:tcW w:w="1710" w:type="dxa"/>
          </w:tcPr>
          <w:p w14:paraId="047ACF0C"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5 (13)</w:t>
            </w:r>
          </w:p>
        </w:tc>
        <w:tc>
          <w:tcPr>
            <w:tcW w:w="1710" w:type="dxa"/>
          </w:tcPr>
          <w:p w14:paraId="7665AB30"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24 (10)</w:t>
            </w:r>
          </w:p>
        </w:tc>
        <w:tc>
          <w:tcPr>
            <w:tcW w:w="1170" w:type="dxa"/>
          </w:tcPr>
          <w:p w14:paraId="35655A9B"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0.58</w:t>
            </w:r>
          </w:p>
        </w:tc>
      </w:tr>
      <w:tr w:rsidR="00C663F7" w:rsidRPr="0046038C" w14:paraId="14473DA2" w14:textId="77777777" w:rsidTr="00BF6A13">
        <w:tc>
          <w:tcPr>
            <w:tcW w:w="2520" w:type="dxa"/>
          </w:tcPr>
          <w:p w14:paraId="37DAF519"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Antivirals</w:t>
            </w:r>
          </w:p>
        </w:tc>
        <w:tc>
          <w:tcPr>
            <w:tcW w:w="1080" w:type="dxa"/>
          </w:tcPr>
          <w:p w14:paraId="65F999C5"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43 (15)</w:t>
            </w:r>
          </w:p>
        </w:tc>
        <w:tc>
          <w:tcPr>
            <w:tcW w:w="1710" w:type="dxa"/>
          </w:tcPr>
          <w:p w14:paraId="338D04AA"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6 (15)</w:t>
            </w:r>
          </w:p>
        </w:tc>
        <w:tc>
          <w:tcPr>
            <w:tcW w:w="1710" w:type="dxa"/>
          </w:tcPr>
          <w:p w14:paraId="43F8CF64"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37 (15)</w:t>
            </w:r>
          </w:p>
        </w:tc>
        <w:tc>
          <w:tcPr>
            <w:tcW w:w="1170" w:type="dxa"/>
          </w:tcPr>
          <w:p w14:paraId="3B38FCCE"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1.00</w:t>
            </w:r>
          </w:p>
        </w:tc>
      </w:tr>
      <w:tr w:rsidR="00C663F7" w:rsidRPr="0046038C" w14:paraId="66D7BE9E" w14:textId="77777777" w:rsidTr="00BF6A13">
        <w:tc>
          <w:tcPr>
            <w:tcW w:w="2520" w:type="dxa"/>
          </w:tcPr>
          <w:p w14:paraId="0C143EAE"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Antihypertensives</w:t>
            </w:r>
          </w:p>
        </w:tc>
        <w:tc>
          <w:tcPr>
            <w:tcW w:w="1080" w:type="dxa"/>
          </w:tcPr>
          <w:p w14:paraId="7FB54FFB"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4 (1)</w:t>
            </w:r>
          </w:p>
        </w:tc>
        <w:tc>
          <w:tcPr>
            <w:tcW w:w="1710" w:type="dxa"/>
          </w:tcPr>
          <w:p w14:paraId="69CA47EB"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w:t>
            </w:r>
          </w:p>
        </w:tc>
        <w:tc>
          <w:tcPr>
            <w:tcW w:w="1710" w:type="dxa"/>
          </w:tcPr>
          <w:p w14:paraId="1035E641"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4 (2)</w:t>
            </w:r>
          </w:p>
        </w:tc>
        <w:tc>
          <w:tcPr>
            <w:tcW w:w="1170" w:type="dxa"/>
          </w:tcPr>
          <w:p w14:paraId="7ECF03F5"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1.00</w:t>
            </w:r>
          </w:p>
        </w:tc>
      </w:tr>
      <w:tr w:rsidR="00C663F7" w:rsidRPr="0046038C" w14:paraId="33845E34" w14:textId="77777777" w:rsidTr="00BF6A13">
        <w:tc>
          <w:tcPr>
            <w:tcW w:w="2520" w:type="dxa"/>
          </w:tcPr>
          <w:p w14:paraId="7DB8B3E6"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Antibiotics </w:t>
            </w:r>
          </w:p>
        </w:tc>
        <w:tc>
          <w:tcPr>
            <w:tcW w:w="1080" w:type="dxa"/>
          </w:tcPr>
          <w:p w14:paraId="31DA6C1A"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6 (2)</w:t>
            </w:r>
          </w:p>
        </w:tc>
        <w:tc>
          <w:tcPr>
            <w:tcW w:w="1710" w:type="dxa"/>
          </w:tcPr>
          <w:p w14:paraId="2371EA5A"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w:t>
            </w:r>
          </w:p>
        </w:tc>
        <w:tc>
          <w:tcPr>
            <w:tcW w:w="1710" w:type="dxa"/>
          </w:tcPr>
          <w:p w14:paraId="64384E6B"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6 (2)</w:t>
            </w:r>
          </w:p>
        </w:tc>
        <w:tc>
          <w:tcPr>
            <w:tcW w:w="1170" w:type="dxa"/>
          </w:tcPr>
          <w:p w14:paraId="5F2542E6"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1.00</w:t>
            </w:r>
          </w:p>
        </w:tc>
      </w:tr>
      <w:tr w:rsidR="00C663F7" w:rsidRPr="0046038C" w14:paraId="05D1DBE2" w14:textId="77777777" w:rsidTr="00BF6A13">
        <w:tc>
          <w:tcPr>
            <w:tcW w:w="2520" w:type="dxa"/>
          </w:tcPr>
          <w:p w14:paraId="781EB2E6"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Other</w:t>
            </w:r>
          </w:p>
        </w:tc>
        <w:tc>
          <w:tcPr>
            <w:tcW w:w="1080" w:type="dxa"/>
          </w:tcPr>
          <w:p w14:paraId="4CC222BB"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58 (18)</w:t>
            </w:r>
          </w:p>
        </w:tc>
        <w:tc>
          <w:tcPr>
            <w:tcW w:w="1710" w:type="dxa"/>
          </w:tcPr>
          <w:p w14:paraId="4EBB3F77"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4 (10)</w:t>
            </w:r>
          </w:p>
        </w:tc>
        <w:tc>
          <w:tcPr>
            <w:tcW w:w="1710" w:type="dxa"/>
          </w:tcPr>
          <w:p w14:paraId="007EA8C7"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54 (22)</w:t>
            </w:r>
          </w:p>
        </w:tc>
        <w:tc>
          <w:tcPr>
            <w:tcW w:w="1170" w:type="dxa"/>
          </w:tcPr>
          <w:p w14:paraId="161D8707"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0.20</w:t>
            </w:r>
          </w:p>
        </w:tc>
      </w:tr>
      <w:tr w:rsidR="00C663F7" w:rsidRPr="0046038C" w14:paraId="001114BB" w14:textId="77777777" w:rsidTr="00BF6A13">
        <w:tc>
          <w:tcPr>
            <w:tcW w:w="2520" w:type="dxa"/>
          </w:tcPr>
          <w:p w14:paraId="5EED1EE4" w14:textId="77777777" w:rsidR="00C663F7" w:rsidRPr="0046038C" w:rsidRDefault="00C663F7" w:rsidP="001C1398">
            <w:pPr>
              <w:rPr>
                <w:rFonts w:ascii="Calibri" w:hAnsi="Calibri" w:cs="Calibri"/>
                <w:b/>
                <w:bCs/>
                <w:sz w:val="18"/>
                <w:szCs w:val="18"/>
              </w:rPr>
            </w:pPr>
            <w:r w:rsidRPr="0046038C">
              <w:rPr>
                <w:rFonts w:ascii="Calibri" w:hAnsi="Calibri" w:cs="Calibri"/>
                <w:b/>
                <w:bCs/>
                <w:sz w:val="18"/>
                <w:szCs w:val="18"/>
              </w:rPr>
              <w:t>Phase of trial</w:t>
            </w:r>
          </w:p>
        </w:tc>
        <w:tc>
          <w:tcPr>
            <w:tcW w:w="1080" w:type="dxa"/>
          </w:tcPr>
          <w:p w14:paraId="49C6F259" w14:textId="77777777" w:rsidR="00C663F7" w:rsidRPr="0046038C" w:rsidRDefault="00C663F7" w:rsidP="001C1398">
            <w:pPr>
              <w:jc w:val="center"/>
              <w:rPr>
                <w:rFonts w:ascii="Calibri" w:hAnsi="Calibri" w:cs="Calibri"/>
                <w:sz w:val="18"/>
                <w:szCs w:val="18"/>
              </w:rPr>
            </w:pPr>
          </w:p>
        </w:tc>
        <w:tc>
          <w:tcPr>
            <w:tcW w:w="1710" w:type="dxa"/>
          </w:tcPr>
          <w:p w14:paraId="704C1692" w14:textId="77777777" w:rsidR="00C663F7" w:rsidRPr="0046038C" w:rsidRDefault="00C663F7" w:rsidP="001C1398">
            <w:pPr>
              <w:jc w:val="center"/>
              <w:rPr>
                <w:rFonts w:ascii="Calibri" w:hAnsi="Calibri" w:cs="Calibri"/>
                <w:sz w:val="18"/>
                <w:szCs w:val="18"/>
              </w:rPr>
            </w:pPr>
          </w:p>
        </w:tc>
        <w:tc>
          <w:tcPr>
            <w:tcW w:w="1710" w:type="dxa"/>
          </w:tcPr>
          <w:p w14:paraId="320AE1DD" w14:textId="77777777" w:rsidR="00C663F7" w:rsidRPr="0046038C" w:rsidRDefault="00C663F7" w:rsidP="001C1398">
            <w:pPr>
              <w:jc w:val="center"/>
              <w:rPr>
                <w:rFonts w:ascii="Calibri" w:hAnsi="Calibri" w:cs="Calibri"/>
                <w:sz w:val="18"/>
                <w:szCs w:val="18"/>
              </w:rPr>
            </w:pPr>
          </w:p>
        </w:tc>
        <w:tc>
          <w:tcPr>
            <w:tcW w:w="1170" w:type="dxa"/>
          </w:tcPr>
          <w:p w14:paraId="6687BAAB" w14:textId="77777777" w:rsidR="00C663F7" w:rsidRPr="0046038C" w:rsidRDefault="00C663F7" w:rsidP="001C1398">
            <w:pPr>
              <w:jc w:val="center"/>
              <w:rPr>
                <w:rFonts w:ascii="Calibri" w:hAnsi="Calibri" w:cs="Calibri"/>
                <w:sz w:val="18"/>
                <w:szCs w:val="18"/>
              </w:rPr>
            </w:pPr>
          </w:p>
        </w:tc>
      </w:tr>
      <w:tr w:rsidR="00C663F7" w:rsidRPr="0046038C" w14:paraId="5EBFEA3E" w14:textId="77777777" w:rsidTr="00BF6A13">
        <w:tc>
          <w:tcPr>
            <w:tcW w:w="2520" w:type="dxa"/>
          </w:tcPr>
          <w:p w14:paraId="2A54FEE9"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Phase 1 </w:t>
            </w:r>
          </w:p>
        </w:tc>
        <w:tc>
          <w:tcPr>
            <w:tcW w:w="1080" w:type="dxa"/>
          </w:tcPr>
          <w:p w14:paraId="19C3F43C"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26 (9)</w:t>
            </w:r>
          </w:p>
        </w:tc>
        <w:tc>
          <w:tcPr>
            <w:tcW w:w="1710" w:type="dxa"/>
          </w:tcPr>
          <w:p w14:paraId="0D7D5CC5"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7(18)</w:t>
            </w:r>
          </w:p>
        </w:tc>
        <w:tc>
          <w:tcPr>
            <w:tcW w:w="1710" w:type="dxa"/>
          </w:tcPr>
          <w:p w14:paraId="1D5CA32C"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19 (8)</w:t>
            </w:r>
          </w:p>
        </w:tc>
        <w:tc>
          <w:tcPr>
            <w:tcW w:w="1170" w:type="dxa"/>
          </w:tcPr>
          <w:p w14:paraId="05EC8BE8"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0.09</w:t>
            </w:r>
          </w:p>
        </w:tc>
      </w:tr>
      <w:tr w:rsidR="00C663F7" w:rsidRPr="0046038C" w14:paraId="65506765" w14:textId="77777777" w:rsidTr="00BF6A13">
        <w:tc>
          <w:tcPr>
            <w:tcW w:w="2520" w:type="dxa"/>
          </w:tcPr>
          <w:p w14:paraId="038A37C0"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Phase 2 </w:t>
            </w:r>
          </w:p>
        </w:tc>
        <w:tc>
          <w:tcPr>
            <w:tcW w:w="1080" w:type="dxa"/>
          </w:tcPr>
          <w:p w14:paraId="68897174"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55 (19)</w:t>
            </w:r>
          </w:p>
        </w:tc>
        <w:tc>
          <w:tcPr>
            <w:tcW w:w="1710" w:type="dxa"/>
          </w:tcPr>
          <w:p w14:paraId="7BD24B86"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9 (23)</w:t>
            </w:r>
          </w:p>
        </w:tc>
        <w:tc>
          <w:tcPr>
            <w:tcW w:w="1710" w:type="dxa"/>
          </w:tcPr>
          <w:p w14:paraId="4DA85275"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46 (19)</w:t>
            </w:r>
          </w:p>
        </w:tc>
        <w:tc>
          <w:tcPr>
            <w:tcW w:w="1170" w:type="dxa"/>
          </w:tcPr>
          <w:p w14:paraId="4D70393B"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0.68</w:t>
            </w:r>
          </w:p>
        </w:tc>
      </w:tr>
      <w:tr w:rsidR="00C663F7" w:rsidRPr="0046038C" w14:paraId="045B2767" w14:textId="77777777" w:rsidTr="00BF6A13">
        <w:tc>
          <w:tcPr>
            <w:tcW w:w="2520" w:type="dxa"/>
          </w:tcPr>
          <w:p w14:paraId="589B7B29"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Phase 3 </w:t>
            </w:r>
          </w:p>
        </w:tc>
        <w:tc>
          <w:tcPr>
            <w:tcW w:w="1080" w:type="dxa"/>
          </w:tcPr>
          <w:p w14:paraId="5FD0BC31"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50 (17)</w:t>
            </w:r>
          </w:p>
        </w:tc>
        <w:tc>
          <w:tcPr>
            <w:tcW w:w="1710" w:type="dxa"/>
          </w:tcPr>
          <w:p w14:paraId="65D09E02"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 xml:space="preserve"> 4 (10)</w:t>
            </w:r>
          </w:p>
        </w:tc>
        <w:tc>
          <w:tcPr>
            <w:tcW w:w="1710" w:type="dxa"/>
          </w:tcPr>
          <w:p w14:paraId="0F4A9662"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46 (19)</w:t>
            </w:r>
          </w:p>
        </w:tc>
        <w:tc>
          <w:tcPr>
            <w:tcW w:w="1170" w:type="dxa"/>
          </w:tcPr>
          <w:p w14:paraId="3B77F768"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0.36</w:t>
            </w:r>
          </w:p>
        </w:tc>
      </w:tr>
      <w:tr w:rsidR="00C663F7" w:rsidRPr="0046038C" w14:paraId="45C08506" w14:textId="77777777" w:rsidTr="00BF6A13">
        <w:tc>
          <w:tcPr>
            <w:tcW w:w="2520" w:type="dxa"/>
          </w:tcPr>
          <w:p w14:paraId="38034CFF"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Phase 4 </w:t>
            </w:r>
          </w:p>
        </w:tc>
        <w:tc>
          <w:tcPr>
            <w:tcW w:w="1080" w:type="dxa"/>
          </w:tcPr>
          <w:p w14:paraId="71AD9D6A"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104 (36)</w:t>
            </w:r>
          </w:p>
        </w:tc>
        <w:tc>
          <w:tcPr>
            <w:tcW w:w="1710" w:type="dxa"/>
          </w:tcPr>
          <w:p w14:paraId="2C7CCFFD"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12 (30)</w:t>
            </w:r>
          </w:p>
        </w:tc>
        <w:tc>
          <w:tcPr>
            <w:tcW w:w="1710" w:type="dxa"/>
          </w:tcPr>
          <w:p w14:paraId="4B43E6B7"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92 (37)</w:t>
            </w:r>
          </w:p>
        </w:tc>
        <w:tc>
          <w:tcPr>
            <w:tcW w:w="1170" w:type="dxa"/>
          </w:tcPr>
          <w:p w14:paraId="06F6D11A"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0.53</w:t>
            </w:r>
          </w:p>
        </w:tc>
      </w:tr>
      <w:tr w:rsidR="00C663F7" w:rsidRPr="0046038C" w14:paraId="4712DA70" w14:textId="77777777" w:rsidTr="00BF6A13">
        <w:tc>
          <w:tcPr>
            <w:tcW w:w="2520" w:type="dxa"/>
          </w:tcPr>
          <w:p w14:paraId="05BC01F6"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Other </w:t>
            </w:r>
          </w:p>
        </w:tc>
        <w:tc>
          <w:tcPr>
            <w:tcW w:w="1080" w:type="dxa"/>
          </w:tcPr>
          <w:p w14:paraId="18A3F87C"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51 (18)</w:t>
            </w:r>
          </w:p>
        </w:tc>
        <w:tc>
          <w:tcPr>
            <w:tcW w:w="1710" w:type="dxa"/>
          </w:tcPr>
          <w:p w14:paraId="658076C6"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8 (20)</w:t>
            </w:r>
          </w:p>
        </w:tc>
        <w:tc>
          <w:tcPr>
            <w:tcW w:w="1710" w:type="dxa"/>
          </w:tcPr>
          <w:p w14:paraId="0C597FF2"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43 (17)</w:t>
            </w:r>
          </w:p>
        </w:tc>
        <w:tc>
          <w:tcPr>
            <w:tcW w:w="1170" w:type="dxa"/>
          </w:tcPr>
          <w:p w14:paraId="608E1D9C"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0.83</w:t>
            </w:r>
          </w:p>
        </w:tc>
      </w:tr>
      <w:tr w:rsidR="00C663F7" w:rsidRPr="0046038C" w14:paraId="715F3F4D" w14:textId="77777777" w:rsidTr="00BF6A13">
        <w:tc>
          <w:tcPr>
            <w:tcW w:w="2520" w:type="dxa"/>
          </w:tcPr>
          <w:p w14:paraId="3952E2B0" w14:textId="77777777" w:rsidR="00C663F7" w:rsidRPr="0046038C" w:rsidRDefault="00C663F7" w:rsidP="001C1398">
            <w:pPr>
              <w:rPr>
                <w:rFonts w:ascii="Calibri" w:hAnsi="Calibri" w:cs="Calibri"/>
                <w:b/>
                <w:bCs/>
                <w:sz w:val="18"/>
                <w:szCs w:val="18"/>
              </w:rPr>
            </w:pPr>
            <w:r w:rsidRPr="0046038C">
              <w:rPr>
                <w:rFonts w:ascii="Calibri" w:hAnsi="Calibri" w:cs="Calibri"/>
                <w:b/>
                <w:bCs/>
                <w:sz w:val="18"/>
                <w:szCs w:val="18"/>
              </w:rPr>
              <w:t>Population</w:t>
            </w:r>
          </w:p>
        </w:tc>
        <w:tc>
          <w:tcPr>
            <w:tcW w:w="1080" w:type="dxa"/>
          </w:tcPr>
          <w:p w14:paraId="3BCF5846" w14:textId="77777777" w:rsidR="00C663F7" w:rsidRPr="0046038C" w:rsidRDefault="00C663F7" w:rsidP="001C1398">
            <w:pPr>
              <w:jc w:val="center"/>
              <w:rPr>
                <w:rFonts w:ascii="Calibri" w:hAnsi="Calibri" w:cs="Calibri"/>
                <w:sz w:val="18"/>
                <w:szCs w:val="18"/>
              </w:rPr>
            </w:pPr>
          </w:p>
        </w:tc>
        <w:tc>
          <w:tcPr>
            <w:tcW w:w="1710" w:type="dxa"/>
          </w:tcPr>
          <w:p w14:paraId="1C7A4335" w14:textId="77777777" w:rsidR="00C663F7" w:rsidRPr="0046038C" w:rsidRDefault="00C663F7" w:rsidP="001C1398">
            <w:pPr>
              <w:jc w:val="center"/>
              <w:rPr>
                <w:rFonts w:ascii="Calibri" w:hAnsi="Calibri" w:cs="Calibri"/>
                <w:sz w:val="18"/>
                <w:szCs w:val="18"/>
              </w:rPr>
            </w:pPr>
          </w:p>
        </w:tc>
        <w:tc>
          <w:tcPr>
            <w:tcW w:w="1710" w:type="dxa"/>
          </w:tcPr>
          <w:p w14:paraId="19711090" w14:textId="77777777" w:rsidR="00C663F7" w:rsidRPr="0046038C" w:rsidRDefault="00C663F7" w:rsidP="001C1398">
            <w:pPr>
              <w:jc w:val="center"/>
              <w:rPr>
                <w:rFonts w:ascii="Calibri" w:hAnsi="Calibri" w:cs="Calibri"/>
                <w:sz w:val="18"/>
                <w:szCs w:val="18"/>
              </w:rPr>
            </w:pPr>
          </w:p>
        </w:tc>
        <w:tc>
          <w:tcPr>
            <w:tcW w:w="1170" w:type="dxa"/>
          </w:tcPr>
          <w:p w14:paraId="219522A8" w14:textId="77777777" w:rsidR="00C663F7" w:rsidRPr="0046038C" w:rsidRDefault="00C663F7" w:rsidP="001C1398">
            <w:pPr>
              <w:jc w:val="center"/>
              <w:rPr>
                <w:rFonts w:ascii="Calibri" w:hAnsi="Calibri" w:cs="Calibri"/>
                <w:sz w:val="18"/>
                <w:szCs w:val="18"/>
              </w:rPr>
            </w:pPr>
          </w:p>
        </w:tc>
      </w:tr>
      <w:tr w:rsidR="00C663F7" w:rsidRPr="0046038C" w14:paraId="63AFB907" w14:textId="77777777" w:rsidTr="00BF6A13">
        <w:tc>
          <w:tcPr>
            <w:tcW w:w="2520" w:type="dxa"/>
          </w:tcPr>
          <w:p w14:paraId="6E0C569E"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Only adults </w:t>
            </w:r>
          </w:p>
        </w:tc>
        <w:tc>
          <w:tcPr>
            <w:tcW w:w="1080" w:type="dxa"/>
          </w:tcPr>
          <w:p w14:paraId="6A63EFF2"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262 (92)</w:t>
            </w:r>
          </w:p>
        </w:tc>
        <w:tc>
          <w:tcPr>
            <w:tcW w:w="1710" w:type="dxa"/>
          </w:tcPr>
          <w:p w14:paraId="16F8FD32"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38 (95)</w:t>
            </w:r>
          </w:p>
        </w:tc>
        <w:tc>
          <w:tcPr>
            <w:tcW w:w="1710" w:type="dxa"/>
          </w:tcPr>
          <w:p w14:paraId="69161851"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 xml:space="preserve">224 (91) </w:t>
            </w:r>
          </w:p>
        </w:tc>
        <w:tc>
          <w:tcPr>
            <w:tcW w:w="1170" w:type="dxa"/>
          </w:tcPr>
          <w:p w14:paraId="0FAFBB43"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0.86</w:t>
            </w:r>
          </w:p>
        </w:tc>
      </w:tr>
      <w:tr w:rsidR="00C663F7" w:rsidRPr="0046038C" w14:paraId="573011D5" w14:textId="77777777" w:rsidTr="00BF6A13">
        <w:tc>
          <w:tcPr>
            <w:tcW w:w="2520" w:type="dxa"/>
          </w:tcPr>
          <w:p w14:paraId="675A2A84"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Both kids and adults </w:t>
            </w:r>
          </w:p>
        </w:tc>
        <w:tc>
          <w:tcPr>
            <w:tcW w:w="1080" w:type="dxa"/>
          </w:tcPr>
          <w:p w14:paraId="091DF627"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21 (7)</w:t>
            </w:r>
          </w:p>
        </w:tc>
        <w:tc>
          <w:tcPr>
            <w:tcW w:w="1710" w:type="dxa"/>
          </w:tcPr>
          <w:p w14:paraId="5D78F4BB"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 (3)</w:t>
            </w:r>
          </w:p>
        </w:tc>
        <w:tc>
          <w:tcPr>
            <w:tcW w:w="1710" w:type="dxa"/>
          </w:tcPr>
          <w:p w14:paraId="04519D7A"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20 (8)</w:t>
            </w:r>
          </w:p>
        </w:tc>
        <w:tc>
          <w:tcPr>
            <w:tcW w:w="1170" w:type="dxa"/>
          </w:tcPr>
          <w:p w14:paraId="4A13083E"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0.33</w:t>
            </w:r>
          </w:p>
        </w:tc>
      </w:tr>
      <w:tr w:rsidR="00C663F7" w:rsidRPr="0046038C" w14:paraId="5ACB98AD" w14:textId="77777777" w:rsidTr="00BF6A13">
        <w:tc>
          <w:tcPr>
            <w:tcW w:w="2520" w:type="dxa"/>
          </w:tcPr>
          <w:p w14:paraId="6A28F404"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Only kids </w:t>
            </w:r>
          </w:p>
        </w:tc>
        <w:tc>
          <w:tcPr>
            <w:tcW w:w="1080" w:type="dxa"/>
          </w:tcPr>
          <w:p w14:paraId="40261CE9"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3 (1)</w:t>
            </w:r>
          </w:p>
        </w:tc>
        <w:tc>
          <w:tcPr>
            <w:tcW w:w="1710" w:type="dxa"/>
          </w:tcPr>
          <w:p w14:paraId="11300039"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 xml:space="preserve">1 (3) </w:t>
            </w:r>
          </w:p>
        </w:tc>
        <w:tc>
          <w:tcPr>
            <w:tcW w:w="1710" w:type="dxa"/>
          </w:tcPr>
          <w:p w14:paraId="79853B8F"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2 (1)</w:t>
            </w:r>
          </w:p>
        </w:tc>
        <w:tc>
          <w:tcPr>
            <w:tcW w:w="1170" w:type="dxa"/>
          </w:tcPr>
          <w:p w14:paraId="074AC747"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0.37</w:t>
            </w:r>
          </w:p>
        </w:tc>
      </w:tr>
      <w:tr w:rsidR="00C663F7" w:rsidRPr="0046038C" w14:paraId="3D06DD37" w14:textId="77777777" w:rsidTr="00BF6A13">
        <w:tc>
          <w:tcPr>
            <w:tcW w:w="2520" w:type="dxa"/>
          </w:tcPr>
          <w:p w14:paraId="4FAD134B" w14:textId="77777777" w:rsidR="00C663F7" w:rsidRPr="0046038C" w:rsidRDefault="00C663F7" w:rsidP="001C1398">
            <w:pPr>
              <w:rPr>
                <w:rFonts w:ascii="Calibri" w:hAnsi="Calibri" w:cs="Calibri"/>
                <w:b/>
                <w:bCs/>
                <w:sz w:val="18"/>
                <w:szCs w:val="18"/>
              </w:rPr>
            </w:pPr>
            <w:r w:rsidRPr="0046038C">
              <w:rPr>
                <w:rFonts w:ascii="Calibri" w:hAnsi="Calibri" w:cs="Calibri"/>
                <w:b/>
                <w:bCs/>
                <w:sz w:val="18"/>
                <w:szCs w:val="18"/>
              </w:rPr>
              <w:t>Funding type</w:t>
            </w:r>
          </w:p>
        </w:tc>
        <w:tc>
          <w:tcPr>
            <w:tcW w:w="1080" w:type="dxa"/>
          </w:tcPr>
          <w:p w14:paraId="3DC9F40C" w14:textId="77777777" w:rsidR="00C663F7" w:rsidRPr="0046038C" w:rsidRDefault="00C663F7" w:rsidP="001C1398">
            <w:pPr>
              <w:jc w:val="center"/>
              <w:rPr>
                <w:rFonts w:ascii="Calibri" w:hAnsi="Calibri" w:cs="Calibri"/>
                <w:sz w:val="18"/>
                <w:szCs w:val="18"/>
              </w:rPr>
            </w:pPr>
          </w:p>
        </w:tc>
        <w:tc>
          <w:tcPr>
            <w:tcW w:w="1710" w:type="dxa"/>
          </w:tcPr>
          <w:p w14:paraId="07A434FF" w14:textId="77777777" w:rsidR="00C663F7" w:rsidRPr="0046038C" w:rsidRDefault="00C663F7" w:rsidP="001C1398">
            <w:pPr>
              <w:jc w:val="center"/>
              <w:rPr>
                <w:rFonts w:ascii="Calibri" w:hAnsi="Calibri" w:cs="Calibri"/>
                <w:sz w:val="18"/>
                <w:szCs w:val="18"/>
              </w:rPr>
            </w:pPr>
          </w:p>
        </w:tc>
        <w:tc>
          <w:tcPr>
            <w:tcW w:w="1710" w:type="dxa"/>
          </w:tcPr>
          <w:p w14:paraId="4191DCCC" w14:textId="77777777" w:rsidR="00C663F7" w:rsidRPr="0046038C" w:rsidRDefault="00C663F7" w:rsidP="001C1398">
            <w:pPr>
              <w:jc w:val="center"/>
              <w:rPr>
                <w:rFonts w:ascii="Calibri" w:hAnsi="Calibri" w:cs="Calibri"/>
                <w:sz w:val="18"/>
                <w:szCs w:val="18"/>
              </w:rPr>
            </w:pPr>
          </w:p>
        </w:tc>
        <w:tc>
          <w:tcPr>
            <w:tcW w:w="1170" w:type="dxa"/>
          </w:tcPr>
          <w:p w14:paraId="13D066DD" w14:textId="77777777" w:rsidR="00C663F7" w:rsidRPr="0046038C" w:rsidRDefault="00C663F7" w:rsidP="001C1398">
            <w:pPr>
              <w:jc w:val="center"/>
              <w:rPr>
                <w:rFonts w:ascii="Calibri" w:hAnsi="Calibri" w:cs="Calibri"/>
                <w:sz w:val="18"/>
                <w:szCs w:val="18"/>
              </w:rPr>
            </w:pPr>
          </w:p>
        </w:tc>
      </w:tr>
      <w:tr w:rsidR="00C663F7" w:rsidRPr="0046038C" w14:paraId="02DACD0B" w14:textId="77777777" w:rsidTr="00BF6A13">
        <w:tc>
          <w:tcPr>
            <w:tcW w:w="2520" w:type="dxa"/>
          </w:tcPr>
          <w:p w14:paraId="4B6151E9"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Industry </w:t>
            </w:r>
          </w:p>
        </w:tc>
        <w:tc>
          <w:tcPr>
            <w:tcW w:w="1080" w:type="dxa"/>
          </w:tcPr>
          <w:p w14:paraId="6F9023B2"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47 (16)</w:t>
            </w:r>
          </w:p>
        </w:tc>
        <w:tc>
          <w:tcPr>
            <w:tcW w:w="1710" w:type="dxa"/>
          </w:tcPr>
          <w:p w14:paraId="07B64B85"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7 (18)</w:t>
            </w:r>
          </w:p>
        </w:tc>
        <w:tc>
          <w:tcPr>
            <w:tcW w:w="1710" w:type="dxa"/>
          </w:tcPr>
          <w:p w14:paraId="777BD759"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40 (16)</w:t>
            </w:r>
          </w:p>
        </w:tc>
        <w:tc>
          <w:tcPr>
            <w:tcW w:w="1170" w:type="dxa"/>
          </w:tcPr>
          <w:p w14:paraId="65016DB6"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0.82</w:t>
            </w:r>
          </w:p>
        </w:tc>
      </w:tr>
      <w:tr w:rsidR="00C663F7" w:rsidRPr="0046038C" w14:paraId="4AFC7FE4" w14:textId="77777777" w:rsidTr="00BF6A13">
        <w:tc>
          <w:tcPr>
            <w:tcW w:w="2520" w:type="dxa"/>
          </w:tcPr>
          <w:p w14:paraId="1EF8BE05"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Government </w:t>
            </w:r>
          </w:p>
        </w:tc>
        <w:tc>
          <w:tcPr>
            <w:tcW w:w="1080" w:type="dxa"/>
          </w:tcPr>
          <w:p w14:paraId="479E80F0"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16 (6)</w:t>
            </w:r>
          </w:p>
        </w:tc>
        <w:tc>
          <w:tcPr>
            <w:tcW w:w="1710" w:type="dxa"/>
          </w:tcPr>
          <w:p w14:paraId="26C54DBB"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4 (10)</w:t>
            </w:r>
          </w:p>
        </w:tc>
        <w:tc>
          <w:tcPr>
            <w:tcW w:w="1710" w:type="dxa"/>
          </w:tcPr>
          <w:p w14:paraId="7A43D0E7"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12 (5)</w:t>
            </w:r>
          </w:p>
        </w:tc>
        <w:tc>
          <w:tcPr>
            <w:tcW w:w="1170" w:type="dxa"/>
          </w:tcPr>
          <w:p w14:paraId="16B2232F"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0.26</w:t>
            </w:r>
          </w:p>
        </w:tc>
      </w:tr>
      <w:tr w:rsidR="00C663F7" w:rsidRPr="0046038C" w14:paraId="656DA854" w14:textId="77777777" w:rsidTr="00BF6A13">
        <w:tc>
          <w:tcPr>
            <w:tcW w:w="2520" w:type="dxa"/>
          </w:tcPr>
          <w:p w14:paraId="53C3220C"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Unspecified </w:t>
            </w:r>
          </w:p>
        </w:tc>
        <w:tc>
          <w:tcPr>
            <w:tcW w:w="1080" w:type="dxa"/>
          </w:tcPr>
          <w:p w14:paraId="7FFE067D"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223 (78)</w:t>
            </w:r>
          </w:p>
        </w:tc>
        <w:tc>
          <w:tcPr>
            <w:tcW w:w="1710" w:type="dxa"/>
          </w:tcPr>
          <w:p w14:paraId="4F4BEB56"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29 (73)</w:t>
            </w:r>
          </w:p>
        </w:tc>
        <w:tc>
          <w:tcPr>
            <w:tcW w:w="1710" w:type="dxa"/>
          </w:tcPr>
          <w:p w14:paraId="2E901ABC"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194 (79)</w:t>
            </w:r>
          </w:p>
        </w:tc>
        <w:tc>
          <w:tcPr>
            <w:tcW w:w="1170" w:type="dxa"/>
          </w:tcPr>
          <w:p w14:paraId="695E65A0"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0.75</w:t>
            </w:r>
          </w:p>
        </w:tc>
      </w:tr>
      <w:tr w:rsidR="00C663F7" w:rsidRPr="0046038C" w14:paraId="6622FD45" w14:textId="77777777" w:rsidTr="00BF6A13">
        <w:tc>
          <w:tcPr>
            <w:tcW w:w="2520" w:type="dxa"/>
          </w:tcPr>
          <w:p w14:paraId="3ADF8C5C" w14:textId="77777777" w:rsidR="00C663F7" w:rsidRPr="0046038C" w:rsidRDefault="00C663F7" w:rsidP="001C1398">
            <w:pPr>
              <w:rPr>
                <w:rFonts w:ascii="Calibri" w:hAnsi="Calibri" w:cs="Calibri"/>
                <w:b/>
                <w:bCs/>
                <w:sz w:val="18"/>
                <w:szCs w:val="18"/>
              </w:rPr>
            </w:pPr>
            <w:r w:rsidRPr="0046038C">
              <w:rPr>
                <w:rFonts w:ascii="Calibri" w:hAnsi="Calibri" w:cs="Calibri"/>
                <w:b/>
                <w:bCs/>
                <w:sz w:val="18"/>
                <w:szCs w:val="18"/>
              </w:rPr>
              <w:t>Enrollment start year</w:t>
            </w:r>
          </w:p>
        </w:tc>
        <w:tc>
          <w:tcPr>
            <w:tcW w:w="1080" w:type="dxa"/>
          </w:tcPr>
          <w:p w14:paraId="2D188A34" w14:textId="77777777" w:rsidR="00C663F7" w:rsidRPr="0046038C" w:rsidRDefault="00C663F7" w:rsidP="001C1398">
            <w:pPr>
              <w:jc w:val="center"/>
              <w:rPr>
                <w:rFonts w:ascii="Calibri" w:hAnsi="Calibri" w:cs="Calibri"/>
                <w:sz w:val="18"/>
                <w:szCs w:val="18"/>
              </w:rPr>
            </w:pPr>
          </w:p>
        </w:tc>
        <w:tc>
          <w:tcPr>
            <w:tcW w:w="1710" w:type="dxa"/>
          </w:tcPr>
          <w:p w14:paraId="217AAC22" w14:textId="77777777" w:rsidR="00C663F7" w:rsidRPr="0046038C" w:rsidRDefault="00C663F7" w:rsidP="001C1398">
            <w:pPr>
              <w:jc w:val="center"/>
              <w:rPr>
                <w:rFonts w:ascii="Calibri" w:hAnsi="Calibri" w:cs="Calibri"/>
                <w:sz w:val="18"/>
                <w:szCs w:val="18"/>
              </w:rPr>
            </w:pPr>
          </w:p>
        </w:tc>
        <w:tc>
          <w:tcPr>
            <w:tcW w:w="1710" w:type="dxa"/>
          </w:tcPr>
          <w:p w14:paraId="7A2A5383" w14:textId="77777777" w:rsidR="00C663F7" w:rsidRPr="0046038C" w:rsidRDefault="00C663F7" w:rsidP="001C1398">
            <w:pPr>
              <w:jc w:val="center"/>
              <w:rPr>
                <w:rFonts w:ascii="Calibri" w:hAnsi="Calibri" w:cs="Calibri"/>
                <w:sz w:val="18"/>
                <w:szCs w:val="18"/>
              </w:rPr>
            </w:pPr>
          </w:p>
        </w:tc>
        <w:tc>
          <w:tcPr>
            <w:tcW w:w="1170" w:type="dxa"/>
          </w:tcPr>
          <w:p w14:paraId="44D2CD83" w14:textId="77777777" w:rsidR="00C663F7" w:rsidRPr="0046038C" w:rsidRDefault="00C663F7" w:rsidP="001C1398">
            <w:pPr>
              <w:jc w:val="center"/>
              <w:rPr>
                <w:rFonts w:ascii="Calibri" w:hAnsi="Calibri" w:cs="Calibri"/>
                <w:sz w:val="18"/>
                <w:szCs w:val="18"/>
              </w:rPr>
            </w:pPr>
          </w:p>
        </w:tc>
      </w:tr>
      <w:tr w:rsidR="00C663F7" w:rsidRPr="0046038C" w14:paraId="6C8CD936" w14:textId="77777777" w:rsidTr="00BF6A13">
        <w:tc>
          <w:tcPr>
            <w:tcW w:w="2520" w:type="dxa"/>
          </w:tcPr>
          <w:p w14:paraId="675B225F"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2000-2008</w:t>
            </w:r>
          </w:p>
        </w:tc>
        <w:tc>
          <w:tcPr>
            <w:tcW w:w="1080" w:type="dxa"/>
          </w:tcPr>
          <w:p w14:paraId="2E427C57"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12 (4)</w:t>
            </w:r>
          </w:p>
        </w:tc>
        <w:tc>
          <w:tcPr>
            <w:tcW w:w="1710" w:type="dxa"/>
          </w:tcPr>
          <w:p w14:paraId="47A8E9AD"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 (3)</w:t>
            </w:r>
          </w:p>
        </w:tc>
        <w:tc>
          <w:tcPr>
            <w:tcW w:w="1710" w:type="dxa"/>
          </w:tcPr>
          <w:p w14:paraId="3619640C"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11 (5)</w:t>
            </w:r>
          </w:p>
        </w:tc>
        <w:tc>
          <w:tcPr>
            <w:tcW w:w="1170" w:type="dxa"/>
          </w:tcPr>
          <w:p w14:paraId="071FDDCE"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1.00</w:t>
            </w:r>
          </w:p>
        </w:tc>
      </w:tr>
      <w:tr w:rsidR="00C663F7" w:rsidRPr="0046038C" w14:paraId="755CBEEF" w14:textId="77777777" w:rsidTr="00BF6A13">
        <w:tc>
          <w:tcPr>
            <w:tcW w:w="2520" w:type="dxa"/>
          </w:tcPr>
          <w:p w14:paraId="7275E15A"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2009-2017</w:t>
            </w:r>
          </w:p>
        </w:tc>
        <w:tc>
          <w:tcPr>
            <w:tcW w:w="1080" w:type="dxa"/>
          </w:tcPr>
          <w:p w14:paraId="2F5339C0"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141(49)</w:t>
            </w:r>
          </w:p>
        </w:tc>
        <w:tc>
          <w:tcPr>
            <w:tcW w:w="1710" w:type="dxa"/>
          </w:tcPr>
          <w:p w14:paraId="26DB3E90"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20 (50)</w:t>
            </w:r>
          </w:p>
        </w:tc>
        <w:tc>
          <w:tcPr>
            <w:tcW w:w="1710" w:type="dxa"/>
          </w:tcPr>
          <w:p w14:paraId="43FBDC8D"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121 (49)</w:t>
            </w:r>
          </w:p>
        </w:tc>
        <w:tc>
          <w:tcPr>
            <w:tcW w:w="1170" w:type="dxa"/>
          </w:tcPr>
          <w:p w14:paraId="3048D694"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0.96</w:t>
            </w:r>
          </w:p>
        </w:tc>
      </w:tr>
      <w:tr w:rsidR="00C663F7" w:rsidRPr="0046038C" w14:paraId="2AD24A84" w14:textId="77777777" w:rsidTr="00BF6A13">
        <w:tc>
          <w:tcPr>
            <w:tcW w:w="2520" w:type="dxa"/>
          </w:tcPr>
          <w:p w14:paraId="0215C87F"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2018-2024</w:t>
            </w:r>
          </w:p>
        </w:tc>
        <w:tc>
          <w:tcPr>
            <w:tcW w:w="1080" w:type="dxa"/>
          </w:tcPr>
          <w:p w14:paraId="18B95262"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133 (47)</w:t>
            </w:r>
          </w:p>
        </w:tc>
        <w:tc>
          <w:tcPr>
            <w:tcW w:w="1710" w:type="dxa"/>
          </w:tcPr>
          <w:p w14:paraId="189A2D75"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19 (48)</w:t>
            </w:r>
          </w:p>
        </w:tc>
        <w:tc>
          <w:tcPr>
            <w:tcW w:w="1710" w:type="dxa"/>
          </w:tcPr>
          <w:p w14:paraId="6DCEA04B"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114 (46)</w:t>
            </w:r>
          </w:p>
        </w:tc>
        <w:tc>
          <w:tcPr>
            <w:tcW w:w="1170" w:type="dxa"/>
          </w:tcPr>
          <w:p w14:paraId="2AE83F54"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0.94</w:t>
            </w:r>
          </w:p>
        </w:tc>
      </w:tr>
      <w:tr w:rsidR="00C663F7" w:rsidRPr="0046038C" w14:paraId="54D069C7" w14:textId="77777777" w:rsidTr="00BF6A13">
        <w:tc>
          <w:tcPr>
            <w:tcW w:w="2520" w:type="dxa"/>
          </w:tcPr>
          <w:p w14:paraId="60816AFD" w14:textId="77777777" w:rsidR="00C663F7" w:rsidRPr="0046038C" w:rsidRDefault="00C663F7" w:rsidP="001C1398">
            <w:pPr>
              <w:rPr>
                <w:rFonts w:ascii="Calibri" w:hAnsi="Calibri" w:cs="Calibri"/>
                <w:b/>
                <w:bCs/>
                <w:sz w:val="18"/>
                <w:szCs w:val="18"/>
              </w:rPr>
            </w:pPr>
            <w:r w:rsidRPr="0046038C">
              <w:rPr>
                <w:rFonts w:ascii="Calibri" w:hAnsi="Calibri" w:cs="Calibri"/>
                <w:b/>
                <w:bCs/>
                <w:sz w:val="18"/>
                <w:szCs w:val="18"/>
              </w:rPr>
              <w:t>Continent</w:t>
            </w:r>
          </w:p>
        </w:tc>
        <w:tc>
          <w:tcPr>
            <w:tcW w:w="1080" w:type="dxa"/>
          </w:tcPr>
          <w:p w14:paraId="5FF25F39" w14:textId="77777777" w:rsidR="00C663F7" w:rsidRPr="0046038C" w:rsidRDefault="00C663F7" w:rsidP="001C1398">
            <w:pPr>
              <w:jc w:val="center"/>
              <w:rPr>
                <w:rFonts w:ascii="Calibri" w:hAnsi="Calibri" w:cs="Calibri"/>
                <w:sz w:val="18"/>
                <w:szCs w:val="18"/>
              </w:rPr>
            </w:pPr>
          </w:p>
        </w:tc>
        <w:tc>
          <w:tcPr>
            <w:tcW w:w="1710" w:type="dxa"/>
          </w:tcPr>
          <w:p w14:paraId="703BFC73" w14:textId="77777777" w:rsidR="00C663F7" w:rsidRPr="0046038C" w:rsidRDefault="00C663F7" w:rsidP="001C1398">
            <w:pPr>
              <w:jc w:val="center"/>
              <w:rPr>
                <w:rFonts w:ascii="Calibri" w:hAnsi="Calibri" w:cs="Calibri"/>
                <w:sz w:val="18"/>
                <w:szCs w:val="18"/>
              </w:rPr>
            </w:pPr>
          </w:p>
        </w:tc>
        <w:tc>
          <w:tcPr>
            <w:tcW w:w="1710" w:type="dxa"/>
          </w:tcPr>
          <w:p w14:paraId="4850B373" w14:textId="77777777" w:rsidR="00C663F7" w:rsidRPr="0046038C" w:rsidRDefault="00C663F7" w:rsidP="001C1398">
            <w:pPr>
              <w:jc w:val="center"/>
              <w:rPr>
                <w:rFonts w:ascii="Calibri" w:hAnsi="Calibri" w:cs="Calibri"/>
                <w:sz w:val="18"/>
                <w:szCs w:val="18"/>
              </w:rPr>
            </w:pPr>
          </w:p>
        </w:tc>
        <w:tc>
          <w:tcPr>
            <w:tcW w:w="1170" w:type="dxa"/>
          </w:tcPr>
          <w:p w14:paraId="5B011D5D" w14:textId="77777777" w:rsidR="00C663F7" w:rsidRPr="0046038C" w:rsidRDefault="00C663F7" w:rsidP="001C1398">
            <w:pPr>
              <w:jc w:val="center"/>
              <w:rPr>
                <w:rFonts w:ascii="Calibri" w:hAnsi="Calibri" w:cs="Calibri"/>
                <w:sz w:val="18"/>
                <w:szCs w:val="18"/>
              </w:rPr>
            </w:pPr>
          </w:p>
        </w:tc>
      </w:tr>
      <w:tr w:rsidR="00C663F7" w:rsidRPr="0046038C" w14:paraId="34790999" w14:textId="77777777" w:rsidTr="00BF6A13">
        <w:tc>
          <w:tcPr>
            <w:tcW w:w="2520" w:type="dxa"/>
          </w:tcPr>
          <w:p w14:paraId="5A76CDD5"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Asia</w:t>
            </w:r>
          </w:p>
        </w:tc>
        <w:tc>
          <w:tcPr>
            <w:tcW w:w="1080" w:type="dxa"/>
          </w:tcPr>
          <w:p w14:paraId="1AC35CB7"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32 (11)</w:t>
            </w:r>
          </w:p>
        </w:tc>
        <w:tc>
          <w:tcPr>
            <w:tcW w:w="1710" w:type="dxa"/>
          </w:tcPr>
          <w:p w14:paraId="53C8A761"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3 (8)</w:t>
            </w:r>
          </w:p>
        </w:tc>
        <w:tc>
          <w:tcPr>
            <w:tcW w:w="1710" w:type="dxa"/>
          </w:tcPr>
          <w:p w14:paraId="53CA1857"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29 (12)</w:t>
            </w:r>
          </w:p>
        </w:tc>
        <w:tc>
          <w:tcPr>
            <w:tcW w:w="1170" w:type="dxa"/>
          </w:tcPr>
          <w:p w14:paraId="0B14B539"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0.59</w:t>
            </w:r>
          </w:p>
        </w:tc>
      </w:tr>
      <w:tr w:rsidR="00C663F7" w:rsidRPr="0046038C" w14:paraId="76A9794D" w14:textId="77777777" w:rsidTr="00BF6A13">
        <w:tc>
          <w:tcPr>
            <w:tcW w:w="2520" w:type="dxa"/>
          </w:tcPr>
          <w:p w14:paraId="22720DC6"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Africa</w:t>
            </w:r>
          </w:p>
        </w:tc>
        <w:tc>
          <w:tcPr>
            <w:tcW w:w="1080" w:type="dxa"/>
          </w:tcPr>
          <w:p w14:paraId="0C871A95"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4 (1)</w:t>
            </w:r>
          </w:p>
        </w:tc>
        <w:tc>
          <w:tcPr>
            <w:tcW w:w="1710" w:type="dxa"/>
          </w:tcPr>
          <w:p w14:paraId="36137BB4"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w:t>
            </w:r>
          </w:p>
        </w:tc>
        <w:tc>
          <w:tcPr>
            <w:tcW w:w="1710" w:type="dxa"/>
          </w:tcPr>
          <w:p w14:paraId="247D7D5C"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4 (2)</w:t>
            </w:r>
          </w:p>
        </w:tc>
        <w:tc>
          <w:tcPr>
            <w:tcW w:w="1170" w:type="dxa"/>
          </w:tcPr>
          <w:p w14:paraId="7D3F0B82"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1.00</w:t>
            </w:r>
          </w:p>
        </w:tc>
      </w:tr>
      <w:tr w:rsidR="00C663F7" w:rsidRPr="0046038C" w14:paraId="096BD1EA" w14:textId="77777777" w:rsidTr="00BF6A13">
        <w:tc>
          <w:tcPr>
            <w:tcW w:w="2520" w:type="dxa"/>
          </w:tcPr>
          <w:p w14:paraId="5E9F8192"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North America</w:t>
            </w:r>
          </w:p>
        </w:tc>
        <w:tc>
          <w:tcPr>
            <w:tcW w:w="1080" w:type="dxa"/>
          </w:tcPr>
          <w:p w14:paraId="283AAEF5"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142 (49)</w:t>
            </w:r>
          </w:p>
        </w:tc>
        <w:tc>
          <w:tcPr>
            <w:tcW w:w="1710" w:type="dxa"/>
          </w:tcPr>
          <w:p w14:paraId="6E56BC93"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26 (65)</w:t>
            </w:r>
          </w:p>
        </w:tc>
        <w:tc>
          <w:tcPr>
            <w:tcW w:w="1710" w:type="dxa"/>
          </w:tcPr>
          <w:p w14:paraId="108D4FDD"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116 (47)</w:t>
            </w:r>
          </w:p>
        </w:tc>
        <w:tc>
          <w:tcPr>
            <w:tcW w:w="1170" w:type="dxa"/>
          </w:tcPr>
          <w:p w14:paraId="183D7986"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0.24</w:t>
            </w:r>
          </w:p>
        </w:tc>
      </w:tr>
      <w:tr w:rsidR="00C663F7" w:rsidRPr="0046038C" w14:paraId="75FE281F" w14:textId="77777777" w:rsidTr="00BF6A13">
        <w:tc>
          <w:tcPr>
            <w:tcW w:w="2520" w:type="dxa"/>
          </w:tcPr>
          <w:p w14:paraId="0860B562"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South America</w:t>
            </w:r>
          </w:p>
        </w:tc>
        <w:tc>
          <w:tcPr>
            <w:tcW w:w="1080" w:type="dxa"/>
          </w:tcPr>
          <w:p w14:paraId="011B2CFF"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14 (5)</w:t>
            </w:r>
          </w:p>
        </w:tc>
        <w:tc>
          <w:tcPr>
            <w:tcW w:w="1710" w:type="dxa"/>
          </w:tcPr>
          <w:p w14:paraId="0A99F58D"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3 (8)</w:t>
            </w:r>
          </w:p>
        </w:tc>
        <w:tc>
          <w:tcPr>
            <w:tcW w:w="1710" w:type="dxa"/>
          </w:tcPr>
          <w:p w14:paraId="4F6DDD91"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11 (5)</w:t>
            </w:r>
          </w:p>
        </w:tc>
        <w:tc>
          <w:tcPr>
            <w:tcW w:w="1170" w:type="dxa"/>
          </w:tcPr>
          <w:p w14:paraId="44D9E39F"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0.43</w:t>
            </w:r>
          </w:p>
        </w:tc>
      </w:tr>
      <w:tr w:rsidR="00C663F7" w:rsidRPr="0046038C" w14:paraId="0AD3D9EB" w14:textId="77777777" w:rsidTr="00BF6A13">
        <w:tc>
          <w:tcPr>
            <w:tcW w:w="2520" w:type="dxa"/>
          </w:tcPr>
          <w:p w14:paraId="3256138A"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Europe</w:t>
            </w:r>
          </w:p>
        </w:tc>
        <w:tc>
          <w:tcPr>
            <w:tcW w:w="1080" w:type="dxa"/>
          </w:tcPr>
          <w:p w14:paraId="2B386CBA"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91(32)</w:t>
            </w:r>
          </w:p>
        </w:tc>
        <w:tc>
          <w:tcPr>
            <w:tcW w:w="1710" w:type="dxa"/>
          </w:tcPr>
          <w:p w14:paraId="2EAFDC03"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8 (20)</w:t>
            </w:r>
          </w:p>
        </w:tc>
        <w:tc>
          <w:tcPr>
            <w:tcW w:w="1710" w:type="dxa"/>
          </w:tcPr>
          <w:p w14:paraId="2B981AA9"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83 (34)</w:t>
            </w:r>
          </w:p>
        </w:tc>
        <w:tc>
          <w:tcPr>
            <w:tcW w:w="1170" w:type="dxa"/>
          </w:tcPr>
          <w:p w14:paraId="05438862"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0.28</w:t>
            </w:r>
          </w:p>
        </w:tc>
      </w:tr>
      <w:tr w:rsidR="00C663F7" w:rsidRPr="0046038C" w14:paraId="6BBB9830" w14:textId="77777777" w:rsidTr="00BF6A13">
        <w:tc>
          <w:tcPr>
            <w:tcW w:w="2520" w:type="dxa"/>
            <w:tcBorders>
              <w:bottom w:val="single" w:sz="12" w:space="0" w:color="747474" w:themeColor="background2" w:themeShade="80"/>
            </w:tcBorders>
          </w:tcPr>
          <w:p w14:paraId="7C5BB654"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 xml:space="preserve">  Australia</w:t>
            </w:r>
          </w:p>
          <w:p w14:paraId="656EA9ED" w14:textId="77777777" w:rsidR="00C663F7" w:rsidRPr="0046038C" w:rsidRDefault="00C663F7" w:rsidP="001C1398">
            <w:pPr>
              <w:rPr>
                <w:rFonts w:ascii="Calibri" w:hAnsi="Calibri" w:cs="Calibri"/>
                <w:sz w:val="18"/>
                <w:szCs w:val="18"/>
              </w:rPr>
            </w:pPr>
          </w:p>
        </w:tc>
        <w:tc>
          <w:tcPr>
            <w:tcW w:w="1080" w:type="dxa"/>
            <w:tcBorders>
              <w:bottom w:val="single" w:sz="12" w:space="0" w:color="747474" w:themeColor="background2" w:themeShade="80"/>
            </w:tcBorders>
          </w:tcPr>
          <w:p w14:paraId="6179DB36"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3 (1)</w:t>
            </w:r>
          </w:p>
        </w:tc>
        <w:tc>
          <w:tcPr>
            <w:tcW w:w="1710" w:type="dxa"/>
            <w:tcBorders>
              <w:bottom w:val="single" w:sz="12" w:space="0" w:color="747474" w:themeColor="background2" w:themeShade="80"/>
            </w:tcBorders>
          </w:tcPr>
          <w:p w14:paraId="1ADB98F6"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0</w:t>
            </w:r>
          </w:p>
        </w:tc>
        <w:tc>
          <w:tcPr>
            <w:tcW w:w="1710" w:type="dxa"/>
          </w:tcPr>
          <w:p w14:paraId="7587CFE2"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3 (1)</w:t>
            </w:r>
          </w:p>
        </w:tc>
        <w:tc>
          <w:tcPr>
            <w:tcW w:w="1170" w:type="dxa"/>
          </w:tcPr>
          <w:p w14:paraId="763F0BFB" w14:textId="77777777" w:rsidR="00C663F7" w:rsidRPr="0046038C" w:rsidRDefault="00C663F7" w:rsidP="001C1398">
            <w:pPr>
              <w:jc w:val="center"/>
              <w:rPr>
                <w:rFonts w:ascii="Calibri" w:hAnsi="Calibri" w:cs="Calibri"/>
                <w:sz w:val="18"/>
                <w:szCs w:val="18"/>
              </w:rPr>
            </w:pPr>
            <w:r w:rsidRPr="0046038C">
              <w:rPr>
                <w:rFonts w:ascii="Calibri" w:hAnsi="Calibri" w:cs="Calibri"/>
                <w:sz w:val="18"/>
                <w:szCs w:val="18"/>
              </w:rPr>
              <w:t>1.00</w:t>
            </w:r>
          </w:p>
        </w:tc>
      </w:tr>
      <w:tr w:rsidR="00C663F7" w:rsidRPr="0046038C" w14:paraId="42355FF1" w14:textId="77777777" w:rsidTr="00BF6A13">
        <w:trPr>
          <w:trHeight w:val="720"/>
        </w:trPr>
        <w:tc>
          <w:tcPr>
            <w:tcW w:w="8190" w:type="dxa"/>
            <w:gridSpan w:val="5"/>
            <w:tcBorders>
              <w:top w:val="single" w:sz="12" w:space="0" w:color="747474" w:themeColor="background2" w:themeShade="80"/>
              <w:bottom w:val="single" w:sz="12" w:space="0" w:color="747474" w:themeColor="background2" w:themeShade="80"/>
            </w:tcBorders>
          </w:tcPr>
          <w:p w14:paraId="16CA5AF5"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GD, glomerular disease.</w:t>
            </w:r>
          </w:p>
          <w:p w14:paraId="08A67D1D" w14:textId="77777777" w:rsidR="00C663F7" w:rsidRPr="0046038C" w:rsidRDefault="00C663F7" w:rsidP="001C1398">
            <w:pPr>
              <w:rPr>
                <w:rFonts w:ascii="Calibri" w:hAnsi="Calibri" w:cs="Calibri"/>
                <w:sz w:val="18"/>
                <w:szCs w:val="18"/>
              </w:rPr>
            </w:pPr>
            <w:r w:rsidRPr="0046038C">
              <w:rPr>
                <w:rFonts w:ascii="Calibri" w:hAnsi="Calibri" w:cs="Calibri"/>
                <w:sz w:val="18"/>
                <w:szCs w:val="18"/>
              </w:rPr>
              <w:t>Values represent frequency (percentage).</w:t>
            </w:r>
          </w:p>
          <w:p w14:paraId="0107E629" w14:textId="6254CFB9" w:rsidR="000C2B81" w:rsidRPr="0046038C" w:rsidRDefault="000C2B81" w:rsidP="001C1398">
            <w:pPr>
              <w:rPr>
                <w:rFonts w:ascii="Calibri" w:hAnsi="Calibri" w:cs="Calibri"/>
                <w:sz w:val="18"/>
                <w:szCs w:val="18"/>
              </w:rPr>
            </w:pPr>
            <w:r w:rsidRPr="0046038C">
              <w:rPr>
                <w:rFonts w:ascii="Calibri" w:hAnsi="Calibri" w:cs="Calibri"/>
                <w:sz w:val="18"/>
                <w:szCs w:val="18"/>
                <w:vertAlign w:val="superscript"/>
              </w:rPr>
              <w:t>1</w:t>
            </w:r>
            <w:r w:rsidRPr="0046038C">
              <w:rPr>
                <w:rFonts w:ascii="Calibri" w:hAnsi="Calibri" w:cs="Calibri"/>
                <w:sz w:val="18"/>
                <w:szCs w:val="18"/>
              </w:rPr>
              <w:t xml:space="preserve">Chi-2 or Fisher’s exact test dependent on sample size. </w:t>
            </w:r>
          </w:p>
          <w:p w14:paraId="6C1023AC" w14:textId="2997A598" w:rsidR="000C2B81" w:rsidRPr="0046038C" w:rsidRDefault="000C2B81" w:rsidP="001C1398">
            <w:pPr>
              <w:rPr>
                <w:rFonts w:ascii="Calibri" w:hAnsi="Calibri" w:cs="Calibri"/>
                <w:sz w:val="18"/>
                <w:szCs w:val="18"/>
                <w:vertAlign w:val="superscript"/>
              </w:rPr>
            </w:pPr>
          </w:p>
        </w:tc>
      </w:tr>
    </w:tbl>
    <w:p w14:paraId="5EEC8F92" w14:textId="77777777" w:rsidR="00C663F7" w:rsidRPr="0046038C" w:rsidRDefault="00C663F7" w:rsidP="00241351">
      <w:pPr>
        <w:spacing w:after="0" w:line="480" w:lineRule="auto"/>
        <w:rPr>
          <w:rFonts w:ascii="Calibri" w:hAnsi="Calibri" w:cs="Calibri"/>
          <w:sz w:val="22"/>
          <w:szCs w:val="22"/>
        </w:rPr>
      </w:pPr>
    </w:p>
    <w:p w14:paraId="517B0932" w14:textId="1F5AB599" w:rsidR="00C663F7" w:rsidRPr="0046038C" w:rsidRDefault="00C663F7" w:rsidP="00C663F7">
      <w:pPr>
        <w:spacing w:after="0" w:line="480" w:lineRule="auto"/>
        <w:rPr>
          <w:rFonts w:ascii="Calibri" w:hAnsi="Calibri" w:cs="Calibri"/>
        </w:rPr>
      </w:pPr>
    </w:p>
    <w:p w14:paraId="0BB0CCEC" w14:textId="1E7EA093" w:rsidR="001813D6" w:rsidRPr="0046038C" w:rsidRDefault="00C663F7" w:rsidP="009144E1">
      <w:pPr>
        <w:rPr>
          <w:rFonts w:ascii="Calibri" w:hAnsi="Calibri" w:cs="Calibri"/>
        </w:rPr>
        <w:sectPr w:rsidR="001813D6" w:rsidRPr="0046038C" w:rsidSect="00023864">
          <w:footerReference w:type="even" r:id="rId7"/>
          <w:footerReference w:type="default" r:id="rId8"/>
          <w:pgSz w:w="12240" w:h="15840"/>
          <w:pgMar w:top="1440" w:right="1440" w:bottom="1440" w:left="1440" w:header="720" w:footer="720" w:gutter="0"/>
          <w:lnNumType w:countBy="1"/>
          <w:cols w:space="720"/>
          <w:docGrid w:linePitch="360"/>
        </w:sectPr>
      </w:pPr>
      <w:r w:rsidRPr="0046038C">
        <w:rPr>
          <w:rFonts w:ascii="Calibri" w:hAnsi="Calibri" w:cs="Calibri"/>
        </w:rPr>
        <w:br w:type="page"/>
      </w:r>
    </w:p>
    <w:tbl>
      <w:tblPr>
        <w:tblStyle w:val="TableGrid"/>
        <w:tblpPr w:leftFromText="180" w:rightFromText="180" w:vertAnchor="text" w:horzAnchor="margin" w:tblpXSpec="center" w:tblpY="-350"/>
        <w:tblW w:w="132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0"/>
        <w:gridCol w:w="900"/>
        <w:gridCol w:w="5310"/>
        <w:gridCol w:w="1350"/>
        <w:gridCol w:w="4500"/>
      </w:tblGrid>
      <w:tr w:rsidR="009144E1" w:rsidRPr="0046038C" w14:paraId="0E1484F0" w14:textId="77777777" w:rsidTr="001C1398">
        <w:trPr>
          <w:trHeight w:val="432"/>
        </w:trPr>
        <w:tc>
          <w:tcPr>
            <w:tcW w:w="13230" w:type="dxa"/>
            <w:gridSpan w:val="5"/>
            <w:tcBorders>
              <w:top w:val="single" w:sz="12" w:space="0" w:color="747474" w:themeColor="background2" w:themeShade="80"/>
              <w:bottom w:val="single" w:sz="12" w:space="0" w:color="747474" w:themeColor="background2" w:themeShade="80"/>
            </w:tcBorders>
            <w:vAlign w:val="center"/>
          </w:tcPr>
          <w:p w14:paraId="6E09EEA1" w14:textId="012A4016" w:rsidR="009144E1" w:rsidRPr="0046038C" w:rsidRDefault="009144E1" w:rsidP="00F1698B">
            <w:pPr>
              <w:rPr>
                <w:rFonts w:ascii="Calibri" w:hAnsi="Calibri" w:cs="Calibri"/>
                <w:b/>
                <w:bCs/>
                <w:sz w:val="21"/>
                <w:szCs w:val="21"/>
              </w:rPr>
            </w:pPr>
            <w:r w:rsidRPr="0046038C">
              <w:rPr>
                <w:rFonts w:ascii="Calibri" w:hAnsi="Calibri" w:cs="Calibri"/>
                <w:b/>
                <w:bCs/>
                <w:sz w:val="21"/>
                <w:szCs w:val="21"/>
              </w:rPr>
              <w:lastRenderedPageBreak/>
              <w:t xml:space="preserve">Supplemental Table S2.   Characteristics of clinical trials excluding GD patients </w:t>
            </w:r>
          </w:p>
        </w:tc>
      </w:tr>
      <w:tr w:rsidR="009144E1" w:rsidRPr="0046038C" w14:paraId="2A04AAED" w14:textId="77777777" w:rsidTr="001C1398">
        <w:trPr>
          <w:trHeight w:val="432"/>
        </w:trPr>
        <w:tc>
          <w:tcPr>
            <w:tcW w:w="1170" w:type="dxa"/>
            <w:tcBorders>
              <w:top w:val="single" w:sz="12" w:space="0" w:color="747474" w:themeColor="background2" w:themeShade="80"/>
            </w:tcBorders>
            <w:vAlign w:val="center"/>
          </w:tcPr>
          <w:p w14:paraId="443C949F" w14:textId="77777777" w:rsidR="009144E1" w:rsidRPr="0046038C" w:rsidRDefault="009144E1" w:rsidP="00F1698B">
            <w:pPr>
              <w:rPr>
                <w:rFonts w:ascii="Calibri" w:hAnsi="Calibri" w:cs="Calibri"/>
                <w:b/>
                <w:bCs/>
                <w:sz w:val="16"/>
                <w:szCs w:val="16"/>
              </w:rPr>
            </w:pPr>
            <w:r w:rsidRPr="0046038C">
              <w:rPr>
                <w:rFonts w:ascii="Calibri" w:hAnsi="Calibri" w:cs="Calibri"/>
                <w:b/>
                <w:bCs/>
                <w:sz w:val="16"/>
                <w:szCs w:val="16"/>
              </w:rPr>
              <w:t>NCT Number</w:t>
            </w:r>
          </w:p>
        </w:tc>
        <w:tc>
          <w:tcPr>
            <w:tcW w:w="900" w:type="dxa"/>
            <w:tcBorders>
              <w:top w:val="single" w:sz="12" w:space="0" w:color="747474" w:themeColor="background2" w:themeShade="80"/>
            </w:tcBorders>
            <w:vAlign w:val="center"/>
          </w:tcPr>
          <w:p w14:paraId="631E82C2" w14:textId="77777777" w:rsidR="009144E1" w:rsidRPr="0046038C" w:rsidRDefault="009144E1" w:rsidP="00F1698B">
            <w:pPr>
              <w:rPr>
                <w:rFonts w:ascii="Calibri" w:hAnsi="Calibri" w:cs="Calibri"/>
                <w:b/>
                <w:bCs/>
                <w:sz w:val="16"/>
                <w:szCs w:val="16"/>
              </w:rPr>
            </w:pPr>
            <w:r w:rsidRPr="0046038C">
              <w:rPr>
                <w:rFonts w:ascii="Calibri" w:hAnsi="Calibri" w:cs="Calibri"/>
                <w:b/>
                <w:bCs/>
                <w:sz w:val="16"/>
                <w:szCs w:val="16"/>
              </w:rPr>
              <w:t xml:space="preserve">Study Phase </w:t>
            </w:r>
          </w:p>
        </w:tc>
        <w:tc>
          <w:tcPr>
            <w:tcW w:w="5310" w:type="dxa"/>
            <w:tcBorders>
              <w:top w:val="single" w:sz="12" w:space="0" w:color="747474" w:themeColor="background2" w:themeShade="80"/>
            </w:tcBorders>
            <w:vAlign w:val="center"/>
          </w:tcPr>
          <w:p w14:paraId="248B3501" w14:textId="77777777" w:rsidR="009144E1" w:rsidRPr="0046038C" w:rsidRDefault="009144E1" w:rsidP="00F1698B">
            <w:pPr>
              <w:rPr>
                <w:rFonts w:ascii="Calibri" w:hAnsi="Calibri" w:cs="Calibri"/>
                <w:b/>
                <w:bCs/>
                <w:sz w:val="16"/>
                <w:szCs w:val="16"/>
              </w:rPr>
            </w:pPr>
            <w:r w:rsidRPr="0046038C">
              <w:rPr>
                <w:rFonts w:ascii="Calibri" w:hAnsi="Calibri" w:cs="Calibri"/>
                <w:b/>
                <w:bCs/>
                <w:sz w:val="16"/>
                <w:szCs w:val="16"/>
              </w:rPr>
              <w:t>Primary Aim</w:t>
            </w:r>
          </w:p>
        </w:tc>
        <w:tc>
          <w:tcPr>
            <w:tcW w:w="1350" w:type="dxa"/>
            <w:tcBorders>
              <w:top w:val="single" w:sz="12" w:space="0" w:color="747474" w:themeColor="background2" w:themeShade="80"/>
            </w:tcBorders>
            <w:vAlign w:val="center"/>
          </w:tcPr>
          <w:p w14:paraId="0B7D29C1" w14:textId="77777777" w:rsidR="009144E1" w:rsidRPr="0046038C" w:rsidRDefault="009144E1" w:rsidP="00F1698B">
            <w:pPr>
              <w:rPr>
                <w:rFonts w:ascii="Calibri" w:hAnsi="Calibri" w:cs="Calibri"/>
                <w:b/>
                <w:bCs/>
                <w:sz w:val="16"/>
                <w:szCs w:val="16"/>
              </w:rPr>
            </w:pPr>
            <w:r w:rsidRPr="0046038C">
              <w:rPr>
                <w:rFonts w:ascii="Calibri" w:hAnsi="Calibri" w:cs="Calibri"/>
                <w:b/>
                <w:bCs/>
                <w:sz w:val="16"/>
                <w:szCs w:val="16"/>
              </w:rPr>
              <w:t xml:space="preserve">GD Exclusion Category </w:t>
            </w:r>
          </w:p>
        </w:tc>
        <w:tc>
          <w:tcPr>
            <w:tcW w:w="4500" w:type="dxa"/>
            <w:tcBorders>
              <w:top w:val="single" w:sz="12" w:space="0" w:color="747474" w:themeColor="background2" w:themeShade="80"/>
            </w:tcBorders>
            <w:vAlign w:val="center"/>
          </w:tcPr>
          <w:p w14:paraId="5BB7820A" w14:textId="77777777" w:rsidR="009144E1" w:rsidRPr="0046038C" w:rsidRDefault="009144E1" w:rsidP="00F1698B">
            <w:pPr>
              <w:rPr>
                <w:rFonts w:ascii="Calibri" w:hAnsi="Calibri" w:cs="Calibri"/>
                <w:b/>
                <w:bCs/>
                <w:sz w:val="16"/>
                <w:szCs w:val="16"/>
                <w:vertAlign w:val="superscript"/>
              </w:rPr>
            </w:pPr>
            <w:r w:rsidRPr="0046038C">
              <w:rPr>
                <w:rFonts w:ascii="Calibri" w:hAnsi="Calibri" w:cs="Calibri"/>
                <w:b/>
                <w:bCs/>
                <w:sz w:val="16"/>
                <w:szCs w:val="16"/>
              </w:rPr>
              <w:t>Intervention</w:t>
            </w:r>
          </w:p>
        </w:tc>
      </w:tr>
      <w:tr w:rsidR="009144E1" w:rsidRPr="0046038C" w14:paraId="729CF92A" w14:textId="77777777" w:rsidTr="001C1398">
        <w:tc>
          <w:tcPr>
            <w:tcW w:w="1170" w:type="dxa"/>
            <w:vAlign w:val="bottom"/>
          </w:tcPr>
          <w:p w14:paraId="101E1227"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NCT01349595</w:t>
            </w:r>
          </w:p>
        </w:tc>
        <w:tc>
          <w:tcPr>
            <w:tcW w:w="900" w:type="dxa"/>
            <w:vAlign w:val="bottom"/>
          </w:tcPr>
          <w:p w14:paraId="6CAB23A7"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Phase 2</w:t>
            </w:r>
          </w:p>
        </w:tc>
        <w:tc>
          <w:tcPr>
            <w:tcW w:w="5310" w:type="dxa"/>
            <w:vAlign w:val="bottom"/>
          </w:tcPr>
          <w:p w14:paraId="7C83B46D"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Impact of proteasome inhibition on anti-donor HLA antibody production</w:t>
            </w:r>
          </w:p>
        </w:tc>
        <w:tc>
          <w:tcPr>
            <w:tcW w:w="1350" w:type="dxa"/>
            <w:vAlign w:val="bottom"/>
          </w:tcPr>
          <w:p w14:paraId="63ADB60D"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1A2E05B0"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Proteasome inhibitor (bortezomib)</w:t>
            </w:r>
          </w:p>
        </w:tc>
      </w:tr>
      <w:tr w:rsidR="009144E1" w:rsidRPr="0046038C" w14:paraId="2DE5189F" w14:textId="77777777" w:rsidTr="001C1398">
        <w:tc>
          <w:tcPr>
            <w:tcW w:w="1170" w:type="dxa"/>
            <w:vAlign w:val="bottom"/>
          </w:tcPr>
          <w:p w14:paraId="0B0FC45C"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NCT00724022</w:t>
            </w:r>
          </w:p>
        </w:tc>
        <w:tc>
          <w:tcPr>
            <w:tcW w:w="900" w:type="dxa"/>
            <w:vAlign w:val="bottom"/>
          </w:tcPr>
          <w:p w14:paraId="76ECB9E3"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Phase 4</w:t>
            </w:r>
          </w:p>
        </w:tc>
        <w:tc>
          <w:tcPr>
            <w:tcW w:w="5310" w:type="dxa"/>
            <w:vAlign w:val="bottom"/>
          </w:tcPr>
          <w:p w14:paraId="72A429B4"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Evaluate calcineurin inhibitor reduced, steroid-free immunosuppression</w:t>
            </w:r>
          </w:p>
        </w:tc>
        <w:tc>
          <w:tcPr>
            <w:tcW w:w="1350" w:type="dxa"/>
            <w:vAlign w:val="bottom"/>
          </w:tcPr>
          <w:p w14:paraId="1EE0E257"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3457F880"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Low-dose tacrolimus + mycophenolate</w:t>
            </w:r>
          </w:p>
        </w:tc>
      </w:tr>
      <w:tr w:rsidR="009144E1" w:rsidRPr="0046038C" w14:paraId="5B99FAB9" w14:textId="77777777" w:rsidTr="001C1398">
        <w:tc>
          <w:tcPr>
            <w:tcW w:w="1170" w:type="dxa"/>
            <w:vAlign w:val="bottom"/>
          </w:tcPr>
          <w:p w14:paraId="48EE6899"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NCT01354301</w:t>
            </w:r>
          </w:p>
        </w:tc>
        <w:tc>
          <w:tcPr>
            <w:tcW w:w="900" w:type="dxa"/>
            <w:vAlign w:val="bottom"/>
          </w:tcPr>
          <w:p w14:paraId="7D2F9171" w14:textId="7697D2FE"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Phase </w:t>
            </w:r>
            <w:r w:rsidR="00626870" w:rsidRPr="0046038C">
              <w:rPr>
                <w:rFonts w:ascii="Calibri" w:hAnsi="Calibri" w:cs="Calibri"/>
                <w:color w:val="000000"/>
                <w:sz w:val="16"/>
                <w:szCs w:val="16"/>
              </w:rPr>
              <w:t>4</w:t>
            </w:r>
          </w:p>
        </w:tc>
        <w:tc>
          <w:tcPr>
            <w:tcW w:w="5310" w:type="dxa"/>
            <w:vAlign w:val="bottom"/>
          </w:tcPr>
          <w:p w14:paraId="24EB906B"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Efficacy/safety of induction strategies with low tacrolimus exposure</w:t>
            </w:r>
          </w:p>
        </w:tc>
        <w:tc>
          <w:tcPr>
            <w:tcW w:w="1350" w:type="dxa"/>
            <w:vAlign w:val="bottom"/>
          </w:tcPr>
          <w:p w14:paraId="7C100FCA"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0F3ABE0F"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Everolimus vs sodium mycophenolate + reduced tacrolimus</w:t>
            </w:r>
          </w:p>
        </w:tc>
      </w:tr>
      <w:tr w:rsidR="009144E1" w:rsidRPr="0046038C" w14:paraId="712FF68F" w14:textId="77777777" w:rsidTr="001C1398">
        <w:tc>
          <w:tcPr>
            <w:tcW w:w="1170" w:type="dxa"/>
            <w:vAlign w:val="bottom"/>
          </w:tcPr>
          <w:p w14:paraId="3D346AAB"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NCT01446484</w:t>
            </w:r>
          </w:p>
        </w:tc>
        <w:tc>
          <w:tcPr>
            <w:tcW w:w="900" w:type="dxa"/>
            <w:vAlign w:val="bottom"/>
          </w:tcPr>
          <w:p w14:paraId="1EECE556"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Phase 1/2</w:t>
            </w:r>
          </w:p>
        </w:tc>
        <w:tc>
          <w:tcPr>
            <w:tcW w:w="5310" w:type="dxa"/>
            <w:vAlign w:val="bottom"/>
          </w:tcPr>
          <w:p w14:paraId="0126C519"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Treatment with CD4+CD25+FoxP3+ T cells to prevent rejection</w:t>
            </w:r>
          </w:p>
        </w:tc>
        <w:tc>
          <w:tcPr>
            <w:tcW w:w="1350" w:type="dxa"/>
            <w:vAlign w:val="bottom"/>
          </w:tcPr>
          <w:p w14:paraId="4764140B"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6561BA2B"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Regulatory T cell infusion</w:t>
            </w:r>
          </w:p>
        </w:tc>
      </w:tr>
      <w:tr w:rsidR="009144E1" w:rsidRPr="0046038C" w14:paraId="4A85D3E1" w14:textId="77777777" w:rsidTr="001C1398">
        <w:tc>
          <w:tcPr>
            <w:tcW w:w="1170" w:type="dxa"/>
            <w:vAlign w:val="bottom"/>
          </w:tcPr>
          <w:p w14:paraId="5812BE37"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NCT01469884</w:t>
            </w:r>
          </w:p>
        </w:tc>
        <w:tc>
          <w:tcPr>
            <w:tcW w:w="900" w:type="dxa"/>
            <w:vAlign w:val="bottom"/>
          </w:tcPr>
          <w:p w14:paraId="62181DF8" w14:textId="1D7E1E53"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Phase </w:t>
            </w:r>
            <w:r w:rsidR="00626870" w:rsidRPr="0046038C">
              <w:rPr>
                <w:rFonts w:ascii="Calibri" w:hAnsi="Calibri" w:cs="Calibri"/>
                <w:color w:val="000000"/>
                <w:sz w:val="16"/>
                <w:szCs w:val="16"/>
              </w:rPr>
              <w:t>4</w:t>
            </w:r>
          </w:p>
        </w:tc>
        <w:tc>
          <w:tcPr>
            <w:tcW w:w="5310" w:type="dxa"/>
            <w:vAlign w:val="bottom"/>
          </w:tcPr>
          <w:p w14:paraId="524292B4"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Effect of switching to everolimus in hepatitis C viremia</w:t>
            </w:r>
          </w:p>
        </w:tc>
        <w:tc>
          <w:tcPr>
            <w:tcW w:w="1350" w:type="dxa"/>
            <w:vAlign w:val="bottom"/>
          </w:tcPr>
          <w:p w14:paraId="5F02D489"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0AA0811C"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Everolimus (Certican) conversion</w:t>
            </w:r>
          </w:p>
        </w:tc>
      </w:tr>
      <w:tr w:rsidR="009144E1" w:rsidRPr="0046038C" w14:paraId="1DEF6DEE" w14:textId="77777777" w:rsidTr="001C1398">
        <w:tc>
          <w:tcPr>
            <w:tcW w:w="1170" w:type="dxa"/>
            <w:vAlign w:val="bottom"/>
          </w:tcPr>
          <w:p w14:paraId="0B1E4E3C"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NCT01780454</w:t>
            </w:r>
          </w:p>
        </w:tc>
        <w:tc>
          <w:tcPr>
            <w:tcW w:w="900" w:type="dxa"/>
            <w:vAlign w:val="bottom"/>
          </w:tcPr>
          <w:p w14:paraId="24AC1210" w14:textId="501485DB"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Phase </w:t>
            </w:r>
            <w:r w:rsidR="00626870" w:rsidRPr="0046038C">
              <w:rPr>
                <w:rFonts w:ascii="Calibri" w:hAnsi="Calibri" w:cs="Calibri"/>
                <w:color w:val="000000"/>
                <w:sz w:val="16"/>
                <w:szCs w:val="16"/>
              </w:rPr>
              <w:t>1/</w:t>
            </w:r>
            <w:r w:rsidRPr="0046038C">
              <w:rPr>
                <w:rFonts w:ascii="Calibri" w:hAnsi="Calibri" w:cs="Calibri"/>
                <w:color w:val="000000"/>
                <w:sz w:val="16"/>
                <w:szCs w:val="16"/>
              </w:rPr>
              <w:t>2</w:t>
            </w:r>
          </w:p>
        </w:tc>
        <w:tc>
          <w:tcPr>
            <w:tcW w:w="5310" w:type="dxa"/>
            <w:vAlign w:val="bottom"/>
          </w:tcPr>
          <w:p w14:paraId="783DC77A"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Renal allograft tolerance through mixed chimerism</w:t>
            </w:r>
          </w:p>
        </w:tc>
        <w:tc>
          <w:tcPr>
            <w:tcW w:w="1350" w:type="dxa"/>
            <w:vAlign w:val="bottom"/>
          </w:tcPr>
          <w:p w14:paraId="751A8116"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14D72D3E"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Combined kidney + hematopoietic stem cell transplant</w:t>
            </w:r>
          </w:p>
        </w:tc>
      </w:tr>
      <w:tr w:rsidR="009144E1" w:rsidRPr="0046038C" w14:paraId="60B03682" w14:textId="77777777" w:rsidTr="001C1398">
        <w:tc>
          <w:tcPr>
            <w:tcW w:w="1170" w:type="dxa"/>
            <w:vAlign w:val="bottom"/>
          </w:tcPr>
          <w:p w14:paraId="0559051A"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NCT01909245</w:t>
            </w:r>
          </w:p>
        </w:tc>
        <w:tc>
          <w:tcPr>
            <w:tcW w:w="900" w:type="dxa"/>
            <w:vAlign w:val="bottom"/>
          </w:tcPr>
          <w:p w14:paraId="43256E6B"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Phase 2</w:t>
            </w:r>
          </w:p>
        </w:tc>
        <w:tc>
          <w:tcPr>
            <w:tcW w:w="5310" w:type="dxa"/>
            <w:vAlign w:val="bottom"/>
          </w:tcPr>
          <w:p w14:paraId="0E09CCA6"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Islet cell transplant for type 1 diabetes</w:t>
            </w:r>
          </w:p>
        </w:tc>
        <w:tc>
          <w:tcPr>
            <w:tcW w:w="1350" w:type="dxa"/>
            <w:vAlign w:val="bottom"/>
          </w:tcPr>
          <w:p w14:paraId="28FCC49D"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040F7961"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Islet cell transplantation</w:t>
            </w:r>
          </w:p>
        </w:tc>
      </w:tr>
      <w:tr w:rsidR="009144E1" w:rsidRPr="0046038C" w14:paraId="32AF9D01" w14:textId="77777777" w:rsidTr="001C1398">
        <w:tc>
          <w:tcPr>
            <w:tcW w:w="1170" w:type="dxa"/>
            <w:vAlign w:val="bottom"/>
          </w:tcPr>
          <w:p w14:paraId="632802E0"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NCT02096107</w:t>
            </w:r>
          </w:p>
        </w:tc>
        <w:tc>
          <w:tcPr>
            <w:tcW w:w="900" w:type="dxa"/>
            <w:vAlign w:val="bottom"/>
          </w:tcPr>
          <w:p w14:paraId="11032990"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Phase 4</w:t>
            </w:r>
          </w:p>
        </w:tc>
        <w:tc>
          <w:tcPr>
            <w:tcW w:w="5310" w:type="dxa"/>
            <w:vAlign w:val="bottom"/>
          </w:tcPr>
          <w:p w14:paraId="415E3927"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Everolimus transition study</w:t>
            </w:r>
          </w:p>
        </w:tc>
        <w:tc>
          <w:tcPr>
            <w:tcW w:w="1350" w:type="dxa"/>
            <w:vAlign w:val="bottom"/>
          </w:tcPr>
          <w:p w14:paraId="56C35DB7"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1FEF1970"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Everolimus transition</w:t>
            </w:r>
          </w:p>
        </w:tc>
      </w:tr>
      <w:tr w:rsidR="009144E1" w:rsidRPr="0046038C" w14:paraId="1E8AEDC1" w14:textId="77777777" w:rsidTr="001C1398">
        <w:tc>
          <w:tcPr>
            <w:tcW w:w="1170" w:type="dxa"/>
            <w:vAlign w:val="bottom"/>
          </w:tcPr>
          <w:p w14:paraId="1626F580"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NCT02058589</w:t>
            </w:r>
          </w:p>
        </w:tc>
        <w:tc>
          <w:tcPr>
            <w:tcW w:w="900" w:type="dxa"/>
            <w:vAlign w:val="bottom"/>
          </w:tcPr>
          <w:p w14:paraId="6FA4E393"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Phase 3</w:t>
            </w:r>
          </w:p>
        </w:tc>
        <w:tc>
          <w:tcPr>
            <w:tcW w:w="5310" w:type="dxa"/>
            <w:vAlign w:val="bottom"/>
          </w:tcPr>
          <w:p w14:paraId="23BB6176"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Immunogenicity/safety of herpes zoster vaccine</w:t>
            </w:r>
          </w:p>
        </w:tc>
        <w:tc>
          <w:tcPr>
            <w:tcW w:w="1350" w:type="dxa"/>
            <w:vAlign w:val="bottom"/>
          </w:tcPr>
          <w:p w14:paraId="6696A449"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3C297C1B"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GSK herpes zoster subunit vaccine</w:t>
            </w:r>
          </w:p>
        </w:tc>
      </w:tr>
      <w:tr w:rsidR="009144E1" w:rsidRPr="0046038C" w14:paraId="5EC2796C" w14:textId="77777777" w:rsidTr="001C1398">
        <w:tc>
          <w:tcPr>
            <w:tcW w:w="1170" w:type="dxa"/>
            <w:vAlign w:val="bottom"/>
          </w:tcPr>
          <w:p w14:paraId="52CFC5B3"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NCT02314403</w:t>
            </w:r>
          </w:p>
        </w:tc>
        <w:tc>
          <w:tcPr>
            <w:tcW w:w="900" w:type="dxa"/>
            <w:vAlign w:val="bottom"/>
          </w:tcPr>
          <w:p w14:paraId="07E053E6" w14:textId="26BB4EEB"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Phase </w:t>
            </w:r>
            <w:r w:rsidR="001A26AA" w:rsidRPr="0046038C">
              <w:rPr>
                <w:rFonts w:ascii="Calibri" w:hAnsi="Calibri" w:cs="Calibri"/>
                <w:color w:val="000000"/>
                <w:sz w:val="16"/>
                <w:szCs w:val="16"/>
              </w:rPr>
              <w:t>1</w:t>
            </w:r>
          </w:p>
        </w:tc>
        <w:tc>
          <w:tcPr>
            <w:tcW w:w="5310" w:type="dxa"/>
            <w:vAlign w:val="bottom"/>
          </w:tcPr>
          <w:p w14:paraId="43FF594C"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Renal allograft tolerance through mixed chimerism (belatacept)</w:t>
            </w:r>
          </w:p>
        </w:tc>
        <w:tc>
          <w:tcPr>
            <w:tcW w:w="1350" w:type="dxa"/>
            <w:vAlign w:val="bottom"/>
          </w:tcPr>
          <w:p w14:paraId="3611A209"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5D81FC8C"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Belatacept + donor bone marrow</w:t>
            </w:r>
          </w:p>
        </w:tc>
      </w:tr>
      <w:tr w:rsidR="009144E1" w:rsidRPr="0046038C" w14:paraId="651E9CB2" w14:textId="77777777" w:rsidTr="001C1398">
        <w:tc>
          <w:tcPr>
            <w:tcW w:w="1170" w:type="dxa"/>
            <w:vAlign w:val="bottom"/>
          </w:tcPr>
          <w:p w14:paraId="65B91A05"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NCT02540395</w:t>
            </w:r>
          </w:p>
        </w:tc>
        <w:tc>
          <w:tcPr>
            <w:tcW w:w="900" w:type="dxa"/>
            <w:vAlign w:val="bottom"/>
          </w:tcPr>
          <w:p w14:paraId="09282057" w14:textId="32304C1F" w:rsidR="009144E1" w:rsidRPr="0046038C" w:rsidRDefault="001A26AA" w:rsidP="00F1698B">
            <w:pPr>
              <w:rPr>
                <w:rFonts w:ascii="Calibri" w:hAnsi="Calibri" w:cs="Calibri"/>
                <w:sz w:val="16"/>
                <w:szCs w:val="16"/>
              </w:rPr>
            </w:pPr>
            <w:r w:rsidRPr="0046038C">
              <w:rPr>
                <w:rFonts w:ascii="Calibri" w:hAnsi="Calibri" w:cs="Calibri"/>
                <w:color w:val="000000"/>
                <w:sz w:val="16"/>
                <w:szCs w:val="16"/>
              </w:rPr>
              <w:t>NA</w:t>
            </w:r>
          </w:p>
        </w:tc>
        <w:tc>
          <w:tcPr>
            <w:tcW w:w="5310" w:type="dxa"/>
            <w:vAlign w:val="bottom"/>
          </w:tcPr>
          <w:p w14:paraId="636D5A02"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Donor-specific T response measurement for immunosuppression minimization</w:t>
            </w:r>
          </w:p>
        </w:tc>
        <w:tc>
          <w:tcPr>
            <w:tcW w:w="1350" w:type="dxa"/>
            <w:vAlign w:val="bottom"/>
          </w:tcPr>
          <w:p w14:paraId="7522E59A"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56CF2DD8"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Personalized immunosuppression</w:t>
            </w:r>
          </w:p>
        </w:tc>
      </w:tr>
      <w:tr w:rsidR="009144E1" w:rsidRPr="0046038C" w14:paraId="683C8070" w14:textId="77777777" w:rsidTr="001C1398">
        <w:tc>
          <w:tcPr>
            <w:tcW w:w="1170" w:type="dxa"/>
            <w:vAlign w:val="bottom"/>
          </w:tcPr>
          <w:p w14:paraId="626E41B6"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NCT03781726</w:t>
            </w:r>
          </w:p>
        </w:tc>
        <w:tc>
          <w:tcPr>
            <w:tcW w:w="900" w:type="dxa"/>
            <w:vAlign w:val="bottom"/>
          </w:tcPr>
          <w:p w14:paraId="3ADBD648" w14:textId="52A42C1E"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Phase </w:t>
            </w:r>
            <w:r w:rsidR="001A26AA" w:rsidRPr="0046038C">
              <w:rPr>
                <w:rFonts w:ascii="Calibri" w:hAnsi="Calibri" w:cs="Calibri"/>
                <w:color w:val="000000"/>
                <w:sz w:val="16"/>
                <w:szCs w:val="16"/>
              </w:rPr>
              <w:t>4</w:t>
            </w:r>
          </w:p>
        </w:tc>
        <w:tc>
          <w:tcPr>
            <w:tcW w:w="5310" w:type="dxa"/>
            <w:vAlign w:val="bottom"/>
          </w:tcPr>
          <w:p w14:paraId="1EB868F7"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Multi-center study to transplant hepatitis C infected kidneys</w:t>
            </w:r>
          </w:p>
        </w:tc>
        <w:tc>
          <w:tcPr>
            <w:tcW w:w="1350" w:type="dxa"/>
            <w:vAlign w:val="bottom"/>
          </w:tcPr>
          <w:p w14:paraId="239F9949"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3CC838EC" w14:textId="0C69A032"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HCV+ kidney transplantation with </w:t>
            </w:r>
            <w:proofErr w:type="spellStart"/>
            <w:r w:rsidR="001A26AA" w:rsidRPr="0046038C">
              <w:rPr>
                <w:rFonts w:ascii="Calibri" w:hAnsi="Calibri" w:cs="Calibri"/>
                <w:color w:val="000000"/>
                <w:sz w:val="16"/>
                <w:szCs w:val="16"/>
              </w:rPr>
              <w:t>glecaprevir</w:t>
            </w:r>
            <w:proofErr w:type="spellEnd"/>
            <w:r w:rsidR="001A26AA" w:rsidRPr="0046038C">
              <w:rPr>
                <w:rFonts w:ascii="Calibri" w:hAnsi="Calibri" w:cs="Calibri"/>
                <w:color w:val="000000"/>
                <w:sz w:val="16"/>
                <w:szCs w:val="16"/>
              </w:rPr>
              <w:t>/</w:t>
            </w:r>
            <w:proofErr w:type="spellStart"/>
            <w:r w:rsidR="001A26AA" w:rsidRPr="0046038C">
              <w:rPr>
                <w:rFonts w:ascii="Calibri" w:hAnsi="Calibri" w:cs="Calibri"/>
                <w:color w:val="000000"/>
                <w:sz w:val="16"/>
                <w:szCs w:val="16"/>
              </w:rPr>
              <w:t>pibrentasvir</w:t>
            </w:r>
            <w:proofErr w:type="spellEnd"/>
          </w:p>
        </w:tc>
      </w:tr>
      <w:tr w:rsidR="009144E1" w:rsidRPr="0046038C" w14:paraId="2EB02E9B" w14:textId="77777777" w:rsidTr="001C1398">
        <w:tc>
          <w:tcPr>
            <w:tcW w:w="1170" w:type="dxa"/>
            <w:vAlign w:val="bottom"/>
          </w:tcPr>
          <w:p w14:paraId="74182632"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NCT03809533</w:t>
            </w:r>
          </w:p>
        </w:tc>
        <w:tc>
          <w:tcPr>
            <w:tcW w:w="900" w:type="dxa"/>
            <w:vAlign w:val="bottom"/>
          </w:tcPr>
          <w:p w14:paraId="5D7E4060" w14:textId="5763B239"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Phase </w:t>
            </w:r>
            <w:r w:rsidR="001A26AA" w:rsidRPr="0046038C">
              <w:rPr>
                <w:rFonts w:ascii="Calibri" w:hAnsi="Calibri" w:cs="Calibri"/>
                <w:color w:val="000000"/>
                <w:sz w:val="16"/>
                <w:szCs w:val="16"/>
              </w:rPr>
              <w:t>2</w:t>
            </w:r>
          </w:p>
        </w:tc>
        <w:tc>
          <w:tcPr>
            <w:tcW w:w="5310" w:type="dxa"/>
            <w:vAlign w:val="bottom"/>
          </w:tcPr>
          <w:p w14:paraId="4F789896"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Use of hepatitis C positive kidneys in HCV negative recipients</w:t>
            </w:r>
          </w:p>
        </w:tc>
        <w:tc>
          <w:tcPr>
            <w:tcW w:w="1350" w:type="dxa"/>
            <w:vAlign w:val="bottom"/>
          </w:tcPr>
          <w:p w14:paraId="60829A0B"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0D5C72E3" w14:textId="11CB679E"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HCV+ to HCV- kidney transplant</w:t>
            </w:r>
            <w:r w:rsidR="001A26AA" w:rsidRPr="0046038C">
              <w:rPr>
                <w:rFonts w:ascii="Calibri" w:hAnsi="Calibri" w:cs="Calibri"/>
                <w:color w:val="000000"/>
                <w:sz w:val="16"/>
                <w:szCs w:val="16"/>
              </w:rPr>
              <w:t xml:space="preserve"> with sofosbuvir/velpatasvir</w:t>
            </w:r>
          </w:p>
        </w:tc>
      </w:tr>
      <w:tr w:rsidR="009144E1" w:rsidRPr="0046038C" w14:paraId="458202E2" w14:textId="77777777" w:rsidTr="001C1398">
        <w:tc>
          <w:tcPr>
            <w:tcW w:w="1170" w:type="dxa"/>
            <w:vAlign w:val="bottom"/>
          </w:tcPr>
          <w:p w14:paraId="37F8B65E"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NCT04006808</w:t>
            </w:r>
          </w:p>
        </w:tc>
        <w:tc>
          <w:tcPr>
            <w:tcW w:w="900" w:type="dxa"/>
            <w:vAlign w:val="bottom"/>
          </w:tcPr>
          <w:p w14:paraId="5B79079E" w14:textId="5D6CB39B"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Phase</w:t>
            </w:r>
            <w:r w:rsidR="001A26AA" w:rsidRPr="0046038C">
              <w:rPr>
                <w:rFonts w:ascii="Calibri" w:hAnsi="Calibri" w:cs="Calibri"/>
                <w:color w:val="000000"/>
                <w:sz w:val="16"/>
                <w:szCs w:val="16"/>
              </w:rPr>
              <w:t xml:space="preserve"> 1/2</w:t>
            </w:r>
          </w:p>
        </w:tc>
        <w:tc>
          <w:tcPr>
            <w:tcW w:w="5310" w:type="dxa"/>
            <w:vAlign w:val="bottom"/>
          </w:tcPr>
          <w:p w14:paraId="4D261F93"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GSK candidate vaccine for shingles prevention in children</w:t>
            </w:r>
          </w:p>
        </w:tc>
        <w:tc>
          <w:tcPr>
            <w:tcW w:w="1350" w:type="dxa"/>
            <w:vAlign w:val="bottom"/>
          </w:tcPr>
          <w:p w14:paraId="4A9628D0"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7DA8884E"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GSK1437173A vaccine</w:t>
            </w:r>
          </w:p>
        </w:tc>
      </w:tr>
      <w:tr w:rsidR="009144E1" w:rsidRPr="0046038C" w14:paraId="5D030AFA" w14:textId="77777777" w:rsidTr="001C1398">
        <w:tc>
          <w:tcPr>
            <w:tcW w:w="1170" w:type="dxa"/>
            <w:vAlign w:val="bottom"/>
          </w:tcPr>
          <w:p w14:paraId="27B57D2E"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NCT04075916</w:t>
            </w:r>
          </w:p>
        </w:tc>
        <w:tc>
          <w:tcPr>
            <w:tcW w:w="900" w:type="dxa"/>
            <w:vAlign w:val="bottom"/>
          </w:tcPr>
          <w:p w14:paraId="789028D2" w14:textId="66F75769"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Phase </w:t>
            </w:r>
            <w:r w:rsidR="006424CD" w:rsidRPr="0046038C">
              <w:rPr>
                <w:rFonts w:ascii="Calibri" w:hAnsi="Calibri" w:cs="Calibri"/>
                <w:color w:val="000000"/>
                <w:sz w:val="16"/>
                <w:szCs w:val="16"/>
              </w:rPr>
              <w:t>2</w:t>
            </w:r>
          </w:p>
        </w:tc>
        <w:tc>
          <w:tcPr>
            <w:tcW w:w="5310" w:type="dxa"/>
            <w:vAlign w:val="bottom"/>
          </w:tcPr>
          <w:p w14:paraId="4D7AFBB2"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Transplanting hepatitis C kidneys into HCV-negative recipients</w:t>
            </w:r>
          </w:p>
        </w:tc>
        <w:tc>
          <w:tcPr>
            <w:tcW w:w="1350" w:type="dxa"/>
            <w:vAlign w:val="bottom"/>
          </w:tcPr>
          <w:p w14:paraId="0216BBCD"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3D2F5CAC" w14:textId="6DE13916" w:rsidR="009144E1" w:rsidRPr="0046038C" w:rsidRDefault="006424CD" w:rsidP="00F1698B">
            <w:pPr>
              <w:rPr>
                <w:rFonts w:ascii="Calibri" w:hAnsi="Calibri" w:cs="Calibri"/>
                <w:sz w:val="16"/>
                <w:szCs w:val="16"/>
              </w:rPr>
            </w:pPr>
            <w:r w:rsidRPr="0046038C">
              <w:rPr>
                <w:rFonts w:ascii="Calibri" w:hAnsi="Calibri" w:cs="Calibri"/>
                <w:color w:val="000000"/>
                <w:sz w:val="16"/>
                <w:szCs w:val="16"/>
              </w:rPr>
              <w:t>HCV+ to HCV- kidney transplant with sofosbuvir/velpatasvir</w:t>
            </w:r>
          </w:p>
        </w:tc>
      </w:tr>
      <w:tr w:rsidR="009144E1" w:rsidRPr="0046038C" w14:paraId="716E65D8" w14:textId="77777777" w:rsidTr="001C1398">
        <w:tc>
          <w:tcPr>
            <w:tcW w:w="1170" w:type="dxa"/>
            <w:vAlign w:val="bottom"/>
          </w:tcPr>
          <w:p w14:paraId="58C8F727"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NCT04540380</w:t>
            </w:r>
          </w:p>
        </w:tc>
        <w:tc>
          <w:tcPr>
            <w:tcW w:w="900" w:type="dxa"/>
            <w:vAlign w:val="bottom"/>
          </w:tcPr>
          <w:p w14:paraId="30BE874F" w14:textId="4B85E1C8" w:rsidR="009144E1" w:rsidRPr="0046038C" w:rsidRDefault="006424CD" w:rsidP="00F1698B">
            <w:pPr>
              <w:rPr>
                <w:rFonts w:ascii="Calibri" w:hAnsi="Calibri" w:cs="Calibri"/>
                <w:sz w:val="16"/>
                <w:szCs w:val="16"/>
              </w:rPr>
            </w:pPr>
            <w:r w:rsidRPr="0046038C">
              <w:rPr>
                <w:rFonts w:ascii="Calibri" w:hAnsi="Calibri" w:cs="Calibri"/>
                <w:sz w:val="16"/>
                <w:szCs w:val="16"/>
              </w:rPr>
              <w:t xml:space="preserve">Phase 1 </w:t>
            </w:r>
          </w:p>
        </w:tc>
        <w:tc>
          <w:tcPr>
            <w:tcW w:w="5310" w:type="dxa"/>
            <w:vAlign w:val="bottom"/>
          </w:tcPr>
          <w:p w14:paraId="1859AA02"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Renal allograft tolerance through mixed chimerism</w:t>
            </w:r>
          </w:p>
        </w:tc>
        <w:tc>
          <w:tcPr>
            <w:tcW w:w="1350" w:type="dxa"/>
            <w:vAlign w:val="bottom"/>
          </w:tcPr>
          <w:p w14:paraId="42DBCD11"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0556E3D0" w14:textId="463F153A"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Combined </w:t>
            </w:r>
            <w:r w:rsidR="006424CD" w:rsidRPr="0046038C">
              <w:rPr>
                <w:rFonts w:ascii="Calibri" w:hAnsi="Calibri" w:cs="Calibri"/>
                <w:color w:val="000000"/>
                <w:sz w:val="16"/>
                <w:szCs w:val="16"/>
              </w:rPr>
              <w:t>kidney</w:t>
            </w:r>
            <w:r w:rsidRPr="0046038C">
              <w:rPr>
                <w:rFonts w:ascii="Calibri" w:hAnsi="Calibri" w:cs="Calibri"/>
                <w:color w:val="000000"/>
                <w:sz w:val="16"/>
                <w:szCs w:val="16"/>
              </w:rPr>
              <w:t xml:space="preserve"> + stem cell transplant</w:t>
            </w:r>
          </w:p>
        </w:tc>
      </w:tr>
      <w:tr w:rsidR="009144E1" w:rsidRPr="0046038C" w14:paraId="096EC72F" w14:textId="77777777" w:rsidTr="001C1398">
        <w:tc>
          <w:tcPr>
            <w:tcW w:w="1170" w:type="dxa"/>
            <w:vAlign w:val="bottom"/>
          </w:tcPr>
          <w:p w14:paraId="33461405"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NCT05769582</w:t>
            </w:r>
          </w:p>
        </w:tc>
        <w:tc>
          <w:tcPr>
            <w:tcW w:w="900" w:type="dxa"/>
            <w:vAlign w:val="bottom"/>
          </w:tcPr>
          <w:p w14:paraId="227AC3BB" w14:textId="1F97FD16" w:rsidR="009144E1" w:rsidRPr="0046038C" w:rsidRDefault="006424CD" w:rsidP="00F1698B">
            <w:pPr>
              <w:rPr>
                <w:rFonts w:ascii="Calibri" w:hAnsi="Calibri" w:cs="Calibri"/>
                <w:sz w:val="16"/>
                <w:szCs w:val="16"/>
              </w:rPr>
            </w:pPr>
            <w:r w:rsidRPr="0046038C">
              <w:rPr>
                <w:rFonts w:ascii="Calibri" w:hAnsi="Calibri" w:cs="Calibri"/>
                <w:sz w:val="16"/>
                <w:szCs w:val="16"/>
              </w:rPr>
              <w:t>Phase 2/3</w:t>
            </w:r>
          </w:p>
        </w:tc>
        <w:tc>
          <w:tcPr>
            <w:tcW w:w="5310" w:type="dxa"/>
            <w:vAlign w:val="bottom"/>
          </w:tcPr>
          <w:p w14:paraId="5AB3B473"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Safety/efficacy of Anti-BKV for BKV infection treatment</w:t>
            </w:r>
          </w:p>
        </w:tc>
        <w:tc>
          <w:tcPr>
            <w:tcW w:w="1350" w:type="dxa"/>
            <w:vAlign w:val="bottom"/>
          </w:tcPr>
          <w:p w14:paraId="3B1E7F9C"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1C1269BA"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Anti-BKV immunotherapy</w:t>
            </w:r>
          </w:p>
        </w:tc>
      </w:tr>
      <w:tr w:rsidR="009144E1" w:rsidRPr="0046038C" w14:paraId="5D14B0D2" w14:textId="77777777" w:rsidTr="001C1398">
        <w:tc>
          <w:tcPr>
            <w:tcW w:w="1170" w:type="dxa"/>
            <w:vAlign w:val="bottom"/>
          </w:tcPr>
          <w:p w14:paraId="79DC1BE7" w14:textId="77777777" w:rsidR="009144E1" w:rsidRPr="0046038C" w:rsidRDefault="009144E1" w:rsidP="00F1698B">
            <w:pPr>
              <w:rPr>
                <w:rFonts w:ascii="Calibri" w:hAnsi="Calibri" w:cs="Calibri"/>
                <w:color w:val="000000"/>
                <w:sz w:val="16"/>
                <w:szCs w:val="16"/>
              </w:rPr>
            </w:pPr>
            <w:r w:rsidRPr="0046038C">
              <w:rPr>
                <w:rFonts w:ascii="Calibri" w:hAnsi="Calibri" w:cs="Calibri"/>
                <w:color w:val="000000"/>
                <w:sz w:val="16"/>
                <w:szCs w:val="16"/>
              </w:rPr>
              <w:t>NCT05525507</w:t>
            </w:r>
          </w:p>
        </w:tc>
        <w:tc>
          <w:tcPr>
            <w:tcW w:w="900" w:type="dxa"/>
            <w:vAlign w:val="bottom"/>
          </w:tcPr>
          <w:p w14:paraId="0C277837" w14:textId="7B218D46" w:rsidR="009144E1" w:rsidRPr="0046038C" w:rsidRDefault="006424CD" w:rsidP="00F1698B">
            <w:pPr>
              <w:rPr>
                <w:rFonts w:ascii="Calibri" w:hAnsi="Calibri" w:cs="Calibri"/>
                <w:color w:val="000000"/>
                <w:sz w:val="16"/>
                <w:szCs w:val="16"/>
              </w:rPr>
            </w:pPr>
            <w:r w:rsidRPr="0046038C">
              <w:rPr>
                <w:rFonts w:ascii="Calibri" w:hAnsi="Calibri" w:cs="Calibri"/>
                <w:color w:val="000000"/>
                <w:sz w:val="16"/>
                <w:szCs w:val="16"/>
              </w:rPr>
              <w:t>Phase 1</w:t>
            </w:r>
          </w:p>
        </w:tc>
        <w:tc>
          <w:tcPr>
            <w:tcW w:w="5310" w:type="dxa"/>
            <w:vAlign w:val="bottom"/>
          </w:tcPr>
          <w:p w14:paraId="613B7CDE" w14:textId="77777777" w:rsidR="009144E1" w:rsidRPr="0046038C" w:rsidRDefault="009144E1" w:rsidP="00F1698B">
            <w:pPr>
              <w:rPr>
                <w:rFonts w:ascii="Calibri" w:hAnsi="Calibri" w:cs="Calibri"/>
                <w:color w:val="000000"/>
                <w:sz w:val="16"/>
                <w:szCs w:val="16"/>
              </w:rPr>
            </w:pPr>
            <w:r w:rsidRPr="0046038C">
              <w:rPr>
                <w:rFonts w:ascii="Calibri" w:hAnsi="Calibri" w:cs="Calibri"/>
                <w:color w:val="000000"/>
                <w:sz w:val="16"/>
                <w:szCs w:val="16"/>
              </w:rPr>
              <w:t>Retro-active immunological tolerance in HLA-identical transplants</w:t>
            </w:r>
          </w:p>
        </w:tc>
        <w:tc>
          <w:tcPr>
            <w:tcW w:w="1350" w:type="dxa"/>
            <w:vAlign w:val="bottom"/>
          </w:tcPr>
          <w:p w14:paraId="423234E7" w14:textId="77777777" w:rsidR="009144E1" w:rsidRPr="0046038C" w:rsidRDefault="009144E1" w:rsidP="00F1698B">
            <w:pPr>
              <w:rPr>
                <w:rFonts w:ascii="Calibri" w:hAnsi="Calibri" w:cs="Calibri"/>
                <w:color w:val="000000"/>
                <w:sz w:val="16"/>
                <w:szCs w:val="16"/>
              </w:rPr>
            </w:pPr>
            <w:r w:rsidRPr="0046038C">
              <w:rPr>
                <w:rFonts w:ascii="Calibri" w:hAnsi="Calibri" w:cs="Calibri"/>
                <w:color w:val="000000"/>
                <w:sz w:val="16"/>
                <w:szCs w:val="16"/>
              </w:rPr>
              <w:t>Any GD</w:t>
            </w:r>
          </w:p>
        </w:tc>
        <w:tc>
          <w:tcPr>
            <w:tcW w:w="4500" w:type="dxa"/>
            <w:vAlign w:val="bottom"/>
          </w:tcPr>
          <w:p w14:paraId="1B245D1C" w14:textId="06BC8234" w:rsidR="009144E1" w:rsidRPr="0046038C" w:rsidRDefault="006424CD" w:rsidP="00F1698B">
            <w:pPr>
              <w:rPr>
                <w:rFonts w:ascii="Calibri" w:hAnsi="Calibri" w:cs="Calibri"/>
                <w:color w:val="000000"/>
                <w:sz w:val="16"/>
                <w:szCs w:val="16"/>
              </w:rPr>
            </w:pPr>
            <w:r w:rsidRPr="0046038C">
              <w:rPr>
                <w:rFonts w:ascii="Calibri" w:hAnsi="Calibri" w:cs="Calibri"/>
                <w:color w:val="000000"/>
                <w:sz w:val="16"/>
                <w:szCs w:val="16"/>
              </w:rPr>
              <w:t>H</w:t>
            </w:r>
            <w:r w:rsidR="009144E1" w:rsidRPr="0046038C">
              <w:rPr>
                <w:rFonts w:ascii="Calibri" w:hAnsi="Calibri" w:cs="Calibri"/>
                <w:color w:val="000000"/>
                <w:sz w:val="16"/>
                <w:szCs w:val="16"/>
              </w:rPr>
              <w:t>ematopoietic stem cell infusion</w:t>
            </w:r>
          </w:p>
        </w:tc>
      </w:tr>
      <w:tr w:rsidR="009144E1" w:rsidRPr="0046038C" w14:paraId="0656BAF1" w14:textId="77777777" w:rsidTr="001C1398">
        <w:tc>
          <w:tcPr>
            <w:tcW w:w="1170" w:type="dxa"/>
            <w:vAlign w:val="bottom"/>
          </w:tcPr>
          <w:p w14:paraId="7DD04439"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NCT06552169</w:t>
            </w:r>
          </w:p>
        </w:tc>
        <w:tc>
          <w:tcPr>
            <w:tcW w:w="900" w:type="dxa"/>
            <w:vAlign w:val="bottom"/>
          </w:tcPr>
          <w:p w14:paraId="39D63A0A" w14:textId="515003F5" w:rsidR="009144E1" w:rsidRPr="0046038C" w:rsidRDefault="006424CD" w:rsidP="00F1698B">
            <w:pPr>
              <w:rPr>
                <w:rFonts w:ascii="Calibri" w:hAnsi="Calibri" w:cs="Calibri"/>
                <w:sz w:val="16"/>
                <w:szCs w:val="16"/>
              </w:rPr>
            </w:pPr>
            <w:r w:rsidRPr="0046038C">
              <w:rPr>
                <w:rFonts w:ascii="Calibri" w:hAnsi="Calibri" w:cs="Calibri"/>
                <w:sz w:val="16"/>
                <w:szCs w:val="16"/>
              </w:rPr>
              <w:t>Phase 2</w:t>
            </w:r>
          </w:p>
        </w:tc>
        <w:tc>
          <w:tcPr>
            <w:tcW w:w="5310" w:type="dxa"/>
            <w:vAlign w:val="bottom"/>
          </w:tcPr>
          <w:p w14:paraId="6A7D6AB8"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Regulatory T cell therapy for immunosuppression reduction</w:t>
            </w:r>
          </w:p>
        </w:tc>
        <w:tc>
          <w:tcPr>
            <w:tcW w:w="1350" w:type="dxa"/>
            <w:vAlign w:val="bottom"/>
          </w:tcPr>
          <w:p w14:paraId="687413EC"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Any GD</w:t>
            </w:r>
          </w:p>
        </w:tc>
        <w:tc>
          <w:tcPr>
            <w:tcW w:w="4500" w:type="dxa"/>
            <w:vAlign w:val="bottom"/>
          </w:tcPr>
          <w:p w14:paraId="482D20F9"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Autologous regulatory T cell therapy</w:t>
            </w:r>
          </w:p>
        </w:tc>
      </w:tr>
      <w:tr w:rsidR="009144E1" w:rsidRPr="0046038C" w14:paraId="56D1F3D7" w14:textId="77777777" w:rsidTr="001C1398">
        <w:tc>
          <w:tcPr>
            <w:tcW w:w="1170" w:type="dxa"/>
            <w:vAlign w:val="bottom"/>
          </w:tcPr>
          <w:p w14:paraId="484E51CB"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NCT05806749</w:t>
            </w:r>
          </w:p>
        </w:tc>
        <w:tc>
          <w:tcPr>
            <w:tcW w:w="900" w:type="dxa"/>
            <w:vAlign w:val="bottom"/>
          </w:tcPr>
          <w:p w14:paraId="7FA4B2F5" w14:textId="6EA4710E" w:rsidR="009144E1" w:rsidRPr="0046038C" w:rsidRDefault="006424CD" w:rsidP="00F1698B">
            <w:pPr>
              <w:rPr>
                <w:rFonts w:ascii="Calibri" w:hAnsi="Calibri" w:cs="Calibri"/>
                <w:sz w:val="16"/>
                <w:szCs w:val="16"/>
              </w:rPr>
            </w:pPr>
            <w:r w:rsidRPr="0046038C">
              <w:rPr>
                <w:rFonts w:ascii="Calibri" w:hAnsi="Calibri" w:cs="Calibri"/>
                <w:sz w:val="16"/>
                <w:szCs w:val="16"/>
              </w:rPr>
              <w:t>Phase 1</w:t>
            </w:r>
          </w:p>
        </w:tc>
        <w:tc>
          <w:tcPr>
            <w:tcW w:w="5310" w:type="dxa"/>
            <w:vAlign w:val="bottom"/>
          </w:tcPr>
          <w:p w14:paraId="6C725584"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Immunological tolerance in mismatched kidney transplants</w:t>
            </w:r>
          </w:p>
        </w:tc>
        <w:tc>
          <w:tcPr>
            <w:tcW w:w="1350" w:type="dxa"/>
            <w:vAlign w:val="bottom"/>
          </w:tcPr>
          <w:p w14:paraId="7947942C"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FSGS</w:t>
            </w:r>
          </w:p>
        </w:tc>
        <w:tc>
          <w:tcPr>
            <w:tcW w:w="4500" w:type="dxa"/>
            <w:vAlign w:val="bottom"/>
          </w:tcPr>
          <w:p w14:paraId="4A0C597D"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Mixed chimerism protocol</w:t>
            </w:r>
          </w:p>
        </w:tc>
      </w:tr>
      <w:tr w:rsidR="009144E1" w:rsidRPr="0046038C" w14:paraId="7246FC43" w14:textId="77777777" w:rsidTr="001C1398">
        <w:tc>
          <w:tcPr>
            <w:tcW w:w="1170" w:type="dxa"/>
            <w:vAlign w:val="bottom"/>
          </w:tcPr>
          <w:p w14:paraId="4F845A5E"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NCT01962922</w:t>
            </w:r>
          </w:p>
        </w:tc>
        <w:tc>
          <w:tcPr>
            <w:tcW w:w="900" w:type="dxa"/>
            <w:vAlign w:val="bottom"/>
          </w:tcPr>
          <w:p w14:paraId="238BAB21" w14:textId="50A07FA7" w:rsidR="009144E1" w:rsidRPr="0046038C" w:rsidRDefault="006424CD" w:rsidP="00F1698B">
            <w:pPr>
              <w:rPr>
                <w:rFonts w:ascii="Calibri" w:hAnsi="Calibri" w:cs="Calibri"/>
                <w:sz w:val="16"/>
                <w:szCs w:val="16"/>
              </w:rPr>
            </w:pPr>
            <w:r w:rsidRPr="0046038C">
              <w:rPr>
                <w:rFonts w:ascii="Calibri" w:hAnsi="Calibri" w:cs="Calibri"/>
                <w:sz w:val="16"/>
                <w:szCs w:val="16"/>
              </w:rPr>
              <w:t>Phase 3</w:t>
            </w:r>
          </w:p>
        </w:tc>
        <w:tc>
          <w:tcPr>
            <w:tcW w:w="5310" w:type="dxa"/>
            <w:vAlign w:val="bottom"/>
          </w:tcPr>
          <w:p w14:paraId="4030E8CE"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PK crossover study of LCP-</w:t>
            </w:r>
            <w:proofErr w:type="spellStart"/>
            <w:r w:rsidRPr="0046038C">
              <w:rPr>
                <w:rFonts w:ascii="Calibri" w:hAnsi="Calibri" w:cs="Calibri"/>
                <w:color w:val="000000"/>
                <w:sz w:val="16"/>
                <w:szCs w:val="16"/>
              </w:rPr>
              <w:t>Tacro</w:t>
            </w:r>
            <w:proofErr w:type="spellEnd"/>
            <w:r w:rsidRPr="0046038C">
              <w:rPr>
                <w:rFonts w:ascii="Calibri" w:hAnsi="Calibri" w:cs="Calibri"/>
                <w:color w:val="000000"/>
                <w:sz w:val="16"/>
                <w:szCs w:val="16"/>
              </w:rPr>
              <w:t xml:space="preserve"> vs generic tacrolimus</w:t>
            </w:r>
          </w:p>
        </w:tc>
        <w:tc>
          <w:tcPr>
            <w:tcW w:w="1350" w:type="dxa"/>
            <w:vAlign w:val="bottom"/>
          </w:tcPr>
          <w:p w14:paraId="2F5FFC2E"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FSGS</w:t>
            </w:r>
          </w:p>
        </w:tc>
        <w:tc>
          <w:tcPr>
            <w:tcW w:w="4500" w:type="dxa"/>
            <w:vAlign w:val="bottom"/>
          </w:tcPr>
          <w:p w14:paraId="105A4648"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LCP-</w:t>
            </w:r>
            <w:proofErr w:type="spellStart"/>
            <w:r w:rsidRPr="0046038C">
              <w:rPr>
                <w:rFonts w:ascii="Calibri" w:hAnsi="Calibri" w:cs="Calibri"/>
                <w:color w:val="000000"/>
                <w:sz w:val="16"/>
                <w:szCs w:val="16"/>
              </w:rPr>
              <w:t>Tacro</w:t>
            </w:r>
            <w:proofErr w:type="spellEnd"/>
            <w:r w:rsidRPr="0046038C">
              <w:rPr>
                <w:rFonts w:ascii="Calibri" w:hAnsi="Calibri" w:cs="Calibri"/>
                <w:color w:val="000000"/>
                <w:sz w:val="16"/>
                <w:szCs w:val="16"/>
              </w:rPr>
              <w:t xml:space="preserve"> extended-release tacrolimus</w:t>
            </w:r>
          </w:p>
        </w:tc>
      </w:tr>
      <w:tr w:rsidR="009144E1" w:rsidRPr="0046038C" w14:paraId="335C4D5B" w14:textId="77777777" w:rsidTr="001C1398">
        <w:tc>
          <w:tcPr>
            <w:tcW w:w="1170" w:type="dxa"/>
            <w:vAlign w:val="bottom"/>
          </w:tcPr>
          <w:p w14:paraId="28489AD1"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NCT02327403</w:t>
            </w:r>
          </w:p>
        </w:tc>
        <w:tc>
          <w:tcPr>
            <w:tcW w:w="900" w:type="dxa"/>
            <w:vAlign w:val="bottom"/>
          </w:tcPr>
          <w:p w14:paraId="0467FCCD" w14:textId="658DDC1E" w:rsidR="009144E1" w:rsidRPr="0046038C" w:rsidRDefault="006424CD" w:rsidP="00F1698B">
            <w:pPr>
              <w:rPr>
                <w:rFonts w:ascii="Calibri" w:hAnsi="Calibri" w:cs="Calibri"/>
                <w:sz w:val="16"/>
                <w:szCs w:val="16"/>
              </w:rPr>
            </w:pPr>
            <w:r w:rsidRPr="0046038C">
              <w:rPr>
                <w:rFonts w:ascii="Calibri" w:hAnsi="Calibri" w:cs="Calibri"/>
                <w:sz w:val="16"/>
                <w:szCs w:val="16"/>
              </w:rPr>
              <w:t>Phase 2</w:t>
            </w:r>
          </w:p>
        </w:tc>
        <w:tc>
          <w:tcPr>
            <w:tcW w:w="5310" w:type="dxa"/>
            <w:vAlign w:val="bottom"/>
          </w:tcPr>
          <w:p w14:paraId="2459F2C8"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Belatacept conversion in proteinuric kidney transplant recipients</w:t>
            </w:r>
          </w:p>
        </w:tc>
        <w:tc>
          <w:tcPr>
            <w:tcW w:w="1350" w:type="dxa"/>
            <w:vAlign w:val="bottom"/>
          </w:tcPr>
          <w:p w14:paraId="29C39FE0"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FSGS</w:t>
            </w:r>
          </w:p>
        </w:tc>
        <w:tc>
          <w:tcPr>
            <w:tcW w:w="4500" w:type="dxa"/>
            <w:vAlign w:val="bottom"/>
          </w:tcPr>
          <w:p w14:paraId="50D91736"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Belatacept conversion</w:t>
            </w:r>
          </w:p>
        </w:tc>
      </w:tr>
      <w:tr w:rsidR="009144E1" w:rsidRPr="0046038C" w14:paraId="6B03E1BA" w14:textId="77777777" w:rsidTr="001C1398">
        <w:tc>
          <w:tcPr>
            <w:tcW w:w="1170" w:type="dxa"/>
            <w:vAlign w:val="bottom"/>
          </w:tcPr>
          <w:p w14:paraId="7710749F"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NCT02743897</w:t>
            </w:r>
          </w:p>
        </w:tc>
        <w:tc>
          <w:tcPr>
            <w:tcW w:w="900" w:type="dxa"/>
            <w:vAlign w:val="bottom"/>
          </w:tcPr>
          <w:p w14:paraId="4D56EC6D" w14:textId="43284EDC" w:rsidR="009144E1" w:rsidRPr="0046038C" w:rsidRDefault="006424CD" w:rsidP="00F1698B">
            <w:pPr>
              <w:rPr>
                <w:rFonts w:ascii="Calibri" w:hAnsi="Calibri" w:cs="Calibri"/>
                <w:sz w:val="16"/>
                <w:szCs w:val="16"/>
              </w:rPr>
            </w:pPr>
            <w:r w:rsidRPr="0046038C">
              <w:rPr>
                <w:rFonts w:ascii="Calibri" w:hAnsi="Calibri" w:cs="Calibri"/>
                <w:sz w:val="16"/>
                <w:szCs w:val="16"/>
              </w:rPr>
              <w:t>Phase 1/2</w:t>
            </w:r>
          </w:p>
        </w:tc>
        <w:tc>
          <w:tcPr>
            <w:tcW w:w="5310" w:type="dxa"/>
            <w:vAlign w:val="bottom"/>
          </w:tcPr>
          <w:p w14:paraId="1AB8E465"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Transplanting hepatitis C kidneys into negative recipients</w:t>
            </w:r>
          </w:p>
        </w:tc>
        <w:tc>
          <w:tcPr>
            <w:tcW w:w="1350" w:type="dxa"/>
            <w:vAlign w:val="bottom"/>
          </w:tcPr>
          <w:p w14:paraId="421EC584"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FSGS</w:t>
            </w:r>
          </w:p>
        </w:tc>
        <w:tc>
          <w:tcPr>
            <w:tcW w:w="4500" w:type="dxa"/>
            <w:vAlign w:val="bottom"/>
          </w:tcPr>
          <w:p w14:paraId="318C3617" w14:textId="4166D7F3"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HCV+ kidney transplant</w:t>
            </w:r>
            <w:r w:rsidR="006424CD" w:rsidRPr="0046038C">
              <w:rPr>
                <w:rFonts w:ascii="Calibri" w:hAnsi="Calibri" w:cs="Calibri"/>
                <w:color w:val="000000"/>
                <w:sz w:val="16"/>
                <w:szCs w:val="16"/>
              </w:rPr>
              <w:t xml:space="preserve"> + </w:t>
            </w:r>
            <w:r w:rsidR="00847804" w:rsidRPr="0046038C">
              <w:rPr>
                <w:rFonts w:ascii="Calibri" w:hAnsi="Calibri" w:cs="Calibri"/>
                <w:color w:val="000000"/>
                <w:sz w:val="16"/>
                <w:szCs w:val="16"/>
              </w:rPr>
              <w:t>DAAs</w:t>
            </w:r>
            <w:r w:rsidR="006424CD" w:rsidRPr="0046038C">
              <w:rPr>
                <w:rFonts w:ascii="Calibri" w:hAnsi="Calibri" w:cs="Calibri"/>
                <w:color w:val="000000"/>
                <w:sz w:val="16"/>
                <w:szCs w:val="16"/>
              </w:rPr>
              <w:t xml:space="preserve"> </w:t>
            </w:r>
          </w:p>
        </w:tc>
      </w:tr>
      <w:tr w:rsidR="009144E1" w:rsidRPr="0046038C" w14:paraId="03EF8D0C" w14:textId="77777777" w:rsidTr="001C1398">
        <w:tc>
          <w:tcPr>
            <w:tcW w:w="1170" w:type="dxa"/>
            <w:vAlign w:val="bottom"/>
          </w:tcPr>
          <w:p w14:paraId="0EF78074"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NCT03093740</w:t>
            </w:r>
          </w:p>
        </w:tc>
        <w:tc>
          <w:tcPr>
            <w:tcW w:w="900" w:type="dxa"/>
            <w:vAlign w:val="bottom"/>
          </w:tcPr>
          <w:p w14:paraId="48079A90" w14:textId="71C716BD" w:rsidR="009144E1" w:rsidRPr="0046038C" w:rsidRDefault="00847804" w:rsidP="00F1698B">
            <w:pPr>
              <w:rPr>
                <w:rFonts w:ascii="Calibri" w:hAnsi="Calibri" w:cs="Calibri"/>
                <w:sz w:val="16"/>
                <w:szCs w:val="16"/>
              </w:rPr>
            </w:pPr>
            <w:r w:rsidRPr="0046038C">
              <w:rPr>
                <w:rFonts w:ascii="Calibri" w:hAnsi="Calibri" w:cs="Calibri"/>
                <w:sz w:val="16"/>
                <w:szCs w:val="16"/>
              </w:rPr>
              <w:t>Phase 4</w:t>
            </w:r>
          </w:p>
        </w:tc>
        <w:tc>
          <w:tcPr>
            <w:tcW w:w="5310" w:type="dxa"/>
            <w:vAlign w:val="bottom"/>
          </w:tcPr>
          <w:p w14:paraId="66C15788"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DAA therapy to prevent HCV infection (HCV+ donor to HCV- recipient)</w:t>
            </w:r>
          </w:p>
        </w:tc>
        <w:tc>
          <w:tcPr>
            <w:tcW w:w="1350" w:type="dxa"/>
            <w:vAlign w:val="bottom"/>
          </w:tcPr>
          <w:p w14:paraId="2247F8B7"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FSGS</w:t>
            </w:r>
          </w:p>
        </w:tc>
        <w:tc>
          <w:tcPr>
            <w:tcW w:w="4500" w:type="dxa"/>
            <w:vAlign w:val="bottom"/>
          </w:tcPr>
          <w:p w14:paraId="3E1D4512" w14:textId="0D604E9A" w:rsidR="009144E1" w:rsidRPr="0046038C" w:rsidRDefault="00847804" w:rsidP="00F1698B">
            <w:pPr>
              <w:rPr>
                <w:rFonts w:ascii="Calibri" w:hAnsi="Calibri" w:cs="Calibri"/>
                <w:sz w:val="16"/>
                <w:szCs w:val="16"/>
              </w:rPr>
            </w:pPr>
            <w:r w:rsidRPr="0046038C">
              <w:rPr>
                <w:rFonts w:ascii="Calibri" w:hAnsi="Calibri" w:cs="Calibri"/>
                <w:color w:val="000000"/>
                <w:sz w:val="16"/>
                <w:szCs w:val="16"/>
              </w:rPr>
              <w:t>DAA</w:t>
            </w:r>
            <w:r w:rsidR="009144E1" w:rsidRPr="0046038C">
              <w:rPr>
                <w:rFonts w:ascii="Calibri" w:hAnsi="Calibri" w:cs="Calibri"/>
                <w:color w:val="000000"/>
                <w:sz w:val="16"/>
                <w:szCs w:val="16"/>
              </w:rPr>
              <w:t xml:space="preserve"> prophylaxis</w:t>
            </w:r>
          </w:p>
        </w:tc>
      </w:tr>
      <w:tr w:rsidR="009144E1" w:rsidRPr="0046038C" w14:paraId="7DD1950B" w14:textId="77777777" w:rsidTr="001C1398">
        <w:tc>
          <w:tcPr>
            <w:tcW w:w="1170" w:type="dxa"/>
            <w:vAlign w:val="bottom"/>
          </w:tcPr>
          <w:p w14:paraId="1802C01B"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NCT01187953</w:t>
            </w:r>
          </w:p>
        </w:tc>
        <w:tc>
          <w:tcPr>
            <w:tcW w:w="900" w:type="dxa"/>
            <w:vAlign w:val="bottom"/>
          </w:tcPr>
          <w:p w14:paraId="3C908EDF" w14:textId="5A8EE7FC" w:rsidR="009144E1" w:rsidRPr="0046038C" w:rsidRDefault="00847804" w:rsidP="00F1698B">
            <w:pPr>
              <w:rPr>
                <w:rFonts w:ascii="Calibri" w:hAnsi="Calibri" w:cs="Calibri"/>
                <w:sz w:val="16"/>
                <w:szCs w:val="16"/>
              </w:rPr>
            </w:pPr>
            <w:r w:rsidRPr="0046038C">
              <w:rPr>
                <w:rFonts w:ascii="Calibri" w:hAnsi="Calibri" w:cs="Calibri"/>
                <w:sz w:val="16"/>
                <w:szCs w:val="16"/>
              </w:rPr>
              <w:t>Phase 3</w:t>
            </w:r>
          </w:p>
        </w:tc>
        <w:tc>
          <w:tcPr>
            <w:tcW w:w="5310" w:type="dxa"/>
            <w:vAlign w:val="bottom"/>
          </w:tcPr>
          <w:p w14:paraId="10C5CA4B"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LCP-</w:t>
            </w:r>
            <w:proofErr w:type="spellStart"/>
            <w:r w:rsidRPr="0046038C">
              <w:rPr>
                <w:rFonts w:ascii="Calibri" w:hAnsi="Calibri" w:cs="Calibri"/>
                <w:color w:val="000000"/>
                <w:sz w:val="16"/>
                <w:szCs w:val="16"/>
              </w:rPr>
              <w:t>Tacro</w:t>
            </w:r>
            <w:proofErr w:type="spellEnd"/>
            <w:r w:rsidRPr="0046038C">
              <w:rPr>
                <w:rFonts w:ascii="Calibri" w:hAnsi="Calibri" w:cs="Calibri"/>
                <w:color w:val="000000"/>
                <w:sz w:val="16"/>
                <w:szCs w:val="16"/>
              </w:rPr>
              <w:t xml:space="preserve"> vs Prograft for rejection prevention in de novo transplant</w:t>
            </w:r>
          </w:p>
        </w:tc>
        <w:tc>
          <w:tcPr>
            <w:tcW w:w="1350" w:type="dxa"/>
            <w:vAlign w:val="bottom"/>
          </w:tcPr>
          <w:p w14:paraId="0EEE6B74"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FSGS</w:t>
            </w:r>
          </w:p>
        </w:tc>
        <w:tc>
          <w:tcPr>
            <w:tcW w:w="4500" w:type="dxa"/>
            <w:vAlign w:val="bottom"/>
          </w:tcPr>
          <w:p w14:paraId="6B9CEA33"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LCP-</w:t>
            </w:r>
            <w:proofErr w:type="spellStart"/>
            <w:r w:rsidRPr="0046038C">
              <w:rPr>
                <w:rFonts w:ascii="Calibri" w:hAnsi="Calibri" w:cs="Calibri"/>
                <w:color w:val="000000"/>
                <w:sz w:val="16"/>
                <w:szCs w:val="16"/>
              </w:rPr>
              <w:t>Tacro</w:t>
            </w:r>
            <w:proofErr w:type="spellEnd"/>
            <w:r w:rsidRPr="0046038C">
              <w:rPr>
                <w:rFonts w:ascii="Calibri" w:hAnsi="Calibri" w:cs="Calibri"/>
                <w:color w:val="000000"/>
                <w:sz w:val="16"/>
                <w:szCs w:val="16"/>
              </w:rPr>
              <w:t xml:space="preserve"> vs immediate-release tacrolimus</w:t>
            </w:r>
          </w:p>
        </w:tc>
      </w:tr>
      <w:tr w:rsidR="009144E1" w:rsidRPr="0046038C" w14:paraId="4B1D8689" w14:textId="77777777" w:rsidTr="001C1398">
        <w:tc>
          <w:tcPr>
            <w:tcW w:w="1170" w:type="dxa"/>
            <w:vAlign w:val="bottom"/>
          </w:tcPr>
          <w:p w14:paraId="6C4FC433"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NCT03623568</w:t>
            </w:r>
          </w:p>
        </w:tc>
        <w:tc>
          <w:tcPr>
            <w:tcW w:w="900" w:type="dxa"/>
            <w:vAlign w:val="bottom"/>
          </w:tcPr>
          <w:p w14:paraId="4B26C672" w14:textId="4AD19A0C" w:rsidR="009144E1" w:rsidRPr="0046038C" w:rsidRDefault="00847804" w:rsidP="00F1698B">
            <w:pPr>
              <w:rPr>
                <w:rFonts w:ascii="Calibri" w:hAnsi="Calibri" w:cs="Calibri"/>
                <w:sz w:val="16"/>
                <w:szCs w:val="16"/>
              </w:rPr>
            </w:pPr>
            <w:r w:rsidRPr="0046038C">
              <w:rPr>
                <w:rFonts w:ascii="Calibri" w:hAnsi="Calibri" w:cs="Calibri"/>
                <w:sz w:val="16"/>
                <w:szCs w:val="16"/>
              </w:rPr>
              <w:t>Phase 4</w:t>
            </w:r>
          </w:p>
        </w:tc>
        <w:tc>
          <w:tcPr>
            <w:tcW w:w="5310" w:type="dxa"/>
            <w:vAlign w:val="bottom"/>
          </w:tcPr>
          <w:p w14:paraId="2997EF3D"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DAA therapy in donor HCV + to recipient HCV- transplant</w:t>
            </w:r>
          </w:p>
        </w:tc>
        <w:tc>
          <w:tcPr>
            <w:tcW w:w="1350" w:type="dxa"/>
            <w:vAlign w:val="bottom"/>
          </w:tcPr>
          <w:p w14:paraId="44C1B93F"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FSGS</w:t>
            </w:r>
          </w:p>
        </w:tc>
        <w:tc>
          <w:tcPr>
            <w:tcW w:w="4500" w:type="dxa"/>
            <w:vAlign w:val="bottom"/>
          </w:tcPr>
          <w:p w14:paraId="56EC87AB" w14:textId="24E8DADE" w:rsidR="009144E1" w:rsidRPr="0046038C" w:rsidRDefault="00847804" w:rsidP="00F1698B">
            <w:pPr>
              <w:rPr>
                <w:rFonts w:ascii="Calibri" w:hAnsi="Calibri" w:cs="Calibri"/>
                <w:sz w:val="16"/>
                <w:szCs w:val="16"/>
              </w:rPr>
            </w:pPr>
            <w:r w:rsidRPr="0046038C">
              <w:rPr>
                <w:rFonts w:ascii="Calibri" w:hAnsi="Calibri" w:cs="Calibri"/>
                <w:color w:val="000000"/>
                <w:sz w:val="16"/>
                <w:szCs w:val="16"/>
              </w:rPr>
              <w:t xml:space="preserve">HCV+ kidney transplantation with </w:t>
            </w:r>
            <w:proofErr w:type="spellStart"/>
            <w:r w:rsidRPr="0046038C">
              <w:rPr>
                <w:rFonts w:ascii="Calibri" w:hAnsi="Calibri" w:cs="Calibri"/>
                <w:color w:val="000000"/>
                <w:sz w:val="16"/>
                <w:szCs w:val="16"/>
              </w:rPr>
              <w:t>glecaprevir</w:t>
            </w:r>
            <w:proofErr w:type="spellEnd"/>
            <w:r w:rsidRPr="0046038C">
              <w:rPr>
                <w:rFonts w:ascii="Calibri" w:hAnsi="Calibri" w:cs="Calibri"/>
                <w:color w:val="000000"/>
                <w:sz w:val="16"/>
                <w:szCs w:val="16"/>
              </w:rPr>
              <w:t>/</w:t>
            </w:r>
            <w:proofErr w:type="spellStart"/>
            <w:r w:rsidRPr="0046038C">
              <w:rPr>
                <w:rFonts w:ascii="Calibri" w:hAnsi="Calibri" w:cs="Calibri"/>
                <w:color w:val="000000"/>
                <w:sz w:val="16"/>
                <w:szCs w:val="16"/>
              </w:rPr>
              <w:t>pibrentasvir</w:t>
            </w:r>
            <w:proofErr w:type="spellEnd"/>
          </w:p>
        </w:tc>
      </w:tr>
      <w:tr w:rsidR="009144E1" w:rsidRPr="0046038C" w14:paraId="323EA784" w14:textId="77777777" w:rsidTr="001C1398">
        <w:tc>
          <w:tcPr>
            <w:tcW w:w="1170" w:type="dxa"/>
            <w:vAlign w:val="bottom"/>
          </w:tcPr>
          <w:p w14:paraId="46BF0053"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NCT01653847</w:t>
            </w:r>
          </w:p>
        </w:tc>
        <w:tc>
          <w:tcPr>
            <w:tcW w:w="900" w:type="dxa"/>
            <w:vAlign w:val="bottom"/>
          </w:tcPr>
          <w:p w14:paraId="287C3FBA" w14:textId="1D1BA90C" w:rsidR="009144E1" w:rsidRPr="0046038C" w:rsidRDefault="00847804" w:rsidP="00F1698B">
            <w:pPr>
              <w:rPr>
                <w:rFonts w:ascii="Calibri" w:hAnsi="Calibri" w:cs="Calibri"/>
                <w:sz w:val="16"/>
                <w:szCs w:val="16"/>
              </w:rPr>
            </w:pPr>
            <w:r w:rsidRPr="0046038C">
              <w:rPr>
                <w:rFonts w:ascii="Calibri" w:hAnsi="Calibri" w:cs="Calibri"/>
                <w:sz w:val="16"/>
                <w:szCs w:val="16"/>
              </w:rPr>
              <w:t>NA</w:t>
            </w:r>
          </w:p>
        </w:tc>
        <w:tc>
          <w:tcPr>
            <w:tcW w:w="5310" w:type="dxa"/>
            <w:vAlign w:val="bottom"/>
          </w:tcPr>
          <w:p w14:paraId="41A598AA"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Impact of two immunosuppressive regimens in renal transplant</w:t>
            </w:r>
          </w:p>
        </w:tc>
        <w:tc>
          <w:tcPr>
            <w:tcW w:w="1350" w:type="dxa"/>
            <w:vAlign w:val="bottom"/>
          </w:tcPr>
          <w:p w14:paraId="08DE8049"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FSGS</w:t>
            </w:r>
          </w:p>
        </w:tc>
        <w:tc>
          <w:tcPr>
            <w:tcW w:w="4500" w:type="dxa"/>
            <w:vAlign w:val="bottom"/>
          </w:tcPr>
          <w:p w14:paraId="5AEC31C8"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Comparative immunosuppression study</w:t>
            </w:r>
          </w:p>
        </w:tc>
      </w:tr>
      <w:tr w:rsidR="009144E1" w:rsidRPr="0046038C" w14:paraId="782F1C2C" w14:textId="77777777" w:rsidTr="001C1398">
        <w:tc>
          <w:tcPr>
            <w:tcW w:w="1170" w:type="dxa"/>
            <w:vAlign w:val="bottom"/>
          </w:tcPr>
          <w:p w14:paraId="28AD2EF9"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NCT03289650</w:t>
            </w:r>
          </w:p>
        </w:tc>
        <w:tc>
          <w:tcPr>
            <w:tcW w:w="900" w:type="dxa"/>
            <w:vAlign w:val="bottom"/>
          </w:tcPr>
          <w:p w14:paraId="16EFCCE4" w14:textId="2344F1E4" w:rsidR="009144E1" w:rsidRPr="0046038C" w:rsidRDefault="00847804" w:rsidP="00F1698B">
            <w:pPr>
              <w:rPr>
                <w:rFonts w:ascii="Calibri" w:hAnsi="Calibri" w:cs="Calibri"/>
                <w:sz w:val="16"/>
                <w:szCs w:val="16"/>
              </w:rPr>
            </w:pPr>
            <w:r w:rsidRPr="0046038C">
              <w:rPr>
                <w:rFonts w:ascii="Calibri" w:hAnsi="Calibri" w:cs="Calibri"/>
                <w:sz w:val="16"/>
                <w:szCs w:val="16"/>
              </w:rPr>
              <w:t>Phase 3</w:t>
            </w:r>
          </w:p>
        </w:tc>
        <w:tc>
          <w:tcPr>
            <w:tcW w:w="5310" w:type="dxa"/>
            <w:vAlign w:val="bottom"/>
          </w:tcPr>
          <w:p w14:paraId="089416C8" w14:textId="77777777" w:rsidR="009144E1" w:rsidRPr="0046038C" w:rsidRDefault="009144E1" w:rsidP="00F1698B">
            <w:pPr>
              <w:rPr>
                <w:rFonts w:ascii="Calibri" w:hAnsi="Calibri" w:cs="Calibri"/>
                <w:sz w:val="16"/>
                <w:szCs w:val="16"/>
              </w:rPr>
            </w:pPr>
            <w:proofErr w:type="gramStart"/>
            <w:r w:rsidRPr="0046038C">
              <w:rPr>
                <w:rFonts w:ascii="Calibri" w:hAnsi="Calibri" w:cs="Calibri"/>
                <w:color w:val="000000"/>
                <w:sz w:val="16"/>
                <w:szCs w:val="16"/>
              </w:rPr>
              <w:t>Extended release</w:t>
            </w:r>
            <w:proofErr w:type="gramEnd"/>
            <w:r w:rsidRPr="0046038C">
              <w:rPr>
                <w:rFonts w:ascii="Calibri" w:hAnsi="Calibri" w:cs="Calibri"/>
                <w:color w:val="000000"/>
                <w:sz w:val="16"/>
                <w:szCs w:val="16"/>
              </w:rPr>
              <w:t xml:space="preserve"> tacrolimus vs twice-daily tacrolimus</w:t>
            </w:r>
          </w:p>
        </w:tc>
        <w:tc>
          <w:tcPr>
            <w:tcW w:w="1350" w:type="dxa"/>
            <w:vAlign w:val="bottom"/>
          </w:tcPr>
          <w:p w14:paraId="343AA2DD"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aHUS</w:t>
            </w:r>
          </w:p>
        </w:tc>
        <w:tc>
          <w:tcPr>
            <w:tcW w:w="4500" w:type="dxa"/>
            <w:vAlign w:val="bottom"/>
          </w:tcPr>
          <w:p w14:paraId="4886D891"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Extended-release vs immediate-release tacrolimus</w:t>
            </w:r>
          </w:p>
        </w:tc>
      </w:tr>
      <w:tr w:rsidR="009144E1" w:rsidRPr="0046038C" w14:paraId="55BC38C9" w14:textId="77777777" w:rsidTr="001C1398">
        <w:tc>
          <w:tcPr>
            <w:tcW w:w="1170" w:type="dxa"/>
            <w:vAlign w:val="bottom"/>
          </w:tcPr>
          <w:p w14:paraId="4258BA99"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NCT05030974</w:t>
            </w:r>
          </w:p>
        </w:tc>
        <w:tc>
          <w:tcPr>
            <w:tcW w:w="900" w:type="dxa"/>
            <w:vAlign w:val="bottom"/>
          </w:tcPr>
          <w:p w14:paraId="60FB47BC" w14:textId="24BF470B" w:rsidR="009144E1" w:rsidRPr="0046038C" w:rsidRDefault="00847804" w:rsidP="00F1698B">
            <w:pPr>
              <w:rPr>
                <w:rFonts w:ascii="Calibri" w:hAnsi="Calibri" w:cs="Calibri"/>
                <w:sz w:val="16"/>
                <w:szCs w:val="16"/>
              </w:rPr>
            </w:pPr>
            <w:r w:rsidRPr="0046038C">
              <w:rPr>
                <w:rFonts w:ascii="Calibri" w:hAnsi="Calibri" w:cs="Calibri"/>
                <w:sz w:val="16"/>
                <w:szCs w:val="16"/>
              </w:rPr>
              <w:t>Phase 4</w:t>
            </w:r>
          </w:p>
        </w:tc>
        <w:tc>
          <w:tcPr>
            <w:tcW w:w="5310" w:type="dxa"/>
            <w:vAlign w:val="bottom"/>
          </w:tcPr>
          <w:p w14:paraId="22FBF46E"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RECOVAC repeated vaccination study</w:t>
            </w:r>
          </w:p>
        </w:tc>
        <w:tc>
          <w:tcPr>
            <w:tcW w:w="1350" w:type="dxa"/>
            <w:vAlign w:val="bottom"/>
          </w:tcPr>
          <w:p w14:paraId="36DCE07A"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aHUS</w:t>
            </w:r>
          </w:p>
        </w:tc>
        <w:tc>
          <w:tcPr>
            <w:tcW w:w="4500" w:type="dxa"/>
            <w:vAlign w:val="bottom"/>
          </w:tcPr>
          <w:p w14:paraId="529C6ADB"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COVID-19 vaccination</w:t>
            </w:r>
          </w:p>
        </w:tc>
      </w:tr>
      <w:tr w:rsidR="009144E1" w:rsidRPr="0046038C" w14:paraId="62666EAF" w14:textId="77777777" w:rsidTr="001C1398">
        <w:tc>
          <w:tcPr>
            <w:tcW w:w="1170" w:type="dxa"/>
            <w:vAlign w:val="bottom"/>
          </w:tcPr>
          <w:p w14:paraId="30DB6012"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NCT06584773</w:t>
            </w:r>
          </w:p>
        </w:tc>
        <w:tc>
          <w:tcPr>
            <w:tcW w:w="900" w:type="dxa"/>
            <w:vAlign w:val="bottom"/>
          </w:tcPr>
          <w:p w14:paraId="6B015F57" w14:textId="6D779599" w:rsidR="009144E1" w:rsidRPr="0046038C" w:rsidRDefault="00847804" w:rsidP="00F1698B">
            <w:pPr>
              <w:rPr>
                <w:rFonts w:ascii="Calibri" w:hAnsi="Calibri" w:cs="Calibri"/>
                <w:sz w:val="16"/>
                <w:szCs w:val="16"/>
              </w:rPr>
            </w:pPr>
            <w:r w:rsidRPr="0046038C">
              <w:rPr>
                <w:rFonts w:ascii="Calibri" w:hAnsi="Calibri" w:cs="Calibri"/>
                <w:sz w:val="16"/>
                <w:szCs w:val="16"/>
              </w:rPr>
              <w:t>Phase 4</w:t>
            </w:r>
          </w:p>
        </w:tc>
        <w:tc>
          <w:tcPr>
            <w:tcW w:w="5310" w:type="dxa"/>
            <w:vAlign w:val="bottom"/>
          </w:tcPr>
          <w:p w14:paraId="2EB36D6A" w14:textId="74109554" w:rsidR="009144E1" w:rsidRPr="0046038C" w:rsidRDefault="00847804" w:rsidP="00F1698B">
            <w:pPr>
              <w:rPr>
                <w:rFonts w:ascii="Calibri" w:hAnsi="Calibri" w:cs="Calibri"/>
                <w:sz w:val="16"/>
                <w:szCs w:val="16"/>
              </w:rPr>
            </w:pPr>
            <w:r w:rsidRPr="0046038C">
              <w:rPr>
                <w:rFonts w:ascii="Calibri" w:hAnsi="Calibri" w:cs="Calibri"/>
                <w:color w:val="000000"/>
                <w:sz w:val="16"/>
                <w:szCs w:val="16"/>
              </w:rPr>
              <w:t>Quadruple immunosuppression with mTOR inhibitors in sensitized patients</w:t>
            </w:r>
          </w:p>
        </w:tc>
        <w:tc>
          <w:tcPr>
            <w:tcW w:w="1350" w:type="dxa"/>
            <w:vAlign w:val="bottom"/>
          </w:tcPr>
          <w:p w14:paraId="3479490F"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MPGN</w:t>
            </w:r>
          </w:p>
        </w:tc>
        <w:tc>
          <w:tcPr>
            <w:tcW w:w="4500" w:type="dxa"/>
            <w:vAlign w:val="bottom"/>
          </w:tcPr>
          <w:p w14:paraId="2BF49E37"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Quadruple immunosuppression with sirolimus</w:t>
            </w:r>
          </w:p>
        </w:tc>
      </w:tr>
      <w:tr w:rsidR="009144E1" w:rsidRPr="0046038C" w14:paraId="25CA528E" w14:textId="77777777" w:rsidTr="001C1398">
        <w:tc>
          <w:tcPr>
            <w:tcW w:w="1170" w:type="dxa"/>
            <w:vAlign w:val="bottom"/>
          </w:tcPr>
          <w:p w14:paraId="0EB10D17"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NCT01429038</w:t>
            </w:r>
          </w:p>
        </w:tc>
        <w:tc>
          <w:tcPr>
            <w:tcW w:w="900" w:type="dxa"/>
            <w:vAlign w:val="bottom"/>
          </w:tcPr>
          <w:p w14:paraId="394FD2D8" w14:textId="688B1EDA" w:rsidR="009144E1" w:rsidRPr="0046038C" w:rsidRDefault="00847804" w:rsidP="00F1698B">
            <w:pPr>
              <w:rPr>
                <w:rFonts w:ascii="Calibri" w:hAnsi="Calibri" w:cs="Calibri"/>
                <w:sz w:val="16"/>
                <w:szCs w:val="16"/>
              </w:rPr>
            </w:pPr>
            <w:r w:rsidRPr="0046038C">
              <w:rPr>
                <w:rFonts w:ascii="Calibri" w:hAnsi="Calibri" w:cs="Calibri"/>
                <w:sz w:val="16"/>
                <w:szCs w:val="16"/>
              </w:rPr>
              <w:t>Phase 1/2</w:t>
            </w:r>
          </w:p>
        </w:tc>
        <w:tc>
          <w:tcPr>
            <w:tcW w:w="5310" w:type="dxa"/>
            <w:vAlign w:val="bottom"/>
          </w:tcPr>
          <w:p w14:paraId="465877BE"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Mesenchymal stem cells after renal or liver transplantation</w:t>
            </w:r>
          </w:p>
        </w:tc>
        <w:tc>
          <w:tcPr>
            <w:tcW w:w="1350" w:type="dxa"/>
            <w:vAlign w:val="bottom"/>
          </w:tcPr>
          <w:p w14:paraId="4AF6949B"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Autoimmune </w:t>
            </w:r>
          </w:p>
        </w:tc>
        <w:tc>
          <w:tcPr>
            <w:tcW w:w="4500" w:type="dxa"/>
            <w:vAlign w:val="bottom"/>
          </w:tcPr>
          <w:p w14:paraId="70AFDD51"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Mesenchymal stem cell therapy</w:t>
            </w:r>
          </w:p>
        </w:tc>
      </w:tr>
      <w:tr w:rsidR="009144E1" w:rsidRPr="0046038C" w14:paraId="08B08121" w14:textId="77777777" w:rsidTr="001C1398">
        <w:tc>
          <w:tcPr>
            <w:tcW w:w="1170" w:type="dxa"/>
            <w:vAlign w:val="bottom"/>
          </w:tcPr>
          <w:p w14:paraId="5DCDDB3D"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NCT01870011</w:t>
            </w:r>
          </w:p>
        </w:tc>
        <w:tc>
          <w:tcPr>
            <w:tcW w:w="900" w:type="dxa"/>
            <w:vAlign w:val="bottom"/>
          </w:tcPr>
          <w:p w14:paraId="3D60A234" w14:textId="37A17E51" w:rsidR="009144E1" w:rsidRPr="0046038C" w:rsidRDefault="00847804" w:rsidP="00F1698B">
            <w:pPr>
              <w:rPr>
                <w:rFonts w:ascii="Calibri" w:hAnsi="Calibri" w:cs="Calibri"/>
                <w:sz w:val="16"/>
                <w:szCs w:val="16"/>
              </w:rPr>
            </w:pPr>
            <w:r w:rsidRPr="0046038C">
              <w:rPr>
                <w:rFonts w:ascii="Calibri" w:hAnsi="Calibri" w:cs="Calibri"/>
                <w:sz w:val="16"/>
                <w:szCs w:val="16"/>
              </w:rPr>
              <w:t>Phase 4</w:t>
            </w:r>
          </w:p>
        </w:tc>
        <w:tc>
          <w:tcPr>
            <w:tcW w:w="5310" w:type="dxa"/>
            <w:vAlign w:val="bottom"/>
          </w:tcPr>
          <w:p w14:paraId="3F3B8613"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Comparison of propofol vs desflurane anesthesia for renal protection</w:t>
            </w:r>
          </w:p>
        </w:tc>
        <w:tc>
          <w:tcPr>
            <w:tcW w:w="1350" w:type="dxa"/>
            <w:vAlign w:val="bottom"/>
          </w:tcPr>
          <w:p w14:paraId="699350EE"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Autoimmune </w:t>
            </w:r>
          </w:p>
        </w:tc>
        <w:tc>
          <w:tcPr>
            <w:tcW w:w="4500" w:type="dxa"/>
            <w:vAlign w:val="bottom"/>
          </w:tcPr>
          <w:p w14:paraId="5394A5FB"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Anesthesia protocol comparison</w:t>
            </w:r>
          </w:p>
        </w:tc>
      </w:tr>
      <w:tr w:rsidR="009144E1" w:rsidRPr="0046038C" w14:paraId="2B1DEE78" w14:textId="77777777" w:rsidTr="001C1398">
        <w:tc>
          <w:tcPr>
            <w:tcW w:w="1170" w:type="dxa"/>
            <w:vAlign w:val="bottom"/>
          </w:tcPr>
          <w:p w14:paraId="76567486"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NCT02586051</w:t>
            </w:r>
          </w:p>
        </w:tc>
        <w:tc>
          <w:tcPr>
            <w:tcW w:w="900" w:type="dxa"/>
            <w:vAlign w:val="bottom"/>
          </w:tcPr>
          <w:p w14:paraId="6DC138F4" w14:textId="1579F467" w:rsidR="009144E1" w:rsidRPr="0046038C" w:rsidRDefault="00847804" w:rsidP="00F1698B">
            <w:pPr>
              <w:rPr>
                <w:rFonts w:ascii="Calibri" w:hAnsi="Calibri" w:cs="Calibri"/>
                <w:sz w:val="16"/>
                <w:szCs w:val="16"/>
              </w:rPr>
            </w:pPr>
            <w:r w:rsidRPr="0046038C">
              <w:rPr>
                <w:rFonts w:ascii="Calibri" w:hAnsi="Calibri" w:cs="Calibri"/>
                <w:sz w:val="16"/>
                <w:szCs w:val="16"/>
              </w:rPr>
              <w:t>Phase 1</w:t>
            </w:r>
          </w:p>
        </w:tc>
        <w:tc>
          <w:tcPr>
            <w:tcW w:w="5310" w:type="dxa"/>
            <w:vAlign w:val="bottom"/>
          </w:tcPr>
          <w:p w14:paraId="28B2E7A5" w14:textId="7F65DD4A"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Obinutuzumab safety/tolerability in hypersensitized ES</w:t>
            </w:r>
            <w:r w:rsidR="00626870" w:rsidRPr="0046038C">
              <w:rPr>
                <w:rFonts w:ascii="Calibri" w:hAnsi="Calibri" w:cs="Calibri"/>
                <w:color w:val="000000"/>
                <w:sz w:val="16"/>
                <w:szCs w:val="16"/>
              </w:rPr>
              <w:t>K</w:t>
            </w:r>
            <w:r w:rsidRPr="0046038C">
              <w:rPr>
                <w:rFonts w:ascii="Calibri" w:hAnsi="Calibri" w:cs="Calibri"/>
                <w:color w:val="000000"/>
                <w:sz w:val="16"/>
                <w:szCs w:val="16"/>
              </w:rPr>
              <w:t>D patients</w:t>
            </w:r>
          </w:p>
        </w:tc>
        <w:tc>
          <w:tcPr>
            <w:tcW w:w="1350" w:type="dxa"/>
            <w:vAlign w:val="bottom"/>
          </w:tcPr>
          <w:p w14:paraId="726D7A48"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Autoimmune </w:t>
            </w:r>
          </w:p>
        </w:tc>
        <w:tc>
          <w:tcPr>
            <w:tcW w:w="4500" w:type="dxa"/>
            <w:vAlign w:val="bottom"/>
          </w:tcPr>
          <w:p w14:paraId="6CF91816"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Obinutuzumab desensitization</w:t>
            </w:r>
          </w:p>
        </w:tc>
      </w:tr>
      <w:tr w:rsidR="009144E1" w:rsidRPr="0046038C" w14:paraId="2608A73F" w14:textId="77777777" w:rsidTr="001C1398">
        <w:tc>
          <w:tcPr>
            <w:tcW w:w="1170" w:type="dxa"/>
            <w:vAlign w:val="bottom"/>
          </w:tcPr>
          <w:p w14:paraId="3652296B"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NCT03816332</w:t>
            </w:r>
          </w:p>
        </w:tc>
        <w:tc>
          <w:tcPr>
            <w:tcW w:w="900" w:type="dxa"/>
            <w:vAlign w:val="bottom"/>
          </w:tcPr>
          <w:p w14:paraId="090BADB7" w14:textId="73C26603" w:rsidR="009144E1" w:rsidRPr="0046038C" w:rsidRDefault="00847804" w:rsidP="00F1698B">
            <w:pPr>
              <w:rPr>
                <w:rFonts w:ascii="Calibri" w:hAnsi="Calibri" w:cs="Calibri"/>
                <w:sz w:val="16"/>
                <w:szCs w:val="16"/>
              </w:rPr>
            </w:pPr>
            <w:r w:rsidRPr="0046038C">
              <w:rPr>
                <w:rFonts w:ascii="Calibri" w:hAnsi="Calibri" w:cs="Calibri"/>
                <w:sz w:val="16"/>
                <w:szCs w:val="16"/>
              </w:rPr>
              <w:t>Phase 1</w:t>
            </w:r>
          </w:p>
        </w:tc>
        <w:tc>
          <w:tcPr>
            <w:tcW w:w="5310" w:type="dxa"/>
            <w:vAlign w:val="bottom"/>
          </w:tcPr>
          <w:p w14:paraId="2013EFAB"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Tacrolimus, nivolumab, ipilimumab in transplant recipients with cancer</w:t>
            </w:r>
          </w:p>
        </w:tc>
        <w:tc>
          <w:tcPr>
            <w:tcW w:w="1350" w:type="dxa"/>
            <w:vAlign w:val="bottom"/>
          </w:tcPr>
          <w:p w14:paraId="37DE30B7"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Autoimmune </w:t>
            </w:r>
          </w:p>
        </w:tc>
        <w:tc>
          <w:tcPr>
            <w:tcW w:w="4500" w:type="dxa"/>
            <w:vAlign w:val="bottom"/>
          </w:tcPr>
          <w:p w14:paraId="61FF9BCB"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Immunotherapy for post-transplant malignancy</w:t>
            </w:r>
          </w:p>
        </w:tc>
      </w:tr>
      <w:tr w:rsidR="009144E1" w:rsidRPr="0046038C" w14:paraId="4C80515B" w14:textId="77777777" w:rsidTr="001C1398">
        <w:tc>
          <w:tcPr>
            <w:tcW w:w="1170" w:type="dxa"/>
            <w:vAlign w:val="bottom"/>
          </w:tcPr>
          <w:p w14:paraId="3504CFF6"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NCT04989491</w:t>
            </w:r>
          </w:p>
        </w:tc>
        <w:tc>
          <w:tcPr>
            <w:tcW w:w="900" w:type="dxa"/>
            <w:vAlign w:val="bottom"/>
          </w:tcPr>
          <w:p w14:paraId="14AAF36D" w14:textId="1C0BC05A" w:rsidR="009144E1" w:rsidRPr="0046038C" w:rsidRDefault="00847804" w:rsidP="00F1698B">
            <w:pPr>
              <w:rPr>
                <w:rFonts w:ascii="Calibri" w:hAnsi="Calibri" w:cs="Calibri"/>
                <w:sz w:val="16"/>
                <w:szCs w:val="16"/>
              </w:rPr>
            </w:pPr>
            <w:r w:rsidRPr="0046038C">
              <w:rPr>
                <w:rFonts w:ascii="Calibri" w:hAnsi="Calibri" w:cs="Calibri"/>
                <w:sz w:val="16"/>
                <w:szCs w:val="16"/>
              </w:rPr>
              <w:t>Phase 4</w:t>
            </w:r>
          </w:p>
        </w:tc>
        <w:tc>
          <w:tcPr>
            <w:tcW w:w="5310" w:type="dxa"/>
            <w:vAlign w:val="bottom"/>
          </w:tcPr>
          <w:p w14:paraId="7D495504"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Rituximab for EBV prevention in EBV seronegative recipients</w:t>
            </w:r>
          </w:p>
        </w:tc>
        <w:tc>
          <w:tcPr>
            <w:tcW w:w="1350" w:type="dxa"/>
            <w:vAlign w:val="bottom"/>
          </w:tcPr>
          <w:p w14:paraId="014F720B"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Autoimmune </w:t>
            </w:r>
          </w:p>
        </w:tc>
        <w:tc>
          <w:tcPr>
            <w:tcW w:w="4500" w:type="dxa"/>
            <w:vAlign w:val="bottom"/>
          </w:tcPr>
          <w:p w14:paraId="5FD6BF93"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Rituximab prophylaxis</w:t>
            </w:r>
          </w:p>
        </w:tc>
      </w:tr>
      <w:tr w:rsidR="009144E1" w:rsidRPr="0046038C" w14:paraId="239BBA38" w14:textId="77777777" w:rsidTr="001C1398">
        <w:tc>
          <w:tcPr>
            <w:tcW w:w="1170" w:type="dxa"/>
            <w:vAlign w:val="bottom"/>
          </w:tcPr>
          <w:p w14:paraId="71BDE506"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NCT05077254</w:t>
            </w:r>
          </w:p>
        </w:tc>
        <w:tc>
          <w:tcPr>
            <w:tcW w:w="900" w:type="dxa"/>
            <w:vAlign w:val="bottom"/>
          </w:tcPr>
          <w:p w14:paraId="1D0816A3" w14:textId="636146C5" w:rsidR="009144E1" w:rsidRPr="0046038C" w:rsidRDefault="003B0DCA" w:rsidP="00F1698B">
            <w:pPr>
              <w:rPr>
                <w:rFonts w:ascii="Calibri" w:hAnsi="Calibri" w:cs="Calibri"/>
                <w:sz w:val="16"/>
                <w:szCs w:val="16"/>
              </w:rPr>
            </w:pPr>
            <w:r w:rsidRPr="0046038C">
              <w:rPr>
                <w:rFonts w:ascii="Calibri" w:hAnsi="Calibri" w:cs="Calibri"/>
                <w:sz w:val="16"/>
                <w:szCs w:val="16"/>
              </w:rPr>
              <w:t>Phase 2</w:t>
            </w:r>
          </w:p>
        </w:tc>
        <w:tc>
          <w:tcPr>
            <w:tcW w:w="5310" w:type="dxa"/>
            <w:vAlign w:val="bottom"/>
          </w:tcPr>
          <w:p w14:paraId="5A591DA4" w14:textId="37049187" w:rsidR="009144E1" w:rsidRPr="0046038C" w:rsidRDefault="003B0DCA" w:rsidP="00F1698B">
            <w:pPr>
              <w:rPr>
                <w:rFonts w:ascii="Calibri" w:hAnsi="Calibri" w:cs="Calibri"/>
                <w:sz w:val="16"/>
                <w:szCs w:val="16"/>
              </w:rPr>
            </w:pPr>
            <w:r w:rsidRPr="0046038C">
              <w:rPr>
                <w:rFonts w:ascii="Calibri" w:hAnsi="Calibri" w:cs="Calibri"/>
                <w:color w:val="000000"/>
                <w:sz w:val="16"/>
                <w:szCs w:val="16"/>
              </w:rPr>
              <w:t xml:space="preserve">Efficacy of </w:t>
            </w:r>
            <w:r w:rsidR="009144E1" w:rsidRPr="0046038C">
              <w:rPr>
                <w:rFonts w:ascii="Calibri" w:hAnsi="Calibri" w:cs="Calibri"/>
                <w:color w:val="000000"/>
                <w:sz w:val="16"/>
                <w:szCs w:val="16"/>
              </w:rPr>
              <w:t xml:space="preserve">COVID </w:t>
            </w:r>
            <w:r w:rsidRPr="0046038C">
              <w:rPr>
                <w:rFonts w:ascii="Calibri" w:hAnsi="Calibri" w:cs="Calibri"/>
                <w:color w:val="000000"/>
                <w:sz w:val="16"/>
                <w:szCs w:val="16"/>
              </w:rPr>
              <w:t>vaccination with and without immunosuppression reduction</w:t>
            </w:r>
          </w:p>
        </w:tc>
        <w:tc>
          <w:tcPr>
            <w:tcW w:w="1350" w:type="dxa"/>
            <w:vAlign w:val="bottom"/>
          </w:tcPr>
          <w:p w14:paraId="27D2FFC9"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Autoimmune </w:t>
            </w:r>
          </w:p>
        </w:tc>
        <w:tc>
          <w:tcPr>
            <w:tcW w:w="4500" w:type="dxa"/>
            <w:vAlign w:val="bottom"/>
          </w:tcPr>
          <w:p w14:paraId="64AB8860" w14:textId="14EE0129"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Immunosuppression minimization</w:t>
            </w:r>
            <w:r w:rsidR="003B0DCA" w:rsidRPr="0046038C">
              <w:rPr>
                <w:rFonts w:ascii="Calibri" w:hAnsi="Calibri" w:cs="Calibri"/>
                <w:color w:val="000000"/>
                <w:sz w:val="16"/>
                <w:szCs w:val="16"/>
              </w:rPr>
              <w:t xml:space="preserve"> and COVID vaccination</w:t>
            </w:r>
          </w:p>
        </w:tc>
      </w:tr>
      <w:tr w:rsidR="009144E1" w:rsidRPr="0046038C" w14:paraId="7F313A71" w14:textId="77777777" w:rsidTr="001C1398">
        <w:tc>
          <w:tcPr>
            <w:tcW w:w="1170" w:type="dxa"/>
            <w:vAlign w:val="bottom"/>
          </w:tcPr>
          <w:p w14:paraId="2843CD0A"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NCT05285878</w:t>
            </w:r>
          </w:p>
        </w:tc>
        <w:tc>
          <w:tcPr>
            <w:tcW w:w="900" w:type="dxa"/>
            <w:vAlign w:val="bottom"/>
          </w:tcPr>
          <w:p w14:paraId="4C1DB22D" w14:textId="56329BE3" w:rsidR="009144E1" w:rsidRPr="0046038C" w:rsidRDefault="003B0DCA" w:rsidP="00F1698B">
            <w:pPr>
              <w:rPr>
                <w:rFonts w:ascii="Calibri" w:hAnsi="Calibri" w:cs="Calibri"/>
                <w:sz w:val="16"/>
                <w:szCs w:val="16"/>
              </w:rPr>
            </w:pPr>
            <w:r w:rsidRPr="0046038C">
              <w:rPr>
                <w:rFonts w:ascii="Calibri" w:hAnsi="Calibri" w:cs="Calibri"/>
                <w:sz w:val="16"/>
                <w:szCs w:val="16"/>
              </w:rPr>
              <w:t>Phase 2</w:t>
            </w:r>
          </w:p>
        </w:tc>
        <w:tc>
          <w:tcPr>
            <w:tcW w:w="5310" w:type="dxa"/>
            <w:vAlign w:val="bottom"/>
          </w:tcPr>
          <w:p w14:paraId="2A49555F"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Fingolimod for interstitial fibrosis/tubular atrophy prevention</w:t>
            </w:r>
          </w:p>
        </w:tc>
        <w:tc>
          <w:tcPr>
            <w:tcW w:w="1350" w:type="dxa"/>
            <w:vAlign w:val="bottom"/>
          </w:tcPr>
          <w:p w14:paraId="5A5CDC00"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Autoimmune </w:t>
            </w:r>
          </w:p>
        </w:tc>
        <w:tc>
          <w:tcPr>
            <w:tcW w:w="4500" w:type="dxa"/>
            <w:vAlign w:val="bottom"/>
          </w:tcPr>
          <w:p w14:paraId="3770D892"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Fingolimod</w:t>
            </w:r>
          </w:p>
        </w:tc>
      </w:tr>
      <w:tr w:rsidR="009144E1" w:rsidRPr="0046038C" w14:paraId="61AD7730" w14:textId="77777777" w:rsidTr="001C1398">
        <w:tc>
          <w:tcPr>
            <w:tcW w:w="1170" w:type="dxa"/>
            <w:vAlign w:val="bottom"/>
          </w:tcPr>
          <w:p w14:paraId="1E9C065A"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NCT06056102</w:t>
            </w:r>
          </w:p>
        </w:tc>
        <w:tc>
          <w:tcPr>
            <w:tcW w:w="900" w:type="dxa"/>
            <w:vAlign w:val="bottom"/>
          </w:tcPr>
          <w:p w14:paraId="62AC6390" w14:textId="7AD1E9F4" w:rsidR="009144E1" w:rsidRPr="0046038C" w:rsidRDefault="003B0DCA" w:rsidP="00F1698B">
            <w:pPr>
              <w:rPr>
                <w:rFonts w:ascii="Calibri" w:hAnsi="Calibri" w:cs="Calibri"/>
                <w:sz w:val="16"/>
                <w:szCs w:val="16"/>
              </w:rPr>
            </w:pPr>
            <w:r w:rsidRPr="0046038C">
              <w:rPr>
                <w:rFonts w:ascii="Calibri" w:hAnsi="Calibri" w:cs="Calibri"/>
                <w:sz w:val="16"/>
                <w:szCs w:val="16"/>
              </w:rPr>
              <w:t>Phase 1</w:t>
            </w:r>
          </w:p>
        </w:tc>
        <w:tc>
          <w:tcPr>
            <w:tcW w:w="5310" w:type="dxa"/>
            <w:vAlign w:val="bottom"/>
          </w:tcPr>
          <w:p w14:paraId="0A748659"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CAR-T cell therapy for desensitization in kidney transplantation</w:t>
            </w:r>
          </w:p>
        </w:tc>
        <w:tc>
          <w:tcPr>
            <w:tcW w:w="1350" w:type="dxa"/>
            <w:vAlign w:val="bottom"/>
          </w:tcPr>
          <w:p w14:paraId="3352C18D"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Autoimmune </w:t>
            </w:r>
          </w:p>
        </w:tc>
        <w:tc>
          <w:tcPr>
            <w:tcW w:w="4500" w:type="dxa"/>
            <w:vAlign w:val="bottom"/>
          </w:tcPr>
          <w:p w14:paraId="08D80110"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CAR-T cell therapy</w:t>
            </w:r>
          </w:p>
        </w:tc>
      </w:tr>
      <w:tr w:rsidR="009144E1" w:rsidRPr="0046038C" w14:paraId="574AB753" w14:textId="77777777" w:rsidTr="001C1398">
        <w:tc>
          <w:tcPr>
            <w:tcW w:w="1170" w:type="dxa"/>
            <w:vAlign w:val="bottom"/>
          </w:tcPr>
          <w:p w14:paraId="56C24500" w14:textId="77777777" w:rsidR="009144E1" w:rsidRPr="0046038C" w:rsidRDefault="009144E1" w:rsidP="00F1698B">
            <w:pPr>
              <w:rPr>
                <w:rFonts w:ascii="Calibri" w:hAnsi="Calibri" w:cs="Calibri"/>
                <w:b/>
                <w:bCs/>
                <w:sz w:val="16"/>
                <w:szCs w:val="16"/>
              </w:rPr>
            </w:pPr>
            <w:r w:rsidRPr="0046038C">
              <w:rPr>
                <w:rFonts w:ascii="Calibri" w:hAnsi="Calibri" w:cs="Calibri"/>
                <w:color w:val="000000"/>
                <w:sz w:val="16"/>
                <w:szCs w:val="16"/>
              </w:rPr>
              <w:t>NCT05702931</w:t>
            </w:r>
          </w:p>
        </w:tc>
        <w:tc>
          <w:tcPr>
            <w:tcW w:w="900" w:type="dxa"/>
            <w:vAlign w:val="bottom"/>
          </w:tcPr>
          <w:p w14:paraId="75DE05A9" w14:textId="7D09C7D1" w:rsidR="009144E1" w:rsidRPr="0046038C" w:rsidRDefault="003B0DCA" w:rsidP="00F1698B">
            <w:pPr>
              <w:rPr>
                <w:rFonts w:ascii="Calibri" w:hAnsi="Calibri" w:cs="Calibri"/>
                <w:sz w:val="16"/>
                <w:szCs w:val="16"/>
              </w:rPr>
            </w:pPr>
            <w:r w:rsidRPr="0046038C">
              <w:rPr>
                <w:rFonts w:ascii="Calibri" w:hAnsi="Calibri" w:cs="Calibri"/>
                <w:sz w:val="16"/>
                <w:szCs w:val="16"/>
              </w:rPr>
              <w:t>Phase 4</w:t>
            </w:r>
          </w:p>
        </w:tc>
        <w:tc>
          <w:tcPr>
            <w:tcW w:w="5310" w:type="dxa"/>
            <w:vAlign w:val="bottom"/>
          </w:tcPr>
          <w:p w14:paraId="618C1D7A"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Semaglutide treatment for post-transplant hyperglycemia</w:t>
            </w:r>
          </w:p>
        </w:tc>
        <w:tc>
          <w:tcPr>
            <w:tcW w:w="1350" w:type="dxa"/>
            <w:vAlign w:val="bottom"/>
          </w:tcPr>
          <w:p w14:paraId="5753BF8A"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 xml:space="preserve">Autoimmune </w:t>
            </w:r>
          </w:p>
        </w:tc>
        <w:tc>
          <w:tcPr>
            <w:tcW w:w="4500" w:type="dxa"/>
            <w:vAlign w:val="bottom"/>
          </w:tcPr>
          <w:p w14:paraId="42E7F264" w14:textId="77777777" w:rsidR="009144E1" w:rsidRPr="0046038C" w:rsidRDefault="009144E1" w:rsidP="00F1698B">
            <w:pPr>
              <w:rPr>
                <w:rFonts w:ascii="Calibri" w:hAnsi="Calibri" w:cs="Calibri"/>
                <w:sz w:val="16"/>
                <w:szCs w:val="16"/>
              </w:rPr>
            </w:pPr>
            <w:r w:rsidRPr="0046038C">
              <w:rPr>
                <w:rFonts w:ascii="Calibri" w:hAnsi="Calibri" w:cs="Calibri"/>
                <w:color w:val="000000"/>
                <w:sz w:val="16"/>
                <w:szCs w:val="16"/>
              </w:rPr>
              <w:t>Semaglutide</w:t>
            </w:r>
          </w:p>
        </w:tc>
      </w:tr>
      <w:tr w:rsidR="009144E1" w:rsidRPr="0046038C" w14:paraId="4D092A38" w14:textId="77777777" w:rsidTr="001C1398">
        <w:trPr>
          <w:trHeight w:val="288"/>
        </w:trPr>
        <w:tc>
          <w:tcPr>
            <w:tcW w:w="1170" w:type="dxa"/>
            <w:tcBorders>
              <w:bottom w:val="single" w:sz="12" w:space="0" w:color="747474"/>
            </w:tcBorders>
          </w:tcPr>
          <w:p w14:paraId="6867D28D" w14:textId="77777777" w:rsidR="009144E1" w:rsidRPr="0046038C" w:rsidRDefault="009144E1" w:rsidP="001C1398">
            <w:pPr>
              <w:rPr>
                <w:rFonts w:ascii="Calibri" w:hAnsi="Calibri" w:cs="Calibri"/>
                <w:b/>
                <w:bCs/>
                <w:sz w:val="16"/>
                <w:szCs w:val="16"/>
              </w:rPr>
            </w:pPr>
            <w:r w:rsidRPr="0046038C">
              <w:rPr>
                <w:rFonts w:ascii="Calibri" w:hAnsi="Calibri" w:cs="Calibri"/>
                <w:color w:val="000000"/>
                <w:sz w:val="16"/>
                <w:szCs w:val="16"/>
              </w:rPr>
              <w:t>NCT05896839</w:t>
            </w:r>
          </w:p>
        </w:tc>
        <w:tc>
          <w:tcPr>
            <w:tcW w:w="900" w:type="dxa"/>
            <w:tcBorders>
              <w:bottom w:val="single" w:sz="12" w:space="0" w:color="747474"/>
            </w:tcBorders>
          </w:tcPr>
          <w:p w14:paraId="72055E89" w14:textId="6FD28E7F" w:rsidR="009144E1" w:rsidRPr="0046038C" w:rsidRDefault="003B0DCA" w:rsidP="001C1398">
            <w:pPr>
              <w:rPr>
                <w:rFonts w:ascii="Calibri" w:hAnsi="Calibri" w:cs="Calibri"/>
                <w:sz w:val="16"/>
                <w:szCs w:val="16"/>
              </w:rPr>
            </w:pPr>
            <w:r w:rsidRPr="0046038C">
              <w:rPr>
                <w:rFonts w:ascii="Calibri" w:hAnsi="Calibri" w:cs="Calibri"/>
                <w:sz w:val="16"/>
                <w:szCs w:val="16"/>
              </w:rPr>
              <w:t>Phase ½</w:t>
            </w:r>
          </w:p>
        </w:tc>
        <w:tc>
          <w:tcPr>
            <w:tcW w:w="5310" w:type="dxa"/>
            <w:tcBorders>
              <w:bottom w:val="single" w:sz="12" w:space="0" w:color="747474"/>
            </w:tcBorders>
          </w:tcPr>
          <w:p w14:paraId="53089C83" w14:textId="5920939A" w:rsidR="009144E1" w:rsidRPr="0046038C" w:rsidRDefault="009144E1" w:rsidP="001C1398">
            <w:pPr>
              <w:rPr>
                <w:rFonts w:ascii="Calibri" w:hAnsi="Calibri" w:cs="Calibri"/>
                <w:sz w:val="16"/>
                <w:szCs w:val="16"/>
              </w:rPr>
            </w:pPr>
            <w:r w:rsidRPr="0046038C">
              <w:rPr>
                <w:rFonts w:ascii="Calibri" w:hAnsi="Calibri" w:cs="Calibri"/>
                <w:color w:val="000000"/>
                <w:sz w:val="16"/>
                <w:szCs w:val="16"/>
              </w:rPr>
              <w:t xml:space="preserve">Immunotherapy + prednisone + sirolimus for </w:t>
            </w:r>
            <w:r w:rsidR="003B0DCA" w:rsidRPr="0046038C">
              <w:rPr>
                <w:rFonts w:ascii="Calibri" w:hAnsi="Calibri" w:cs="Calibri"/>
                <w:color w:val="000000"/>
                <w:sz w:val="16"/>
                <w:szCs w:val="16"/>
              </w:rPr>
              <w:t xml:space="preserve">metastatic </w:t>
            </w:r>
            <w:r w:rsidRPr="0046038C">
              <w:rPr>
                <w:rFonts w:ascii="Calibri" w:hAnsi="Calibri" w:cs="Calibri"/>
                <w:color w:val="000000"/>
                <w:sz w:val="16"/>
                <w:szCs w:val="16"/>
              </w:rPr>
              <w:t>skin cancer</w:t>
            </w:r>
          </w:p>
        </w:tc>
        <w:tc>
          <w:tcPr>
            <w:tcW w:w="1350" w:type="dxa"/>
            <w:tcBorders>
              <w:bottom w:val="single" w:sz="12" w:space="0" w:color="747474"/>
            </w:tcBorders>
          </w:tcPr>
          <w:p w14:paraId="0C693944" w14:textId="77777777" w:rsidR="009144E1" w:rsidRPr="0046038C" w:rsidRDefault="009144E1" w:rsidP="001C1398">
            <w:pPr>
              <w:rPr>
                <w:rFonts w:ascii="Calibri" w:hAnsi="Calibri" w:cs="Calibri"/>
                <w:sz w:val="16"/>
                <w:szCs w:val="16"/>
              </w:rPr>
            </w:pPr>
            <w:r w:rsidRPr="0046038C">
              <w:rPr>
                <w:rFonts w:ascii="Calibri" w:hAnsi="Calibri" w:cs="Calibri"/>
                <w:color w:val="000000"/>
                <w:sz w:val="16"/>
                <w:szCs w:val="16"/>
              </w:rPr>
              <w:t xml:space="preserve">Autoimmune </w:t>
            </w:r>
          </w:p>
        </w:tc>
        <w:tc>
          <w:tcPr>
            <w:tcW w:w="4500" w:type="dxa"/>
            <w:tcBorders>
              <w:bottom w:val="single" w:sz="12" w:space="0" w:color="747474"/>
            </w:tcBorders>
          </w:tcPr>
          <w:p w14:paraId="3BC699DB" w14:textId="77777777" w:rsidR="009144E1" w:rsidRPr="0046038C" w:rsidRDefault="009144E1" w:rsidP="001C1398">
            <w:pPr>
              <w:rPr>
                <w:rFonts w:ascii="Calibri" w:hAnsi="Calibri" w:cs="Calibri"/>
                <w:sz w:val="16"/>
                <w:szCs w:val="16"/>
              </w:rPr>
            </w:pPr>
            <w:r w:rsidRPr="0046038C">
              <w:rPr>
                <w:rFonts w:ascii="Calibri" w:hAnsi="Calibri" w:cs="Calibri"/>
                <w:color w:val="000000"/>
                <w:sz w:val="16"/>
                <w:szCs w:val="16"/>
              </w:rPr>
              <w:t>Combination immunotherapy</w:t>
            </w:r>
          </w:p>
        </w:tc>
      </w:tr>
      <w:tr w:rsidR="001C1398" w:rsidRPr="0046038C" w14:paraId="7EC1F206" w14:textId="77777777" w:rsidTr="001C1398">
        <w:trPr>
          <w:trHeight w:val="432"/>
        </w:trPr>
        <w:tc>
          <w:tcPr>
            <w:tcW w:w="13230" w:type="dxa"/>
            <w:gridSpan w:val="5"/>
            <w:tcBorders>
              <w:top w:val="single" w:sz="12" w:space="0" w:color="747474"/>
              <w:bottom w:val="single" w:sz="12" w:space="0" w:color="747474"/>
            </w:tcBorders>
          </w:tcPr>
          <w:p w14:paraId="210959AC" w14:textId="0924D577" w:rsidR="001C1398" w:rsidRPr="0046038C" w:rsidRDefault="004D17A9" w:rsidP="001C1398">
            <w:pPr>
              <w:rPr>
                <w:rFonts w:ascii="Calibri" w:hAnsi="Calibri" w:cs="Calibri"/>
                <w:color w:val="000000"/>
                <w:sz w:val="16"/>
                <w:szCs w:val="16"/>
              </w:rPr>
            </w:pPr>
            <w:r w:rsidRPr="0046038C">
              <w:rPr>
                <w:rFonts w:ascii="Calibri" w:hAnsi="Calibri" w:cs="Calibri"/>
                <w:color w:val="000000"/>
                <w:sz w:val="16"/>
                <w:szCs w:val="16"/>
              </w:rPr>
              <w:t xml:space="preserve">NCT, National Clinical Trial; </w:t>
            </w:r>
            <w:r w:rsidR="001C1398" w:rsidRPr="0046038C">
              <w:rPr>
                <w:rFonts w:ascii="Calibri" w:hAnsi="Calibri" w:cs="Calibri"/>
                <w:color w:val="000000"/>
                <w:sz w:val="16"/>
                <w:szCs w:val="16"/>
              </w:rPr>
              <w:t xml:space="preserve">GD, glomerular disease; </w:t>
            </w:r>
            <w:r w:rsidRPr="0046038C">
              <w:rPr>
                <w:rFonts w:ascii="Calibri" w:hAnsi="Calibri" w:cs="Calibri"/>
                <w:color w:val="000000"/>
                <w:sz w:val="16"/>
                <w:szCs w:val="16"/>
              </w:rPr>
              <w:t>HLA, human leukocyte antigen;</w:t>
            </w:r>
            <w:r w:rsidR="001A26AA" w:rsidRPr="0046038C">
              <w:rPr>
                <w:rFonts w:ascii="Calibri" w:hAnsi="Calibri" w:cs="Calibri"/>
                <w:color w:val="000000"/>
                <w:sz w:val="16"/>
                <w:szCs w:val="16"/>
              </w:rPr>
              <w:t xml:space="preserve"> GSK, GlaxoSmithKline; NA, not applicable; </w:t>
            </w:r>
            <w:r w:rsidRPr="0046038C">
              <w:rPr>
                <w:rFonts w:ascii="Calibri" w:hAnsi="Calibri" w:cs="Calibri"/>
                <w:color w:val="000000"/>
                <w:sz w:val="16"/>
                <w:szCs w:val="16"/>
              </w:rPr>
              <w:t>HCV, hepatitis C virus; BKV, BK virus</w:t>
            </w:r>
            <w:r w:rsidR="00626870" w:rsidRPr="0046038C">
              <w:rPr>
                <w:rFonts w:ascii="Calibri" w:hAnsi="Calibri" w:cs="Calibri"/>
                <w:color w:val="000000"/>
                <w:sz w:val="16"/>
                <w:szCs w:val="16"/>
              </w:rPr>
              <w:t xml:space="preserve">; </w:t>
            </w:r>
            <w:r w:rsidR="001C1398" w:rsidRPr="0046038C">
              <w:rPr>
                <w:rFonts w:ascii="Calibri" w:hAnsi="Calibri" w:cs="Calibri"/>
                <w:color w:val="000000"/>
                <w:sz w:val="16"/>
                <w:szCs w:val="16"/>
              </w:rPr>
              <w:t xml:space="preserve">FSGS, focal segmental glomerulosclerosis; </w:t>
            </w:r>
            <w:r w:rsidR="00847804" w:rsidRPr="0046038C">
              <w:rPr>
                <w:rFonts w:ascii="Calibri" w:hAnsi="Calibri" w:cs="Calibri"/>
                <w:color w:val="000000"/>
                <w:sz w:val="16"/>
                <w:szCs w:val="16"/>
              </w:rPr>
              <w:t xml:space="preserve">DAA, direct acting antivirals; </w:t>
            </w:r>
            <w:r w:rsidR="00626870" w:rsidRPr="0046038C">
              <w:rPr>
                <w:rFonts w:ascii="Calibri" w:hAnsi="Calibri" w:cs="Calibri"/>
                <w:color w:val="000000"/>
                <w:sz w:val="16"/>
                <w:szCs w:val="16"/>
              </w:rPr>
              <w:t>a</w:t>
            </w:r>
            <w:r w:rsidR="001C1398" w:rsidRPr="0046038C">
              <w:rPr>
                <w:rFonts w:ascii="Calibri" w:hAnsi="Calibri" w:cs="Calibri"/>
                <w:color w:val="000000"/>
                <w:sz w:val="16"/>
                <w:szCs w:val="16"/>
              </w:rPr>
              <w:t xml:space="preserve">HUS, </w:t>
            </w:r>
            <w:r w:rsidR="00626870" w:rsidRPr="0046038C">
              <w:rPr>
                <w:rFonts w:ascii="Calibri" w:hAnsi="Calibri" w:cs="Calibri"/>
                <w:color w:val="000000"/>
                <w:sz w:val="16"/>
                <w:szCs w:val="16"/>
              </w:rPr>
              <w:t xml:space="preserve">atypical </w:t>
            </w:r>
            <w:r w:rsidR="001C1398" w:rsidRPr="0046038C">
              <w:rPr>
                <w:rFonts w:ascii="Calibri" w:hAnsi="Calibri" w:cs="Calibri"/>
                <w:color w:val="000000"/>
                <w:sz w:val="16"/>
                <w:szCs w:val="16"/>
              </w:rPr>
              <w:t>hemolytic uremic syndrome;</w:t>
            </w:r>
            <w:r w:rsidR="00626870" w:rsidRPr="0046038C">
              <w:rPr>
                <w:rFonts w:ascii="Calibri" w:hAnsi="Calibri" w:cs="Calibri"/>
                <w:color w:val="000000"/>
                <w:sz w:val="16"/>
                <w:szCs w:val="16"/>
              </w:rPr>
              <w:t xml:space="preserve">  mTOR, mechanistic target of rapamycin;</w:t>
            </w:r>
            <w:r w:rsidR="001C1398" w:rsidRPr="0046038C">
              <w:rPr>
                <w:rFonts w:ascii="Calibri" w:hAnsi="Calibri" w:cs="Calibri"/>
                <w:color w:val="000000"/>
                <w:sz w:val="16"/>
                <w:szCs w:val="16"/>
              </w:rPr>
              <w:t xml:space="preserve"> MPGN, membranoproliferative glomerulonephritis; ES</w:t>
            </w:r>
            <w:r w:rsidR="00626870" w:rsidRPr="0046038C">
              <w:rPr>
                <w:rFonts w:ascii="Calibri" w:hAnsi="Calibri" w:cs="Calibri"/>
                <w:color w:val="000000"/>
                <w:sz w:val="16"/>
                <w:szCs w:val="16"/>
              </w:rPr>
              <w:t>K</w:t>
            </w:r>
            <w:r w:rsidR="001C1398" w:rsidRPr="0046038C">
              <w:rPr>
                <w:rFonts w:ascii="Calibri" w:hAnsi="Calibri" w:cs="Calibri"/>
                <w:color w:val="000000"/>
                <w:sz w:val="16"/>
                <w:szCs w:val="16"/>
              </w:rPr>
              <w:t xml:space="preserve">D, end-stage </w:t>
            </w:r>
            <w:r w:rsidR="00626870" w:rsidRPr="0046038C">
              <w:rPr>
                <w:rFonts w:ascii="Calibri" w:hAnsi="Calibri" w:cs="Calibri"/>
                <w:color w:val="000000"/>
                <w:sz w:val="16"/>
                <w:szCs w:val="16"/>
              </w:rPr>
              <w:t>kidney</w:t>
            </w:r>
            <w:r w:rsidR="001C1398" w:rsidRPr="0046038C">
              <w:rPr>
                <w:rFonts w:ascii="Calibri" w:hAnsi="Calibri" w:cs="Calibri"/>
                <w:color w:val="000000"/>
                <w:sz w:val="16"/>
                <w:szCs w:val="16"/>
              </w:rPr>
              <w:t xml:space="preserve"> disease; EBV, Epstein–Barr virus; CAR-T, chimeric antigen receptor T cell</w:t>
            </w:r>
            <w:r w:rsidR="00626870" w:rsidRPr="0046038C">
              <w:rPr>
                <w:rFonts w:ascii="Calibri" w:hAnsi="Calibri" w:cs="Calibri"/>
                <w:color w:val="000000"/>
                <w:sz w:val="16"/>
                <w:szCs w:val="16"/>
              </w:rPr>
              <w:t>.</w:t>
            </w:r>
          </w:p>
        </w:tc>
      </w:tr>
    </w:tbl>
    <w:p w14:paraId="75D542D8" w14:textId="77777777" w:rsidR="001813D6" w:rsidRPr="0046038C" w:rsidRDefault="001813D6" w:rsidP="001813D6">
      <w:pPr>
        <w:rPr>
          <w:rFonts w:ascii="Calibri" w:hAnsi="Calibri" w:cs="Calibri"/>
          <w:sz w:val="22"/>
          <w:szCs w:val="22"/>
        </w:rPr>
        <w:sectPr w:rsidR="001813D6" w:rsidRPr="0046038C" w:rsidSect="001813D6">
          <w:pgSz w:w="15840" w:h="12240" w:orient="landscape"/>
          <w:pgMar w:top="1440" w:right="1440" w:bottom="1440" w:left="1440" w:header="720" w:footer="720" w:gutter="0"/>
          <w:lnNumType w:countBy="1"/>
          <w:cols w:space="720"/>
          <w:docGrid w:linePitch="360"/>
        </w:sectPr>
      </w:pPr>
    </w:p>
    <w:p w14:paraId="638B966D" w14:textId="1F4B0150" w:rsidR="00C663F7" w:rsidRPr="0046038C" w:rsidRDefault="00C663F7" w:rsidP="00C663F7">
      <w:pPr>
        <w:spacing w:after="0" w:line="480" w:lineRule="auto"/>
        <w:rPr>
          <w:rFonts w:ascii="Calibri" w:hAnsi="Calibri" w:cs="Calibri"/>
          <w:sz w:val="21"/>
          <w:szCs w:val="21"/>
        </w:rPr>
      </w:pPr>
      <w:r w:rsidRPr="0046038C">
        <w:rPr>
          <w:rFonts w:ascii="Calibri" w:hAnsi="Calibri" w:cs="Calibri"/>
          <w:noProof/>
          <w:sz w:val="21"/>
          <w:szCs w:val="21"/>
        </w:rPr>
        <w:lastRenderedPageBreak/>
        <w:drawing>
          <wp:anchor distT="0" distB="0" distL="114300" distR="114300" simplePos="0" relativeHeight="251660288" behindDoc="0" locked="0" layoutInCell="1" allowOverlap="1" wp14:anchorId="7AA691FE" wp14:editId="633BC45E">
            <wp:simplePos x="0" y="0"/>
            <wp:positionH relativeFrom="column">
              <wp:posOffset>43815</wp:posOffset>
            </wp:positionH>
            <wp:positionV relativeFrom="paragraph">
              <wp:posOffset>298969</wp:posOffset>
            </wp:positionV>
            <wp:extent cx="4963795" cy="6785610"/>
            <wp:effectExtent l="0" t="0" r="1905" b="0"/>
            <wp:wrapTopAndBottom/>
            <wp:docPr id="621938322" name="Picture 1" descr="A black screen with white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877852" name="Picture 1" descr="A black screen with white lines&#10;&#10;AI-generated content may be incorrect."/>
                    <pic:cNvPicPr/>
                  </pic:nvPicPr>
                  <pic:blipFill rotWithShape="1">
                    <a:blip r:embed="rId9" cstate="print">
                      <a:extLst>
                        <a:ext uri="{28A0092B-C50C-407E-A947-70E740481C1C}">
                          <a14:useLocalDpi xmlns:a14="http://schemas.microsoft.com/office/drawing/2010/main" val="0"/>
                        </a:ext>
                      </a:extLst>
                    </a:blip>
                    <a:srcRect l="20407" t="5666" r="21772" b="32874"/>
                    <a:stretch/>
                  </pic:blipFill>
                  <pic:spPr bwMode="auto">
                    <a:xfrm>
                      <a:off x="0" y="0"/>
                      <a:ext cx="4963795" cy="67856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46038C">
        <w:rPr>
          <w:rFonts w:ascii="Calibri" w:hAnsi="Calibri" w:cs="Calibri"/>
          <w:b/>
          <w:bCs/>
          <w:sz w:val="21"/>
          <w:szCs w:val="21"/>
        </w:rPr>
        <w:t xml:space="preserve">Supplemental Figure </w:t>
      </w:r>
      <w:r w:rsidR="00634B24" w:rsidRPr="0046038C">
        <w:rPr>
          <w:rFonts w:ascii="Calibri" w:hAnsi="Calibri" w:cs="Calibri"/>
          <w:b/>
          <w:bCs/>
          <w:sz w:val="21"/>
          <w:szCs w:val="21"/>
        </w:rPr>
        <w:t>S</w:t>
      </w:r>
      <w:r w:rsidRPr="0046038C">
        <w:rPr>
          <w:rFonts w:ascii="Calibri" w:hAnsi="Calibri" w:cs="Calibri"/>
          <w:b/>
          <w:bCs/>
          <w:sz w:val="21"/>
          <w:szCs w:val="21"/>
        </w:rPr>
        <w:t>1.</w:t>
      </w:r>
      <w:r w:rsidRPr="0046038C">
        <w:rPr>
          <w:rFonts w:ascii="Calibri" w:hAnsi="Calibri" w:cs="Calibri"/>
          <w:sz w:val="21"/>
          <w:szCs w:val="21"/>
        </w:rPr>
        <w:t xml:space="preserve"> Flowchart of the trial selection process. </w:t>
      </w:r>
    </w:p>
    <w:p w14:paraId="7D16CC27" w14:textId="77777777" w:rsidR="00C663F7" w:rsidRPr="0046038C" w:rsidRDefault="00C663F7" w:rsidP="00C663F7">
      <w:pPr>
        <w:spacing w:after="0" w:line="480" w:lineRule="auto"/>
        <w:rPr>
          <w:rFonts w:ascii="Calibri" w:hAnsi="Calibri" w:cs="Calibri"/>
          <w:sz w:val="22"/>
          <w:szCs w:val="22"/>
        </w:rPr>
      </w:pPr>
    </w:p>
    <w:p w14:paraId="7F97414D" w14:textId="609D1D5A" w:rsidR="00023864" w:rsidRPr="0046038C" w:rsidRDefault="00C663F7" w:rsidP="00241351">
      <w:pPr>
        <w:spacing w:after="0" w:line="480" w:lineRule="auto"/>
        <w:rPr>
          <w:rFonts w:ascii="Calibri" w:hAnsi="Calibri" w:cs="Calibri"/>
          <w:sz w:val="22"/>
          <w:szCs w:val="22"/>
        </w:rPr>
      </w:pPr>
      <w:r w:rsidRPr="0046038C">
        <w:rPr>
          <w:rFonts w:ascii="Calibri" w:hAnsi="Calibri" w:cs="Calibri"/>
          <w:sz w:val="22"/>
          <w:szCs w:val="22"/>
        </w:rPr>
        <w:t xml:space="preserve">KTRs, kidney transplant recipients; KT, kidney transplant; GD, glomerular disease.  </w:t>
      </w:r>
    </w:p>
    <w:p w14:paraId="067BE0F7" w14:textId="77777777" w:rsidR="00023864" w:rsidRPr="0046038C" w:rsidRDefault="00023864">
      <w:pPr>
        <w:rPr>
          <w:rFonts w:ascii="Calibri" w:hAnsi="Calibri" w:cs="Calibri"/>
          <w:sz w:val="22"/>
          <w:szCs w:val="22"/>
        </w:rPr>
      </w:pPr>
      <w:r w:rsidRPr="0046038C">
        <w:rPr>
          <w:rFonts w:ascii="Calibri" w:hAnsi="Calibri" w:cs="Calibri"/>
          <w:sz w:val="22"/>
          <w:szCs w:val="22"/>
        </w:rPr>
        <w:br w:type="page"/>
      </w:r>
    </w:p>
    <w:p w14:paraId="01742ADD" w14:textId="467E4776" w:rsidR="00C663F7" w:rsidRDefault="00023864" w:rsidP="00241351">
      <w:pPr>
        <w:spacing w:after="0" w:line="480" w:lineRule="auto"/>
        <w:rPr>
          <w:rFonts w:ascii="Calibri" w:hAnsi="Calibri" w:cs="Calibri"/>
          <w:b/>
          <w:bCs/>
          <w:sz w:val="22"/>
          <w:szCs w:val="22"/>
        </w:rPr>
      </w:pPr>
      <w:r w:rsidRPr="0046038C">
        <w:rPr>
          <w:rFonts w:ascii="Calibri" w:hAnsi="Calibri" w:cs="Calibri"/>
          <w:b/>
          <w:bCs/>
          <w:sz w:val="22"/>
          <w:szCs w:val="22"/>
        </w:rPr>
        <w:lastRenderedPageBreak/>
        <w:t>Supplemental Methods</w:t>
      </w:r>
    </w:p>
    <w:p w14:paraId="1A10A639" w14:textId="061DF345" w:rsidR="00950ADB" w:rsidRPr="001226E3" w:rsidRDefault="00950ADB" w:rsidP="00241351">
      <w:pPr>
        <w:spacing w:after="0" w:line="480" w:lineRule="auto"/>
        <w:rPr>
          <w:rFonts w:ascii="Calibri" w:hAnsi="Calibri" w:cs="Calibri"/>
          <w:sz w:val="22"/>
          <w:szCs w:val="22"/>
          <w:u w:val="single"/>
        </w:rPr>
      </w:pPr>
      <w:r w:rsidRPr="001226E3">
        <w:rPr>
          <w:rFonts w:ascii="Calibri" w:hAnsi="Calibri" w:cs="Calibri"/>
          <w:sz w:val="22"/>
          <w:szCs w:val="22"/>
          <w:u w:val="single"/>
        </w:rPr>
        <w:t>Detailed Methods</w:t>
      </w:r>
    </w:p>
    <w:p w14:paraId="509AEF41" w14:textId="09DA713A" w:rsidR="00950ADB" w:rsidRPr="00950ADB" w:rsidRDefault="00950ADB" w:rsidP="00950ADB">
      <w:pPr>
        <w:spacing w:after="0" w:line="480" w:lineRule="auto"/>
        <w:jc w:val="both"/>
        <w:rPr>
          <w:rFonts w:ascii="Calibri" w:hAnsi="Calibri" w:cs="Calibri"/>
          <w:sz w:val="22"/>
          <w:szCs w:val="22"/>
        </w:rPr>
      </w:pPr>
      <w:r w:rsidRPr="001226E3">
        <w:rPr>
          <w:rFonts w:ascii="Calibri" w:hAnsi="Calibri" w:cs="Calibri"/>
          <w:sz w:val="22"/>
          <w:szCs w:val="22"/>
        </w:rPr>
        <w:t xml:space="preserve">The ClinicalTrials.gov registry was reviewed for interventional drug trials of KTRs and those on the kidney transplant (KT) waitlist, completed between September 27, 2014, and September 27, 2024, or active as of September 27, 2024. Trial demographics and study eligibility criteria were assessed. Two independent investigators reviewed each trial according to the inclusion criteria, and any uncertainties were addressed by the </w:t>
      </w:r>
      <w:r w:rsidRPr="001226E3">
        <w:rPr>
          <w:rFonts w:ascii="Calibri" w:hAnsi="Calibri" w:cs="Calibri"/>
          <w:color w:val="000000" w:themeColor="text1"/>
          <w:sz w:val="22"/>
          <w:szCs w:val="22"/>
          <w:shd w:val="clear" w:color="auto" w:fill="FFFFFF"/>
        </w:rPr>
        <w:t>Post-Transplant Glomerular Diseases</w:t>
      </w:r>
      <w:r w:rsidRPr="001226E3" w:rsidDel="00E72600">
        <w:rPr>
          <w:rFonts w:ascii="Calibri" w:hAnsi="Calibri" w:cs="Calibri"/>
          <w:color w:val="000000" w:themeColor="text1"/>
          <w:sz w:val="22"/>
          <w:szCs w:val="22"/>
        </w:rPr>
        <w:t xml:space="preserve"> </w:t>
      </w:r>
      <w:r w:rsidRPr="001226E3">
        <w:rPr>
          <w:rFonts w:ascii="Calibri" w:hAnsi="Calibri" w:cs="Calibri"/>
          <w:sz w:val="22"/>
          <w:szCs w:val="22"/>
        </w:rPr>
        <w:t>(TANGO) Consortium Committee (www.tangoxstudy.com)</w:t>
      </w:r>
      <w:r w:rsidRPr="001226E3">
        <w:rPr>
          <w:rFonts w:ascii="Calibri" w:hAnsi="Calibri" w:cs="Calibri"/>
          <w:sz w:val="22"/>
          <w:szCs w:val="22"/>
        </w:rPr>
        <w:fldChar w:fldCharType="begin">
          <w:fldData xml:space="preserve">PEVuZE5vdGU+PENpdGU+PEF1dGhvcj5VZmZpbmc8L0F1dGhvcj48WWVhcj4yMDE4PC9ZZWFyPjxS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</w:fldData>
        </w:fldChar>
      </w:r>
      <w:r w:rsidRPr="001226E3">
        <w:rPr>
          <w:rFonts w:ascii="Calibri" w:hAnsi="Calibri" w:cs="Calibri"/>
          <w:sz w:val="22"/>
          <w:szCs w:val="22"/>
        </w:rPr>
        <w:instrText xml:space="preserve"> ADDIN EN.CITE </w:instrText>
      </w:r>
      <w:r w:rsidRPr="001226E3">
        <w:rPr>
          <w:rFonts w:ascii="Calibri" w:hAnsi="Calibri" w:cs="Calibri"/>
          <w:sz w:val="22"/>
          <w:szCs w:val="22"/>
        </w:rPr>
        <w:fldChar w:fldCharType="begin">
          <w:fldData xml:space="preserve">PEVuZE5vdGU+PENpdGU+PEF1dGhvcj5VZmZpbmc8L0F1dGhvcj48WWVhcj4yMDE4PC9ZZWFyPjxS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</w:fldData>
        </w:fldChar>
      </w:r>
      <w:r w:rsidRPr="001226E3">
        <w:rPr>
          <w:rFonts w:ascii="Calibri" w:hAnsi="Calibri" w:cs="Calibri"/>
          <w:sz w:val="22"/>
          <w:szCs w:val="22"/>
        </w:rPr>
        <w:instrText xml:space="preserve"> ADDIN EN.CITE.DATA </w:instrText>
      </w:r>
      <w:r w:rsidRPr="001226E3">
        <w:rPr>
          <w:rFonts w:ascii="Calibri" w:hAnsi="Calibri" w:cs="Calibri"/>
          <w:sz w:val="22"/>
          <w:szCs w:val="22"/>
        </w:rPr>
      </w:r>
      <w:r w:rsidRPr="001226E3">
        <w:rPr>
          <w:rFonts w:ascii="Calibri" w:hAnsi="Calibri" w:cs="Calibri"/>
          <w:sz w:val="22"/>
          <w:szCs w:val="22"/>
        </w:rPr>
        <w:fldChar w:fldCharType="end"/>
      </w:r>
      <w:r w:rsidRPr="001226E3">
        <w:rPr>
          <w:rFonts w:ascii="Calibri" w:hAnsi="Calibri" w:cs="Calibri"/>
          <w:sz w:val="22"/>
          <w:szCs w:val="22"/>
        </w:rPr>
        <w:fldChar w:fldCharType="separate"/>
      </w:r>
      <w:r w:rsidRPr="001226E3">
        <w:rPr>
          <w:rFonts w:ascii="Calibri" w:hAnsi="Calibri" w:cs="Calibri"/>
          <w:noProof/>
          <w:sz w:val="22"/>
          <w:szCs w:val="22"/>
          <w:vertAlign w:val="superscript"/>
        </w:rPr>
        <w:t>1</w:t>
      </w:r>
      <w:r w:rsidRPr="001226E3">
        <w:rPr>
          <w:rFonts w:ascii="Calibri" w:hAnsi="Calibri" w:cs="Calibri"/>
          <w:sz w:val="22"/>
          <w:szCs w:val="22"/>
        </w:rPr>
        <w:fldChar w:fldCharType="end"/>
      </w:r>
      <w:r w:rsidRPr="001226E3">
        <w:rPr>
          <w:rFonts w:ascii="Calibri" w:hAnsi="Calibri" w:cs="Calibri"/>
          <w:sz w:val="22"/>
          <w:szCs w:val="22"/>
        </w:rPr>
        <w:t xml:space="preserve">. Trials were screened to determine whether they excluded patients with primary GD subtypes. Thrombotic microangiopathy (TMA) was also included due to its high recurrence risk and the potential need for immunosuppressants in case of recurrence. Ethics approval and consent to participate were waived as the institutional review board of Massachusetts General Hospital determined that this study was not considered human subject research. Statistical analysis was performed </w:t>
      </w:r>
      <w:r w:rsidRPr="001226E3">
        <w:rPr>
          <w:rFonts w:ascii="Calibri" w:hAnsi="Calibri" w:cs="Calibri"/>
          <w:sz w:val="20"/>
          <w:szCs w:val="20"/>
        </w:rPr>
        <w:t>using R software version 4.4.2.</w:t>
      </w:r>
      <w:r w:rsidRPr="001226E3">
        <w:rPr>
          <w:rFonts w:ascii="Calibri" w:hAnsi="Calibri" w:cs="Calibri"/>
          <w:sz w:val="22"/>
          <w:szCs w:val="22"/>
        </w:rPr>
        <w:t xml:space="preserve"> Categorical data are presented as frequencies and percentages. Depending on group size, binary and categorical variables were compared by chi-squared or Fisher’s exact test. Graphics were created using Prism 10.3.1 (GraphPad Software, Inc) and BioRender.com.</w:t>
      </w:r>
      <w:r w:rsidRPr="00E30C02">
        <w:rPr>
          <w:rFonts w:ascii="Calibri" w:hAnsi="Calibri" w:cs="Calibri"/>
          <w:sz w:val="22"/>
          <w:szCs w:val="22"/>
        </w:rPr>
        <w:t xml:space="preserve">  </w:t>
      </w:r>
    </w:p>
    <w:p w14:paraId="4A8C3B7A" w14:textId="77777777" w:rsidR="00950ADB" w:rsidRPr="0046038C" w:rsidRDefault="00950ADB" w:rsidP="00241351">
      <w:pPr>
        <w:spacing w:after="0" w:line="480" w:lineRule="auto"/>
        <w:rPr>
          <w:rFonts w:ascii="Calibri" w:hAnsi="Calibri" w:cs="Calibri"/>
          <w:b/>
          <w:bCs/>
          <w:sz w:val="22"/>
          <w:szCs w:val="22"/>
        </w:rPr>
      </w:pPr>
    </w:p>
    <w:p w14:paraId="4DB2ECC5" w14:textId="5FFC9977" w:rsidR="006C55A5" w:rsidRPr="0046038C" w:rsidRDefault="006C55A5" w:rsidP="00241351">
      <w:pPr>
        <w:spacing w:after="0" w:line="480" w:lineRule="auto"/>
        <w:rPr>
          <w:rFonts w:ascii="Calibri" w:hAnsi="Calibri" w:cs="Calibri"/>
          <w:sz w:val="22"/>
          <w:szCs w:val="22"/>
          <w:u w:val="single"/>
        </w:rPr>
      </w:pPr>
      <w:r w:rsidRPr="0046038C">
        <w:rPr>
          <w:rFonts w:ascii="Calibri" w:hAnsi="Calibri" w:cs="Calibri"/>
          <w:sz w:val="22"/>
          <w:szCs w:val="22"/>
          <w:u w:val="single"/>
        </w:rPr>
        <w:t>Search Terms and Strategy</w:t>
      </w:r>
    </w:p>
    <w:p w14:paraId="55314344" w14:textId="5E7DBC1D" w:rsidR="00023864" w:rsidRPr="0046038C" w:rsidRDefault="006C55A5" w:rsidP="00241351">
      <w:pPr>
        <w:spacing w:after="0" w:line="480" w:lineRule="auto"/>
        <w:rPr>
          <w:rFonts w:ascii="Calibri" w:hAnsi="Calibri" w:cs="Calibri"/>
          <w:sz w:val="22"/>
          <w:szCs w:val="22"/>
        </w:rPr>
      </w:pPr>
      <w:r w:rsidRPr="0046038C">
        <w:rPr>
          <w:rFonts w:ascii="Calibri" w:hAnsi="Calibri" w:cs="Calibri"/>
          <w:sz w:val="22"/>
          <w:szCs w:val="22"/>
        </w:rPr>
        <w:t>We searched ClinicalTrials.gov using the terms “kidney transplant” and “kidney disease”, identifying 2,119 trials. Of these, 602 were excluded because they were completed before September 27, 2014. We then restricted the search to interventional studies, excluding 606 trials that were observational (n=539), patient registries (n=65), or expanded access studies (n=3). This yielded 909 active interventional trials from 2014 to 2024. After excluding non-pharmacological interventions, 298 trials remained.</w:t>
      </w:r>
      <w:r w:rsidR="00A5475D" w:rsidRPr="0046038C">
        <w:rPr>
          <w:rFonts w:ascii="Calibri" w:hAnsi="Calibri" w:cs="Calibri"/>
          <w:sz w:val="22"/>
          <w:szCs w:val="22"/>
        </w:rPr>
        <w:t xml:space="preserve"> Twelve trials specifically targeting GD</w:t>
      </w:r>
      <w:r w:rsidR="00CD1378" w:rsidRPr="0046038C">
        <w:rPr>
          <w:rFonts w:ascii="Calibri" w:hAnsi="Calibri" w:cs="Calibri"/>
          <w:sz w:val="22"/>
          <w:szCs w:val="22"/>
        </w:rPr>
        <w:t xml:space="preserve"> treatment i</w:t>
      </w:r>
      <w:r w:rsidR="00840FC6" w:rsidRPr="0046038C">
        <w:rPr>
          <w:rFonts w:ascii="Calibri" w:hAnsi="Calibri" w:cs="Calibri"/>
          <w:sz w:val="22"/>
          <w:szCs w:val="22"/>
        </w:rPr>
        <w:t>n</w:t>
      </w:r>
      <w:r w:rsidR="00A5475D" w:rsidRPr="0046038C">
        <w:rPr>
          <w:rFonts w:ascii="Calibri" w:hAnsi="Calibri" w:cs="Calibri"/>
          <w:sz w:val="22"/>
          <w:szCs w:val="22"/>
        </w:rPr>
        <w:t xml:space="preserve"> KTRs or waitlisted patients were excluded</w:t>
      </w:r>
      <w:r w:rsidR="00DF1BC7" w:rsidRPr="0046038C">
        <w:rPr>
          <w:rFonts w:ascii="Calibri" w:hAnsi="Calibri" w:cs="Calibri"/>
          <w:sz w:val="22"/>
          <w:szCs w:val="22"/>
        </w:rPr>
        <w:t xml:space="preserve">. </w:t>
      </w:r>
      <w:r w:rsidR="00E9514A" w:rsidRPr="0046038C">
        <w:rPr>
          <w:rFonts w:ascii="Calibri" w:hAnsi="Calibri" w:cs="Calibri"/>
          <w:sz w:val="22"/>
          <w:szCs w:val="22"/>
        </w:rPr>
        <w:t xml:space="preserve">This resulted in a final </w:t>
      </w:r>
      <w:r w:rsidR="00E9514A" w:rsidRPr="0046038C">
        <w:rPr>
          <w:rFonts w:ascii="Calibri" w:hAnsi="Calibri" w:cs="Calibri"/>
          <w:sz w:val="22"/>
          <w:szCs w:val="22"/>
        </w:rPr>
        <w:lastRenderedPageBreak/>
        <w:t>cohort of 286 interventional pharmacological trials for analysis. Further details are provided in Supplemental Figure 1.</w:t>
      </w:r>
    </w:p>
    <w:p w14:paraId="19618038" w14:textId="77777777" w:rsidR="00E9514A" w:rsidRPr="0046038C" w:rsidRDefault="00E9514A" w:rsidP="00241351">
      <w:pPr>
        <w:spacing w:after="0" w:line="480" w:lineRule="auto"/>
        <w:rPr>
          <w:rFonts w:ascii="Calibri" w:hAnsi="Calibri" w:cs="Calibri"/>
          <w:sz w:val="22"/>
          <w:szCs w:val="22"/>
        </w:rPr>
      </w:pPr>
    </w:p>
    <w:p w14:paraId="576E7B1B" w14:textId="77777777" w:rsidR="006C55A5" w:rsidRPr="0046038C" w:rsidRDefault="006C55A5" w:rsidP="006C55A5">
      <w:pPr>
        <w:spacing w:after="0" w:line="480" w:lineRule="auto"/>
        <w:rPr>
          <w:rFonts w:ascii="Calibri" w:hAnsi="Calibri" w:cs="Calibri"/>
          <w:sz w:val="22"/>
          <w:szCs w:val="22"/>
          <w:u w:val="single"/>
        </w:rPr>
      </w:pPr>
      <w:r w:rsidRPr="0046038C">
        <w:rPr>
          <w:rFonts w:ascii="Calibri" w:hAnsi="Calibri" w:cs="Calibri"/>
          <w:sz w:val="22"/>
          <w:szCs w:val="22"/>
          <w:u w:val="single"/>
        </w:rPr>
        <w:t>Limitations of Trial Identification Strategy</w:t>
      </w:r>
    </w:p>
    <w:p w14:paraId="7216B6B2" w14:textId="4D8280B0" w:rsidR="00023864" w:rsidRDefault="006C55A5" w:rsidP="00241351">
      <w:pPr>
        <w:spacing w:after="0" w:line="480" w:lineRule="auto"/>
        <w:rPr>
          <w:rFonts w:ascii="Calibri" w:hAnsi="Calibri" w:cs="Calibri"/>
          <w:sz w:val="22"/>
          <w:szCs w:val="22"/>
        </w:rPr>
      </w:pPr>
      <w:r w:rsidRPr="0046038C">
        <w:rPr>
          <w:rFonts w:ascii="Calibri" w:hAnsi="Calibri" w:cs="Calibri"/>
          <w:sz w:val="22"/>
          <w:szCs w:val="22"/>
        </w:rPr>
        <w:t xml:space="preserve">Our search was limited to ClinicalTrials.gov, which was selected because it captures </w:t>
      </w:r>
      <w:proofErr w:type="gramStart"/>
      <w:r w:rsidRPr="0046038C">
        <w:rPr>
          <w:rFonts w:ascii="Calibri" w:hAnsi="Calibri" w:cs="Calibri"/>
          <w:sz w:val="22"/>
          <w:szCs w:val="22"/>
        </w:rPr>
        <w:t>the majority of</w:t>
      </w:r>
      <w:proofErr w:type="gramEnd"/>
      <w:r w:rsidRPr="0046038C">
        <w:rPr>
          <w:rFonts w:ascii="Calibri" w:hAnsi="Calibri" w:cs="Calibri"/>
          <w:sz w:val="22"/>
          <w:szCs w:val="22"/>
        </w:rPr>
        <w:t xml:space="preserve"> interventional pharmacological trials in kidney transplantation, especially those requiring regulatory oversight in the United States. However, this approach may have excluded relevant trials registered in other international databases such as the WHO International Clinical Trials Registry Platform (ICTRP) or the EU Clinical Trials Register (EudraCT). As such, our dataset may not fully reflect the global landscape of kidney transplant trials. Future studies should consider incorporating multiple trial registries to ensure broader and more comprehensive trial capture.</w:t>
      </w:r>
      <w:r w:rsidR="00023864" w:rsidRPr="0046038C">
        <w:rPr>
          <w:rFonts w:ascii="Calibri" w:hAnsi="Calibri" w:cs="Calibri"/>
          <w:sz w:val="22"/>
          <w:szCs w:val="22"/>
        </w:rPr>
        <w:t xml:space="preserve"> </w:t>
      </w:r>
    </w:p>
    <w:p w14:paraId="085EF028" w14:textId="77777777" w:rsidR="00950ADB" w:rsidRPr="0046038C" w:rsidRDefault="00950ADB" w:rsidP="00241351">
      <w:pPr>
        <w:spacing w:after="0" w:line="480" w:lineRule="auto"/>
        <w:rPr>
          <w:rFonts w:ascii="Calibri" w:hAnsi="Calibri" w:cs="Calibri"/>
          <w:sz w:val="22"/>
          <w:szCs w:val="22"/>
        </w:rPr>
      </w:pPr>
    </w:p>
    <w:p w14:paraId="7341D518" w14:textId="77777777" w:rsidR="00383FE9" w:rsidRPr="0046038C" w:rsidRDefault="00383FE9" w:rsidP="00383FE9">
      <w:pPr>
        <w:spacing w:after="0" w:line="480" w:lineRule="auto"/>
        <w:rPr>
          <w:rFonts w:ascii="Calibri" w:hAnsi="Calibri" w:cs="Calibri"/>
          <w:sz w:val="22"/>
          <w:szCs w:val="22"/>
          <w:u w:val="single"/>
        </w:rPr>
      </w:pPr>
      <w:r w:rsidRPr="0046038C">
        <w:rPr>
          <w:rFonts w:ascii="Calibri" w:hAnsi="Calibri" w:cs="Calibri"/>
          <w:sz w:val="22"/>
          <w:szCs w:val="22"/>
          <w:u w:val="single"/>
        </w:rPr>
        <w:t>Risk Classification Model Development</w:t>
      </w:r>
    </w:p>
    <w:p w14:paraId="46AB03CA" w14:textId="26E42788" w:rsidR="00950ADB" w:rsidRDefault="00383FE9" w:rsidP="00383FE9">
      <w:pPr>
        <w:spacing w:after="0" w:line="480" w:lineRule="auto"/>
        <w:rPr>
          <w:rFonts w:ascii="Calibri" w:hAnsi="Calibri" w:cs="Calibri"/>
          <w:sz w:val="22"/>
          <w:szCs w:val="22"/>
        </w:rPr>
      </w:pPr>
      <w:r w:rsidRPr="0046038C">
        <w:rPr>
          <w:rFonts w:ascii="Calibri" w:hAnsi="Calibri" w:cs="Calibri"/>
          <w:sz w:val="22"/>
          <w:szCs w:val="22"/>
        </w:rPr>
        <w:t>The glomerular disease recurrence risk classification model presented in Table 1 was developed by the TANGO (Post-Transplant Glomerular Diseases) Consortium through systematic review of published literature on post-transplant recurrence rates for specific glomerular disease subtypes. The classification incorporated recent evidence on biomarker-based risk stratification, validated risk assessment tools, and expert consensus from the international TANGO working group members. Risk categories (low, moderate, high) were assigned based on reported recurrence rates, severity of recurrence when it occurs, and availability of predictive biomarkers.</w:t>
      </w:r>
      <w:r>
        <w:rPr>
          <w:rFonts w:ascii="Calibri" w:hAnsi="Calibri" w:cs="Calibri"/>
          <w:sz w:val="22"/>
          <w:szCs w:val="22"/>
        </w:rPr>
        <w:t xml:space="preserve"> </w:t>
      </w:r>
    </w:p>
    <w:p w14:paraId="2C7B89EF" w14:textId="77777777" w:rsidR="00950ADB" w:rsidRDefault="00950ADB" w:rsidP="00383FE9">
      <w:pPr>
        <w:spacing w:after="0" w:line="480" w:lineRule="auto"/>
        <w:rPr>
          <w:rFonts w:ascii="Calibri" w:hAnsi="Calibri" w:cs="Calibri"/>
          <w:sz w:val="22"/>
          <w:szCs w:val="22"/>
        </w:rPr>
      </w:pPr>
    </w:p>
    <w:p w14:paraId="01D07EB8" w14:textId="49360006" w:rsidR="00950ADB" w:rsidRPr="00950ADB" w:rsidRDefault="00950ADB" w:rsidP="00383FE9">
      <w:pPr>
        <w:spacing w:after="0" w:line="480" w:lineRule="auto"/>
        <w:rPr>
          <w:rFonts w:ascii="Calibri" w:hAnsi="Calibri" w:cs="Calibri"/>
          <w:b/>
          <w:bCs/>
          <w:sz w:val="22"/>
          <w:szCs w:val="22"/>
        </w:rPr>
      </w:pPr>
      <w:r w:rsidRPr="00950ADB">
        <w:rPr>
          <w:rFonts w:ascii="Calibri" w:hAnsi="Calibri" w:cs="Calibri"/>
          <w:b/>
          <w:bCs/>
          <w:sz w:val="22"/>
          <w:szCs w:val="22"/>
        </w:rPr>
        <w:t>References</w:t>
      </w:r>
    </w:p>
    <w:p w14:paraId="45824E90" w14:textId="743253E2" w:rsidR="00950ADB" w:rsidRPr="00950ADB" w:rsidRDefault="00950ADB" w:rsidP="00950ADB">
      <w:pPr>
        <w:pStyle w:val="EndNoteBibliography"/>
        <w:rPr>
          <w:rFonts w:ascii="Calibri" w:hAnsi="Calibri" w:cs="Calibri"/>
          <w:noProof/>
          <w:sz w:val="22"/>
          <w:szCs w:val="22"/>
        </w:rPr>
      </w:pPr>
      <w:r w:rsidRPr="00950ADB">
        <w:rPr>
          <w:rFonts w:ascii="Calibri" w:hAnsi="Calibri" w:cs="Calibri"/>
          <w:sz w:val="22"/>
          <w:szCs w:val="22"/>
        </w:rPr>
        <w:fldChar w:fldCharType="begin"/>
      </w:r>
      <w:r w:rsidRPr="00950ADB">
        <w:rPr>
          <w:rFonts w:ascii="Calibri" w:hAnsi="Calibri" w:cs="Calibri"/>
          <w:sz w:val="22"/>
          <w:szCs w:val="22"/>
        </w:rPr>
        <w:instrText xml:space="preserve"> ADDIN EN.REFLIST </w:instrText>
      </w:r>
      <w:r w:rsidRPr="00950ADB">
        <w:rPr>
          <w:rFonts w:ascii="Calibri" w:hAnsi="Calibri" w:cs="Calibri"/>
          <w:sz w:val="22"/>
          <w:szCs w:val="22"/>
        </w:rPr>
        <w:fldChar w:fldCharType="separate"/>
      </w:r>
      <w:r w:rsidRPr="00950ADB">
        <w:rPr>
          <w:rFonts w:ascii="Calibri" w:hAnsi="Calibri" w:cs="Calibri"/>
          <w:noProof/>
          <w:sz w:val="22"/>
          <w:szCs w:val="22"/>
        </w:rPr>
        <w:t xml:space="preserve">1. Uffing A, Pérez-Sáez MJ, La Manna G, et al. A large, international study on post-transplant glomerular diseases: the TANGO project. </w:t>
      </w:r>
      <w:r w:rsidRPr="00950ADB">
        <w:rPr>
          <w:rFonts w:ascii="Calibri" w:hAnsi="Calibri" w:cs="Calibri"/>
          <w:i/>
          <w:noProof/>
          <w:sz w:val="22"/>
          <w:szCs w:val="22"/>
        </w:rPr>
        <w:t>BMC Nephrol</w:t>
      </w:r>
      <w:r w:rsidRPr="00950ADB">
        <w:rPr>
          <w:rFonts w:ascii="Calibri" w:hAnsi="Calibri" w:cs="Calibri"/>
          <w:noProof/>
          <w:sz w:val="22"/>
          <w:szCs w:val="22"/>
        </w:rPr>
        <w:t>. Sep 12 2018;19(1):229. doi:10.1186/s12882-018-1025-z</w:t>
      </w:r>
    </w:p>
    <w:p w14:paraId="127384BF" w14:textId="1824594B" w:rsidR="00950ADB" w:rsidRPr="00023864" w:rsidRDefault="00950ADB" w:rsidP="00950ADB">
      <w:pPr>
        <w:spacing w:after="0" w:line="240" w:lineRule="auto"/>
        <w:rPr>
          <w:rFonts w:ascii="Calibri" w:hAnsi="Calibri" w:cs="Calibri"/>
          <w:sz w:val="22"/>
          <w:szCs w:val="22"/>
        </w:rPr>
      </w:pPr>
      <w:r w:rsidRPr="00950ADB">
        <w:rPr>
          <w:rFonts w:ascii="Calibri" w:hAnsi="Calibri" w:cs="Calibri"/>
          <w:sz w:val="22"/>
          <w:szCs w:val="22"/>
        </w:rPr>
        <w:fldChar w:fldCharType="end"/>
      </w:r>
    </w:p>
    <w:sectPr w:rsidR="00950ADB" w:rsidRPr="00023864" w:rsidSect="00023864">
      <w:pgSz w:w="12240" w:h="15840"/>
      <w:pgMar w:top="1440" w:right="1440" w:bottom="1440" w:left="1440" w:header="720" w:footer="720" w:gutter="0"/>
      <w:lnNumType w:countBy="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537335" w14:textId="77777777" w:rsidR="00EA17E1" w:rsidRDefault="00EA17E1" w:rsidP="001813D6">
      <w:pPr>
        <w:spacing w:after="0" w:line="240" w:lineRule="auto"/>
      </w:pPr>
      <w:r>
        <w:separator/>
      </w:r>
    </w:p>
  </w:endnote>
  <w:endnote w:type="continuationSeparator" w:id="0">
    <w:p w14:paraId="6EDBF802" w14:textId="77777777" w:rsidR="00EA17E1" w:rsidRDefault="00EA17E1" w:rsidP="001813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760786873"/>
      <w:docPartObj>
        <w:docPartGallery w:val="Page Numbers (Bottom of Page)"/>
        <w:docPartUnique/>
      </w:docPartObj>
    </w:sdtPr>
    <w:sdtContent>
      <w:p w14:paraId="6303349C" w14:textId="439E81C8" w:rsidR="006A4C74" w:rsidRDefault="006A4C74" w:rsidP="00B5076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176A45C4" w14:textId="77777777" w:rsidR="006A4C74" w:rsidRDefault="006A4C74" w:rsidP="006A4C7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600293815"/>
      <w:docPartObj>
        <w:docPartGallery w:val="Page Numbers (Bottom of Page)"/>
        <w:docPartUnique/>
      </w:docPartObj>
    </w:sdtPr>
    <w:sdtContent>
      <w:p w14:paraId="5BF03F04" w14:textId="23B6A22E" w:rsidR="006A4C74" w:rsidRDefault="006A4C74" w:rsidP="00B5076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C261493" w14:textId="77777777" w:rsidR="006A4C74" w:rsidRDefault="006A4C74" w:rsidP="006A4C7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5515D1" w14:textId="77777777" w:rsidR="00EA17E1" w:rsidRDefault="00EA17E1" w:rsidP="001813D6">
      <w:pPr>
        <w:spacing w:after="0" w:line="240" w:lineRule="auto"/>
      </w:pPr>
      <w:r>
        <w:separator/>
      </w:r>
    </w:p>
  </w:footnote>
  <w:footnote w:type="continuationSeparator" w:id="0">
    <w:p w14:paraId="505667D5" w14:textId="77777777" w:rsidR="00EA17E1" w:rsidRDefault="00EA17E1" w:rsidP="001813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7A03495"/>
    <w:multiLevelType w:val="hybridMultilevel"/>
    <w:tmpl w:val="1680ADF0"/>
    <w:lvl w:ilvl="0" w:tplc="38D2281C">
      <w:start w:val="16"/>
      <w:numFmt w:val="bullet"/>
      <w:lvlText w:val=""/>
      <w:lvlJc w:val="left"/>
      <w:pPr>
        <w:ind w:left="720" w:hanging="360"/>
      </w:pPr>
      <w:rPr>
        <w:rFonts w:ascii="Symbol" w:eastAsiaTheme="minorHAnsi" w:hAnsi="Symbol"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516502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Layout" w:val="&lt;ENLayout&gt;&lt;Style&gt;AMA 11th&lt;/Style&gt;&lt;LeftDelim&gt;{&lt;/LeftDelim&gt;&lt;RightDelim&gt;}&lt;/RightDelim&gt;&lt;FontName&gt;Aptos&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20d9wsseefastex9x2xpat9vd0r9waz0x0t&quot;&gt;My EndNote Library&lt;record-ids&gt;&lt;item&gt;214&lt;/item&gt;&lt;/record-ids&gt;&lt;/item&gt;&lt;/Libraries&gt;"/>
  </w:docVars>
  <w:rsids>
    <w:rsidRoot w:val="004D1068"/>
    <w:rsid w:val="00013BEB"/>
    <w:rsid w:val="0002205A"/>
    <w:rsid w:val="00023864"/>
    <w:rsid w:val="000C2B81"/>
    <w:rsid w:val="000D7043"/>
    <w:rsid w:val="000D7B5B"/>
    <w:rsid w:val="000E6B55"/>
    <w:rsid w:val="001226E3"/>
    <w:rsid w:val="0016601A"/>
    <w:rsid w:val="001813D6"/>
    <w:rsid w:val="00194B8A"/>
    <w:rsid w:val="001A26AA"/>
    <w:rsid w:val="001B3C82"/>
    <w:rsid w:val="001C1398"/>
    <w:rsid w:val="001D05C8"/>
    <w:rsid w:val="001E33CE"/>
    <w:rsid w:val="00241351"/>
    <w:rsid w:val="00280C28"/>
    <w:rsid w:val="002B42BE"/>
    <w:rsid w:val="003041DB"/>
    <w:rsid w:val="00383FE9"/>
    <w:rsid w:val="003B0DCA"/>
    <w:rsid w:val="003D5CDD"/>
    <w:rsid w:val="0046038C"/>
    <w:rsid w:val="004949AF"/>
    <w:rsid w:val="004C5628"/>
    <w:rsid w:val="004D1068"/>
    <w:rsid w:val="004D17A9"/>
    <w:rsid w:val="004D39C6"/>
    <w:rsid w:val="00524651"/>
    <w:rsid w:val="00526375"/>
    <w:rsid w:val="0054303F"/>
    <w:rsid w:val="005646BA"/>
    <w:rsid w:val="00592608"/>
    <w:rsid w:val="005A029F"/>
    <w:rsid w:val="005C4FED"/>
    <w:rsid w:val="00626870"/>
    <w:rsid w:val="00634B24"/>
    <w:rsid w:val="006424CD"/>
    <w:rsid w:val="0064693B"/>
    <w:rsid w:val="00667EC3"/>
    <w:rsid w:val="006744D3"/>
    <w:rsid w:val="006A4C74"/>
    <w:rsid w:val="006A6875"/>
    <w:rsid w:val="006C55A5"/>
    <w:rsid w:val="006F529A"/>
    <w:rsid w:val="0072093B"/>
    <w:rsid w:val="007346C8"/>
    <w:rsid w:val="007420BB"/>
    <w:rsid w:val="007B2C49"/>
    <w:rsid w:val="007C4AEE"/>
    <w:rsid w:val="007E4296"/>
    <w:rsid w:val="007F666E"/>
    <w:rsid w:val="00840FC6"/>
    <w:rsid w:val="00846450"/>
    <w:rsid w:val="00847804"/>
    <w:rsid w:val="00876FF8"/>
    <w:rsid w:val="008A5FE5"/>
    <w:rsid w:val="008B6BD5"/>
    <w:rsid w:val="009144E1"/>
    <w:rsid w:val="009208F7"/>
    <w:rsid w:val="00922C32"/>
    <w:rsid w:val="009310D8"/>
    <w:rsid w:val="00950ADB"/>
    <w:rsid w:val="00953F56"/>
    <w:rsid w:val="009549E6"/>
    <w:rsid w:val="00973EC9"/>
    <w:rsid w:val="009A1A99"/>
    <w:rsid w:val="009F1031"/>
    <w:rsid w:val="00A07CB1"/>
    <w:rsid w:val="00A249D4"/>
    <w:rsid w:val="00A37671"/>
    <w:rsid w:val="00A4573A"/>
    <w:rsid w:val="00A53E25"/>
    <w:rsid w:val="00A5475D"/>
    <w:rsid w:val="00A56FAA"/>
    <w:rsid w:val="00AA758D"/>
    <w:rsid w:val="00AE3A65"/>
    <w:rsid w:val="00B2020C"/>
    <w:rsid w:val="00B310C0"/>
    <w:rsid w:val="00B90B1F"/>
    <w:rsid w:val="00BA1B70"/>
    <w:rsid w:val="00BB4496"/>
    <w:rsid w:val="00BD002D"/>
    <w:rsid w:val="00BF6A13"/>
    <w:rsid w:val="00BF6FFD"/>
    <w:rsid w:val="00C076CF"/>
    <w:rsid w:val="00C10BA0"/>
    <w:rsid w:val="00C25763"/>
    <w:rsid w:val="00C42576"/>
    <w:rsid w:val="00C56F0A"/>
    <w:rsid w:val="00C663F7"/>
    <w:rsid w:val="00C67DFB"/>
    <w:rsid w:val="00CD1378"/>
    <w:rsid w:val="00D05EA6"/>
    <w:rsid w:val="00D573E9"/>
    <w:rsid w:val="00D6140A"/>
    <w:rsid w:val="00D77904"/>
    <w:rsid w:val="00D91126"/>
    <w:rsid w:val="00DA1A19"/>
    <w:rsid w:val="00DD3F48"/>
    <w:rsid w:val="00DF1BC7"/>
    <w:rsid w:val="00E263E5"/>
    <w:rsid w:val="00E61EDE"/>
    <w:rsid w:val="00E9514A"/>
    <w:rsid w:val="00EA17E1"/>
    <w:rsid w:val="00EB00FC"/>
    <w:rsid w:val="00EB03A5"/>
    <w:rsid w:val="00F12635"/>
    <w:rsid w:val="00F66A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02260"/>
  <w15:chartTrackingRefBased/>
  <w15:docId w15:val="{1552F2AE-A798-174A-B9EE-C94EAF027F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D106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D106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D106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D106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D106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D106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D106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D106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D106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106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D106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D106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D106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D106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D106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D106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D106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D1068"/>
    <w:rPr>
      <w:rFonts w:eastAsiaTheme="majorEastAsia" w:cstheme="majorBidi"/>
      <w:color w:val="272727" w:themeColor="text1" w:themeTint="D8"/>
    </w:rPr>
  </w:style>
  <w:style w:type="paragraph" w:styleId="Title">
    <w:name w:val="Title"/>
    <w:basedOn w:val="Normal"/>
    <w:next w:val="Normal"/>
    <w:link w:val="TitleChar"/>
    <w:uiPriority w:val="10"/>
    <w:qFormat/>
    <w:rsid w:val="004D106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D106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D106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D106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D1068"/>
    <w:pPr>
      <w:spacing w:before="160"/>
      <w:jc w:val="center"/>
    </w:pPr>
    <w:rPr>
      <w:i/>
      <w:iCs/>
      <w:color w:val="404040" w:themeColor="text1" w:themeTint="BF"/>
    </w:rPr>
  </w:style>
  <w:style w:type="character" w:customStyle="1" w:styleId="QuoteChar">
    <w:name w:val="Quote Char"/>
    <w:basedOn w:val="DefaultParagraphFont"/>
    <w:link w:val="Quote"/>
    <w:uiPriority w:val="29"/>
    <w:rsid w:val="004D1068"/>
    <w:rPr>
      <w:i/>
      <w:iCs/>
      <w:color w:val="404040" w:themeColor="text1" w:themeTint="BF"/>
    </w:rPr>
  </w:style>
  <w:style w:type="paragraph" w:styleId="ListParagraph">
    <w:name w:val="List Paragraph"/>
    <w:basedOn w:val="Normal"/>
    <w:uiPriority w:val="34"/>
    <w:qFormat/>
    <w:rsid w:val="004D1068"/>
    <w:pPr>
      <w:ind w:left="720"/>
      <w:contextualSpacing/>
    </w:pPr>
  </w:style>
  <w:style w:type="character" w:styleId="IntenseEmphasis">
    <w:name w:val="Intense Emphasis"/>
    <w:basedOn w:val="DefaultParagraphFont"/>
    <w:uiPriority w:val="21"/>
    <w:qFormat/>
    <w:rsid w:val="004D1068"/>
    <w:rPr>
      <w:i/>
      <w:iCs/>
      <w:color w:val="0F4761" w:themeColor="accent1" w:themeShade="BF"/>
    </w:rPr>
  </w:style>
  <w:style w:type="paragraph" w:styleId="IntenseQuote">
    <w:name w:val="Intense Quote"/>
    <w:basedOn w:val="Normal"/>
    <w:next w:val="Normal"/>
    <w:link w:val="IntenseQuoteChar"/>
    <w:uiPriority w:val="30"/>
    <w:qFormat/>
    <w:rsid w:val="004D106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D1068"/>
    <w:rPr>
      <w:i/>
      <w:iCs/>
      <w:color w:val="0F4761" w:themeColor="accent1" w:themeShade="BF"/>
    </w:rPr>
  </w:style>
  <w:style w:type="character" w:styleId="IntenseReference">
    <w:name w:val="Intense Reference"/>
    <w:basedOn w:val="DefaultParagraphFont"/>
    <w:uiPriority w:val="32"/>
    <w:qFormat/>
    <w:rsid w:val="004D1068"/>
    <w:rPr>
      <w:b/>
      <w:bCs/>
      <w:smallCaps/>
      <w:color w:val="0F4761" w:themeColor="accent1" w:themeShade="BF"/>
      <w:spacing w:val="5"/>
    </w:rPr>
  </w:style>
  <w:style w:type="table" w:styleId="TableGrid">
    <w:name w:val="Table Grid"/>
    <w:basedOn w:val="TableNormal"/>
    <w:uiPriority w:val="39"/>
    <w:rsid w:val="00C663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023864"/>
  </w:style>
  <w:style w:type="paragraph" w:styleId="Header">
    <w:name w:val="header"/>
    <w:basedOn w:val="Normal"/>
    <w:link w:val="HeaderChar"/>
    <w:uiPriority w:val="99"/>
    <w:unhideWhenUsed/>
    <w:rsid w:val="001813D6"/>
    <w:pPr>
      <w:tabs>
        <w:tab w:val="center" w:pos="4680"/>
        <w:tab w:val="right" w:pos="9360"/>
      </w:tabs>
      <w:spacing w:after="0" w:line="240" w:lineRule="auto"/>
    </w:pPr>
  </w:style>
  <w:style w:type="character" w:customStyle="1" w:styleId="HeaderChar">
    <w:name w:val="Header Char"/>
    <w:basedOn w:val="DefaultParagraphFont"/>
    <w:link w:val="Header"/>
    <w:uiPriority w:val="99"/>
    <w:rsid w:val="001813D6"/>
  </w:style>
  <w:style w:type="paragraph" w:styleId="Footer">
    <w:name w:val="footer"/>
    <w:basedOn w:val="Normal"/>
    <w:link w:val="FooterChar"/>
    <w:uiPriority w:val="99"/>
    <w:unhideWhenUsed/>
    <w:rsid w:val="001813D6"/>
    <w:pPr>
      <w:tabs>
        <w:tab w:val="center" w:pos="4680"/>
        <w:tab w:val="right" w:pos="9360"/>
      </w:tabs>
      <w:spacing w:after="0" w:line="240" w:lineRule="auto"/>
    </w:pPr>
  </w:style>
  <w:style w:type="character" w:customStyle="1" w:styleId="FooterChar">
    <w:name w:val="Footer Char"/>
    <w:basedOn w:val="DefaultParagraphFont"/>
    <w:link w:val="Footer"/>
    <w:uiPriority w:val="99"/>
    <w:rsid w:val="001813D6"/>
  </w:style>
  <w:style w:type="paragraph" w:styleId="Revision">
    <w:name w:val="Revision"/>
    <w:hidden/>
    <w:uiPriority w:val="99"/>
    <w:semiHidden/>
    <w:rsid w:val="00CD1378"/>
    <w:pPr>
      <w:spacing w:after="0" w:line="240" w:lineRule="auto"/>
    </w:pPr>
  </w:style>
  <w:style w:type="character" w:styleId="PageNumber">
    <w:name w:val="page number"/>
    <w:basedOn w:val="DefaultParagraphFont"/>
    <w:uiPriority w:val="99"/>
    <w:semiHidden/>
    <w:unhideWhenUsed/>
    <w:rsid w:val="006A4C74"/>
  </w:style>
  <w:style w:type="paragraph" w:customStyle="1" w:styleId="EndNoteBibliographyTitle">
    <w:name w:val="EndNote Bibliography Title"/>
    <w:basedOn w:val="Normal"/>
    <w:link w:val="EndNoteBibliographyTitleChar"/>
    <w:rsid w:val="00950ADB"/>
    <w:pPr>
      <w:spacing w:after="0"/>
      <w:jc w:val="center"/>
    </w:pPr>
    <w:rPr>
      <w:rFonts w:ascii="Aptos" w:hAnsi="Aptos"/>
    </w:rPr>
  </w:style>
  <w:style w:type="character" w:customStyle="1" w:styleId="EndNoteBibliographyTitleChar">
    <w:name w:val="EndNote Bibliography Title Char"/>
    <w:basedOn w:val="DefaultParagraphFont"/>
    <w:link w:val="EndNoteBibliographyTitle"/>
    <w:rsid w:val="00950ADB"/>
    <w:rPr>
      <w:rFonts w:ascii="Aptos" w:hAnsi="Aptos"/>
    </w:rPr>
  </w:style>
  <w:style w:type="paragraph" w:customStyle="1" w:styleId="EndNoteBibliography">
    <w:name w:val="EndNote Bibliography"/>
    <w:basedOn w:val="Normal"/>
    <w:link w:val="EndNoteBibliographyChar"/>
    <w:rsid w:val="00950ADB"/>
    <w:pPr>
      <w:spacing w:line="240" w:lineRule="auto"/>
    </w:pPr>
    <w:rPr>
      <w:rFonts w:ascii="Aptos" w:hAnsi="Aptos"/>
    </w:rPr>
  </w:style>
  <w:style w:type="character" w:customStyle="1" w:styleId="EndNoteBibliographyChar">
    <w:name w:val="EndNote Bibliography Char"/>
    <w:basedOn w:val="DefaultParagraphFont"/>
    <w:link w:val="EndNoteBibliography"/>
    <w:rsid w:val="00950ADB"/>
    <w:rPr>
      <w:rFonts w:ascii="Aptos" w:hAnsi="Apto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197331">
      <w:bodyDiv w:val="1"/>
      <w:marLeft w:val="0"/>
      <w:marRight w:val="0"/>
      <w:marTop w:val="0"/>
      <w:marBottom w:val="0"/>
      <w:divBdr>
        <w:top w:val="none" w:sz="0" w:space="0" w:color="auto"/>
        <w:left w:val="none" w:sz="0" w:space="0" w:color="auto"/>
        <w:bottom w:val="none" w:sz="0" w:space="0" w:color="auto"/>
        <w:right w:val="none" w:sz="0" w:space="0" w:color="auto"/>
      </w:divBdr>
    </w:div>
    <w:div w:id="1298219813">
      <w:bodyDiv w:val="1"/>
      <w:marLeft w:val="0"/>
      <w:marRight w:val="0"/>
      <w:marTop w:val="0"/>
      <w:marBottom w:val="0"/>
      <w:divBdr>
        <w:top w:val="none" w:sz="0" w:space="0" w:color="auto"/>
        <w:left w:val="none" w:sz="0" w:space="0" w:color="auto"/>
        <w:bottom w:val="none" w:sz="0" w:space="0" w:color="auto"/>
        <w:right w:val="none" w:sz="0" w:space="0" w:color="auto"/>
      </w:divBdr>
    </w:div>
    <w:div w:id="1915385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12</TotalTime>
  <Pages>6</Pages>
  <Words>1693</Words>
  <Characters>9655</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 Hullekes</dc:creator>
  <cp:keywords/>
  <dc:description/>
  <cp:lastModifiedBy>Hullekes, Frank</cp:lastModifiedBy>
  <cp:revision>12</cp:revision>
  <dcterms:created xsi:type="dcterms:W3CDTF">2025-09-11T13:18:00Z</dcterms:created>
  <dcterms:modified xsi:type="dcterms:W3CDTF">2025-10-30T18:44:00Z</dcterms:modified>
</cp:coreProperties>
</file>