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CF4FC3" w14:textId="3C08B8DF" w:rsidR="00A06992" w:rsidRPr="00D47057" w:rsidRDefault="00A06992" w:rsidP="00A06992">
      <w:pPr>
        <w:pStyle w:val="Tableofcontents"/>
        <w:rPr>
          <w:b/>
          <w:bCs/>
        </w:rPr>
      </w:pPr>
      <w:bookmarkStart w:id="0" w:name="_Hlk135924071"/>
      <w:bookmarkStart w:id="1" w:name="_GoBack"/>
      <w:r w:rsidRPr="00D47057">
        <w:rPr>
          <w:b/>
          <w:bCs/>
        </w:rPr>
        <w:t>SUPPORTING INFORMATION</w:t>
      </w:r>
    </w:p>
    <w:p w14:paraId="64CBFA89" w14:textId="77777777" w:rsidR="00A06992" w:rsidRPr="00D47057" w:rsidRDefault="00A06992" w:rsidP="00A06992">
      <w:pPr>
        <w:pStyle w:val="Tableofcontents"/>
        <w:rPr>
          <w:b/>
          <w:bCs/>
        </w:rPr>
      </w:pPr>
    </w:p>
    <w:p w14:paraId="77A7B249" w14:textId="2833C2FC" w:rsidR="00A06992" w:rsidRPr="00D47057" w:rsidRDefault="00A06992" w:rsidP="00A06992">
      <w:pPr>
        <w:pStyle w:val="Tableofcontents"/>
        <w:rPr>
          <w:b/>
          <w:bCs/>
        </w:rPr>
      </w:pPr>
      <w:r w:rsidRPr="00D47057">
        <w:rPr>
          <w:b/>
          <w:bCs/>
        </w:rPr>
        <w:t>Unique Performance Considerations for Printable Organic Semiconductor and Perovskite Radiation Detectors: Towards Consensus on Best Practice Evaluation</w:t>
      </w:r>
    </w:p>
    <w:p w14:paraId="776F89EF" w14:textId="77777777" w:rsidR="00A06992" w:rsidRPr="00D47057" w:rsidRDefault="00A06992" w:rsidP="00A06992">
      <w:pPr>
        <w:pStyle w:val="Tableofcontents"/>
      </w:pPr>
    </w:p>
    <w:p w14:paraId="0D0B99ED" w14:textId="77777777" w:rsidR="00A06992" w:rsidRPr="00D47057" w:rsidRDefault="00A06992" w:rsidP="00A06992">
      <w:pPr>
        <w:pStyle w:val="AuthorsFull"/>
        <w:spacing w:line="360" w:lineRule="auto"/>
        <w:rPr>
          <w:lang w:val="it-IT"/>
        </w:rPr>
      </w:pPr>
      <w:r w:rsidRPr="00D47057">
        <w:rPr>
          <w:lang w:val="it-IT"/>
        </w:rPr>
        <w:t>Jessie A. Posar,</w:t>
      </w:r>
      <w:r w:rsidRPr="00D47057">
        <w:rPr>
          <w:vertAlign w:val="superscript"/>
          <w:lang w:val="it-IT"/>
        </w:rPr>
        <w:t>1,2,</w:t>
      </w:r>
      <w:r w:rsidRPr="00D47057">
        <w:rPr>
          <w:lang w:val="it-IT"/>
        </w:rPr>
        <w:t>* Matthew Large,</w:t>
      </w:r>
      <w:r w:rsidRPr="00D47057">
        <w:rPr>
          <w:vertAlign w:val="superscript"/>
          <w:lang w:val="it-IT"/>
        </w:rPr>
        <w:t>3</w:t>
      </w:r>
      <w:r w:rsidRPr="00D47057">
        <w:rPr>
          <w:lang w:val="it-IT"/>
        </w:rPr>
        <w:t xml:space="preserve"> Andrea Ciavatti,</w:t>
      </w:r>
      <w:r w:rsidRPr="00D47057">
        <w:rPr>
          <w:vertAlign w:val="superscript"/>
          <w:lang w:val="it-IT"/>
        </w:rPr>
        <w:t>4</w:t>
      </w:r>
      <w:r w:rsidRPr="00D47057">
        <w:rPr>
          <w:lang w:val="it-IT"/>
        </w:rPr>
        <w:t xml:space="preserve"> Laura Basiricò,</w:t>
      </w:r>
      <w:r w:rsidRPr="00D47057">
        <w:rPr>
          <w:vertAlign w:val="superscript"/>
          <w:lang w:val="it-IT"/>
        </w:rPr>
        <w:t>4</w:t>
      </w:r>
      <w:r w:rsidRPr="00D47057">
        <w:rPr>
          <w:lang w:val="it-IT"/>
        </w:rPr>
        <w:t xml:space="preserve"> Beatrice Fraboni,</w:t>
      </w:r>
      <w:r w:rsidRPr="00D47057">
        <w:rPr>
          <w:vertAlign w:val="superscript"/>
          <w:lang w:val="it-IT"/>
        </w:rPr>
        <w:t>4</w:t>
      </w:r>
      <w:r w:rsidRPr="00D47057">
        <w:rPr>
          <w:lang w:val="it-IT"/>
        </w:rPr>
        <w:t xml:space="preserve"> Paul J. Sellin,</w:t>
      </w:r>
      <w:r w:rsidRPr="00D47057">
        <w:rPr>
          <w:vertAlign w:val="superscript"/>
          <w:lang w:val="it-IT"/>
        </w:rPr>
        <w:t>5</w:t>
      </w:r>
      <w:r w:rsidRPr="00D47057">
        <w:rPr>
          <w:lang w:val="it-IT"/>
        </w:rPr>
        <w:t xml:space="preserve"> Attila J. Mozer,</w:t>
      </w:r>
      <w:r w:rsidRPr="00D47057">
        <w:rPr>
          <w:vertAlign w:val="superscript"/>
          <w:lang w:val="it-IT"/>
        </w:rPr>
        <w:t>6</w:t>
      </w:r>
      <w:r w:rsidRPr="00D47057">
        <w:rPr>
          <w:lang w:val="it-IT"/>
        </w:rPr>
        <w:t xml:space="preserve"> Marco Petasecca,</w:t>
      </w:r>
      <w:r w:rsidRPr="00D47057">
        <w:rPr>
          <w:vertAlign w:val="superscript"/>
          <w:lang w:val="it-IT"/>
        </w:rPr>
        <w:t>3</w:t>
      </w:r>
      <w:r w:rsidRPr="00D47057">
        <w:rPr>
          <w:lang w:val="it-IT"/>
        </w:rPr>
        <w:t xml:space="preserve"> and Matthew J. Griffith </w:t>
      </w:r>
      <w:r w:rsidRPr="00D47057">
        <w:rPr>
          <w:vertAlign w:val="superscript"/>
          <w:lang w:val="it-IT"/>
        </w:rPr>
        <w:t>2,7,</w:t>
      </w:r>
      <w:r w:rsidRPr="00D47057">
        <w:rPr>
          <w:lang w:val="it-IT"/>
        </w:rPr>
        <w:t>*</w:t>
      </w:r>
    </w:p>
    <w:p w14:paraId="111CD591" w14:textId="77777777" w:rsidR="00A06992" w:rsidRPr="00D47057" w:rsidRDefault="00A06992" w:rsidP="00A06992">
      <w:pPr>
        <w:pStyle w:val="Tableofcontents"/>
      </w:pPr>
    </w:p>
    <w:p w14:paraId="1A39E58F" w14:textId="77777777" w:rsidR="00A06992" w:rsidRPr="00D47057" w:rsidRDefault="00A06992" w:rsidP="00A06992">
      <w:pPr>
        <w:pStyle w:val="Addresses"/>
        <w:spacing w:line="276" w:lineRule="auto"/>
      </w:pPr>
      <w:r w:rsidRPr="00D47057">
        <w:t>J. A. Posar</w:t>
      </w:r>
    </w:p>
    <w:p w14:paraId="3A28562C" w14:textId="77777777" w:rsidR="00A06992" w:rsidRPr="00D47057" w:rsidRDefault="00A06992" w:rsidP="00A06992">
      <w:pPr>
        <w:pStyle w:val="Addresses"/>
        <w:spacing w:line="276" w:lineRule="auto"/>
      </w:pPr>
      <w:r w:rsidRPr="00D47057">
        <w:t>1. Centre for Medical Radiation Physics, University of Wollongong, Wollongong, NSW, 2522, Australia</w:t>
      </w:r>
    </w:p>
    <w:p w14:paraId="387EAACE" w14:textId="77777777" w:rsidR="00A06992" w:rsidRPr="00D47057" w:rsidRDefault="00A06992" w:rsidP="00A06992">
      <w:pPr>
        <w:pStyle w:val="Addresses"/>
        <w:spacing w:line="276" w:lineRule="auto"/>
      </w:pPr>
      <w:r w:rsidRPr="00D47057">
        <w:t>2. School of Aeronautical, Mechanical and Mechatronic Engineering, University of Sydney, Camperdown, NSW, 2506, Australia.</w:t>
      </w:r>
    </w:p>
    <w:p w14:paraId="6E6B6BFD" w14:textId="77777777" w:rsidR="00A06992" w:rsidRPr="00D47057" w:rsidRDefault="00A06992" w:rsidP="00A06992">
      <w:pPr>
        <w:pStyle w:val="Addresses"/>
        <w:spacing w:line="276" w:lineRule="auto"/>
        <w:rPr>
          <w:lang w:val="it-IT"/>
        </w:rPr>
      </w:pPr>
      <w:r w:rsidRPr="00D47057">
        <w:rPr>
          <w:lang w:val="it-IT"/>
        </w:rPr>
        <w:t xml:space="preserve">E-mail: </w:t>
      </w:r>
      <w:hyperlink r:id="rId4" w:history="1">
        <w:r w:rsidRPr="00D47057">
          <w:rPr>
            <w:rStyle w:val="Hyperlink"/>
            <w:color w:val="auto"/>
            <w:lang w:val="it-IT"/>
          </w:rPr>
          <w:t>j.posar@uow.edu.au</w:t>
        </w:r>
      </w:hyperlink>
      <w:r w:rsidRPr="00D47057">
        <w:rPr>
          <w:lang w:val="it-IT"/>
        </w:rPr>
        <w:t xml:space="preserve"> </w:t>
      </w:r>
    </w:p>
    <w:p w14:paraId="2A1AA9DE" w14:textId="77777777" w:rsidR="00A06992" w:rsidRPr="00D47057" w:rsidRDefault="00A06992" w:rsidP="00A06992">
      <w:pPr>
        <w:pStyle w:val="Addresses"/>
        <w:spacing w:line="276" w:lineRule="auto"/>
        <w:rPr>
          <w:lang w:val="it-IT"/>
        </w:rPr>
      </w:pPr>
    </w:p>
    <w:p w14:paraId="5BF38549" w14:textId="77777777" w:rsidR="00A06992" w:rsidRPr="00D47057" w:rsidRDefault="00A06992" w:rsidP="00A06992">
      <w:pPr>
        <w:pStyle w:val="Addresses"/>
        <w:spacing w:line="276" w:lineRule="auto"/>
      </w:pPr>
      <w:r w:rsidRPr="00D47057">
        <w:t>M. Large, M. Petasecca</w:t>
      </w:r>
    </w:p>
    <w:p w14:paraId="284D20FB" w14:textId="77777777" w:rsidR="00A06992" w:rsidRPr="00D47057" w:rsidRDefault="00A06992" w:rsidP="00A06992">
      <w:pPr>
        <w:pStyle w:val="Addresses"/>
        <w:spacing w:line="276" w:lineRule="auto"/>
      </w:pPr>
      <w:r w:rsidRPr="00D47057">
        <w:t>3. Centre for Medical Radiation Physics, University of Wollongong, Wollongong, NSW, 2522, Australia.</w:t>
      </w:r>
    </w:p>
    <w:p w14:paraId="31F70065" w14:textId="77777777" w:rsidR="00A06992" w:rsidRPr="00D47057" w:rsidRDefault="00A06992" w:rsidP="00A06992">
      <w:pPr>
        <w:pStyle w:val="Addresses"/>
        <w:spacing w:line="276" w:lineRule="auto"/>
      </w:pPr>
    </w:p>
    <w:p w14:paraId="6BD6F9E8" w14:textId="77777777" w:rsidR="00A06992" w:rsidRPr="00D47057" w:rsidRDefault="00A06992" w:rsidP="00A06992">
      <w:pPr>
        <w:pStyle w:val="Addresses"/>
        <w:spacing w:line="276" w:lineRule="auto"/>
        <w:rPr>
          <w:lang w:val="it-IT"/>
        </w:rPr>
      </w:pPr>
      <w:r w:rsidRPr="00D47057">
        <w:rPr>
          <w:lang w:val="it-IT"/>
        </w:rPr>
        <w:t>A. Ciavatti, L. Basiricò, B. Fraboni</w:t>
      </w:r>
    </w:p>
    <w:p w14:paraId="313E239B" w14:textId="77777777" w:rsidR="00A06992" w:rsidRPr="00D47057" w:rsidRDefault="00A06992" w:rsidP="00A06992">
      <w:pPr>
        <w:pStyle w:val="Addresses"/>
        <w:spacing w:line="276" w:lineRule="auto"/>
      </w:pPr>
      <w:r w:rsidRPr="00D47057">
        <w:t xml:space="preserve">4. Department of Physics and Astronomy, University of Bologna, </w:t>
      </w:r>
      <w:proofErr w:type="spellStart"/>
      <w:r w:rsidRPr="00D47057">
        <w:t>Viale</w:t>
      </w:r>
      <w:proofErr w:type="spellEnd"/>
      <w:r w:rsidRPr="00D47057">
        <w:t xml:space="preserve"> </w:t>
      </w:r>
      <w:proofErr w:type="spellStart"/>
      <w:r w:rsidRPr="00D47057">
        <w:t>Berti</w:t>
      </w:r>
      <w:proofErr w:type="spellEnd"/>
      <w:r w:rsidRPr="00D47057">
        <w:t xml:space="preserve"> </w:t>
      </w:r>
      <w:proofErr w:type="spellStart"/>
      <w:r w:rsidRPr="00D47057">
        <w:t>Pichat</w:t>
      </w:r>
      <w:proofErr w:type="spellEnd"/>
      <w:r w:rsidRPr="00D47057">
        <w:t xml:space="preserve"> 6/2, Bologna, 40127, Italy.</w:t>
      </w:r>
    </w:p>
    <w:p w14:paraId="37E8C18F" w14:textId="77777777" w:rsidR="00A06992" w:rsidRPr="00D47057" w:rsidRDefault="00A06992" w:rsidP="00A06992">
      <w:pPr>
        <w:pStyle w:val="Addresses"/>
        <w:spacing w:line="276" w:lineRule="auto"/>
      </w:pPr>
    </w:p>
    <w:p w14:paraId="77565307" w14:textId="77777777" w:rsidR="00A06992" w:rsidRPr="00D47057" w:rsidRDefault="00A06992" w:rsidP="00A06992">
      <w:pPr>
        <w:pStyle w:val="Addresses"/>
        <w:spacing w:line="276" w:lineRule="auto"/>
      </w:pPr>
      <w:r w:rsidRPr="00D47057">
        <w:t>P. Sellin</w:t>
      </w:r>
    </w:p>
    <w:p w14:paraId="45BC29B4" w14:textId="77777777" w:rsidR="00A06992" w:rsidRPr="00D47057" w:rsidRDefault="00A06992" w:rsidP="00A06992">
      <w:pPr>
        <w:pStyle w:val="Addresses"/>
        <w:spacing w:line="276" w:lineRule="auto"/>
      </w:pPr>
      <w:r w:rsidRPr="00D47057">
        <w:t>5. Department of Physics, University of Surrey, Guildford, Surrey, GU2 7XH, United Kingdom.</w:t>
      </w:r>
    </w:p>
    <w:p w14:paraId="5E98C976" w14:textId="77777777" w:rsidR="00A06992" w:rsidRPr="00D47057" w:rsidRDefault="00A06992" w:rsidP="00A06992">
      <w:pPr>
        <w:pStyle w:val="Addresses"/>
        <w:spacing w:line="276" w:lineRule="auto"/>
      </w:pPr>
    </w:p>
    <w:p w14:paraId="2675A35D" w14:textId="77777777" w:rsidR="00A06992" w:rsidRPr="00D47057" w:rsidRDefault="00A06992" w:rsidP="00A06992">
      <w:pPr>
        <w:spacing w:line="276" w:lineRule="auto"/>
        <w:rPr>
          <w:lang w:val="en-US"/>
        </w:rPr>
      </w:pPr>
      <w:r w:rsidRPr="00D47057">
        <w:rPr>
          <w:lang w:val="en-US"/>
        </w:rPr>
        <w:t>A. J. Mozer</w:t>
      </w:r>
    </w:p>
    <w:p w14:paraId="0A08E50E" w14:textId="77777777" w:rsidR="00A06992" w:rsidRPr="00D47057" w:rsidRDefault="00A06992" w:rsidP="00A06992">
      <w:pPr>
        <w:spacing w:line="276" w:lineRule="auto"/>
        <w:rPr>
          <w:lang w:val="en-US"/>
        </w:rPr>
      </w:pPr>
      <w:r w:rsidRPr="00D47057">
        <w:rPr>
          <w:lang w:val="en-US"/>
        </w:rPr>
        <w:t>6. Intelligent Polymer Research Institute, Innovation Campus, Squires Way, North Wollongong, NSW 2500, Australia.</w:t>
      </w:r>
    </w:p>
    <w:bookmarkEnd w:id="0"/>
    <w:p w14:paraId="1247FB64" w14:textId="77777777" w:rsidR="00A06992" w:rsidRPr="00D47057" w:rsidRDefault="00A06992" w:rsidP="00A06992">
      <w:pPr>
        <w:pStyle w:val="Addresses"/>
        <w:spacing w:line="276" w:lineRule="auto"/>
      </w:pPr>
    </w:p>
    <w:p w14:paraId="6E83F2BB" w14:textId="77777777" w:rsidR="00A06992" w:rsidRPr="00D47057" w:rsidRDefault="00A06992" w:rsidP="00A06992">
      <w:pPr>
        <w:pStyle w:val="Addresses"/>
        <w:spacing w:line="276" w:lineRule="auto"/>
      </w:pPr>
      <w:r w:rsidRPr="00D47057">
        <w:t>M. J. Griffith</w:t>
      </w:r>
    </w:p>
    <w:p w14:paraId="5703F41B" w14:textId="77777777" w:rsidR="00A06992" w:rsidRPr="00D47057" w:rsidRDefault="00A06992" w:rsidP="00A06992">
      <w:pPr>
        <w:pStyle w:val="Addresses"/>
        <w:spacing w:line="276" w:lineRule="auto"/>
      </w:pPr>
      <w:r w:rsidRPr="00D47057">
        <w:t>2. School of Aeronautical, Mechanical and Mechatronic Engineering, University of Sydney, Camperdown, NSW, 2506, Australia</w:t>
      </w:r>
    </w:p>
    <w:p w14:paraId="4DB89988" w14:textId="77777777" w:rsidR="00A06992" w:rsidRPr="00D47057" w:rsidRDefault="00A06992" w:rsidP="00A06992">
      <w:pPr>
        <w:pStyle w:val="Addresses"/>
        <w:spacing w:line="276" w:lineRule="auto"/>
      </w:pPr>
      <w:r w:rsidRPr="00D47057">
        <w:t>7. Future Industries Institute, University of South Australia, Mawson Lakes, SA, 5095, Australia.</w:t>
      </w:r>
    </w:p>
    <w:p w14:paraId="3DE6DB8F" w14:textId="77777777" w:rsidR="00A06992" w:rsidRPr="00D47057" w:rsidRDefault="00A06992" w:rsidP="00A06992">
      <w:pPr>
        <w:pStyle w:val="Addresses"/>
        <w:spacing w:line="276" w:lineRule="auto"/>
      </w:pPr>
      <w:r w:rsidRPr="00D47057">
        <w:t xml:space="preserve">Email: </w:t>
      </w:r>
      <w:hyperlink r:id="rId5" w:history="1">
        <w:r w:rsidRPr="00D47057">
          <w:rPr>
            <w:rStyle w:val="Hyperlink"/>
            <w:color w:val="auto"/>
          </w:rPr>
          <w:t>matthew.griffith@unisa.edu.au</w:t>
        </w:r>
      </w:hyperlink>
    </w:p>
    <w:p w14:paraId="5C81DF07" w14:textId="77777777" w:rsidR="00A06992" w:rsidRPr="00D47057" w:rsidRDefault="00A06992" w:rsidP="00A06992">
      <w:pPr>
        <w:pStyle w:val="Addresses"/>
        <w:spacing w:line="276" w:lineRule="auto"/>
      </w:pPr>
    </w:p>
    <w:p w14:paraId="100E219F" w14:textId="77777777" w:rsidR="005F6BEB" w:rsidRPr="00D47057" w:rsidRDefault="005F6BEB"/>
    <w:p w14:paraId="3115A7C7" w14:textId="77777777" w:rsidR="00A06992" w:rsidRPr="00D47057" w:rsidRDefault="00A06992"/>
    <w:p w14:paraId="23733B21" w14:textId="6508FADB" w:rsidR="00A06992" w:rsidRPr="00D47057" w:rsidRDefault="00A06992">
      <w:pPr>
        <w:rPr>
          <w:b/>
          <w:bCs/>
        </w:rPr>
      </w:pPr>
      <w:r w:rsidRPr="00D47057">
        <w:rPr>
          <w:b/>
          <w:bCs/>
        </w:rPr>
        <w:lastRenderedPageBreak/>
        <w:t>Measurement of Mobility Using Space Charge Limited Current</w:t>
      </w:r>
    </w:p>
    <w:p w14:paraId="1807A8C1" w14:textId="77777777" w:rsidR="00A06992" w:rsidRPr="00D47057" w:rsidRDefault="00A06992" w:rsidP="00A06992">
      <w:pPr>
        <w:pStyle w:val="Head1"/>
      </w:pPr>
      <w:r w:rsidRPr="00D47057">
        <w:t>Charge mobility can be derived from the current – voltage behavior of diodes and transistors under specific operational regimes. The derivation of mobility values from these characterizations is convenient as they can be performed on the same device used for sensitivity measurements with the same instrumentation, without a need for dedicated mobility measurement systems. According to the Mott-Gurney law, the space charge limited current density (</w:t>
      </w:r>
      <w:r w:rsidRPr="00D47057">
        <w:rPr>
          <w:i/>
          <w:iCs/>
        </w:rPr>
        <w:t>J</w:t>
      </w:r>
      <w:r w:rsidRPr="00D47057">
        <w:t>) of a single charge carrier device can be described as:</w:t>
      </w:r>
      <w:r w:rsidRPr="00D47057">
        <w:fldChar w:fldCharType="begin"/>
      </w:r>
      <w:r w:rsidRPr="00D47057">
        <w:instrText xml:space="preserve"> ADDIN EN.CITE &lt;EndNote&gt;&lt;Cite ExcludeYear="1"&gt;&lt;Author&gt;Mott&lt;/Author&gt;&lt;Year&gt;1940&lt;/Year&gt;&lt;RecNum&gt;37&lt;/RecNum&gt;&lt;DisplayText&gt;&lt;style face="superscript"&gt;[138]&lt;/style&gt;&lt;/DisplayText&gt;&lt;record&gt;&lt;rec-number&gt;37&lt;/rec-number&gt;&lt;foreign-keys&gt;&lt;key app="EN" db-id="wvrx2ewpexzx54etadqvw096vee5rtx0pdax" timestamp="1689052115"&gt;37&lt;/key&gt;&lt;/foreign-keys&gt;&lt;ref-type name="Book"&gt;6&lt;/ref-type&gt;&lt;contributors&gt;&lt;authors&gt;&lt;author&gt;N. W. Mott&lt;/author&gt;&lt;author&gt;R. W. Gurney&lt;/author&gt;&lt;/authors&gt;&lt;/contributors&gt;&lt;titles&gt;&lt;title&gt;Electronic Processes in Ionic Crystals (2nd Ed)&lt;/title&gt;&lt;/titles&gt;&lt;dates&gt;&lt;year&gt;1940&lt;/year&gt;&lt;/dates&gt;&lt;publisher&gt;Clarendon Press, Oxford&lt;/publisher&gt;&lt;urls&gt;&lt;/urls&gt;&lt;/record&gt;&lt;/Cite&gt;&lt;/EndNote&gt;</w:instrText>
      </w:r>
      <w:r w:rsidRPr="00D47057">
        <w:fldChar w:fldCharType="separate"/>
      </w:r>
      <w:r w:rsidRPr="00D47057">
        <w:rPr>
          <w:noProof/>
          <w:vertAlign w:val="superscript"/>
        </w:rPr>
        <w:t>[138]</w:t>
      </w:r>
      <w:r w:rsidRPr="00D47057">
        <w:fldChar w:fldCharType="end"/>
      </w:r>
    </w:p>
    <w:p w14:paraId="78E1A9FC" w14:textId="77777777" w:rsidR="00A06992" w:rsidRPr="00D47057" w:rsidRDefault="00A06992" w:rsidP="00AC0170">
      <w:pPr>
        <w:pStyle w:val="Head1"/>
        <w:jc w:val="center"/>
      </w:pPr>
      <w:r w:rsidRPr="00D47057">
        <w:rPr>
          <w:noProof/>
        </w:rPr>
        <mc:AlternateContent>
          <mc:Choice Requires="wps">
            <w:drawing>
              <wp:anchor distT="45720" distB="45720" distL="114300" distR="114300" simplePos="0" relativeHeight="251659264" behindDoc="0" locked="0" layoutInCell="1" allowOverlap="1" wp14:anchorId="1D31DA16" wp14:editId="1C883FC8">
                <wp:simplePos x="0" y="0"/>
                <wp:positionH relativeFrom="margin">
                  <wp:posOffset>5176520</wp:posOffset>
                </wp:positionH>
                <wp:positionV relativeFrom="paragraph">
                  <wp:posOffset>8890</wp:posOffset>
                </wp:positionV>
                <wp:extent cx="633095" cy="441960"/>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095" cy="441960"/>
                        </a:xfrm>
                        <a:prstGeom prst="rect">
                          <a:avLst/>
                        </a:prstGeom>
                        <a:noFill/>
                        <a:ln w="9525">
                          <a:noFill/>
                          <a:miter lim="800000"/>
                          <a:headEnd/>
                          <a:tailEnd/>
                        </a:ln>
                      </wps:spPr>
                      <wps:txbx>
                        <w:txbxContent>
                          <w:p w14:paraId="2D53023E" w14:textId="77777777" w:rsidR="00A06992" w:rsidRDefault="00A06992" w:rsidP="00A06992">
                            <w:r w:rsidRPr="005E656F">
                              <w:t>(</w:t>
                            </w:r>
                            <w:r>
                              <w:t>E</w:t>
                            </w:r>
                            <w:r w:rsidRPr="005E656F">
                              <w:t>q.</w:t>
                            </w:r>
                            <w:r>
                              <w:t xml:space="preserve"> 7</w:t>
                            </w:r>
                            <w:r w:rsidRPr="005E656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D31DA16" id="_x0000_t202" coordsize="21600,21600" o:spt="202" path="m,l,21600r21600,l21600,xe">
                <v:stroke joinstyle="miter"/>
                <v:path gradientshapeok="t" o:connecttype="rect"/>
              </v:shapetype>
              <v:shape id="Text Box 11" o:spid="_x0000_s1026" type="#_x0000_t202" style="position:absolute;left:0;text-align:left;margin-left:407.6pt;margin-top:.7pt;width:49.85pt;height:34.8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" filled="f" stroked="f">
                <v:textbox style="mso-fit-shape-to-text:t">
                  <w:txbxContent>
                    <w:p w14:paraId="2D53023E" w14:textId="77777777" w:rsidR="00A06992" w:rsidRDefault="00A06992" w:rsidP="00A06992">
                      <w:r w:rsidRPr="005E656F">
                        <w:t>(</w:t>
                      </w:r>
                      <w:r>
                        <w:t>E</w:t>
                      </w:r>
                      <w:r w:rsidRPr="005E656F">
                        <w:t>q.</w:t>
                      </w:r>
                      <w:r>
                        <w:t xml:space="preserve"> 7</w:t>
                      </w:r>
                      <w:r w:rsidRPr="005E656F">
                        <w:t>)</w:t>
                      </w:r>
                    </w:p>
                  </w:txbxContent>
                </v:textbox>
                <w10:wrap anchorx="margin"/>
              </v:shape>
            </w:pict>
          </mc:Fallback>
        </mc:AlternateContent>
      </w:r>
      <m:oMath>
        <m:r>
          <w:rPr>
            <w:rFonts w:ascii="Cambria Math" w:hAnsi="Cambria Math"/>
          </w:rPr>
          <m:t>J</m:t>
        </m:r>
        <m:r>
          <m:rPr>
            <m:sty m:val="p"/>
          </m:rPr>
          <w:rPr>
            <w:rFonts w:ascii="Cambria Math" w:hAnsi="Cambria Math"/>
          </w:rPr>
          <m:t>=</m:t>
        </m:r>
        <m:f>
          <m:fPr>
            <m:ctrlPr>
              <w:rPr>
                <w:rFonts w:ascii="Cambria Math" w:hAnsi="Cambria Math"/>
              </w:rPr>
            </m:ctrlPr>
          </m:fPr>
          <m:num>
            <m:r>
              <m:rPr>
                <m:sty m:val="p"/>
              </m:rPr>
              <w:rPr>
                <w:rFonts w:ascii="Cambria Math" w:hAnsi="Cambria Math"/>
              </w:rPr>
              <m:t>9</m:t>
            </m:r>
          </m:num>
          <m:den>
            <m:r>
              <m:rPr>
                <m:sty m:val="p"/>
              </m:rPr>
              <w:rPr>
                <w:rFonts w:ascii="Cambria Math" w:hAnsi="Cambria Math"/>
              </w:rPr>
              <m:t>8</m:t>
            </m:r>
          </m:den>
        </m:f>
        <m:r>
          <w:rPr>
            <w:rFonts w:ascii="Cambria Math" w:hAnsi="Cambria Math"/>
          </w:rPr>
          <m:t>εμ</m:t>
        </m:r>
        <m:f>
          <m:fPr>
            <m:ctrlPr>
              <w:rPr>
                <w:rFonts w:ascii="Cambria Math" w:hAnsi="Cambria Math"/>
              </w:rPr>
            </m:ctrlPr>
          </m:fPr>
          <m:num>
            <m:sSup>
              <m:sSupPr>
                <m:ctrlPr>
                  <w:rPr>
                    <w:rFonts w:ascii="Cambria Math" w:hAnsi="Cambria Math"/>
                  </w:rPr>
                </m:ctrlPr>
              </m:sSupPr>
              <m:e>
                <m:r>
                  <w:rPr>
                    <w:rFonts w:ascii="Cambria Math" w:hAnsi="Cambria Math"/>
                  </w:rPr>
                  <m:t>V</m:t>
                </m:r>
              </m:e>
              <m:sup>
                <m:r>
                  <m:rPr>
                    <m:sty m:val="p"/>
                  </m:rPr>
                  <w:rPr>
                    <w:rFonts w:ascii="Cambria Math" w:hAnsi="Cambria Math"/>
                  </w:rPr>
                  <m:t>2</m:t>
                </m:r>
              </m:sup>
            </m:sSup>
          </m:num>
          <m:den>
            <m:sSup>
              <m:sSupPr>
                <m:ctrlPr>
                  <w:rPr>
                    <w:rFonts w:ascii="Cambria Math" w:hAnsi="Cambria Math"/>
                  </w:rPr>
                </m:ctrlPr>
              </m:sSupPr>
              <m:e>
                <m:r>
                  <w:rPr>
                    <w:rFonts w:ascii="Cambria Math" w:hAnsi="Cambria Math"/>
                  </w:rPr>
                  <m:t>d</m:t>
                </m:r>
              </m:e>
              <m:sup>
                <m:r>
                  <m:rPr>
                    <m:sty m:val="p"/>
                  </m:rPr>
                  <w:rPr>
                    <w:rFonts w:ascii="Cambria Math" w:hAnsi="Cambria Math"/>
                  </w:rPr>
                  <m:t>3</m:t>
                </m:r>
              </m:sup>
            </m:sSup>
          </m:den>
        </m:f>
      </m:oMath>
    </w:p>
    <w:p w14:paraId="3CE74166" w14:textId="04431965" w:rsidR="00A06992" w:rsidRPr="00D47057" w:rsidRDefault="00A06992" w:rsidP="00A06992">
      <w:pPr>
        <w:rPr>
          <w:b/>
          <w:bCs/>
        </w:rPr>
      </w:pPr>
      <w:r w:rsidRPr="00D47057">
        <w:t xml:space="preserve">where ɛ is the dielectric constant of the semiconductor, </w:t>
      </w:r>
      <w:r w:rsidRPr="00D47057">
        <w:rPr>
          <w:i/>
          <w:iCs/>
        </w:rPr>
        <w:t>V</w:t>
      </w:r>
      <w:r w:rsidRPr="00D47057">
        <w:t xml:space="preserve"> is the applied voltage and </w:t>
      </w:r>
      <w:r w:rsidRPr="00D47057">
        <w:rPr>
          <w:i/>
          <w:iCs/>
        </w:rPr>
        <w:t>d</w:t>
      </w:r>
      <w:r w:rsidRPr="00D47057">
        <w:t xml:space="preserve"> is film thickness. The space charge limited condition may be achieved at sufficiently high voltages when the amount of injected charge in the device reaches the amount of the charge stored on the electrodes (capacitive charge). Typically, the logarithm of the current output of the diode is plotted versus the logarithm of the applied voltage, and the mobility is calculated from the section of the curve where the slope equals 2.</w:t>
      </w:r>
    </w:p>
    <w:p w14:paraId="7C6706E4" w14:textId="77777777" w:rsidR="00A06992" w:rsidRPr="00D47057" w:rsidRDefault="00A06992">
      <w:pPr>
        <w:rPr>
          <w:b/>
          <w:bCs/>
        </w:rPr>
      </w:pPr>
    </w:p>
    <w:p w14:paraId="2FED5036" w14:textId="77777777" w:rsidR="00A06992" w:rsidRPr="00D47057" w:rsidRDefault="00A06992">
      <w:pPr>
        <w:rPr>
          <w:b/>
          <w:bCs/>
        </w:rPr>
      </w:pPr>
    </w:p>
    <w:p w14:paraId="6C743B65" w14:textId="20F505C4" w:rsidR="00A06992" w:rsidRPr="00D47057" w:rsidRDefault="00A06992">
      <w:pPr>
        <w:rPr>
          <w:b/>
          <w:bCs/>
        </w:rPr>
      </w:pPr>
      <w:r w:rsidRPr="00D47057">
        <w:rPr>
          <w:b/>
          <w:bCs/>
        </w:rPr>
        <w:t xml:space="preserve">Measurement of Mobility Using </w:t>
      </w:r>
      <w:r w:rsidR="000C429F" w:rsidRPr="00D47057">
        <w:rPr>
          <w:b/>
          <w:bCs/>
        </w:rPr>
        <w:t>Time of Flight (TOF)</w:t>
      </w:r>
    </w:p>
    <w:p w14:paraId="47506F50" w14:textId="77777777" w:rsidR="00BB607D" w:rsidRPr="00D47057" w:rsidRDefault="00BB607D" w:rsidP="00BB607D">
      <w:r w:rsidRPr="00D47057">
        <w:t xml:space="preserve">The TOF mobility is measured from the carrier drift velocity </w:t>
      </w:r>
      <w:proofErr w:type="spellStart"/>
      <w:r w:rsidRPr="00D47057">
        <w:rPr>
          <w:i/>
        </w:rPr>
        <w:t>v</w:t>
      </w:r>
      <w:r w:rsidRPr="00D47057">
        <w:rPr>
          <w:i/>
          <w:vertAlign w:val="subscript"/>
        </w:rPr>
        <w:t>dr</w:t>
      </w:r>
      <w:proofErr w:type="spellEnd"/>
      <w:r w:rsidRPr="00D47057">
        <w:t>, assuming that the drift velocity is not saturated, from the expression:</w:t>
      </w:r>
    </w:p>
    <w:p w14:paraId="73CB233B" w14:textId="77777777" w:rsidR="00BB607D" w:rsidRPr="00D47057" w:rsidRDefault="00BB607D" w:rsidP="00BB607D">
      <w:pPr>
        <w:jc w:val="center"/>
      </w:pPr>
      <w:r w:rsidRPr="00D47057">
        <w:rPr>
          <w:noProof/>
        </w:rPr>
        <mc:AlternateContent>
          <mc:Choice Requires="wps">
            <w:drawing>
              <wp:anchor distT="45720" distB="45720" distL="114300" distR="114300" simplePos="0" relativeHeight="251661312" behindDoc="0" locked="0" layoutInCell="1" allowOverlap="1" wp14:anchorId="2222D96E" wp14:editId="2DFC0B1B">
                <wp:simplePos x="0" y="0"/>
                <wp:positionH relativeFrom="margin">
                  <wp:posOffset>5072381</wp:posOffset>
                </wp:positionH>
                <wp:positionV relativeFrom="paragraph">
                  <wp:posOffset>82550</wp:posOffset>
                </wp:positionV>
                <wp:extent cx="699770" cy="441960"/>
                <wp:effectExtent l="0" t="0" r="0" b="635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9770" cy="441960"/>
                        </a:xfrm>
                        <a:prstGeom prst="rect">
                          <a:avLst/>
                        </a:prstGeom>
                        <a:noFill/>
                        <a:ln w="9525">
                          <a:noFill/>
                          <a:miter lim="800000"/>
                          <a:headEnd/>
                          <a:tailEnd/>
                        </a:ln>
                      </wps:spPr>
                      <wps:txbx>
                        <w:txbxContent>
                          <w:p w14:paraId="1927EFCB" w14:textId="77777777" w:rsidR="00BB607D" w:rsidRDefault="00BB607D" w:rsidP="00BB607D">
                            <w:r w:rsidRPr="005E656F">
                              <w:t>(</w:t>
                            </w:r>
                            <w:r>
                              <w:t>E</w:t>
                            </w:r>
                            <w:r w:rsidRPr="005E656F">
                              <w:t>q.</w:t>
                            </w:r>
                            <w:r>
                              <w:t xml:space="preserve"> 10</w:t>
                            </w:r>
                            <w:r w:rsidRPr="005E656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222D96E" id="Text Box 10" o:spid="_x0000_s1027" type="#_x0000_t202" style="position:absolute;left:0;text-align:left;margin-left:399.4pt;margin-top:6.5pt;width:55.1pt;height:34.8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" filled="f" stroked="f">
                <v:textbox style="mso-fit-shape-to-text:t">
                  <w:txbxContent>
                    <w:p w14:paraId="1927EFCB" w14:textId="77777777" w:rsidR="00BB607D" w:rsidRDefault="00BB607D" w:rsidP="00BB607D">
                      <w:r w:rsidRPr="005E656F">
                        <w:t>(</w:t>
                      </w:r>
                      <w:r>
                        <w:t>E</w:t>
                      </w:r>
                      <w:r w:rsidRPr="005E656F">
                        <w:t>q.</w:t>
                      </w:r>
                      <w:r>
                        <w:t xml:space="preserve"> 10</w:t>
                      </w:r>
                      <w:r w:rsidRPr="005E656F">
                        <w:t>)</w:t>
                      </w:r>
                    </w:p>
                  </w:txbxContent>
                </v:textbox>
                <w10:wrap anchorx="margin"/>
              </v:shape>
            </w:pict>
          </mc:Fallback>
        </mc:AlternateContent>
      </w:r>
      <w:r w:rsidRPr="00D47057">
        <w:rPr>
          <w:position w:val="-24"/>
        </w:rPr>
        <w:object w:dxaOrig="900" w:dyaOrig="639" w14:anchorId="5925C5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pt;height:29.9pt" o:ole="" fillcolor="window">
            <v:imagedata r:id="rId6" o:title=""/>
          </v:shape>
          <o:OLEObject Type="Embed" ProgID="Equation.3" ShapeID="_x0000_i1025" DrawAspect="Content" ObjectID="_1804399348" r:id="rId7"/>
        </w:object>
      </w:r>
    </w:p>
    <w:p w14:paraId="53138019" w14:textId="77777777" w:rsidR="00BB607D" w:rsidRPr="00D47057" w:rsidRDefault="00BB607D" w:rsidP="00BB607D">
      <w:r w:rsidRPr="00D47057">
        <w:t xml:space="preserve">The carrier drift velocity is deduced from the measured carrier transit time </w:t>
      </w:r>
      <w:r w:rsidRPr="00D47057">
        <w:rPr>
          <w:rFonts w:ascii="Symbol" w:hAnsi="Symbol"/>
          <w:i/>
        </w:rPr>
        <w:t></w:t>
      </w:r>
      <w:r w:rsidRPr="00D47057">
        <w:rPr>
          <w:i/>
          <w:vertAlign w:val="subscript"/>
        </w:rPr>
        <w:t>tr</w:t>
      </w:r>
      <w:r w:rsidRPr="00D47057">
        <w:t xml:space="preserve">, and the thickness </w:t>
      </w:r>
      <w:r w:rsidRPr="00D47057">
        <w:rPr>
          <w:i/>
          <w:iCs/>
        </w:rPr>
        <w:t>d</w:t>
      </w:r>
      <w:r w:rsidRPr="00D47057">
        <w:t xml:space="preserve"> of the sample. For an applied bias voltage </w:t>
      </w:r>
      <w:r w:rsidRPr="00D47057">
        <w:rPr>
          <w:i/>
        </w:rPr>
        <w:t>V</w:t>
      </w:r>
      <w:r w:rsidRPr="00D47057">
        <w:rPr>
          <w:iCs/>
        </w:rPr>
        <w:t>,</w:t>
      </w:r>
      <w:r w:rsidRPr="00D47057">
        <w:t xml:space="preserve"> the mobility becomes:</w:t>
      </w:r>
    </w:p>
    <w:p w14:paraId="2E262E0D" w14:textId="77777777" w:rsidR="00BB607D" w:rsidRPr="00D47057" w:rsidRDefault="00BB607D" w:rsidP="00BB607D">
      <w:pPr>
        <w:jc w:val="center"/>
      </w:pPr>
      <w:r w:rsidRPr="00D47057">
        <w:rPr>
          <w:noProof/>
        </w:rPr>
        <mc:AlternateContent>
          <mc:Choice Requires="wps">
            <w:drawing>
              <wp:anchor distT="45720" distB="45720" distL="114300" distR="114300" simplePos="0" relativeHeight="251662336" behindDoc="0" locked="0" layoutInCell="1" allowOverlap="1" wp14:anchorId="3942E2DA" wp14:editId="56058914">
                <wp:simplePos x="0" y="0"/>
                <wp:positionH relativeFrom="margin">
                  <wp:posOffset>5072381</wp:posOffset>
                </wp:positionH>
                <wp:positionV relativeFrom="paragraph">
                  <wp:posOffset>22860</wp:posOffset>
                </wp:positionV>
                <wp:extent cx="699770" cy="441960"/>
                <wp:effectExtent l="0" t="0" r="0" b="635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9770" cy="441960"/>
                        </a:xfrm>
                        <a:prstGeom prst="rect">
                          <a:avLst/>
                        </a:prstGeom>
                        <a:noFill/>
                        <a:ln w="9525">
                          <a:noFill/>
                          <a:miter lim="800000"/>
                          <a:headEnd/>
                          <a:tailEnd/>
                        </a:ln>
                      </wps:spPr>
                      <wps:txbx>
                        <w:txbxContent>
                          <w:p w14:paraId="6FBF4881" w14:textId="77777777" w:rsidR="00BB607D" w:rsidRDefault="00BB607D" w:rsidP="00BB607D">
                            <w:r w:rsidRPr="005E656F">
                              <w:t>(</w:t>
                            </w:r>
                            <w:r>
                              <w:t>E</w:t>
                            </w:r>
                            <w:r w:rsidRPr="005E656F">
                              <w:t>q.</w:t>
                            </w:r>
                            <w:r>
                              <w:t xml:space="preserve"> 11</w:t>
                            </w:r>
                            <w:r w:rsidRPr="005E656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942E2DA" id="Text Box 9" o:spid="_x0000_s1028" type="#_x0000_t202" style="position:absolute;left:0;text-align:left;margin-left:399.4pt;margin-top:1.8pt;width:55.1pt;height:34.8pt;z-index:2516623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" filled="f" stroked="f">
                <v:textbox style="mso-fit-shape-to-text:t">
                  <w:txbxContent>
                    <w:p w14:paraId="6FBF4881" w14:textId="77777777" w:rsidR="00BB607D" w:rsidRDefault="00BB607D" w:rsidP="00BB607D">
                      <w:r w:rsidRPr="005E656F">
                        <w:t>(</w:t>
                      </w:r>
                      <w:r>
                        <w:t>E</w:t>
                      </w:r>
                      <w:r w:rsidRPr="005E656F">
                        <w:t>q.</w:t>
                      </w:r>
                      <w:r>
                        <w:t xml:space="preserve"> 11</w:t>
                      </w:r>
                      <w:r w:rsidRPr="005E656F">
                        <w:t>)</w:t>
                      </w:r>
                    </w:p>
                  </w:txbxContent>
                </v:textbox>
                <w10:wrap anchorx="margin"/>
              </v:shape>
            </w:pict>
          </mc:Fallback>
        </mc:AlternateContent>
      </w:r>
      <m:oMath>
        <m:r>
          <w:rPr>
            <w:rFonts w:ascii="Cambria Math" w:hAnsi="Cambria Math"/>
          </w:rPr>
          <m:t>μ=</m:t>
        </m:r>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rPr>
                  <m:t>2</m:t>
                </m:r>
              </m:sup>
            </m:sSup>
          </m:num>
          <m:den>
            <m:r>
              <w:rPr>
                <w:rFonts w:ascii="Cambria Math" w:hAnsi="Cambria Math"/>
              </w:rPr>
              <m:t>V</m:t>
            </m:r>
            <m:sSub>
              <m:sSubPr>
                <m:ctrlPr>
                  <w:rPr>
                    <w:rFonts w:ascii="Cambria Math" w:hAnsi="Cambria Math"/>
                    <w:i/>
                  </w:rPr>
                </m:ctrlPr>
              </m:sSubPr>
              <m:e>
                <m:r>
                  <w:rPr>
                    <w:rFonts w:ascii="Cambria Math" w:hAnsi="Cambria Math"/>
                  </w:rPr>
                  <m:t>τ</m:t>
                </m:r>
              </m:e>
              <m:sub>
                <m:r>
                  <w:rPr>
                    <w:rFonts w:ascii="Cambria Math" w:hAnsi="Cambria Math"/>
                  </w:rPr>
                  <m:t>tr</m:t>
                </m:r>
              </m:sub>
            </m:sSub>
          </m:den>
        </m:f>
      </m:oMath>
    </w:p>
    <w:p w14:paraId="09C182F1" w14:textId="77777777" w:rsidR="00BB607D" w:rsidRPr="00D47057" w:rsidRDefault="00BB607D" w:rsidP="00BB607D">
      <w:r w:rsidRPr="00D47057">
        <w:rPr>
          <w:noProof/>
        </w:rPr>
        <w:lastRenderedPageBreak/>
        <mc:AlternateContent>
          <mc:Choice Requires="wps">
            <w:drawing>
              <wp:anchor distT="45720" distB="45720" distL="114300" distR="114300" simplePos="0" relativeHeight="251663360" behindDoc="0" locked="0" layoutInCell="1" allowOverlap="1" wp14:anchorId="2D68B3D6" wp14:editId="24C7DDFA">
                <wp:simplePos x="0" y="0"/>
                <wp:positionH relativeFrom="margin">
                  <wp:posOffset>5167630</wp:posOffset>
                </wp:positionH>
                <wp:positionV relativeFrom="paragraph">
                  <wp:posOffset>2141855</wp:posOffset>
                </wp:positionV>
                <wp:extent cx="709295" cy="441960"/>
                <wp:effectExtent l="0" t="0" r="0" b="635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295" cy="441960"/>
                        </a:xfrm>
                        <a:prstGeom prst="rect">
                          <a:avLst/>
                        </a:prstGeom>
                        <a:noFill/>
                        <a:ln w="9525">
                          <a:noFill/>
                          <a:miter lim="800000"/>
                          <a:headEnd/>
                          <a:tailEnd/>
                        </a:ln>
                      </wps:spPr>
                      <wps:txbx>
                        <w:txbxContent>
                          <w:p w14:paraId="6B03DD8D" w14:textId="77777777" w:rsidR="00BB607D" w:rsidRDefault="00BB607D" w:rsidP="00BB607D">
                            <w:r w:rsidRPr="005E656F">
                              <w:t>(</w:t>
                            </w:r>
                            <w:r>
                              <w:t>E</w:t>
                            </w:r>
                            <w:r w:rsidRPr="005E656F">
                              <w:t>q.</w:t>
                            </w:r>
                            <w:r>
                              <w:t xml:space="preserve"> 12</w:t>
                            </w:r>
                            <w:r w:rsidRPr="005E656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D68B3D6" id="Text Box 8" o:spid="_x0000_s1029" type="#_x0000_t202" style="position:absolute;left:0;text-align:left;margin-left:406.9pt;margin-top:168.65pt;width:55.85pt;height:34.8pt;z-index:2516633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" filled="f" stroked="f">
                <v:textbox style="mso-fit-shape-to-text:t">
                  <w:txbxContent>
                    <w:p w14:paraId="6B03DD8D" w14:textId="77777777" w:rsidR="00BB607D" w:rsidRDefault="00BB607D" w:rsidP="00BB607D">
                      <w:r w:rsidRPr="005E656F">
                        <w:t>(</w:t>
                      </w:r>
                      <w:r>
                        <w:t>E</w:t>
                      </w:r>
                      <w:r w:rsidRPr="005E656F">
                        <w:t>q.</w:t>
                      </w:r>
                      <w:r>
                        <w:t xml:space="preserve"> 12</w:t>
                      </w:r>
                      <w:r w:rsidRPr="005E656F">
                        <w:t>)</w:t>
                      </w:r>
                    </w:p>
                  </w:txbxContent>
                </v:textbox>
                <w10:wrap anchorx="margin"/>
              </v:shape>
            </w:pict>
          </mc:Fallback>
        </mc:AlternateContent>
      </w:r>
      <w:r w:rsidRPr="00D47057">
        <w:t xml:space="preserve">Hence a plot of </w:t>
      </w:r>
      <w:r w:rsidRPr="00D47057">
        <w:rPr>
          <w:i/>
        </w:rPr>
        <w:t>1/</w:t>
      </w:r>
      <w:r w:rsidRPr="00D47057">
        <w:rPr>
          <w:rFonts w:ascii="Symbol" w:hAnsi="Symbol"/>
          <w:i/>
        </w:rPr>
        <w:t></w:t>
      </w:r>
      <w:r w:rsidRPr="00D47057">
        <w:rPr>
          <w:i/>
          <w:vertAlign w:val="subscript"/>
        </w:rPr>
        <w:t>tr</w:t>
      </w:r>
      <w:r w:rsidRPr="00D47057">
        <w:t xml:space="preserve"> vs </w:t>
      </w:r>
      <w:r w:rsidRPr="00D47057">
        <w:rPr>
          <w:i/>
        </w:rPr>
        <w:t>V</w:t>
      </w:r>
      <w:r w:rsidRPr="00D47057">
        <w:t xml:space="preserve"> is often used to extract mobility from the gradient, which has a value of </w:t>
      </w:r>
      <w:r w:rsidRPr="00D47057">
        <w:rPr>
          <w:rFonts w:ascii="Symbol" w:hAnsi="Symbol"/>
          <w:i/>
        </w:rPr>
        <w:t></w:t>
      </w:r>
      <w:r w:rsidRPr="00D47057">
        <w:rPr>
          <w:i/>
        </w:rPr>
        <w:t>/d</w:t>
      </w:r>
      <w:r w:rsidRPr="00D47057">
        <w:rPr>
          <w:i/>
          <w:vertAlign w:val="superscript"/>
        </w:rPr>
        <w:t>2</w:t>
      </w:r>
      <w:r w:rsidRPr="00D47057">
        <w:t xml:space="preserve">. As previously discussed, this basic parameterization of mobility assumes that there is no field dependence, which will tend to make single-point mobility measurement less reliable. Under the influence of the applied electric field, the generated carriers drift towards the contacts and induce a current pulse in the external circuit. The induced current is proportional to the drift velocity of the carrier, by </w:t>
      </w:r>
      <w:proofErr w:type="spellStart"/>
      <w:r w:rsidRPr="00D47057">
        <w:t>Ramo's</w:t>
      </w:r>
      <w:proofErr w:type="spellEnd"/>
      <w:r w:rsidRPr="00D47057">
        <w:t xml:space="preserve"> theorem, giving:</w:t>
      </w:r>
    </w:p>
    <w:p w14:paraId="5FC8FF56" w14:textId="77777777" w:rsidR="00BB607D" w:rsidRPr="00D47057" w:rsidRDefault="00BB607D" w:rsidP="00BB607D">
      <w:pPr>
        <w:jc w:val="center"/>
      </w:pPr>
      <m:oMathPara>
        <m:oMath>
          <m:r>
            <w:rPr>
              <w:rFonts w:ascii="Cambria Math"/>
            </w:rPr>
            <m:t>I(t)=</m:t>
          </m:r>
          <m:sSub>
            <m:sSubPr>
              <m:ctrlPr>
                <w:rPr>
                  <w:rFonts w:ascii="Cambria Math" w:hAnsi="Cambria Math"/>
                  <w:i/>
                </w:rPr>
              </m:ctrlPr>
            </m:sSubPr>
            <m:e>
              <m:r>
                <w:rPr>
                  <w:rFonts w:ascii="Cambria Math"/>
                </w:rPr>
                <m:t>v</m:t>
              </m:r>
            </m:e>
            <m:sub>
              <m:r>
                <w:rPr>
                  <w:rFonts w:ascii="Cambria Math"/>
                </w:rPr>
                <m:t>dr</m:t>
              </m:r>
            </m:sub>
          </m:sSub>
          <m:r>
            <w:rPr>
              <w:rFonts w:ascii="Cambria Math"/>
            </w:rPr>
            <m:t>(t)</m:t>
          </m:r>
          <m:r>
            <w:rPr>
              <w:rFonts w:ascii="Cambria Math"/>
            </w:rPr>
            <m:t> </m:t>
          </m:r>
          <m:f>
            <m:fPr>
              <m:ctrlPr>
                <w:rPr>
                  <w:rFonts w:ascii="Cambria Math" w:hAnsi="Cambria Math"/>
                  <w:i/>
                </w:rPr>
              </m:ctrlPr>
            </m:fPr>
            <m:num>
              <m:r>
                <w:rPr>
                  <w:rFonts w:ascii="Cambria Math"/>
                </w:rPr>
                <m:t>q</m:t>
              </m:r>
            </m:num>
            <m:den>
              <m:r>
                <w:rPr>
                  <w:rFonts w:ascii="Cambria Math"/>
                </w:rPr>
                <m:t>d</m:t>
              </m:r>
            </m:den>
          </m:f>
        </m:oMath>
      </m:oMathPara>
    </w:p>
    <w:p w14:paraId="3CF87164" w14:textId="77777777" w:rsidR="00BB607D" w:rsidRPr="00D47057" w:rsidRDefault="00BB607D" w:rsidP="00BB607D">
      <w:r w:rsidRPr="00D47057">
        <w:t xml:space="preserve">where </w:t>
      </w:r>
      <w:r w:rsidRPr="00D47057">
        <w:rPr>
          <w:i/>
        </w:rPr>
        <w:t>q</w:t>
      </w:r>
      <w:r w:rsidRPr="00D47057">
        <w:t xml:space="preserve"> is the total charge created by the event, and </w:t>
      </w:r>
      <w:r w:rsidRPr="00D47057">
        <w:rPr>
          <w:i/>
        </w:rPr>
        <w:t>d</w:t>
      </w:r>
      <w:r w:rsidRPr="00D47057">
        <w:t xml:space="preserve"> is the active width of the device. For very fast drift velocities bandwidths of &gt;1GHz are necessary, which require careful shielding and earthing to prevent pickup of RF noise. Alternatively, where drift times are not too short (</w:t>
      </w:r>
      <w:proofErr w:type="spellStart"/>
      <w:r w:rsidRPr="00D47057">
        <w:t>eg.</w:t>
      </w:r>
      <w:proofErr w:type="spellEnd"/>
      <w:r w:rsidRPr="00D47057">
        <w:t xml:space="preserve"> &gt; 50 ns), an integrating charge preamplifier can be used which generally provides a better signal/noise ratio than a current amplifier.</w:t>
      </w:r>
    </w:p>
    <w:p w14:paraId="272B534C" w14:textId="77777777" w:rsidR="00A06992" w:rsidRPr="00D47057" w:rsidRDefault="00A06992"/>
    <w:p w14:paraId="32518EF9" w14:textId="0BB70373" w:rsidR="00A06992" w:rsidRPr="00D47057" w:rsidRDefault="00BB607D">
      <w:pPr>
        <w:rPr>
          <w:b/>
          <w:bCs/>
        </w:rPr>
      </w:pPr>
      <w:r w:rsidRPr="00D47057">
        <w:rPr>
          <w:b/>
          <w:bCs/>
        </w:rPr>
        <w:t>Measurement of Mobility Using the Hecht Equation</w:t>
      </w:r>
    </w:p>
    <w:p w14:paraId="089AF69E" w14:textId="15E80286" w:rsidR="00BB607D" w:rsidRPr="00D47057" w:rsidRDefault="00BB607D" w:rsidP="00BB607D">
      <w:r w:rsidRPr="00D47057">
        <w:rPr>
          <w:noProof/>
        </w:rPr>
        <mc:AlternateContent>
          <mc:Choice Requires="wps">
            <w:drawing>
              <wp:anchor distT="45720" distB="45720" distL="114300" distR="114300" simplePos="0" relativeHeight="251668480" behindDoc="0" locked="0" layoutInCell="1" allowOverlap="1" wp14:anchorId="2E5D70D7" wp14:editId="1AB0AC77">
                <wp:simplePos x="0" y="0"/>
                <wp:positionH relativeFrom="margin">
                  <wp:posOffset>5124450</wp:posOffset>
                </wp:positionH>
                <wp:positionV relativeFrom="paragraph">
                  <wp:posOffset>1097280</wp:posOffset>
                </wp:positionV>
                <wp:extent cx="878840" cy="441960"/>
                <wp:effectExtent l="0" t="0" r="0" b="635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8840" cy="441960"/>
                        </a:xfrm>
                        <a:prstGeom prst="rect">
                          <a:avLst/>
                        </a:prstGeom>
                        <a:noFill/>
                        <a:ln w="9525">
                          <a:noFill/>
                          <a:miter lim="800000"/>
                          <a:headEnd/>
                          <a:tailEnd/>
                        </a:ln>
                      </wps:spPr>
                      <wps:txbx>
                        <w:txbxContent>
                          <w:p w14:paraId="121A9804" w14:textId="77777777" w:rsidR="00BB607D" w:rsidRDefault="00BB607D" w:rsidP="00BB607D">
                            <w:r w:rsidRPr="005E656F">
                              <w:t>(</w:t>
                            </w:r>
                            <w:r>
                              <w:t>E</w:t>
                            </w:r>
                            <w:r w:rsidRPr="005E656F">
                              <w:t>q.</w:t>
                            </w:r>
                            <w:r>
                              <w:t xml:space="preserve"> 14</w:t>
                            </w:r>
                            <w:r w:rsidRPr="005E656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E5D70D7" id="Text Box 6" o:spid="_x0000_s1030" type="#_x0000_t202" style="position:absolute;left:0;text-align:left;margin-left:403.5pt;margin-top:86.4pt;width:69.2pt;height:34.8pt;z-index:2516684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" filled="f" stroked="f">
                <v:textbox style="mso-fit-shape-to-text:t">
                  <w:txbxContent>
                    <w:p w14:paraId="121A9804" w14:textId="77777777" w:rsidR="00BB607D" w:rsidRDefault="00BB607D" w:rsidP="00BB607D">
                      <w:r w:rsidRPr="005E656F">
                        <w:t>(</w:t>
                      </w:r>
                      <w:r>
                        <w:t>E</w:t>
                      </w:r>
                      <w:r w:rsidRPr="005E656F">
                        <w:t>q.</w:t>
                      </w:r>
                      <w:r>
                        <w:t xml:space="preserve"> 14</w:t>
                      </w:r>
                      <w:r w:rsidRPr="005E656F">
                        <w:t>)</w:t>
                      </w:r>
                    </w:p>
                  </w:txbxContent>
                </v:textbox>
                <w10:wrap anchorx="margin"/>
              </v:shape>
            </w:pict>
          </mc:Fallback>
        </mc:AlternateContent>
      </w:r>
      <w:r w:rsidRPr="00D47057">
        <w:t xml:space="preserve">The total charge induced at the device contacts is fundamentally defined in terms of electron and hole drift lengths, and the generalised carrier population </w:t>
      </w:r>
      <w:r w:rsidRPr="00D47057">
        <w:rPr>
          <w:i/>
        </w:rPr>
        <w:t>N(x)</w:t>
      </w:r>
      <w:r w:rsidRPr="00D47057">
        <w:t xml:space="preserve"> at a distance </w:t>
      </w:r>
      <w:r w:rsidRPr="00D47057">
        <w:rPr>
          <w:i/>
        </w:rPr>
        <w:t>x</w:t>
      </w:r>
      <w:r w:rsidRPr="00D47057">
        <w:t xml:space="preserve"> from the point of origin is given by:</w:t>
      </w:r>
    </w:p>
    <w:p w14:paraId="3BF3C9BD" w14:textId="24ACD805" w:rsidR="00BB607D" w:rsidRPr="00D47057" w:rsidRDefault="00BB607D" w:rsidP="00BB607D">
      <w:pPr>
        <w:jc w:val="center"/>
      </w:pPr>
      <m:oMath>
        <m:r>
          <w:rPr>
            <w:rFonts w:ascii="Cambria Math"/>
          </w:rPr>
          <m:t>N</m:t>
        </m:r>
        <m:d>
          <m:dPr>
            <m:ctrlPr>
              <w:rPr>
                <w:rFonts w:ascii="Cambria Math" w:hAnsi="Cambria Math"/>
                <w:i/>
              </w:rPr>
            </m:ctrlPr>
          </m:dPr>
          <m:e>
            <m:r>
              <w:rPr>
                <w:rFonts w:ascii="Cambria Math"/>
              </w:rPr>
              <m:t>x</m:t>
            </m:r>
          </m:e>
        </m:d>
        <m:r>
          <w:rPr>
            <w:rFonts w:ascii="Cambria Math"/>
          </w:rPr>
          <m:t>=</m:t>
        </m:r>
        <m:sSub>
          <m:sSubPr>
            <m:ctrlPr>
              <w:rPr>
                <w:rFonts w:ascii="Cambria Math" w:hAnsi="Cambria Math"/>
                <w:i/>
              </w:rPr>
            </m:ctrlPr>
          </m:sSubPr>
          <m:e>
            <m:r>
              <w:rPr>
                <w:rFonts w:ascii="Cambria Math"/>
              </w:rPr>
              <m:t>N</m:t>
            </m:r>
          </m:e>
          <m:sub>
            <m:r>
              <w:rPr>
                <w:rFonts w:ascii="Cambria Math"/>
              </w:rPr>
              <m:t>0</m:t>
            </m:r>
          </m:sub>
        </m:sSub>
        <m:func>
          <m:funcPr>
            <m:ctrlPr>
              <w:rPr>
                <w:rFonts w:ascii="Cambria Math" w:hAnsi="Cambria Math"/>
                <w:i/>
              </w:rPr>
            </m:ctrlPr>
          </m:funcPr>
          <m:fName>
            <m:r>
              <w:rPr>
                <w:rFonts w:ascii="Cambria Math"/>
              </w:rPr>
              <m:t>exp</m:t>
            </m:r>
          </m:fName>
          <m:e>
            <m:d>
              <m:dPr>
                <m:ctrlPr>
                  <w:rPr>
                    <w:rFonts w:ascii="Cambria Math" w:hAnsi="Cambria Math"/>
                    <w:i/>
                  </w:rPr>
                </m:ctrlPr>
              </m:dPr>
              <m:e>
                <m:r>
                  <w:rPr>
                    <w:rFonts w:ascii="Cambria Math"/>
                  </w:rPr>
                  <m:t>-</m:t>
                </m:r>
                <m:f>
                  <m:fPr>
                    <m:ctrlPr>
                      <w:rPr>
                        <w:rFonts w:ascii="Cambria Math" w:hAnsi="Cambria Math"/>
                        <w:i/>
                      </w:rPr>
                    </m:ctrlPr>
                  </m:fPr>
                  <m:num>
                    <m:r>
                      <w:rPr>
                        <w:rFonts w:ascii="Cambria Math"/>
                      </w:rPr>
                      <m:t>x</m:t>
                    </m:r>
                  </m:num>
                  <m:den>
                    <m:r>
                      <w:rPr>
                        <w:rFonts w:ascii="Cambria Math"/>
                      </w:rPr>
                      <m:t>λ</m:t>
                    </m:r>
                  </m:den>
                </m:f>
              </m:e>
            </m:d>
          </m:e>
        </m:func>
        <m:r>
          <w:rPr>
            <w:rFonts w:ascii="Cambria Math"/>
          </w:rPr>
          <m:t>=</m:t>
        </m:r>
        <m:sSub>
          <m:sSubPr>
            <m:ctrlPr>
              <w:rPr>
                <w:rFonts w:ascii="Cambria Math" w:hAnsi="Cambria Math"/>
                <w:i/>
              </w:rPr>
            </m:ctrlPr>
          </m:sSubPr>
          <m:e>
            <m:r>
              <w:rPr>
                <w:rFonts w:ascii="Cambria Math"/>
              </w:rPr>
              <m:t>N</m:t>
            </m:r>
          </m:e>
          <m:sub>
            <m:r>
              <w:rPr>
                <w:rFonts w:ascii="Cambria Math"/>
              </w:rPr>
              <m:t>0</m:t>
            </m:r>
          </m:sub>
        </m:sSub>
        <m:func>
          <m:funcPr>
            <m:ctrlPr>
              <w:rPr>
                <w:rFonts w:ascii="Cambria Math" w:hAnsi="Cambria Math"/>
                <w:i/>
              </w:rPr>
            </m:ctrlPr>
          </m:funcPr>
          <m:fName>
            <m:r>
              <w:rPr>
                <w:rFonts w:ascii="Cambria Math"/>
              </w:rPr>
              <m:t>exp</m:t>
            </m:r>
          </m:fName>
          <m:e>
            <m:d>
              <m:dPr>
                <m:ctrlPr>
                  <w:rPr>
                    <w:rFonts w:ascii="Cambria Math" w:hAnsi="Cambria Math"/>
                    <w:i/>
                  </w:rPr>
                </m:ctrlPr>
              </m:dPr>
              <m:e>
                <m:r>
                  <w:rPr>
                    <w:rFonts w:ascii="Cambria Math"/>
                  </w:rPr>
                  <m:t>-</m:t>
                </m:r>
                <m:f>
                  <m:fPr>
                    <m:ctrlPr>
                      <w:rPr>
                        <w:rFonts w:ascii="Cambria Math" w:hAnsi="Cambria Math"/>
                        <w:i/>
                      </w:rPr>
                    </m:ctrlPr>
                  </m:fPr>
                  <m:num>
                    <m:r>
                      <w:rPr>
                        <w:rFonts w:ascii="Cambria Math"/>
                      </w:rPr>
                      <m:t>x</m:t>
                    </m:r>
                  </m:num>
                  <m:den>
                    <m:r>
                      <w:rPr>
                        <w:rFonts w:ascii="Cambria Math"/>
                      </w:rPr>
                      <m:t>μτE</m:t>
                    </m:r>
                  </m:den>
                </m:f>
              </m:e>
            </m:d>
          </m:e>
        </m:func>
      </m:oMath>
      <w:r w:rsidRPr="00D47057">
        <w:rPr>
          <w:rFonts w:eastAsiaTheme="minorEastAsia"/>
        </w:rPr>
        <w:t xml:space="preserve"> </w:t>
      </w:r>
    </w:p>
    <w:p w14:paraId="128F364C" w14:textId="77777777" w:rsidR="00BB607D" w:rsidRPr="00D47057" w:rsidRDefault="00BB607D" w:rsidP="00BB607D">
      <w:r w:rsidRPr="00D47057">
        <w:rPr>
          <w:noProof/>
        </w:rPr>
        <mc:AlternateContent>
          <mc:Choice Requires="wps">
            <w:drawing>
              <wp:anchor distT="45720" distB="45720" distL="114300" distR="114300" simplePos="0" relativeHeight="251666432" behindDoc="0" locked="0" layoutInCell="1" allowOverlap="1" wp14:anchorId="13E6B7CE" wp14:editId="15260CA4">
                <wp:simplePos x="0" y="0"/>
                <wp:positionH relativeFrom="margin">
                  <wp:posOffset>5091430</wp:posOffset>
                </wp:positionH>
                <wp:positionV relativeFrom="paragraph">
                  <wp:posOffset>1069975</wp:posOffset>
                </wp:positionV>
                <wp:extent cx="785495" cy="441960"/>
                <wp:effectExtent l="0" t="0" r="0" b="63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5495" cy="441960"/>
                        </a:xfrm>
                        <a:prstGeom prst="rect">
                          <a:avLst/>
                        </a:prstGeom>
                        <a:noFill/>
                        <a:ln w="9525">
                          <a:noFill/>
                          <a:miter lim="800000"/>
                          <a:headEnd/>
                          <a:tailEnd/>
                        </a:ln>
                      </wps:spPr>
                      <wps:txbx>
                        <w:txbxContent>
                          <w:p w14:paraId="6CE2602F" w14:textId="77777777" w:rsidR="00BB607D" w:rsidRDefault="00BB607D" w:rsidP="00BB607D">
                            <w:pPr>
                              <w:jc w:val="right"/>
                            </w:pPr>
                            <w:r w:rsidRPr="005E656F">
                              <w:t>(</w:t>
                            </w:r>
                            <w:r>
                              <w:t>E</w:t>
                            </w:r>
                            <w:r w:rsidRPr="005E656F">
                              <w:t>q.</w:t>
                            </w:r>
                            <w:r>
                              <w:t xml:space="preserve"> 15</w:t>
                            </w:r>
                            <w:r w:rsidRPr="005E656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3E6B7CE" id="Text Box 4" o:spid="_x0000_s1031" type="#_x0000_t202" style="position:absolute;left:0;text-align:left;margin-left:400.9pt;margin-top:84.25pt;width:61.85pt;height:34.8pt;z-index:2516664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" filled="f" stroked="f">
                <v:textbox style="mso-fit-shape-to-text:t">
                  <w:txbxContent>
                    <w:p w14:paraId="6CE2602F" w14:textId="77777777" w:rsidR="00BB607D" w:rsidRDefault="00BB607D" w:rsidP="00BB607D">
                      <w:pPr>
                        <w:jc w:val="right"/>
                      </w:pPr>
                      <w:r w:rsidRPr="005E656F">
                        <w:t>(</w:t>
                      </w:r>
                      <w:r>
                        <w:t>E</w:t>
                      </w:r>
                      <w:r w:rsidRPr="005E656F">
                        <w:t>q.</w:t>
                      </w:r>
                      <w:r>
                        <w:t xml:space="preserve"> 15</w:t>
                      </w:r>
                      <w:r w:rsidRPr="005E656F">
                        <w:t>)</w:t>
                      </w:r>
                    </w:p>
                  </w:txbxContent>
                </v:textbox>
                <w10:wrap anchorx="margin"/>
              </v:shape>
            </w:pict>
          </mc:Fallback>
        </mc:AlternateContent>
      </w:r>
      <w:r w:rsidRPr="00D47057">
        <w:t xml:space="preserve">In the most general form, the expression for the depth-dependent charge collection efficiency </w:t>
      </w:r>
      <w:r w:rsidRPr="00D47057">
        <w:rPr>
          <w:i/>
        </w:rPr>
        <w:t>CCE(x)</w:t>
      </w:r>
      <w:r w:rsidRPr="00D47057">
        <w:t xml:space="preserve">, where </w:t>
      </w:r>
      <w:r w:rsidRPr="00D47057">
        <w:rPr>
          <w:i/>
        </w:rPr>
        <w:t>x</w:t>
      </w:r>
      <w:r w:rsidRPr="00D47057">
        <w:t xml:space="preserve"> is the distance of the interaction position from the cathode, can be expressed in terms of the separate electron and hole drift lengths. This is given by</w:t>
      </w:r>
    </w:p>
    <w:p w14:paraId="1B22C4E6" w14:textId="77777777" w:rsidR="00BB607D" w:rsidRPr="00D47057" w:rsidRDefault="00BB607D" w:rsidP="00BB607D">
      <w:pPr>
        <w:jc w:val="center"/>
      </w:pPr>
      <m:oMath>
        <m:r>
          <w:rPr>
            <w:rFonts w:ascii="Cambria Math"/>
          </w:rPr>
          <m:t>CCE(x)=</m:t>
        </m:r>
        <m:f>
          <m:fPr>
            <m:ctrlPr>
              <w:rPr>
                <w:rFonts w:ascii="Cambria Math" w:hAnsi="Cambria Math"/>
                <w:i/>
              </w:rPr>
            </m:ctrlPr>
          </m:fPr>
          <m:num>
            <m:r>
              <w:rPr>
                <w:rFonts w:ascii="Cambria Math"/>
              </w:rPr>
              <m:t>Q(x)</m:t>
            </m:r>
          </m:num>
          <m:den>
            <m:sSub>
              <m:sSubPr>
                <m:ctrlPr>
                  <w:rPr>
                    <w:rFonts w:ascii="Cambria Math" w:hAnsi="Cambria Math"/>
                    <w:i/>
                  </w:rPr>
                </m:ctrlPr>
              </m:sSubPr>
              <m:e>
                <m:r>
                  <w:rPr>
                    <w:rFonts w:ascii="Cambria Math"/>
                  </w:rPr>
                  <m:t>N</m:t>
                </m:r>
              </m:e>
              <m:sub>
                <m:r>
                  <w:rPr>
                    <w:rFonts w:ascii="Cambria Math"/>
                  </w:rPr>
                  <m:t>0</m:t>
                </m:r>
              </m:sub>
            </m:sSub>
            <m:r>
              <w:rPr>
                <w:rFonts w:ascii="Cambria Math"/>
              </w:rPr>
              <m:t>q</m:t>
            </m:r>
          </m:den>
        </m:f>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λ</m:t>
                </m:r>
              </m:e>
              <m:sub>
                <m:r>
                  <w:rPr>
                    <w:rFonts w:ascii="Cambria Math"/>
                  </w:rPr>
                  <m:t>h</m:t>
                </m:r>
              </m:sub>
            </m:sSub>
          </m:num>
          <m:den>
            <m:r>
              <w:rPr>
                <w:rFonts w:ascii="Cambria Math"/>
              </w:rPr>
              <m:t>d</m:t>
            </m:r>
          </m:den>
        </m:f>
        <m:d>
          <m:dPr>
            <m:ctrlPr>
              <w:rPr>
                <w:rFonts w:ascii="Cambria Math" w:hAnsi="Cambria Math"/>
                <w:i/>
              </w:rPr>
            </m:ctrlPr>
          </m:dPr>
          <m:e>
            <m:r>
              <w:rPr>
                <w:rFonts w:ascii="Cambria Math"/>
              </w:rPr>
              <m:t>1</m:t>
            </m:r>
            <m:r>
              <w:rPr>
                <w:rFonts w:ascii="Cambria Math"/>
              </w:rPr>
              <m:t>-</m:t>
            </m:r>
            <m:func>
              <m:funcPr>
                <m:ctrlPr>
                  <w:rPr>
                    <w:rFonts w:ascii="Cambria Math" w:hAnsi="Cambria Math"/>
                    <w:i/>
                  </w:rPr>
                </m:ctrlPr>
              </m:funcPr>
              <m:fName>
                <m:r>
                  <w:rPr>
                    <w:rFonts w:ascii="Cambria Math"/>
                  </w:rPr>
                  <m:t>exp</m:t>
                </m:r>
              </m:fName>
              <m:e>
                <m:d>
                  <m:dPr>
                    <m:ctrlPr>
                      <w:rPr>
                        <w:rFonts w:ascii="Cambria Math" w:hAnsi="Cambria Math"/>
                        <w:i/>
                      </w:rPr>
                    </m:ctrlPr>
                  </m:dPr>
                  <m:e>
                    <m:f>
                      <m:fPr>
                        <m:ctrlPr>
                          <w:rPr>
                            <w:rFonts w:ascii="Cambria Math" w:hAnsi="Cambria Math"/>
                            <w:i/>
                          </w:rPr>
                        </m:ctrlPr>
                      </m:fPr>
                      <m:num>
                        <m:r>
                          <w:rPr>
                            <w:rFonts w:ascii="Cambria Math"/>
                          </w:rPr>
                          <m:t>-</m:t>
                        </m:r>
                        <m:r>
                          <w:rPr>
                            <w:rFonts w:ascii="Cambria Math"/>
                          </w:rPr>
                          <m:t>x</m:t>
                        </m:r>
                      </m:num>
                      <m:den>
                        <m:sSub>
                          <m:sSubPr>
                            <m:ctrlPr>
                              <w:rPr>
                                <w:rFonts w:ascii="Cambria Math" w:hAnsi="Cambria Math"/>
                                <w:i/>
                              </w:rPr>
                            </m:ctrlPr>
                          </m:sSubPr>
                          <m:e>
                            <m:r>
                              <w:rPr>
                                <w:rFonts w:ascii="Cambria Math"/>
                              </w:rPr>
                              <m:t>λ</m:t>
                            </m:r>
                          </m:e>
                          <m:sub>
                            <m:r>
                              <w:rPr>
                                <w:rFonts w:ascii="Cambria Math"/>
                              </w:rPr>
                              <m:t>h</m:t>
                            </m:r>
                          </m:sub>
                        </m:sSub>
                      </m:den>
                    </m:f>
                  </m:e>
                </m:d>
              </m:e>
            </m:func>
          </m:e>
        </m:d>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λ</m:t>
                </m:r>
              </m:e>
              <m:sub>
                <m:r>
                  <w:rPr>
                    <w:rFonts w:ascii="Cambria Math"/>
                  </w:rPr>
                  <m:t>e</m:t>
                </m:r>
              </m:sub>
            </m:sSub>
          </m:num>
          <m:den>
            <m:r>
              <w:rPr>
                <w:rFonts w:ascii="Cambria Math"/>
              </w:rPr>
              <m:t>d</m:t>
            </m:r>
          </m:den>
        </m:f>
        <m:d>
          <m:dPr>
            <m:ctrlPr>
              <w:rPr>
                <w:rFonts w:ascii="Cambria Math" w:hAnsi="Cambria Math"/>
                <w:i/>
              </w:rPr>
            </m:ctrlPr>
          </m:dPr>
          <m:e>
            <m:r>
              <w:rPr>
                <w:rFonts w:ascii="Cambria Math"/>
              </w:rPr>
              <m:t>1</m:t>
            </m:r>
            <m:r>
              <w:rPr>
                <w:rFonts w:ascii="Cambria Math"/>
              </w:rPr>
              <m:t>-</m:t>
            </m:r>
            <m:func>
              <m:funcPr>
                <m:ctrlPr>
                  <w:rPr>
                    <w:rFonts w:ascii="Cambria Math" w:hAnsi="Cambria Math"/>
                    <w:i/>
                  </w:rPr>
                </m:ctrlPr>
              </m:funcPr>
              <m:fName>
                <m:r>
                  <w:rPr>
                    <w:rFonts w:ascii="Cambria Math"/>
                  </w:rPr>
                  <m:t>exp</m:t>
                </m:r>
              </m:fName>
              <m:e>
                <m:d>
                  <m:dPr>
                    <m:ctrlPr>
                      <w:rPr>
                        <w:rFonts w:ascii="Cambria Math" w:hAnsi="Cambria Math"/>
                        <w:i/>
                      </w:rPr>
                    </m:ctrlPr>
                  </m:dPr>
                  <m:e>
                    <m:f>
                      <m:fPr>
                        <m:ctrlPr>
                          <w:rPr>
                            <w:rFonts w:ascii="Cambria Math" w:hAnsi="Cambria Math"/>
                            <w:i/>
                          </w:rPr>
                        </m:ctrlPr>
                      </m:fPr>
                      <m:num>
                        <m:r>
                          <w:rPr>
                            <w:rFonts w:ascii="Cambria Math"/>
                          </w:rPr>
                          <m:t>x</m:t>
                        </m:r>
                        <m:r>
                          <w:rPr>
                            <w:rFonts w:ascii="Cambria Math"/>
                          </w:rPr>
                          <m:t>-</m:t>
                        </m:r>
                        <m:r>
                          <w:rPr>
                            <w:rFonts w:ascii="Cambria Math"/>
                          </w:rPr>
                          <m:t>d</m:t>
                        </m:r>
                      </m:num>
                      <m:den>
                        <m:sSub>
                          <m:sSubPr>
                            <m:ctrlPr>
                              <w:rPr>
                                <w:rFonts w:ascii="Cambria Math" w:hAnsi="Cambria Math"/>
                                <w:i/>
                              </w:rPr>
                            </m:ctrlPr>
                          </m:sSubPr>
                          <m:e>
                            <m:r>
                              <w:rPr>
                                <w:rFonts w:ascii="Cambria Math"/>
                              </w:rPr>
                              <m:t>λ</m:t>
                            </m:r>
                          </m:e>
                          <m:sub>
                            <m:r>
                              <w:rPr>
                                <w:rFonts w:ascii="Cambria Math"/>
                              </w:rPr>
                              <m:t>e</m:t>
                            </m:r>
                          </m:sub>
                        </m:sSub>
                      </m:den>
                    </m:f>
                  </m:e>
                </m:d>
              </m:e>
            </m:func>
          </m:e>
        </m:d>
      </m:oMath>
      <w:r w:rsidRPr="00D47057">
        <w:rPr>
          <w:rFonts w:eastAsiaTheme="minorEastAsia"/>
        </w:rPr>
        <w:t xml:space="preserve"> </w:t>
      </w:r>
    </w:p>
    <w:p w14:paraId="1FE86361" w14:textId="77777777" w:rsidR="00BB607D" w:rsidRPr="00D47057" w:rsidRDefault="00BB607D" w:rsidP="00BB607D">
      <w:r w:rsidRPr="00D47057">
        <w:t xml:space="preserve">where </w:t>
      </w:r>
      <w:r w:rsidRPr="00D47057">
        <w:rPr>
          <w:rFonts w:ascii="Symbol" w:hAnsi="Symbol"/>
          <w:i/>
        </w:rPr>
        <w:t></w:t>
      </w:r>
      <w:r w:rsidRPr="00D47057">
        <w:rPr>
          <w:i/>
          <w:vertAlign w:val="subscript"/>
        </w:rPr>
        <w:t>e</w:t>
      </w:r>
      <w:r w:rsidRPr="00D47057">
        <w:t xml:space="preserve">, </w:t>
      </w:r>
      <w:r w:rsidRPr="00D47057">
        <w:rPr>
          <w:rFonts w:ascii="Symbol" w:hAnsi="Symbol"/>
          <w:i/>
        </w:rPr>
        <w:t></w:t>
      </w:r>
      <w:r w:rsidRPr="00D47057">
        <w:rPr>
          <w:i/>
          <w:vertAlign w:val="subscript"/>
        </w:rPr>
        <w:t>h</w:t>
      </w:r>
      <w:r w:rsidRPr="00D47057">
        <w:t xml:space="preserve"> </w:t>
      </w:r>
      <w:proofErr w:type="gramStart"/>
      <w:r w:rsidRPr="00D47057">
        <w:t>are</w:t>
      </w:r>
      <w:proofErr w:type="gramEnd"/>
      <w:r w:rsidRPr="00D47057">
        <w:t xml:space="preserve"> the electron-only and hole-only mean drift lengths, and </w:t>
      </w:r>
      <w:r w:rsidRPr="00D47057">
        <w:rPr>
          <w:i/>
          <w:iCs/>
        </w:rPr>
        <w:t>d</w:t>
      </w:r>
      <w:r w:rsidRPr="00D47057">
        <w:t xml:space="preserve"> is the detector thickness. This expression is the generalised form of the Hecht Equation, first published in </w:t>
      </w:r>
      <w:r w:rsidRPr="00D47057">
        <w:lastRenderedPageBreak/>
        <w:t>1932,</w:t>
      </w:r>
      <w:r w:rsidRPr="00D47057">
        <w:fldChar w:fldCharType="begin"/>
      </w:r>
      <w:r w:rsidRPr="00D47057">
        <w:instrText xml:space="preserve"> ADDIN EN.CITE &lt;EndNote&gt;&lt;Cite ExcludeYear="1"&gt;&lt;Author&gt;Hecht&lt;/Author&gt;&lt;Year&gt;1932&lt;/Year&gt;&lt;RecNum&gt;58&lt;/RecNum&gt;&lt;DisplayText&gt;&lt;style face="superscript"&gt;[149]&lt;/style&gt;&lt;/DisplayText&gt;&lt;record&gt;&lt;rec-number&gt;58&lt;/rec-number&gt;&lt;foreign-keys&gt;&lt;key app="EN" db-id="wvrx2ewpexzx54etadqvw096vee5rtx0pdax" timestamp="1689560766"&gt;58&lt;/key&gt;&lt;/foreign-keys&gt;&lt;ref-type name="Journal Article"&gt;17&lt;/ref-type&gt;&lt;contributors&gt;&lt;authors&gt;&lt;author&gt;Hecht, Karl&lt;/author&gt;&lt;/authors&gt;&lt;/contributors&gt;&lt;titles&gt;&lt;title&gt;Zum Mechanismus des lichtelektrischen Primrstromes in isolierenden Kristallen&lt;/title&gt;&lt;secondary-title&gt;Zeitschrift fr Physik&lt;/secondary-title&gt;&lt;/titles&gt;&lt;periodical&gt;&lt;full-title&gt;Zeitschrift fr Physik&lt;/full-title&gt;&lt;abbr-1&gt;Eur. Physical J. A&lt;/abbr-1&gt;&lt;/periodical&gt;&lt;pages&gt;235-245&lt;/pages&gt;&lt;volume&gt;77&lt;/volume&gt;&lt;number&gt;3-4&lt;/number&gt;&lt;section&gt;235&lt;/section&gt;&lt;dates&gt;&lt;year&gt;1932&lt;/year&gt;&lt;/dates&gt;&lt;isbn&gt;1434-6001&amp;#xD;1434-601X&lt;/isbn&gt;&lt;urls&gt;&lt;/urls&gt;&lt;electronic-resource-num&gt;10.1007/bf01338917&lt;/electronic-resource-num&gt;&lt;/record&gt;&lt;/Cite&gt;&lt;/EndNote&gt;</w:instrText>
      </w:r>
      <w:r w:rsidRPr="00D47057">
        <w:fldChar w:fldCharType="separate"/>
      </w:r>
      <w:r w:rsidRPr="00D47057">
        <w:rPr>
          <w:noProof/>
          <w:vertAlign w:val="superscript"/>
        </w:rPr>
        <w:t>[149]</w:t>
      </w:r>
      <w:r w:rsidRPr="00D47057">
        <w:fldChar w:fldCharType="end"/>
      </w:r>
      <w:r w:rsidRPr="00D47057">
        <w:t xml:space="preserve"> describing the variation in induced charge as a function of the interaction depth in the detector. </w:t>
      </w:r>
    </w:p>
    <w:p w14:paraId="31394014" w14:textId="77777777" w:rsidR="00BB607D" w:rsidRPr="00D47057" w:rsidRDefault="00BB607D" w:rsidP="00BB607D">
      <w:pPr>
        <w:rPr>
          <w:rFonts w:eastAsiaTheme="minorEastAsia"/>
        </w:rPr>
      </w:pPr>
    </w:p>
    <w:p w14:paraId="7C5C0FCF" w14:textId="77777777" w:rsidR="00BB607D" w:rsidRPr="00D47057" w:rsidRDefault="00BB607D" w:rsidP="00BB607D">
      <w:pPr>
        <w:rPr>
          <w:rFonts w:eastAsiaTheme="minorEastAsia"/>
        </w:rPr>
      </w:pPr>
      <w:r w:rsidRPr="00D47057">
        <w:rPr>
          <w:noProof/>
        </w:rPr>
        <mc:AlternateContent>
          <mc:Choice Requires="wps">
            <w:drawing>
              <wp:anchor distT="45720" distB="45720" distL="114300" distR="114300" simplePos="0" relativeHeight="251665408" behindDoc="0" locked="0" layoutInCell="1" allowOverlap="1" wp14:anchorId="6FBFA8E5" wp14:editId="26BF57AC">
                <wp:simplePos x="0" y="0"/>
                <wp:positionH relativeFrom="margin">
                  <wp:posOffset>5166360</wp:posOffset>
                </wp:positionH>
                <wp:positionV relativeFrom="paragraph">
                  <wp:posOffset>3188557</wp:posOffset>
                </wp:positionV>
                <wp:extent cx="715010" cy="4419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010" cy="441960"/>
                        </a:xfrm>
                        <a:prstGeom prst="rect">
                          <a:avLst/>
                        </a:prstGeom>
                        <a:noFill/>
                        <a:ln w="9525">
                          <a:noFill/>
                          <a:miter lim="800000"/>
                          <a:headEnd/>
                          <a:tailEnd/>
                        </a:ln>
                      </wps:spPr>
                      <wps:txbx>
                        <w:txbxContent>
                          <w:p w14:paraId="261DFCE4" w14:textId="77777777" w:rsidR="00BB607D" w:rsidRDefault="00BB607D" w:rsidP="00BB607D">
                            <w:pPr>
                              <w:jc w:val="right"/>
                            </w:pPr>
                            <w:r w:rsidRPr="005E656F">
                              <w:t>(</w:t>
                            </w:r>
                            <w:r>
                              <w:t>E</w:t>
                            </w:r>
                            <w:r w:rsidRPr="005E656F">
                              <w:t>q.</w:t>
                            </w:r>
                            <w:r>
                              <w:t xml:space="preserve"> 16</w:t>
                            </w:r>
                            <w:r w:rsidRPr="005E656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FBFA8E5" id="Text Box 3" o:spid="_x0000_s1032" type="#_x0000_t202" style="position:absolute;left:0;text-align:left;margin-left:406.8pt;margin-top:251.05pt;width:56.3pt;height:34.8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" filled="f" stroked="f">
                <v:textbox style="mso-fit-shape-to-text:t">
                  <w:txbxContent>
                    <w:p w14:paraId="261DFCE4" w14:textId="77777777" w:rsidR="00BB607D" w:rsidRDefault="00BB607D" w:rsidP="00BB607D">
                      <w:pPr>
                        <w:jc w:val="right"/>
                      </w:pPr>
                      <w:r w:rsidRPr="005E656F">
                        <w:t>(</w:t>
                      </w:r>
                      <w:r>
                        <w:t>E</w:t>
                      </w:r>
                      <w:r w:rsidRPr="005E656F">
                        <w:t>q.</w:t>
                      </w:r>
                      <w:r>
                        <w:t xml:space="preserve"> 16</w:t>
                      </w:r>
                      <w:r w:rsidRPr="005E656F">
                        <w:t>)</w:t>
                      </w:r>
                    </w:p>
                  </w:txbxContent>
                </v:textbox>
                <w10:wrap anchorx="margin"/>
              </v:shape>
            </w:pict>
          </mc:Fallback>
        </mc:AlternateContent>
      </w:r>
      <w:r w:rsidRPr="00D47057">
        <w:rPr>
          <w:rFonts w:eastAsiaTheme="minorEastAsia"/>
        </w:rPr>
        <w:t>The Hecht method measures the mean charge amplitude of each pulse as a function of increasing bias, using the Hecht equation to extract the mobility-lifetime product as a direct measure of the charge transport performance of the device. Alpha particle irradiation is typically used for this measurement, particularly if the detector devices are relatively thick (</w:t>
      </w:r>
      <w:proofErr w:type="spellStart"/>
      <w:r w:rsidRPr="00D47057">
        <w:rPr>
          <w:rFonts w:eastAsiaTheme="minorEastAsia"/>
        </w:rPr>
        <w:t>eg.</w:t>
      </w:r>
      <w:proofErr w:type="spellEnd"/>
      <w:r w:rsidRPr="00D47057">
        <w:rPr>
          <w:rFonts w:eastAsiaTheme="minorEastAsia"/>
        </w:rPr>
        <w:t xml:space="preserve"> &gt;100 </w:t>
      </w:r>
      <w:r w:rsidRPr="00D47057">
        <w:rPr>
          <w:rFonts w:ascii="Symbol" w:eastAsiaTheme="minorEastAsia" w:hAnsi="Symbol"/>
        </w:rPr>
        <w:t></w:t>
      </w:r>
      <w:r w:rsidRPr="00D47057">
        <w:rPr>
          <w:rFonts w:eastAsiaTheme="minorEastAsia"/>
        </w:rPr>
        <w:t>m). In this case the alpha particle is stopped at a shallow depth ~20</w:t>
      </w:r>
      <w:r w:rsidRPr="00D47057">
        <w:rPr>
          <w:rFonts w:ascii="Symbol" w:eastAsiaTheme="minorEastAsia" w:hAnsi="Symbol"/>
        </w:rPr>
        <w:t></w:t>
      </w:r>
      <w:r w:rsidRPr="00D47057">
        <w:rPr>
          <w:rFonts w:ascii="Calibri" w:eastAsiaTheme="minorEastAsia" w:hAnsi="Calibri" w:cs="Calibri"/>
        </w:rPr>
        <w:t>µ</w:t>
      </w:r>
      <w:r w:rsidRPr="00D47057">
        <w:rPr>
          <w:rFonts w:eastAsiaTheme="minorEastAsia"/>
        </w:rPr>
        <w:t xml:space="preserve">m under the irradiated contact, and the induced signal is predominantly due to charge drift to the far electrode. Therefore, for alpha irradiation of the anode contact the resulting signal measures hole transport, and vice versa for cathode irradiation. In this limiting case where </w:t>
      </w:r>
      <w:r w:rsidRPr="00D47057">
        <w:rPr>
          <w:rFonts w:eastAsiaTheme="minorEastAsia"/>
          <w:i/>
          <w:iCs/>
        </w:rPr>
        <w:t>x</w:t>
      </w:r>
      <w:r w:rsidRPr="00D47057">
        <w:rPr>
          <w:rFonts w:eastAsiaTheme="minorEastAsia"/>
        </w:rPr>
        <w:t xml:space="preserve"> &lt;&lt; </w:t>
      </w:r>
      <w:r w:rsidRPr="00D47057">
        <w:rPr>
          <w:rFonts w:eastAsiaTheme="minorEastAsia"/>
          <w:i/>
          <w:iCs/>
        </w:rPr>
        <w:t>d</w:t>
      </w:r>
      <w:r w:rsidRPr="00D47057">
        <w:rPr>
          <w:rFonts w:eastAsiaTheme="minorEastAsia"/>
        </w:rPr>
        <w:t>, the general form of the Hecht equation can be simplified to the ‘single carrier’ Hecht equation:</w:t>
      </w:r>
    </w:p>
    <w:p w14:paraId="72D78284" w14:textId="77777777" w:rsidR="00BB607D" w:rsidRPr="00D47057" w:rsidRDefault="00BB607D" w:rsidP="00BB607D">
      <w:pPr>
        <w:jc w:val="center"/>
        <w:rPr>
          <w:rFonts w:eastAsiaTheme="minorEastAsia"/>
        </w:rPr>
      </w:pPr>
      <m:oMathPara>
        <m:oMath>
          <m:r>
            <w:rPr>
              <w:rFonts w:ascii="Cambria Math"/>
            </w:rPr>
            <m:t>CCE=</m:t>
          </m:r>
          <m:f>
            <m:fPr>
              <m:ctrlPr>
                <w:rPr>
                  <w:rFonts w:ascii="Cambria Math" w:hAnsi="Cambria Math"/>
                  <w:i/>
                </w:rPr>
              </m:ctrlPr>
            </m:fPr>
            <m:num>
              <m:r>
                <w:rPr>
                  <w:rFonts w:ascii="Cambria Math" w:hAnsi="Cambria Math"/>
                </w:rPr>
                <m:t>λ</m:t>
              </m:r>
            </m:num>
            <m:den>
              <m:r>
                <w:rPr>
                  <w:rFonts w:ascii="Cambria Math"/>
                </w:rPr>
                <m:t>d</m:t>
              </m:r>
            </m:den>
          </m:f>
          <m:d>
            <m:dPr>
              <m:ctrlPr>
                <w:rPr>
                  <w:rFonts w:ascii="Cambria Math" w:hAnsi="Cambria Math"/>
                  <w:i/>
                </w:rPr>
              </m:ctrlPr>
            </m:dPr>
            <m:e>
              <m:r>
                <w:rPr>
                  <w:rFonts w:ascii="Cambria Math"/>
                </w:rPr>
                <m:t>1</m:t>
              </m:r>
              <m:r>
                <w:rPr>
                  <w:rFonts w:ascii="Cambria Math"/>
                </w:rPr>
                <m:t>-</m:t>
              </m:r>
              <m:func>
                <m:funcPr>
                  <m:ctrlPr>
                    <w:rPr>
                      <w:rFonts w:ascii="Cambria Math" w:hAnsi="Cambria Math"/>
                      <w:i/>
                    </w:rPr>
                  </m:ctrlPr>
                </m:funcPr>
                <m:fName>
                  <m:r>
                    <w:rPr>
                      <w:rFonts w:ascii="Cambria Math"/>
                    </w:rPr>
                    <m:t>exp</m:t>
                  </m:r>
                </m:fName>
                <m:e>
                  <m:d>
                    <m:dPr>
                      <m:ctrlPr>
                        <w:rPr>
                          <w:rFonts w:ascii="Cambria Math" w:hAnsi="Cambria Math"/>
                          <w:i/>
                        </w:rPr>
                      </m:ctrlPr>
                    </m:dPr>
                    <m:e>
                      <m:f>
                        <m:fPr>
                          <m:ctrlPr>
                            <w:rPr>
                              <w:rFonts w:ascii="Cambria Math" w:hAnsi="Cambria Math"/>
                              <w:i/>
                            </w:rPr>
                          </m:ctrlPr>
                        </m:fPr>
                        <m:num>
                          <m:r>
                            <w:rPr>
                              <w:rFonts w:ascii="Cambria Math"/>
                            </w:rPr>
                            <m:t>-</m:t>
                          </m:r>
                          <m:r>
                            <w:rPr>
                              <w:rFonts w:ascii="Cambria Math"/>
                            </w:rPr>
                            <m:t>d</m:t>
                          </m:r>
                        </m:num>
                        <m:den>
                          <m:r>
                            <w:rPr>
                              <w:rFonts w:ascii="Cambria Math" w:hAnsi="Cambria Math"/>
                            </w:rPr>
                            <m:t>λ</m:t>
                          </m:r>
                        </m:den>
                      </m:f>
                    </m:e>
                  </m:d>
                </m:e>
              </m:func>
            </m:e>
          </m:d>
        </m:oMath>
      </m:oMathPara>
    </w:p>
    <w:p w14:paraId="50B6E7C8" w14:textId="77777777" w:rsidR="00BB607D" w:rsidRPr="00D47057" w:rsidRDefault="00BB607D" w:rsidP="00BB607D">
      <w:r w:rsidRPr="00D47057">
        <w:t xml:space="preserve">By fitting the single carrier Hecht equation, the mobility-lifetime product can be separately extracted for either electrons or holes. </w:t>
      </w:r>
    </w:p>
    <w:p w14:paraId="72C903C0" w14:textId="77777777" w:rsidR="00BB607D" w:rsidRPr="00D47057" w:rsidRDefault="00BB607D"/>
    <w:p w14:paraId="50266867" w14:textId="19751A59" w:rsidR="00A06992" w:rsidRPr="00D47057" w:rsidRDefault="00A06992">
      <w:pPr>
        <w:rPr>
          <w:b/>
          <w:bCs/>
        </w:rPr>
      </w:pPr>
      <w:r w:rsidRPr="00D47057">
        <w:rPr>
          <w:b/>
          <w:bCs/>
        </w:rPr>
        <w:t xml:space="preserve">Measurement of Mobility Using </w:t>
      </w:r>
      <w:proofErr w:type="spellStart"/>
      <w:r w:rsidR="000C429F" w:rsidRPr="00D47057">
        <w:rPr>
          <w:b/>
          <w:bCs/>
        </w:rPr>
        <w:t>photoCELIV</w:t>
      </w:r>
      <w:proofErr w:type="spellEnd"/>
    </w:p>
    <w:p w14:paraId="681A2C78" w14:textId="4F28DEFF" w:rsidR="00890AC4" w:rsidRPr="00D47057" w:rsidRDefault="00890AC4">
      <w:pPr>
        <w:rPr>
          <w:b/>
          <w:bCs/>
        </w:rPr>
      </w:pPr>
      <w:r w:rsidRPr="00D47057">
        <w:t>CELIV was originally developed as an alternative to TOF to measure charge mobility in microcrystalline silicon exhibiting a large intrinsic charge carrier concentration.</w:t>
      </w:r>
      <w:r w:rsidRPr="00D47057">
        <w:fldChar w:fldCharType="begin"/>
      </w:r>
      <w:r w:rsidRPr="00D47057">
        <w:instrText xml:space="preserve"> ADDIN EN.CITE &lt;EndNote&gt;&lt;Cite&gt;&lt;Author&gt;Juska&lt;/Author&gt;&lt;Year&gt;2000&lt;/Year&gt;&lt;RecNum&gt;59&lt;/RecNum&gt;&lt;DisplayText&gt;&lt;style face="superscript"&gt;[151]&lt;/style&gt;&lt;/DisplayText&gt;&lt;record&gt;&lt;rec-number&gt;59&lt;/rec-number&gt;&lt;foreign-keys&gt;&lt;key app="EN" db-id="wvrx2ewpexzx54etadqvw096vee5rtx0pdax" timestamp="1689564619"&gt;59&lt;/key&gt;&lt;/foreign-keys&gt;&lt;ref-type name="Journal Article"&gt;17&lt;/ref-type&gt;&lt;contributors&gt;&lt;authors&gt;&lt;author&gt;Juska, G.&lt;/author&gt;&lt;author&gt;Arlauskas, K.&lt;/author&gt;&lt;author&gt;Viliunas, M.&lt;/author&gt;&lt;author&gt;Kocka, J.&lt;/author&gt;&lt;/authors&gt;&lt;/contributors&gt;&lt;auth-address&gt;Department of Solid State Electronics, Vilnius University, Sauletekio 9, III K, 2040 Vilnius, Lithuania.&lt;/auth-address&gt;&lt;titles&gt;&lt;title&gt;Extraction current transients: new method of study of charge transport in microcrystalline silicon&lt;/title&gt;&lt;secondary-title&gt;Phys Rev Lett&lt;/secondary-title&gt;&lt;/titles&gt;&lt;periodical&gt;&lt;full-title&gt;Phys Rev Lett&lt;/full-title&gt;&lt;abbr-1&gt;Phys. Rev. Lett.&lt;/abbr-1&gt;&lt;/periodical&gt;&lt;pages&gt;4946-9&lt;/pages&gt;&lt;volume&gt;84&lt;/volume&gt;&lt;number&gt;21&lt;/number&gt;&lt;edition&gt;2000/09/16&lt;/edition&gt;&lt;dates&gt;&lt;year&gt;2000&lt;/year&gt;&lt;pub-dates&gt;&lt;date&gt;May 22&lt;/date&gt;&lt;/pub-dates&gt;&lt;/dates&gt;&lt;isbn&gt;1079-7114 (Electronic)&amp;#xD;0031-9007 (Linking)&lt;/isbn&gt;&lt;accession-num&gt;10990838&lt;/accession-num&gt;&lt;urls&gt;&lt;related-urls&gt;&lt;url&gt;https://www.ncbi.nlm.nih.gov/pubmed/10990838&lt;/url&gt;&lt;/related-urls&gt;&lt;/urls&gt;&lt;electronic-resource-num&gt;10.1103/PhysRevLett.84.4946&lt;/electronic-resource-num&gt;&lt;/record&gt;&lt;/Cite&gt;&lt;/EndNote&gt;</w:instrText>
      </w:r>
      <w:r w:rsidRPr="00D47057">
        <w:fldChar w:fldCharType="separate"/>
      </w:r>
      <w:r w:rsidRPr="00D47057">
        <w:rPr>
          <w:noProof/>
          <w:vertAlign w:val="superscript"/>
        </w:rPr>
        <w:t>[151]</w:t>
      </w:r>
      <w:r w:rsidRPr="00D47057">
        <w:fldChar w:fldCharType="end"/>
      </w:r>
      <w:r w:rsidRPr="00D47057">
        <w:t xml:space="preserve"> In such high intrinsic conductivity cases, TOF is problematic as the externally applied electric field rapidly rearranges (within the dielectric relaxation time) and the charge carriers drift under a time-dependent, non-uniform electric field, giving erroneous TOF mobility values as discussed in Section 4.3. </w:t>
      </w:r>
      <w:proofErr w:type="spellStart"/>
      <w:r w:rsidRPr="00D47057">
        <w:t>Juska</w:t>
      </w:r>
      <w:proofErr w:type="spellEnd"/>
      <w:r w:rsidRPr="00D47057">
        <w:t xml:space="preserve"> et al realized that in such cases charge mobilities can instead be determined from the dielectric relaxation process by applying a linearly increasing voltage sweep (Figure 9a). For the case of materials with low intrinsic conductivity, the current </w:t>
      </w:r>
      <w:r w:rsidRPr="00D47057">
        <w:lastRenderedPageBreak/>
        <w:t xml:space="preserve">response over a low impedance (differential mode) is a step-like current pulse, where the constant current density, </w:t>
      </w:r>
      <w:r w:rsidRPr="00D47057">
        <w:rPr>
          <w:i/>
          <w:iCs/>
        </w:rPr>
        <w:t>j</w:t>
      </w:r>
      <w:r w:rsidRPr="00D47057">
        <w:t>(0) corresponds to the constant charging of the capacitor.</w:t>
      </w:r>
      <w:r w:rsidRPr="00D47057">
        <w:fldChar w:fldCharType="begin"/>
      </w:r>
      <w:r w:rsidRPr="00D47057">
        <w:instrText xml:space="preserve"> ADDIN EN.CITE &lt;EndNote&gt;&lt;Cite&gt;&lt;Author&gt;Mozer&lt;/Author&gt;&lt;Year&gt;2005&lt;/Year&gt;&lt;RecNum&gt;42&lt;/RecNum&gt;&lt;DisplayText&gt;&lt;style face="superscript"&gt;[141]&lt;/style&gt;&lt;/DisplayText&gt;&lt;record&gt;&lt;rec-number&gt;42&lt;/rec-number&gt;&lt;foreign-keys&gt;&lt;key app="EN" db-id="wvrx2ewpexzx54etadqvw096vee5rtx0pdax" timestamp="1689052312"&gt;42&lt;/key&gt;&lt;/foreign-keys&gt;&lt;ref-type name="Journal Article"&gt;17&lt;/ref-type&gt;&lt;contributors&gt;&lt;authors&gt;&lt;author&gt;Mozer, Attila J.&lt;/author&gt;&lt;author&gt;Sariciftci, Niyazi Serdar&lt;/author&gt;&lt;author&gt;Pivrikas, Almantas&lt;/author&gt;&lt;author&gt;Österbacka, Ronald&lt;/author&gt;&lt;author&gt;Juška, Gytis&lt;/author&gt;&lt;author&gt;Brassat, Lutz&lt;/author&gt;&lt;author&gt;Bässler, Heinz&lt;/author&gt;&lt;/authors&gt;&lt;/contributors&gt;&lt;titles&gt;&lt;title&gt;Charge carrier mobility in regioregular poly(3-hexylthiophene) probed by transient conductivity techniques: A comparative study&lt;/title&gt;&lt;secondary-title&gt;Physical Review B&lt;/secondary-title&gt;&lt;/titles&gt;&lt;periodical&gt;&lt;full-title&gt;Physical Review B&lt;/full-title&gt;&lt;abbr-1&gt;Phys. Rev. B&lt;/abbr-1&gt;&lt;/periodical&gt;&lt;volume&gt;71&lt;/volume&gt;&lt;number&gt;3&lt;/number&gt;&lt;dates&gt;&lt;year&gt;2005&lt;/year&gt;&lt;/dates&gt;&lt;isbn&gt;1098-0121&amp;#xD;1550-235X&lt;/isbn&gt;&lt;urls&gt;&lt;/urls&gt;&lt;electronic-resource-num&gt;10.1103/PhysRevB.71.035214&lt;/electronic-resource-num&gt;&lt;/record&gt;&lt;/Cite&gt;&lt;/EndNote&gt;</w:instrText>
      </w:r>
      <w:r w:rsidRPr="00D47057">
        <w:fldChar w:fldCharType="separate"/>
      </w:r>
      <w:r w:rsidRPr="00D47057">
        <w:rPr>
          <w:noProof/>
          <w:vertAlign w:val="superscript"/>
        </w:rPr>
        <w:t>[141]</w:t>
      </w:r>
      <w:r w:rsidRPr="00D47057">
        <w:fldChar w:fldCharType="end"/>
      </w:r>
      <w:r w:rsidRPr="00D47057">
        <w:t xml:space="preserve"> From </w:t>
      </w:r>
      <w:r w:rsidRPr="00D47057">
        <w:rPr>
          <w:i/>
          <w:iCs/>
        </w:rPr>
        <w:t>j</w:t>
      </w:r>
      <w:r w:rsidRPr="00D47057">
        <w:t>(0), either the film thickness or the dielectric constant of the sample can be calculated if the other parameter is already known. CELIV requires a blocking contact, i.e. no charge injection at least on the timescale of the voltage ramp. Typically, at least one good blocking contact of a diode can fulfill this requirement. If intrinsic charge carriers are present, for example through doping, a current peak additional to the capacitive current pulse is detected. From the time to reach extraction current maximum (</w:t>
      </w:r>
      <w:proofErr w:type="spellStart"/>
      <w:r w:rsidRPr="00D47057">
        <w:rPr>
          <w:i/>
          <w:iCs/>
        </w:rPr>
        <w:t>t</w:t>
      </w:r>
      <w:r w:rsidRPr="00D47057">
        <w:rPr>
          <w:vertAlign w:val="subscript"/>
        </w:rPr>
        <w:t>max</w:t>
      </w:r>
      <w:proofErr w:type="spellEnd"/>
      <w:r w:rsidRPr="00D47057">
        <w:t xml:space="preserve">), the charge mobility can be calculated (Figure 9b). Additional charge carriers can also be photogenerated by a steady state illumination or by a laser pulse preceding the voltage extraction pulse, a technique known as </w:t>
      </w:r>
      <w:proofErr w:type="spellStart"/>
      <w:r w:rsidRPr="00D47057">
        <w:t>photoCELIV</w:t>
      </w:r>
      <w:proofErr w:type="spellEnd"/>
      <w:r w:rsidRPr="00D47057">
        <w:t>.</w:t>
      </w:r>
      <w:r w:rsidRPr="00D47057">
        <w:fldChar w:fldCharType="begin"/>
      </w:r>
      <w:r w:rsidRPr="00D47057">
        <w:instrText xml:space="preserve"> ADDIN EN.CITE &lt;EndNote&gt;&lt;Cite&gt;&lt;Author&gt;Mozer&lt;/Author&gt;&lt;Year&gt;2005&lt;/Year&gt;&lt;RecNum&gt;60&lt;/RecNum&gt;&lt;DisplayText&gt;&lt;style face="superscript"&gt;[152]&lt;/style&gt;&lt;/DisplayText&gt;&lt;record&gt;&lt;rec-number&gt;60&lt;/rec-number&gt;&lt;foreign-keys&gt;&lt;key app="EN" db-id="wvrx2ewpexzx54etadqvw096vee5rtx0pdax" timestamp="1689564755"&gt;60&lt;/key&gt;&lt;/foreign-keys&gt;&lt;ref-type name="Journal Article"&gt;17&lt;/ref-type&gt;&lt;contributors&gt;&lt;authors&gt;&lt;author&gt;Mozer, A. J.&lt;/author&gt;&lt;author&gt;Sariciftci, N. S.&lt;/author&gt;&lt;author&gt;Lutsen, L.&lt;/author&gt;&lt;author&gt;Vanderzande, D.&lt;/author&gt;&lt;author&gt;Österbacka, R.&lt;/author&gt;&lt;author&gt;Westerling, M.&lt;/author&gt;&lt;author&gt;Juška, G.&lt;/author&gt;&lt;/authors&gt;&lt;/contributors&gt;&lt;titles&gt;&lt;title&gt;Charge transport and recombination in bulk heterojunction solar cells studied by the photoinduced charge extraction in linearly increasing voltage technique&lt;/title&gt;&lt;secondary-title&gt;Applied Physics Letters&lt;/secondary-title&gt;&lt;/titles&gt;&lt;periodical&gt;&lt;full-title&gt;Applied Physics Letters&lt;/full-title&gt;&lt;abbr-1&gt;Appl. Phys. Lett.&lt;/abbr-1&gt;&lt;/periodical&gt;&lt;volume&gt;86&lt;/volume&gt;&lt;number&gt;11&lt;/number&gt;&lt;section&gt;112104&lt;/section&gt;&lt;dates&gt;&lt;year&gt;2005&lt;/year&gt;&lt;/dates&gt;&lt;isbn&gt;0003-6951&amp;#xD;1077-3118&lt;/isbn&gt;&lt;urls&gt;&lt;/urls&gt;&lt;electronic-resource-num&gt;10.1063/1.1882753&lt;/electronic-resource-num&gt;&lt;/record&gt;&lt;/Cite&gt;&lt;/EndNote&gt;</w:instrText>
      </w:r>
      <w:r w:rsidRPr="00D47057">
        <w:fldChar w:fldCharType="separate"/>
      </w:r>
      <w:r w:rsidRPr="00D47057">
        <w:rPr>
          <w:noProof/>
          <w:vertAlign w:val="superscript"/>
        </w:rPr>
        <w:t>[152]</w:t>
      </w:r>
      <w:r w:rsidRPr="00D47057">
        <w:fldChar w:fldCharType="end"/>
      </w:r>
      <w:r w:rsidRPr="00D47057">
        <w:t xml:space="preserve"> In the latter case, an additional measurement parameter, a delay time, can be introduced. Such delay time-dependent photo-CELIV measurements proved to be particularly useful to simultaneously measure charge carrier lifetime (from the extracted charge carrier density versus delay time) and charge mobility (obtained from </w:t>
      </w:r>
      <w:proofErr w:type="spellStart"/>
      <w:r w:rsidRPr="00D47057">
        <w:rPr>
          <w:i/>
          <w:iCs/>
        </w:rPr>
        <w:t>t</w:t>
      </w:r>
      <w:r w:rsidRPr="00D47057">
        <w:rPr>
          <w:vertAlign w:val="subscript"/>
        </w:rPr>
        <w:t>max</w:t>
      </w:r>
      <w:proofErr w:type="spellEnd"/>
      <w:r w:rsidRPr="00D47057">
        <w:t>) versus charge density, delay time or mean applied electric field strength (</w:t>
      </w:r>
      <w:r w:rsidRPr="00D47057">
        <w:rPr>
          <w:i/>
          <w:iCs/>
        </w:rPr>
        <w:t>A</w:t>
      </w:r>
      <w:r w:rsidRPr="00D47057">
        <w:t xml:space="preserve">’× </w:t>
      </w:r>
      <w:proofErr w:type="spellStart"/>
      <w:r w:rsidRPr="00D47057">
        <w:rPr>
          <w:i/>
          <w:iCs/>
        </w:rPr>
        <w:t>t</w:t>
      </w:r>
      <w:r w:rsidRPr="00D47057">
        <w:rPr>
          <w:vertAlign w:val="subscript"/>
        </w:rPr>
        <w:t>max</w:t>
      </w:r>
      <w:proofErr w:type="spellEnd"/>
      <w:r w:rsidRPr="00D47057">
        <w:t>).</w:t>
      </w:r>
      <w:r w:rsidRPr="00D47057">
        <w:fldChar w:fldCharType="begin"/>
      </w:r>
      <w:r w:rsidRPr="00D47057">
        <w:instrText xml:space="preserve"> ADDIN EN.CITE &lt;EndNote&gt;&lt;Cite&gt;&lt;Author&gt;Mozer&lt;/Author&gt;&lt;Year&gt;2005&lt;/Year&gt;&lt;RecNum&gt;33&lt;/RecNum&gt;&lt;DisplayText&gt;&lt;style face="superscript"&gt;[133]&lt;/style&gt;&lt;/DisplayText&gt;&lt;record&gt;&lt;rec-number&gt;33&lt;/rec-number&gt;&lt;foreign-keys&gt;&lt;key app="EN" db-id="wvrx2ewpexzx54etadqvw096vee5rtx0pdax" timestamp="1689051909"&gt;33&lt;/key&gt;&lt;/foreign-keys&gt;&lt;ref-type name="Journal Article"&gt;17&lt;/ref-type&gt;&lt;contributors&gt;&lt;authors&gt;&lt;author&gt;Mozer, A. J.&lt;/author&gt;&lt;author&gt;Dennler, G.&lt;/author&gt;&lt;author&gt;Sariciftci, N. S.&lt;/author&gt;&lt;author&gt;Westerling, M.&lt;/author&gt;&lt;author&gt;Pivrikas, A.&lt;/author&gt;&lt;author&gt;Österbacka, R.&lt;/author&gt;&lt;author&gt;Juška, G.&lt;/author&gt;&lt;/authors&gt;&lt;/contributors&gt;&lt;titles&gt;&lt;title&gt;Time-dependent mobility and recombination of the photoinduced charge carriers in conjugated polymer/fullerene bulk heterojunction solar cells&lt;/title&gt;&lt;secondary-title&gt;Physical Review B&lt;/secondary-title&gt;&lt;/titles&gt;&lt;periodical&gt;&lt;full-title&gt;Physical Review B&lt;/full-title&gt;&lt;abbr-1&gt;Phys. Rev. B&lt;/abbr-1&gt;&lt;/periodical&gt;&lt;volume&gt;72&lt;/volume&gt;&lt;number&gt;3&lt;/number&gt;&lt;dates&gt;&lt;year&gt;2005&lt;/year&gt;&lt;/dates&gt;&lt;isbn&gt;1098-0121&amp;#xD;1550-235X&lt;/isbn&gt;&lt;urls&gt;&lt;/urls&gt;&lt;electronic-resource-num&gt;10.1103/PhysRevB.72.035217&lt;/electronic-resource-num&gt;&lt;/record&gt;&lt;/Cite&gt;&lt;/EndNote&gt;</w:instrText>
      </w:r>
      <w:r w:rsidRPr="00D47057">
        <w:fldChar w:fldCharType="separate"/>
      </w:r>
      <w:r w:rsidRPr="00D47057">
        <w:rPr>
          <w:noProof/>
          <w:vertAlign w:val="superscript"/>
        </w:rPr>
        <w:t>[133]</w:t>
      </w:r>
      <w:r w:rsidRPr="00D47057">
        <w:fldChar w:fldCharType="end"/>
      </w:r>
      <w:bookmarkEnd w:id="1"/>
    </w:p>
    <w:sectPr w:rsidR="00890AC4" w:rsidRPr="00D4705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992"/>
    <w:rsid w:val="000453DE"/>
    <w:rsid w:val="000C429F"/>
    <w:rsid w:val="004154F5"/>
    <w:rsid w:val="005316E4"/>
    <w:rsid w:val="005F6BEB"/>
    <w:rsid w:val="006A60B1"/>
    <w:rsid w:val="00743CDF"/>
    <w:rsid w:val="00890AC4"/>
    <w:rsid w:val="008C7FC1"/>
    <w:rsid w:val="00A06992"/>
    <w:rsid w:val="00A30D00"/>
    <w:rsid w:val="00AC0170"/>
    <w:rsid w:val="00BB607D"/>
    <w:rsid w:val="00D4705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D96F4"/>
  <w15:chartTrackingRefBased/>
  <w15:docId w15:val="{3CD9F479-24A2-4C3B-8C9F-7826D8D7D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06992"/>
    <w:pPr>
      <w:spacing w:after="0" w:line="480" w:lineRule="auto"/>
      <w:jc w:val="both"/>
    </w:pPr>
    <w:rPr>
      <w:rFonts w:ascii="Times New Roman" w:eastAsia="MS Mincho" w:hAnsi="Times New Roman" w:cs="Times New Roman"/>
      <w:kern w:val="0"/>
      <w:sz w:val="24"/>
      <w:szCs w:val="24"/>
      <w:lang w:eastAsia="ja-JP"/>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sFull">
    <w:name w:val="Authors Full"/>
    <w:basedOn w:val="Normal"/>
    <w:rsid w:val="00A06992"/>
    <w:rPr>
      <w:i/>
      <w:lang w:val="en-US"/>
    </w:rPr>
  </w:style>
  <w:style w:type="paragraph" w:customStyle="1" w:styleId="Addresses">
    <w:name w:val="Addresses"/>
    <w:basedOn w:val="Normal"/>
    <w:rsid w:val="00A06992"/>
    <w:rPr>
      <w:lang w:val="en-US"/>
    </w:rPr>
  </w:style>
  <w:style w:type="paragraph" w:customStyle="1" w:styleId="Tableofcontents">
    <w:name w:val="Table of contents"/>
    <w:basedOn w:val="Normal"/>
    <w:autoRedefine/>
    <w:rsid w:val="00A06992"/>
    <w:pPr>
      <w:spacing w:line="360" w:lineRule="auto"/>
      <w:jc w:val="center"/>
    </w:pPr>
    <w:rPr>
      <w:lang w:val="en-US"/>
    </w:rPr>
  </w:style>
  <w:style w:type="character" w:styleId="Hyperlink">
    <w:name w:val="Hyperlink"/>
    <w:basedOn w:val="DefaultParagraphFont"/>
    <w:uiPriority w:val="99"/>
    <w:unhideWhenUsed/>
    <w:rsid w:val="00A06992"/>
    <w:rPr>
      <w:color w:val="0000FF"/>
      <w:u w:val="single"/>
    </w:rPr>
  </w:style>
  <w:style w:type="paragraph" w:customStyle="1" w:styleId="Head1">
    <w:name w:val="Head 1"/>
    <w:basedOn w:val="Normal"/>
    <w:autoRedefine/>
    <w:rsid w:val="00A06992"/>
    <w:rPr>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oleObject" Target="embeddings/oleObject1.bin"/><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5" Type="http://schemas.openxmlformats.org/officeDocument/2006/relationships/hyperlink" Target="mailto:matthew.griffith@unisa.edu.au" TargetMode="External"/><Relationship Id="rId4" Type="http://schemas.openxmlformats.org/officeDocument/2006/relationships/hyperlink" Target="mailto:j.posar@uow.edu.au"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2106</Words>
  <Characters>12618</Characters>
  <Application>Microsoft Office Word</Application>
  <DocSecurity>0</DocSecurity>
  <Lines>168</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Griffith</dc:creator>
  <cp:keywords/>
  <dc:description/>
  <cp:lastModifiedBy>Dileep Kumar</cp:lastModifiedBy>
  <cp:revision>3</cp:revision>
  <dcterms:created xsi:type="dcterms:W3CDTF">2025-03-20T05:25:00Z</dcterms:created>
  <dcterms:modified xsi:type="dcterms:W3CDTF">2025-03-25T03:45:00Z</dcterms:modified>
</cp:coreProperties>
</file>