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1ACE1C" w14:textId="77777777" w:rsidR="002C38BB" w:rsidRPr="00AD2821" w:rsidRDefault="002C38BB" w:rsidP="002C38BB">
      <w:pPr>
        <w:pStyle w:val="Title"/>
        <w:jc w:val="center"/>
        <w:rPr>
          <w:rFonts w:asciiTheme="minorHAnsi" w:hAnsiTheme="minorHAnsi" w:cstheme="minorHAnsi"/>
          <w:sz w:val="24"/>
          <w:szCs w:val="24"/>
          <w:lang w:val="en-GB"/>
        </w:rPr>
      </w:pPr>
      <w:bookmarkStart w:id="0" w:name="_GoBack"/>
      <w:bookmarkEnd w:id="0"/>
      <w:r w:rsidRPr="00AD2821">
        <w:rPr>
          <w:rFonts w:asciiTheme="minorHAnsi" w:hAnsiTheme="minorHAnsi" w:cstheme="minorHAnsi"/>
          <w:sz w:val="24"/>
          <w:szCs w:val="24"/>
          <w:lang w:val="en-GB"/>
        </w:rPr>
        <w:t>Supplementary Material</w:t>
      </w:r>
    </w:p>
    <w:p w14:paraId="0861F93E" w14:textId="77777777" w:rsidR="002C38BB" w:rsidRPr="00AD2821" w:rsidRDefault="002C38BB" w:rsidP="002C38BB">
      <w:pPr>
        <w:pStyle w:val="Title"/>
        <w:jc w:val="center"/>
        <w:rPr>
          <w:rFonts w:asciiTheme="minorHAnsi" w:hAnsiTheme="minorHAnsi" w:cstheme="minorHAnsi"/>
          <w:b/>
          <w:bCs/>
          <w:sz w:val="36"/>
          <w:szCs w:val="36"/>
          <w:lang w:val="en-GB"/>
        </w:rPr>
      </w:pPr>
      <w:r w:rsidRPr="00AD2821">
        <w:rPr>
          <w:rFonts w:asciiTheme="minorHAnsi" w:hAnsiTheme="minorHAnsi" w:cstheme="minorHAnsi"/>
          <w:b/>
          <w:bCs/>
          <w:sz w:val="36"/>
          <w:szCs w:val="36"/>
          <w:lang w:val="en-GB"/>
        </w:rPr>
        <w:t>The Brescia internationally validated European guidelines on minimally invasive liver surgery</w:t>
      </w:r>
    </w:p>
    <w:p w14:paraId="31A38249" w14:textId="77777777" w:rsidR="002C38BB" w:rsidRPr="00AD2821" w:rsidRDefault="002C38BB" w:rsidP="002C38BB">
      <w:pPr>
        <w:jc w:val="center"/>
        <w:rPr>
          <w:rFonts w:cstheme="minorHAnsi"/>
          <w:lang w:val="en-GB"/>
        </w:rPr>
      </w:pPr>
      <w:r w:rsidRPr="00AD2821">
        <w:rPr>
          <w:rFonts w:cstheme="minorHAnsi"/>
          <w:lang w:val="en-GB"/>
        </w:rPr>
        <w:t>Mohammad Abu Hilal</w:t>
      </w:r>
      <w:r w:rsidRPr="00AD2821">
        <w:rPr>
          <w:rFonts w:cstheme="minorHAnsi"/>
          <w:vertAlign w:val="superscript"/>
          <w:lang w:val="en-GB"/>
        </w:rPr>
        <w:t>1</w:t>
      </w:r>
      <w:r w:rsidRPr="00AD2821">
        <w:rPr>
          <w:rFonts w:cstheme="minorHAnsi"/>
          <w:lang w:val="en-GB"/>
        </w:rPr>
        <w:t>*, Tijs J. Hoogteijling</w:t>
      </w:r>
      <w:r w:rsidRPr="00AD2821">
        <w:rPr>
          <w:rFonts w:cstheme="minorHAnsi"/>
          <w:vertAlign w:val="superscript"/>
          <w:lang w:val="en-GB"/>
        </w:rPr>
        <w:t>2,3</w:t>
      </w:r>
      <w:r w:rsidRPr="00AD2821">
        <w:rPr>
          <w:rFonts w:cstheme="minorHAnsi"/>
          <w:lang w:val="en-GB"/>
        </w:rPr>
        <w:t>*, Bjørn Edwin</w:t>
      </w:r>
      <w:r w:rsidRPr="00AD2821">
        <w:rPr>
          <w:rFonts w:cstheme="minorHAnsi"/>
          <w:vertAlign w:val="superscript"/>
          <w:lang w:val="en-GB"/>
        </w:rPr>
        <w:t>4</w:t>
      </w:r>
      <w:r w:rsidRPr="00AD2821">
        <w:rPr>
          <w:rFonts w:cstheme="minorHAnsi"/>
          <w:lang w:val="en-GB"/>
        </w:rPr>
        <w:t>, Ibrahim Dagher</w:t>
      </w:r>
      <w:r w:rsidRPr="00AD2821">
        <w:rPr>
          <w:rFonts w:cstheme="minorHAnsi"/>
          <w:vertAlign w:val="superscript"/>
          <w:lang w:val="en-GB"/>
        </w:rPr>
        <w:t>5</w:t>
      </w:r>
      <w:r w:rsidRPr="00AD2821">
        <w:rPr>
          <w:rFonts w:cstheme="minorHAnsi"/>
          <w:lang w:val="en-GB"/>
        </w:rPr>
        <w:t>, Mathieu D'Hondt</w:t>
      </w:r>
      <w:r w:rsidRPr="00AD2821">
        <w:rPr>
          <w:rFonts w:cstheme="minorHAnsi"/>
          <w:vertAlign w:val="superscript"/>
          <w:lang w:val="en-GB"/>
        </w:rPr>
        <w:t>6</w:t>
      </w:r>
      <w:r w:rsidRPr="00AD2821">
        <w:rPr>
          <w:rFonts w:cstheme="minorHAnsi"/>
          <w:lang w:val="en-GB"/>
        </w:rPr>
        <w:t>, Hugo P. Marques</w:t>
      </w:r>
      <w:r w:rsidRPr="00AD2821">
        <w:rPr>
          <w:rFonts w:cstheme="minorHAnsi"/>
          <w:vertAlign w:val="superscript"/>
          <w:lang w:val="en-GB"/>
        </w:rPr>
        <w:t>7</w:t>
      </w:r>
      <w:r w:rsidRPr="00AD2821">
        <w:rPr>
          <w:rFonts w:cstheme="minorHAnsi"/>
          <w:lang w:val="en-GB"/>
        </w:rPr>
        <w:t>, Rutger-Jan Swijnenburg</w:t>
      </w:r>
      <w:r w:rsidRPr="00AD2821">
        <w:rPr>
          <w:rFonts w:cstheme="minorHAnsi"/>
          <w:vertAlign w:val="superscript"/>
          <w:lang w:val="en-GB"/>
        </w:rPr>
        <w:t>2,3</w:t>
      </w:r>
      <w:r w:rsidRPr="00AD2821">
        <w:rPr>
          <w:rFonts w:cstheme="minorHAnsi"/>
          <w:lang w:val="en-GB"/>
        </w:rPr>
        <w:t>, Ugo Boggi</w:t>
      </w:r>
      <w:r w:rsidRPr="00AD2821">
        <w:rPr>
          <w:rFonts w:cstheme="minorHAnsi"/>
          <w:vertAlign w:val="superscript"/>
          <w:lang w:val="en-GB"/>
        </w:rPr>
        <w:t>8</w:t>
      </w:r>
      <w:r w:rsidRPr="00AD2821">
        <w:rPr>
          <w:rFonts w:cstheme="minorHAnsi"/>
          <w:lang w:val="en-GB"/>
        </w:rPr>
        <w:t>, Iswanto Sucandy</w:t>
      </w:r>
      <w:r w:rsidRPr="00AD2821">
        <w:rPr>
          <w:rFonts w:cstheme="minorHAnsi"/>
          <w:vertAlign w:val="superscript"/>
          <w:lang w:val="en-GB"/>
        </w:rPr>
        <w:t>9</w:t>
      </w:r>
      <w:r w:rsidRPr="00AD2821">
        <w:rPr>
          <w:rFonts w:cstheme="minorHAnsi"/>
          <w:lang w:val="en-GB"/>
        </w:rPr>
        <w:t>, Alessandro Ferrero</w:t>
      </w:r>
      <w:r w:rsidRPr="00AD2821">
        <w:rPr>
          <w:rFonts w:cstheme="minorHAnsi"/>
          <w:vertAlign w:val="superscript"/>
          <w:lang w:val="en-GB"/>
        </w:rPr>
        <w:t>10</w:t>
      </w:r>
      <w:r w:rsidRPr="00AD2821">
        <w:rPr>
          <w:rFonts w:cstheme="minorHAnsi"/>
          <w:lang w:val="en-GB"/>
        </w:rPr>
        <w:t>, Hendrik Marsman</w:t>
      </w:r>
      <w:r w:rsidRPr="00AD2821">
        <w:rPr>
          <w:rFonts w:cstheme="minorHAnsi"/>
          <w:vertAlign w:val="superscript"/>
          <w:lang w:val="en-GB"/>
        </w:rPr>
        <w:t>11</w:t>
      </w:r>
      <w:r w:rsidRPr="00AD2821">
        <w:rPr>
          <w:rFonts w:cstheme="minorHAnsi"/>
          <w:lang w:val="en-GB"/>
        </w:rPr>
        <w:t>, Roberto I. Troisi</w:t>
      </w:r>
      <w:r w:rsidRPr="00AD2821">
        <w:rPr>
          <w:rFonts w:cstheme="minorHAnsi"/>
          <w:vertAlign w:val="superscript"/>
          <w:lang w:val="en-GB"/>
        </w:rPr>
        <w:t>12</w:t>
      </w:r>
      <w:r w:rsidRPr="00AD2821">
        <w:rPr>
          <w:rFonts w:cstheme="minorHAnsi"/>
          <w:lang w:val="en-GB"/>
        </w:rPr>
        <w:t>, Andrew A. Gumbs</w:t>
      </w:r>
      <w:r w:rsidRPr="00AD2821">
        <w:rPr>
          <w:rFonts w:cstheme="minorHAnsi"/>
          <w:vertAlign w:val="superscript"/>
          <w:lang w:val="en-GB"/>
        </w:rPr>
        <w:t>5,13</w:t>
      </w:r>
      <w:r w:rsidRPr="00AD2821">
        <w:rPr>
          <w:rFonts w:cstheme="minorHAnsi"/>
          <w:lang w:val="en-GB"/>
        </w:rPr>
        <w:t>, Luca A. Aldrighetti</w:t>
      </w:r>
      <w:r w:rsidRPr="00AD2821">
        <w:rPr>
          <w:rFonts w:cstheme="minorHAnsi"/>
          <w:vertAlign w:val="superscript"/>
          <w:lang w:val="en-GB"/>
        </w:rPr>
        <w:t>14,15</w:t>
      </w:r>
      <w:r w:rsidRPr="00AD2821">
        <w:rPr>
          <w:rFonts w:cstheme="minorHAnsi"/>
          <w:lang w:val="en-GB"/>
        </w:rPr>
        <w:t>, Daniel Cherqui</w:t>
      </w:r>
      <w:r w:rsidRPr="00AD2821">
        <w:rPr>
          <w:rFonts w:cstheme="minorHAnsi"/>
          <w:vertAlign w:val="superscript"/>
          <w:lang w:val="en-GB"/>
        </w:rPr>
        <w:t>16</w:t>
      </w:r>
      <w:r w:rsidRPr="00AD2821">
        <w:rPr>
          <w:rFonts w:cstheme="minorHAnsi"/>
          <w:lang w:val="en-GB"/>
        </w:rPr>
        <w:t>, Adnan Alseidi</w:t>
      </w:r>
      <w:r w:rsidRPr="00AD2821">
        <w:rPr>
          <w:rFonts w:cstheme="minorHAnsi"/>
          <w:vertAlign w:val="superscript"/>
          <w:lang w:val="en-GB"/>
        </w:rPr>
        <w:t>17,18</w:t>
      </w:r>
      <w:r w:rsidRPr="00AD2821">
        <w:rPr>
          <w:rFonts w:cstheme="minorHAnsi"/>
          <w:lang w:val="en-GB"/>
        </w:rPr>
        <w:t>, Roland Croner</w:t>
      </w:r>
      <w:r w:rsidRPr="00AD2821">
        <w:rPr>
          <w:rFonts w:cstheme="minorHAnsi"/>
          <w:vertAlign w:val="superscript"/>
          <w:lang w:val="en-GB"/>
        </w:rPr>
        <w:t>13</w:t>
      </w:r>
      <w:r w:rsidRPr="00AD2821">
        <w:rPr>
          <w:rFonts w:cstheme="minorHAnsi"/>
          <w:lang w:val="en-GB"/>
        </w:rPr>
        <w:t>, Fernando Rotellar</w:t>
      </w:r>
      <w:r w:rsidRPr="00AD2821">
        <w:rPr>
          <w:rFonts w:cstheme="minorHAnsi"/>
          <w:vertAlign w:val="superscript"/>
          <w:lang w:val="en-GB"/>
        </w:rPr>
        <w:t>19,20</w:t>
      </w:r>
      <w:r w:rsidRPr="00AD2821">
        <w:rPr>
          <w:rFonts w:cstheme="minorHAnsi"/>
          <w:lang w:val="en-GB"/>
        </w:rPr>
        <w:t>, Olivier Scatton</w:t>
      </w:r>
      <w:r w:rsidRPr="00AD2821">
        <w:rPr>
          <w:rFonts w:cstheme="minorHAnsi"/>
          <w:vertAlign w:val="superscript"/>
          <w:lang w:val="en-GB"/>
        </w:rPr>
        <w:t>21</w:t>
      </w:r>
      <w:r w:rsidRPr="00AD2821">
        <w:rPr>
          <w:rFonts w:cstheme="minorHAnsi"/>
          <w:lang w:val="en-GB"/>
        </w:rPr>
        <w:t>, Hani Al Saati</w:t>
      </w:r>
      <w:r w:rsidRPr="00AD2821">
        <w:rPr>
          <w:rFonts w:cstheme="minorHAnsi"/>
          <w:vertAlign w:val="superscript"/>
          <w:lang w:val="en-GB"/>
        </w:rPr>
        <w:t>22</w:t>
      </w:r>
      <w:r w:rsidRPr="00AD2821">
        <w:rPr>
          <w:rFonts w:cstheme="minorHAnsi"/>
          <w:lang w:val="en-GB"/>
        </w:rPr>
        <w:t>, Giammauro Berardi</w:t>
      </w:r>
      <w:r w:rsidRPr="00AD2821">
        <w:rPr>
          <w:rFonts w:cstheme="minorHAnsi"/>
          <w:vertAlign w:val="superscript"/>
          <w:lang w:val="en-GB"/>
        </w:rPr>
        <w:t>23</w:t>
      </w:r>
      <w:r w:rsidRPr="00AD2821">
        <w:rPr>
          <w:rFonts w:cstheme="minorHAnsi"/>
          <w:lang w:val="en-GB"/>
        </w:rPr>
        <w:t>, Umberto Cillo</w:t>
      </w:r>
      <w:r w:rsidRPr="00AD2821">
        <w:rPr>
          <w:rFonts w:cstheme="minorHAnsi"/>
          <w:vertAlign w:val="superscript"/>
          <w:lang w:val="en-GB"/>
        </w:rPr>
        <w:t>24</w:t>
      </w:r>
      <w:r w:rsidRPr="00AD2821">
        <w:rPr>
          <w:rFonts w:cstheme="minorHAnsi"/>
          <w:lang w:val="en-GB"/>
        </w:rPr>
        <w:t>, Federica Cipriani</w:t>
      </w:r>
      <w:r w:rsidRPr="00AD2821">
        <w:rPr>
          <w:rFonts w:cstheme="minorHAnsi"/>
          <w:vertAlign w:val="superscript"/>
          <w:lang w:val="en-GB"/>
        </w:rPr>
        <w:t>14,15</w:t>
      </w:r>
      <w:r w:rsidRPr="00AD2821">
        <w:rPr>
          <w:rFonts w:cstheme="minorHAnsi"/>
          <w:lang w:val="en-GB"/>
        </w:rPr>
        <w:t>, Ruben Ciria</w:t>
      </w:r>
      <w:r w:rsidRPr="00AD2821">
        <w:rPr>
          <w:rFonts w:cstheme="minorHAnsi"/>
          <w:vertAlign w:val="superscript"/>
          <w:lang w:val="en-GB"/>
        </w:rPr>
        <w:t>25</w:t>
      </w:r>
      <w:r w:rsidRPr="00AD2821">
        <w:rPr>
          <w:rFonts w:cstheme="minorHAnsi"/>
          <w:lang w:val="en-GB"/>
        </w:rPr>
        <w:t>, Esteban Cugat</w:t>
      </w:r>
      <w:r w:rsidRPr="00AD2821">
        <w:rPr>
          <w:rFonts w:cstheme="minorHAnsi"/>
          <w:vertAlign w:val="superscript"/>
          <w:lang w:val="en-GB"/>
        </w:rPr>
        <w:t>26,27</w:t>
      </w:r>
      <w:r w:rsidRPr="00AD2821">
        <w:rPr>
          <w:rFonts w:cstheme="minorHAnsi"/>
          <w:lang w:val="en-GB"/>
        </w:rPr>
        <w:t>, Fabrizio Di Benedetto</w:t>
      </w:r>
      <w:r w:rsidRPr="00AD2821">
        <w:rPr>
          <w:rFonts w:cstheme="minorHAnsi"/>
          <w:vertAlign w:val="superscript"/>
          <w:lang w:val="en-GB"/>
        </w:rPr>
        <w:t>28</w:t>
      </w:r>
      <w:r w:rsidRPr="00AD2821">
        <w:rPr>
          <w:rFonts w:cstheme="minorHAnsi"/>
          <w:lang w:val="en-GB"/>
        </w:rPr>
        <w:t>, Rafael Diaz-Nieto</w:t>
      </w:r>
      <w:r w:rsidRPr="00AD2821">
        <w:rPr>
          <w:rFonts w:cstheme="minorHAnsi"/>
          <w:vertAlign w:val="superscript"/>
          <w:lang w:val="en-GB"/>
        </w:rPr>
        <w:t>29</w:t>
      </w:r>
      <w:r w:rsidRPr="00AD2821">
        <w:rPr>
          <w:rFonts w:cstheme="minorHAnsi"/>
          <w:lang w:val="en-GB"/>
        </w:rPr>
        <w:t>, Trish Duncan</w:t>
      </w:r>
      <w:r w:rsidRPr="00AD2821">
        <w:rPr>
          <w:rFonts w:cstheme="minorHAnsi"/>
          <w:vertAlign w:val="superscript"/>
          <w:lang w:val="en-GB"/>
        </w:rPr>
        <w:t>30</w:t>
      </w:r>
      <w:r w:rsidRPr="00AD2821">
        <w:rPr>
          <w:rFonts w:cstheme="minorHAnsi"/>
          <w:lang w:val="en-GB"/>
        </w:rPr>
        <w:t>, Mikhail Efanov</w:t>
      </w:r>
      <w:r w:rsidRPr="00AD2821">
        <w:rPr>
          <w:rFonts w:cstheme="minorHAnsi"/>
          <w:vertAlign w:val="superscript"/>
          <w:lang w:val="en-GB"/>
        </w:rPr>
        <w:t>31</w:t>
      </w:r>
      <w:r w:rsidRPr="00AD2821">
        <w:rPr>
          <w:rFonts w:cstheme="minorHAnsi"/>
          <w:lang w:val="en-GB"/>
        </w:rPr>
        <w:t>, Giuseppe M. Ettore</w:t>
      </w:r>
      <w:r w:rsidRPr="00AD2821">
        <w:rPr>
          <w:rFonts w:cstheme="minorHAnsi"/>
          <w:vertAlign w:val="superscript"/>
          <w:lang w:val="en-GB"/>
        </w:rPr>
        <w:t>23</w:t>
      </w:r>
      <w:r w:rsidRPr="00AD2821">
        <w:rPr>
          <w:rFonts w:cstheme="minorHAnsi"/>
          <w:lang w:val="en-GB"/>
        </w:rPr>
        <w:t>, Constantino Fondevila</w:t>
      </w:r>
      <w:r w:rsidRPr="00AD2821">
        <w:rPr>
          <w:rFonts w:cstheme="minorHAnsi"/>
          <w:vertAlign w:val="superscript"/>
          <w:lang w:val="en-GB"/>
        </w:rPr>
        <w:t>32</w:t>
      </w:r>
      <w:r w:rsidRPr="00AD2821">
        <w:rPr>
          <w:rFonts w:cstheme="minorHAnsi"/>
          <w:lang w:val="en-GB"/>
        </w:rPr>
        <w:t>, Asmund A. Fretland</w:t>
      </w:r>
      <w:r w:rsidRPr="00AD2821">
        <w:rPr>
          <w:rFonts w:cstheme="minorHAnsi"/>
          <w:vertAlign w:val="superscript"/>
          <w:lang w:val="en-GB"/>
        </w:rPr>
        <w:t>4</w:t>
      </w:r>
      <w:r w:rsidRPr="00AD2821">
        <w:rPr>
          <w:rFonts w:cstheme="minorHAnsi"/>
          <w:lang w:val="en-GB"/>
        </w:rPr>
        <w:t>, Felice Giuliante</w:t>
      </w:r>
      <w:r w:rsidRPr="00AD2821">
        <w:rPr>
          <w:rFonts w:cstheme="minorHAnsi"/>
          <w:vertAlign w:val="superscript"/>
          <w:lang w:val="en-GB"/>
        </w:rPr>
        <w:t>33</w:t>
      </w:r>
      <w:r w:rsidRPr="00AD2821">
        <w:rPr>
          <w:rFonts w:cstheme="minorHAnsi"/>
          <w:lang w:val="en-GB"/>
        </w:rPr>
        <w:t>, Jeroen Hagendoorn</w:t>
      </w:r>
      <w:r w:rsidRPr="00AD2821">
        <w:rPr>
          <w:rFonts w:cstheme="minorHAnsi"/>
          <w:vertAlign w:val="superscript"/>
          <w:lang w:val="en-GB"/>
        </w:rPr>
        <w:t>34</w:t>
      </w:r>
      <w:r w:rsidRPr="00AD2821">
        <w:rPr>
          <w:rFonts w:cstheme="minorHAnsi"/>
          <w:lang w:val="en-GB"/>
        </w:rPr>
        <w:t>, Ho-Seong Han</w:t>
      </w:r>
      <w:r w:rsidRPr="00AD2821">
        <w:rPr>
          <w:rFonts w:cstheme="minorHAnsi"/>
          <w:vertAlign w:val="superscript"/>
          <w:lang w:val="en-GB"/>
        </w:rPr>
        <w:t>35</w:t>
      </w:r>
      <w:r w:rsidRPr="00AD2821">
        <w:rPr>
          <w:rFonts w:cstheme="minorHAnsi"/>
          <w:lang w:val="en-GB"/>
        </w:rPr>
        <w:t>, Goro Honda</w:t>
      </w:r>
      <w:r w:rsidRPr="00AD2821">
        <w:rPr>
          <w:rFonts w:cstheme="minorHAnsi"/>
          <w:vertAlign w:val="superscript"/>
          <w:lang w:val="en-GB"/>
        </w:rPr>
        <w:t>36</w:t>
      </w:r>
      <w:r w:rsidRPr="00AD2821">
        <w:rPr>
          <w:rFonts w:cstheme="minorHAnsi"/>
          <w:lang w:val="en-GB"/>
        </w:rPr>
        <w:t>, Mickael Lesurtel</w:t>
      </w:r>
      <w:r w:rsidRPr="00AD2821">
        <w:rPr>
          <w:rFonts w:cstheme="minorHAnsi"/>
          <w:vertAlign w:val="superscript"/>
          <w:lang w:val="en-GB"/>
        </w:rPr>
        <w:t>37</w:t>
      </w:r>
      <w:r w:rsidRPr="00AD2821">
        <w:rPr>
          <w:rFonts w:cstheme="minorHAnsi"/>
          <w:lang w:val="en-GB"/>
        </w:rPr>
        <w:t>, Peter Lodge</w:t>
      </w:r>
      <w:r w:rsidRPr="00AD2821">
        <w:rPr>
          <w:rFonts w:cstheme="minorHAnsi"/>
          <w:vertAlign w:val="superscript"/>
          <w:lang w:val="en-GB"/>
        </w:rPr>
        <w:t>38</w:t>
      </w:r>
      <w:r w:rsidRPr="00AD2821">
        <w:rPr>
          <w:rFonts w:cstheme="minorHAnsi"/>
          <w:lang w:val="en-GB"/>
        </w:rPr>
        <w:t>, Santiago Lopez Ben</w:t>
      </w:r>
      <w:r w:rsidRPr="00AD2821">
        <w:rPr>
          <w:rFonts w:cstheme="minorHAnsi"/>
          <w:vertAlign w:val="superscript"/>
          <w:lang w:val="en-GB"/>
        </w:rPr>
        <w:t>39</w:t>
      </w:r>
      <w:r w:rsidRPr="00AD2821">
        <w:rPr>
          <w:rFonts w:cstheme="minorHAnsi"/>
          <w:lang w:val="en-GB"/>
        </w:rPr>
        <w:t>, Riccardo Memeo</w:t>
      </w:r>
      <w:r w:rsidRPr="00AD2821">
        <w:rPr>
          <w:rFonts w:cstheme="minorHAnsi"/>
          <w:vertAlign w:val="superscript"/>
          <w:lang w:val="en-GB"/>
        </w:rPr>
        <w:t>40,41</w:t>
      </w:r>
      <w:r w:rsidRPr="00AD2821">
        <w:rPr>
          <w:rFonts w:cstheme="minorHAnsi"/>
          <w:lang w:val="en-GB"/>
        </w:rPr>
        <w:t>, Krishna Menon</w:t>
      </w:r>
      <w:r w:rsidRPr="00AD2821">
        <w:rPr>
          <w:rFonts w:cstheme="minorHAnsi"/>
          <w:vertAlign w:val="superscript"/>
          <w:lang w:val="en-GB"/>
        </w:rPr>
        <w:t>42</w:t>
      </w:r>
      <w:r w:rsidRPr="00AD2821">
        <w:rPr>
          <w:rFonts w:cstheme="minorHAnsi"/>
          <w:lang w:val="en-GB"/>
        </w:rPr>
        <w:t>, Niki Rashidian</w:t>
      </w:r>
      <w:r w:rsidRPr="00AD2821">
        <w:rPr>
          <w:rFonts w:cstheme="minorHAnsi"/>
          <w:vertAlign w:val="superscript"/>
          <w:lang w:val="en-GB"/>
        </w:rPr>
        <w:t>43</w:t>
      </w:r>
      <w:r w:rsidRPr="00AD2821">
        <w:rPr>
          <w:rFonts w:cstheme="minorHAnsi"/>
          <w:lang w:val="en-GB"/>
        </w:rPr>
        <w:t>, Francesca Ratti</w:t>
      </w:r>
      <w:r w:rsidRPr="00AD2821">
        <w:rPr>
          <w:rFonts w:cstheme="minorHAnsi"/>
          <w:vertAlign w:val="superscript"/>
          <w:lang w:val="en-GB"/>
        </w:rPr>
        <w:t>14,15</w:t>
      </w:r>
      <w:r w:rsidRPr="00AD2821">
        <w:rPr>
          <w:rFonts w:cstheme="minorHAnsi"/>
          <w:lang w:val="en-GB"/>
        </w:rPr>
        <w:t>, Ricardo Robles Campos</w:t>
      </w:r>
      <w:r w:rsidRPr="00AD2821">
        <w:rPr>
          <w:rFonts w:cstheme="minorHAnsi"/>
          <w:vertAlign w:val="superscript"/>
          <w:lang w:val="en-GB"/>
        </w:rPr>
        <w:t>44</w:t>
      </w:r>
      <w:r w:rsidRPr="00AD2821">
        <w:rPr>
          <w:rFonts w:cstheme="minorHAnsi"/>
          <w:lang w:val="en-GB"/>
        </w:rPr>
        <w:t>, Nadia Russolillo</w:t>
      </w:r>
      <w:r w:rsidRPr="00AD2821">
        <w:rPr>
          <w:rFonts w:cstheme="minorHAnsi"/>
          <w:vertAlign w:val="superscript"/>
          <w:lang w:val="en-GB"/>
        </w:rPr>
        <w:t>10</w:t>
      </w:r>
      <w:r w:rsidRPr="00AD2821">
        <w:rPr>
          <w:rFonts w:cstheme="minorHAnsi"/>
          <w:lang w:val="en-GB"/>
        </w:rPr>
        <w:t>, Andrea Ruzzenente</w:t>
      </w:r>
      <w:r w:rsidRPr="00AD2821">
        <w:rPr>
          <w:rFonts w:cstheme="minorHAnsi"/>
          <w:vertAlign w:val="superscript"/>
          <w:lang w:val="en-GB"/>
        </w:rPr>
        <w:t>45</w:t>
      </w:r>
      <w:r w:rsidRPr="00AD2821">
        <w:rPr>
          <w:rFonts w:cstheme="minorHAnsi"/>
          <w:lang w:val="en-GB"/>
        </w:rPr>
        <w:t>, Julio Santoyo</w:t>
      </w:r>
      <w:r w:rsidRPr="00AD2821">
        <w:rPr>
          <w:rFonts w:cstheme="minorHAnsi"/>
          <w:vertAlign w:val="superscript"/>
          <w:lang w:val="en-GB"/>
        </w:rPr>
        <w:t>46</w:t>
      </w:r>
      <w:r w:rsidRPr="00AD2821">
        <w:rPr>
          <w:rFonts w:cstheme="minorHAnsi"/>
          <w:lang w:val="en-GB"/>
        </w:rPr>
        <w:t>, Moritz Schmelzle</w:t>
      </w:r>
      <w:r w:rsidRPr="00AD2821">
        <w:rPr>
          <w:rFonts w:cstheme="minorHAnsi"/>
          <w:vertAlign w:val="superscript"/>
          <w:lang w:val="en-GB"/>
        </w:rPr>
        <w:t>47</w:t>
      </w:r>
      <w:r w:rsidRPr="00AD2821">
        <w:rPr>
          <w:rFonts w:cstheme="minorHAnsi"/>
          <w:lang w:val="en-GB"/>
        </w:rPr>
        <w:t>, Olivia Sgarbura</w:t>
      </w:r>
      <w:r w:rsidRPr="00AD2821">
        <w:rPr>
          <w:rFonts w:cstheme="minorHAnsi"/>
          <w:vertAlign w:val="superscript"/>
          <w:lang w:val="en-GB"/>
        </w:rPr>
        <w:t>48</w:t>
      </w:r>
      <w:r w:rsidRPr="00AD2821">
        <w:rPr>
          <w:rFonts w:cstheme="minorHAnsi"/>
          <w:lang w:val="en-GB"/>
        </w:rPr>
        <w:t>, Robert P. Sutcliffe</w:t>
      </w:r>
      <w:r w:rsidRPr="00AD2821">
        <w:rPr>
          <w:rFonts w:cstheme="minorHAnsi"/>
          <w:vertAlign w:val="superscript"/>
          <w:lang w:val="en-GB"/>
        </w:rPr>
        <w:t>49</w:t>
      </w:r>
      <w:r w:rsidRPr="00AD2821">
        <w:rPr>
          <w:rFonts w:cstheme="minorHAnsi"/>
          <w:lang w:val="en-GB"/>
        </w:rPr>
        <w:t>, Catherine S.C. Teh</w:t>
      </w:r>
      <w:r w:rsidRPr="00AD2821">
        <w:rPr>
          <w:rFonts w:cstheme="minorHAnsi"/>
          <w:vertAlign w:val="superscript"/>
          <w:lang w:val="en-GB"/>
        </w:rPr>
        <w:t>50</w:t>
      </w:r>
      <w:r w:rsidRPr="00AD2821">
        <w:rPr>
          <w:rFonts w:cstheme="minorHAnsi"/>
          <w:lang w:val="en-GB"/>
        </w:rPr>
        <w:t>, Marco Vivarelli</w:t>
      </w:r>
      <w:r w:rsidRPr="00AD2821">
        <w:rPr>
          <w:rFonts w:cstheme="minorHAnsi"/>
          <w:vertAlign w:val="superscript"/>
          <w:lang w:val="en-GB"/>
        </w:rPr>
        <w:t>51</w:t>
      </w:r>
      <w:r w:rsidRPr="00AD2821">
        <w:rPr>
          <w:rFonts w:cstheme="minorHAnsi"/>
          <w:lang w:val="en-GB"/>
        </w:rPr>
        <w:t>, Go Wakabayashi</w:t>
      </w:r>
      <w:r w:rsidRPr="00AD2821">
        <w:rPr>
          <w:rFonts w:cstheme="minorHAnsi"/>
          <w:vertAlign w:val="superscript"/>
          <w:lang w:val="en-GB"/>
        </w:rPr>
        <w:t>52</w:t>
      </w:r>
      <w:r w:rsidRPr="00AD2821">
        <w:rPr>
          <w:rFonts w:cstheme="minorHAnsi"/>
          <w:lang w:val="en-GB"/>
        </w:rPr>
        <w:t>, Steven White</w:t>
      </w:r>
      <w:r w:rsidRPr="00AD2821">
        <w:rPr>
          <w:rFonts w:cstheme="minorHAnsi"/>
          <w:vertAlign w:val="superscript"/>
          <w:lang w:val="en-GB"/>
        </w:rPr>
        <w:t>53</w:t>
      </w:r>
      <w:r w:rsidRPr="00AD2821">
        <w:rPr>
          <w:rFonts w:cstheme="minorHAnsi"/>
          <w:lang w:val="en-GB"/>
        </w:rPr>
        <w:t>, Neil Pearce</w:t>
      </w:r>
      <w:r w:rsidRPr="00AD2821">
        <w:rPr>
          <w:rFonts w:cstheme="minorHAnsi"/>
          <w:vertAlign w:val="superscript"/>
          <w:lang w:val="en-GB"/>
        </w:rPr>
        <w:t>54</w:t>
      </w:r>
      <w:r w:rsidRPr="00AD2821">
        <w:rPr>
          <w:rFonts w:cstheme="minorHAnsi"/>
          <w:lang w:val="en-GB"/>
        </w:rPr>
        <w:t>, Roberta Angelico</w:t>
      </w:r>
      <w:r w:rsidRPr="00AD2821">
        <w:rPr>
          <w:rFonts w:cstheme="minorHAnsi"/>
          <w:vertAlign w:val="superscript"/>
          <w:lang w:val="en-GB"/>
        </w:rPr>
        <w:t>55</w:t>
      </w:r>
      <w:r w:rsidRPr="00AD2821">
        <w:rPr>
          <w:rFonts w:cstheme="minorHAnsi"/>
          <w:lang w:val="en-GB"/>
        </w:rPr>
        <w:t>, Elisa Bannone</w:t>
      </w:r>
      <w:r w:rsidRPr="00AD2821">
        <w:rPr>
          <w:rFonts w:cstheme="minorHAnsi"/>
          <w:vertAlign w:val="superscript"/>
          <w:lang w:val="en-GB"/>
        </w:rPr>
        <w:t>56</w:t>
      </w:r>
      <w:r w:rsidRPr="00AD2821">
        <w:rPr>
          <w:rFonts w:cstheme="minorHAnsi"/>
          <w:lang w:val="en-GB"/>
        </w:rPr>
        <w:t>, Andrea Benedetti Cacciaguerra</w:t>
      </w:r>
      <w:r w:rsidRPr="00AD2821">
        <w:rPr>
          <w:rFonts w:cstheme="minorHAnsi"/>
          <w:vertAlign w:val="superscript"/>
          <w:lang w:val="en-GB"/>
        </w:rPr>
        <w:t>51</w:t>
      </w:r>
      <w:r w:rsidRPr="00AD2821">
        <w:rPr>
          <w:rFonts w:cstheme="minorHAnsi"/>
          <w:lang w:val="en-GB"/>
        </w:rPr>
        <w:t>, Emre Bozkurt</w:t>
      </w:r>
      <w:r w:rsidRPr="00AD2821">
        <w:rPr>
          <w:rFonts w:cstheme="minorHAnsi"/>
          <w:vertAlign w:val="superscript"/>
          <w:lang w:val="en-GB"/>
        </w:rPr>
        <w:t>57</w:t>
      </w:r>
      <w:r w:rsidRPr="00AD2821">
        <w:rPr>
          <w:rFonts w:cstheme="minorHAnsi"/>
          <w:lang w:val="en-GB"/>
        </w:rPr>
        <w:t>, Maria Conticchio</w:t>
      </w:r>
      <w:r w:rsidRPr="00AD2821">
        <w:rPr>
          <w:rFonts w:cstheme="minorHAnsi"/>
          <w:vertAlign w:val="superscript"/>
          <w:lang w:val="en-GB"/>
        </w:rPr>
        <w:t>40</w:t>
      </w:r>
      <w:r w:rsidRPr="00AD2821">
        <w:rPr>
          <w:rFonts w:cstheme="minorHAnsi"/>
          <w:lang w:val="en-GB"/>
        </w:rPr>
        <w:t>, Soufyan El Adel</w:t>
      </w:r>
      <w:r w:rsidRPr="00AD2821">
        <w:rPr>
          <w:rFonts w:cstheme="minorHAnsi"/>
          <w:vertAlign w:val="superscript"/>
          <w:lang w:val="en-GB"/>
        </w:rPr>
        <w:t>2,3</w:t>
      </w:r>
      <w:r w:rsidRPr="00AD2821">
        <w:rPr>
          <w:rFonts w:cstheme="minorHAnsi"/>
          <w:lang w:val="en-GB"/>
        </w:rPr>
        <w:t>, Simone Famularo</w:t>
      </w:r>
      <w:r w:rsidRPr="00AD2821">
        <w:rPr>
          <w:rFonts w:cstheme="minorHAnsi"/>
          <w:vertAlign w:val="superscript"/>
          <w:lang w:val="en-GB"/>
        </w:rPr>
        <w:t>58</w:t>
      </w:r>
      <w:r w:rsidRPr="00AD2821">
        <w:rPr>
          <w:rFonts w:cstheme="minorHAnsi"/>
          <w:lang w:val="en-GB"/>
        </w:rPr>
        <w:t>, Martina Guerra</w:t>
      </w:r>
      <w:r w:rsidRPr="00AD2821">
        <w:rPr>
          <w:rFonts w:cstheme="minorHAnsi"/>
          <w:vertAlign w:val="superscript"/>
          <w:lang w:val="en-GB"/>
        </w:rPr>
        <w:t>59</w:t>
      </w:r>
      <w:r w:rsidRPr="00AD2821">
        <w:rPr>
          <w:rFonts w:cstheme="minorHAnsi"/>
          <w:lang w:val="en-GB"/>
        </w:rPr>
        <w:t>, Christoph Kuemmerli</w:t>
      </w:r>
      <w:r w:rsidRPr="00AD2821">
        <w:rPr>
          <w:rFonts w:cstheme="minorHAnsi"/>
          <w:vertAlign w:val="superscript"/>
          <w:lang w:val="en-GB"/>
        </w:rPr>
        <w:t>60</w:t>
      </w:r>
      <w:r w:rsidRPr="00AD2821">
        <w:rPr>
          <w:rFonts w:cstheme="minorHAnsi"/>
          <w:lang w:val="en-GB"/>
        </w:rPr>
        <w:t>, Victor Lopez-Lopez</w:t>
      </w:r>
      <w:r w:rsidRPr="00AD2821">
        <w:rPr>
          <w:rFonts w:cstheme="minorHAnsi"/>
          <w:vertAlign w:val="superscript"/>
          <w:lang w:val="en-GB"/>
        </w:rPr>
        <w:t>44</w:t>
      </w:r>
      <w:r w:rsidRPr="00AD2821">
        <w:rPr>
          <w:rFonts w:cstheme="minorHAnsi"/>
          <w:lang w:val="en-GB"/>
        </w:rPr>
        <w:t>, Fernando Pardo Aranda</w:t>
      </w:r>
      <w:r w:rsidRPr="00AD2821">
        <w:rPr>
          <w:rFonts w:cstheme="minorHAnsi"/>
          <w:vertAlign w:val="superscript"/>
          <w:lang w:val="en-GB"/>
        </w:rPr>
        <w:t>61</w:t>
      </w:r>
      <w:r w:rsidRPr="00AD2821">
        <w:rPr>
          <w:rFonts w:cstheme="minorHAnsi"/>
          <w:lang w:val="en-GB"/>
        </w:rPr>
        <w:t>, Gabriela Pilz da Cunha</w:t>
      </w:r>
      <w:r w:rsidRPr="00AD2821">
        <w:rPr>
          <w:rFonts w:cstheme="minorHAnsi"/>
          <w:vertAlign w:val="superscript"/>
          <w:lang w:val="en-GB"/>
        </w:rPr>
        <w:t>2,3</w:t>
      </w:r>
      <w:r w:rsidRPr="00AD2821">
        <w:rPr>
          <w:rFonts w:cstheme="minorHAnsi"/>
          <w:lang w:val="en-GB"/>
        </w:rPr>
        <w:t>, Florian Primavesi</w:t>
      </w:r>
      <w:r w:rsidRPr="00AD2821">
        <w:rPr>
          <w:rFonts w:cstheme="minorHAnsi"/>
          <w:vertAlign w:val="superscript"/>
          <w:lang w:val="en-GB"/>
        </w:rPr>
        <w:t>62</w:t>
      </w:r>
      <w:r w:rsidRPr="00AD2821">
        <w:rPr>
          <w:rFonts w:cstheme="minorHAnsi"/>
          <w:lang w:val="en-GB"/>
        </w:rPr>
        <w:t>, Sara Saeidi</w:t>
      </w:r>
      <w:r w:rsidRPr="00AD2821">
        <w:rPr>
          <w:rFonts w:cstheme="minorHAnsi"/>
          <w:vertAlign w:val="superscript"/>
          <w:lang w:val="en-GB"/>
        </w:rPr>
        <w:t>63</w:t>
      </w:r>
      <w:r w:rsidRPr="00AD2821">
        <w:rPr>
          <w:rFonts w:cstheme="minorHAnsi"/>
          <w:lang w:val="en-GB"/>
        </w:rPr>
        <w:t>, Andrea R.G. Sheel</w:t>
      </w:r>
      <w:r w:rsidRPr="00AD2821">
        <w:rPr>
          <w:rFonts w:cstheme="minorHAnsi"/>
          <w:vertAlign w:val="superscript"/>
          <w:lang w:val="en-GB"/>
        </w:rPr>
        <w:t>64</w:t>
      </w:r>
      <w:r w:rsidRPr="00AD2821">
        <w:rPr>
          <w:rFonts w:cstheme="minorHAnsi"/>
          <w:lang w:val="en-GB"/>
        </w:rPr>
        <w:t>, Jasper P. Sijberden</w:t>
      </w:r>
      <w:r w:rsidRPr="00AD2821">
        <w:rPr>
          <w:rFonts w:cstheme="minorHAnsi"/>
          <w:vertAlign w:val="superscript"/>
          <w:lang w:val="en-GB"/>
        </w:rPr>
        <w:t>2,3</w:t>
      </w:r>
      <w:r w:rsidRPr="00AD2821">
        <w:rPr>
          <w:rFonts w:cstheme="minorHAnsi"/>
          <w:lang w:val="en-GB"/>
        </w:rPr>
        <w:t>, Francesco Sucameli</w:t>
      </w:r>
      <w:r w:rsidRPr="00AD2821">
        <w:rPr>
          <w:rFonts w:cstheme="minorHAnsi"/>
          <w:vertAlign w:val="superscript"/>
          <w:lang w:val="en-GB"/>
        </w:rPr>
        <w:t>59</w:t>
      </w:r>
      <w:r w:rsidRPr="00AD2821">
        <w:rPr>
          <w:rFonts w:cstheme="minorHAnsi"/>
          <w:lang w:val="en-GB"/>
        </w:rPr>
        <w:t>, Francesco Taliente</w:t>
      </w:r>
      <w:r w:rsidRPr="00AD2821">
        <w:rPr>
          <w:rFonts w:cstheme="minorHAnsi"/>
          <w:vertAlign w:val="superscript"/>
          <w:lang w:val="en-GB"/>
        </w:rPr>
        <w:t>33</w:t>
      </w:r>
      <w:r w:rsidRPr="00AD2821">
        <w:rPr>
          <w:rFonts w:cstheme="minorHAnsi"/>
          <w:lang w:val="en-GB"/>
        </w:rPr>
        <w:t>, Teodros Veronesi</w:t>
      </w:r>
      <w:r w:rsidRPr="00AD2821">
        <w:rPr>
          <w:rFonts w:cstheme="minorHAnsi"/>
          <w:vertAlign w:val="superscript"/>
          <w:lang w:val="en-GB"/>
        </w:rPr>
        <w:t>65</w:t>
      </w:r>
      <w:r w:rsidRPr="00AD2821">
        <w:rPr>
          <w:rFonts w:cstheme="minorHAnsi"/>
          <w:lang w:val="en-GB"/>
        </w:rPr>
        <w:t>, Jawad Ahmad</w:t>
      </w:r>
      <w:r w:rsidRPr="00AD2821">
        <w:rPr>
          <w:rFonts w:cstheme="minorHAnsi"/>
          <w:vertAlign w:val="superscript"/>
          <w:lang w:val="en-GB"/>
        </w:rPr>
        <w:t>66</w:t>
      </w:r>
      <w:r w:rsidRPr="00AD2821">
        <w:rPr>
          <w:rFonts w:cstheme="minorHAnsi"/>
          <w:lang w:val="en-GB"/>
        </w:rPr>
        <w:t>, Sergio Alfieri</w:t>
      </w:r>
      <w:r w:rsidRPr="00AD2821">
        <w:rPr>
          <w:rFonts w:cstheme="minorHAnsi"/>
          <w:vertAlign w:val="superscript"/>
          <w:lang w:val="en-GB"/>
        </w:rPr>
        <w:t>33</w:t>
      </w:r>
      <w:r w:rsidRPr="00AD2821">
        <w:rPr>
          <w:rFonts w:cstheme="minorHAnsi"/>
          <w:lang w:val="en-GB"/>
        </w:rPr>
        <w:t>, Fabio Ausania</w:t>
      </w:r>
      <w:r w:rsidRPr="00AD2821">
        <w:rPr>
          <w:rFonts w:cstheme="minorHAnsi"/>
          <w:vertAlign w:val="superscript"/>
          <w:lang w:val="en-GB"/>
        </w:rPr>
        <w:t>67</w:t>
      </w:r>
      <w:r w:rsidRPr="00AD2821">
        <w:rPr>
          <w:rFonts w:cstheme="minorHAnsi"/>
          <w:lang w:val="en-GB"/>
        </w:rPr>
        <w:t>, Gianluca Baiocchi</w:t>
      </w:r>
      <w:r w:rsidRPr="00AD2821">
        <w:rPr>
          <w:rFonts w:cstheme="minorHAnsi"/>
          <w:vertAlign w:val="superscript"/>
          <w:lang w:val="en-GB"/>
        </w:rPr>
        <w:t>68</w:t>
      </w:r>
      <w:r w:rsidRPr="00AD2821">
        <w:rPr>
          <w:rFonts w:cstheme="minorHAnsi"/>
          <w:lang w:val="en-GB"/>
        </w:rPr>
        <w:t>, Stefano Berti</w:t>
      </w:r>
      <w:r w:rsidRPr="00AD2821">
        <w:rPr>
          <w:rFonts w:cstheme="minorHAnsi"/>
          <w:vertAlign w:val="superscript"/>
          <w:lang w:val="en-GB"/>
        </w:rPr>
        <w:t>69</w:t>
      </w:r>
      <w:r w:rsidRPr="00AD2821">
        <w:rPr>
          <w:rFonts w:cstheme="minorHAnsi"/>
          <w:lang w:val="en-GB"/>
        </w:rPr>
        <w:t>, Marc G. Besselink</w:t>
      </w:r>
      <w:r w:rsidRPr="00AD2821">
        <w:rPr>
          <w:rFonts w:cstheme="minorHAnsi"/>
          <w:vertAlign w:val="superscript"/>
          <w:lang w:val="en-GB"/>
        </w:rPr>
        <w:t>2,3</w:t>
      </w:r>
      <w:r w:rsidRPr="00AD2821">
        <w:rPr>
          <w:rFonts w:cstheme="minorHAnsi"/>
          <w:lang w:val="en-GB"/>
        </w:rPr>
        <w:t>, Salam Daradkeh</w:t>
      </w:r>
      <w:r w:rsidRPr="00AD2821">
        <w:rPr>
          <w:rFonts w:cstheme="minorHAnsi"/>
          <w:vertAlign w:val="superscript"/>
          <w:lang w:val="en-GB"/>
        </w:rPr>
        <w:t>1</w:t>
      </w:r>
      <w:r w:rsidRPr="00AD2821">
        <w:rPr>
          <w:rFonts w:cstheme="minorHAnsi"/>
          <w:lang w:val="en-GB"/>
        </w:rPr>
        <w:t>, Luciano De Carlis</w:t>
      </w:r>
      <w:r w:rsidRPr="00AD2821">
        <w:rPr>
          <w:rFonts w:cstheme="minorHAnsi"/>
          <w:vertAlign w:val="superscript"/>
          <w:lang w:val="en-GB"/>
        </w:rPr>
        <w:t>70</w:t>
      </w:r>
      <w:r w:rsidRPr="00AD2821">
        <w:rPr>
          <w:rFonts w:cstheme="minorHAnsi"/>
          <w:lang w:val="en-GB"/>
        </w:rPr>
        <w:t>, Antonella Delvecchio</w:t>
      </w:r>
      <w:r w:rsidRPr="00AD2821">
        <w:rPr>
          <w:rFonts w:cstheme="minorHAnsi"/>
          <w:vertAlign w:val="superscript"/>
          <w:lang w:val="en-GB"/>
        </w:rPr>
        <w:t>40</w:t>
      </w:r>
      <w:r w:rsidRPr="00AD2821">
        <w:rPr>
          <w:rFonts w:cstheme="minorHAnsi"/>
          <w:lang w:val="en-GB"/>
        </w:rPr>
        <w:t>, Christos Dervenis</w:t>
      </w:r>
      <w:r w:rsidRPr="00AD2821">
        <w:rPr>
          <w:rFonts w:cstheme="minorHAnsi"/>
          <w:vertAlign w:val="superscript"/>
          <w:lang w:val="en-GB"/>
        </w:rPr>
        <w:t>71</w:t>
      </w:r>
      <w:r w:rsidRPr="00AD2821">
        <w:rPr>
          <w:rFonts w:cstheme="minorHAnsi"/>
          <w:lang w:val="en-GB"/>
        </w:rPr>
        <w:t>, Safi Dokmak</w:t>
      </w:r>
      <w:r w:rsidRPr="00AD2821">
        <w:rPr>
          <w:rFonts w:cstheme="minorHAnsi"/>
          <w:vertAlign w:val="superscript"/>
          <w:lang w:val="en-GB"/>
        </w:rPr>
        <w:t>37</w:t>
      </w:r>
      <w:r w:rsidRPr="00AD2821">
        <w:rPr>
          <w:rFonts w:cstheme="minorHAnsi"/>
          <w:lang w:val="en-GB"/>
        </w:rPr>
        <w:t>, Clarissa Ferrari</w:t>
      </w:r>
      <w:r w:rsidRPr="00AD2821">
        <w:rPr>
          <w:rFonts w:cstheme="minorHAnsi"/>
          <w:vertAlign w:val="superscript"/>
          <w:lang w:val="en-GB"/>
        </w:rPr>
        <w:t>72</w:t>
      </w:r>
      <w:r w:rsidRPr="00AD2821">
        <w:rPr>
          <w:rFonts w:cstheme="minorHAnsi"/>
          <w:lang w:val="en-GB"/>
        </w:rPr>
        <w:t>, Giuseppe Kito Fusai</w:t>
      </w:r>
      <w:r w:rsidRPr="00AD2821">
        <w:rPr>
          <w:rFonts w:cstheme="minorHAnsi"/>
          <w:vertAlign w:val="superscript"/>
          <w:lang w:val="en-GB"/>
        </w:rPr>
        <w:t>73</w:t>
      </w:r>
      <w:r w:rsidRPr="00AD2821">
        <w:rPr>
          <w:rFonts w:cstheme="minorHAnsi"/>
          <w:lang w:val="en-GB"/>
        </w:rPr>
        <w:t>, David Geller</w:t>
      </w:r>
      <w:r w:rsidRPr="00AD2821">
        <w:rPr>
          <w:rFonts w:cstheme="minorHAnsi"/>
          <w:vertAlign w:val="superscript"/>
          <w:lang w:val="en-GB"/>
        </w:rPr>
        <w:t>74</w:t>
      </w:r>
      <w:r w:rsidRPr="00AD2821">
        <w:rPr>
          <w:rFonts w:cstheme="minorHAnsi"/>
          <w:lang w:val="en-GB"/>
        </w:rPr>
        <w:t>, Brian K.P. Goh</w:t>
      </w:r>
      <w:r w:rsidRPr="00AD2821">
        <w:rPr>
          <w:rFonts w:cstheme="minorHAnsi"/>
          <w:vertAlign w:val="superscript"/>
          <w:lang w:val="en-GB"/>
        </w:rPr>
        <w:t>75,76</w:t>
      </w:r>
      <w:r w:rsidRPr="00AD2821">
        <w:rPr>
          <w:rFonts w:cstheme="minorHAnsi"/>
          <w:lang w:val="en-GB"/>
        </w:rPr>
        <w:t>, Alfredo Guglielmi</w:t>
      </w:r>
      <w:r w:rsidRPr="00AD2821">
        <w:rPr>
          <w:rFonts w:cstheme="minorHAnsi"/>
          <w:vertAlign w:val="superscript"/>
          <w:lang w:val="en-GB"/>
        </w:rPr>
        <w:t>45</w:t>
      </w:r>
      <w:r w:rsidRPr="00AD2821">
        <w:rPr>
          <w:rFonts w:cstheme="minorHAnsi"/>
          <w:lang w:val="en-GB"/>
        </w:rPr>
        <w:t>, David Iannitti</w:t>
      </w:r>
      <w:r w:rsidRPr="00AD2821">
        <w:rPr>
          <w:rFonts w:cstheme="minorHAnsi"/>
          <w:vertAlign w:val="superscript"/>
          <w:lang w:val="en-GB"/>
        </w:rPr>
        <w:t>77</w:t>
      </w:r>
      <w:r w:rsidRPr="00AD2821">
        <w:rPr>
          <w:rFonts w:cstheme="minorHAnsi"/>
          <w:lang w:val="en-GB"/>
        </w:rPr>
        <w:t>, Derar Jaradat</w:t>
      </w:r>
      <w:r w:rsidRPr="00AD2821">
        <w:rPr>
          <w:rFonts w:cstheme="minorHAnsi"/>
          <w:vertAlign w:val="superscript"/>
          <w:lang w:val="en-GB"/>
        </w:rPr>
        <w:t>78,79</w:t>
      </w:r>
      <w:r w:rsidRPr="00AD2821">
        <w:rPr>
          <w:rFonts w:cstheme="minorHAnsi"/>
          <w:lang w:val="en-GB"/>
        </w:rPr>
        <w:t>, Elio Jovine</w:t>
      </w:r>
      <w:r w:rsidRPr="00AD2821">
        <w:rPr>
          <w:rFonts w:cstheme="minorHAnsi"/>
          <w:vertAlign w:val="superscript"/>
          <w:lang w:val="en-GB"/>
        </w:rPr>
        <w:t>80</w:t>
      </w:r>
      <w:r w:rsidRPr="00AD2821">
        <w:rPr>
          <w:rFonts w:cstheme="minorHAnsi"/>
          <w:lang w:val="en-GB"/>
        </w:rPr>
        <w:t>, Chen Kuo-Hsin</w:t>
      </w:r>
      <w:r w:rsidRPr="00AD2821">
        <w:rPr>
          <w:rFonts w:cstheme="minorHAnsi"/>
          <w:vertAlign w:val="superscript"/>
          <w:lang w:val="en-GB"/>
        </w:rPr>
        <w:t>81</w:t>
      </w:r>
      <w:r w:rsidRPr="00AD2821">
        <w:rPr>
          <w:rFonts w:cstheme="minorHAnsi"/>
          <w:lang w:val="en-GB"/>
        </w:rPr>
        <w:t>, Rong Liu</w:t>
      </w:r>
      <w:r w:rsidRPr="00AD2821">
        <w:rPr>
          <w:rFonts w:cstheme="minorHAnsi"/>
          <w:vertAlign w:val="superscript"/>
          <w:lang w:val="en-GB"/>
        </w:rPr>
        <w:t>82</w:t>
      </w:r>
      <w:r w:rsidRPr="00AD2821">
        <w:rPr>
          <w:rFonts w:cstheme="minorHAnsi"/>
          <w:lang w:val="en-GB"/>
        </w:rPr>
        <w:t>, Ravi Marudanayagam</w:t>
      </w:r>
      <w:r w:rsidRPr="00AD2821">
        <w:rPr>
          <w:rFonts w:cstheme="minorHAnsi"/>
          <w:vertAlign w:val="superscript"/>
          <w:lang w:val="en-GB"/>
        </w:rPr>
        <w:t>49</w:t>
      </w:r>
      <w:r w:rsidRPr="00AD2821">
        <w:rPr>
          <w:rFonts w:cstheme="minorHAnsi"/>
          <w:lang w:val="en-GB"/>
        </w:rPr>
        <w:t>, Federico Mocchegiani</w:t>
      </w:r>
      <w:r w:rsidRPr="00AD2821">
        <w:rPr>
          <w:rFonts w:cstheme="minorHAnsi"/>
          <w:vertAlign w:val="superscript"/>
          <w:lang w:val="en-GB"/>
        </w:rPr>
        <w:t>51</w:t>
      </w:r>
      <w:r w:rsidRPr="00AD2821">
        <w:rPr>
          <w:rFonts w:cstheme="minorHAnsi"/>
          <w:lang w:val="en-GB"/>
        </w:rPr>
        <w:t>, Fabrizio Panaro</w:t>
      </w:r>
      <w:r w:rsidRPr="00AD2821">
        <w:rPr>
          <w:rFonts w:cstheme="minorHAnsi"/>
          <w:vertAlign w:val="superscript"/>
          <w:lang w:val="en-GB"/>
        </w:rPr>
        <w:t>83</w:t>
      </w:r>
      <w:r w:rsidRPr="00AD2821">
        <w:rPr>
          <w:rFonts w:cstheme="minorHAnsi"/>
          <w:lang w:val="en-GB"/>
        </w:rPr>
        <w:t>, Antonio Pinna</w:t>
      </w:r>
      <w:r w:rsidRPr="00AD2821">
        <w:rPr>
          <w:rFonts w:cstheme="minorHAnsi"/>
          <w:vertAlign w:val="superscript"/>
          <w:lang w:val="en-GB"/>
        </w:rPr>
        <w:t>84</w:t>
      </w:r>
      <w:r w:rsidRPr="00AD2821">
        <w:rPr>
          <w:rFonts w:cstheme="minorHAnsi"/>
          <w:lang w:val="en-GB"/>
        </w:rPr>
        <w:t>, Nazario Portolani</w:t>
      </w:r>
      <w:r w:rsidRPr="00AD2821">
        <w:rPr>
          <w:rFonts w:cstheme="minorHAnsi"/>
          <w:vertAlign w:val="superscript"/>
          <w:lang w:val="en-GB"/>
        </w:rPr>
        <w:t>85</w:t>
      </w:r>
      <w:r w:rsidRPr="00AD2821">
        <w:rPr>
          <w:rFonts w:cstheme="minorHAnsi"/>
          <w:lang w:val="en-GB"/>
        </w:rPr>
        <w:t>, Omar Saleh</w:t>
      </w:r>
      <w:r w:rsidRPr="00AD2821">
        <w:rPr>
          <w:rFonts w:cstheme="minorHAnsi"/>
          <w:vertAlign w:val="superscript"/>
          <w:lang w:val="en-GB"/>
        </w:rPr>
        <w:t>86</w:t>
      </w:r>
      <w:r w:rsidRPr="00AD2821">
        <w:rPr>
          <w:rFonts w:cstheme="minorHAnsi"/>
          <w:lang w:val="en-GB"/>
        </w:rPr>
        <w:t>, Claudio Sallemi</w:t>
      </w:r>
      <w:r w:rsidRPr="00AD2821">
        <w:rPr>
          <w:rFonts w:cstheme="minorHAnsi"/>
          <w:vertAlign w:val="superscript"/>
          <w:lang w:val="en-GB"/>
        </w:rPr>
        <w:t>87</w:t>
      </w:r>
      <w:r w:rsidRPr="00AD2821">
        <w:rPr>
          <w:rFonts w:cstheme="minorHAnsi"/>
          <w:lang w:val="en-GB"/>
        </w:rPr>
        <w:t>, Alejandro Serrablo</w:t>
      </w:r>
      <w:r w:rsidRPr="00AD2821">
        <w:rPr>
          <w:rFonts w:cstheme="minorHAnsi"/>
          <w:vertAlign w:val="superscript"/>
          <w:lang w:val="en-GB"/>
        </w:rPr>
        <w:t>88</w:t>
      </w:r>
      <w:r w:rsidRPr="00AD2821">
        <w:rPr>
          <w:rFonts w:cstheme="minorHAnsi"/>
          <w:lang w:val="en-GB"/>
        </w:rPr>
        <w:t>, Sameer Smadi</w:t>
      </w:r>
      <w:r w:rsidRPr="00AD2821">
        <w:rPr>
          <w:rFonts w:cstheme="minorHAnsi"/>
          <w:vertAlign w:val="superscript"/>
          <w:lang w:val="en-GB"/>
        </w:rPr>
        <w:t>89</w:t>
      </w:r>
      <w:r w:rsidRPr="00AD2821">
        <w:rPr>
          <w:rFonts w:cstheme="minorHAnsi"/>
          <w:lang w:val="en-GB"/>
        </w:rPr>
        <w:t>, Amal Suhool</w:t>
      </w:r>
      <w:r w:rsidRPr="00AD2821">
        <w:rPr>
          <w:rFonts w:cstheme="minorHAnsi"/>
          <w:vertAlign w:val="superscript"/>
          <w:lang w:val="en-GB"/>
        </w:rPr>
        <w:t>90</w:t>
      </w:r>
      <w:r w:rsidRPr="00AD2821">
        <w:rPr>
          <w:rFonts w:cstheme="minorHAnsi"/>
          <w:lang w:val="en-GB"/>
        </w:rPr>
        <w:t>, Mark A. Taylor</w:t>
      </w:r>
      <w:r w:rsidRPr="00AD2821">
        <w:rPr>
          <w:rFonts w:cstheme="minorHAnsi"/>
          <w:vertAlign w:val="superscript"/>
          <w:lang w:val="en-GB"/>
        </w:rPr>
        <w:t>91</w:t>
      </w:r>
      <w:r w:rsidRPr="00AD2821">
        <w:rPr>
          <w:rFonts w:cstheme="minorHAnsi"/>
          <w:lang w:val="en-GB"/>
        </w:rPr>
        <w:t>, Thomas M. van Gulik</w:t>
      </w:r>
      <w:r w:rsidRPr="00AD2821">
        <w:rPr>
          <w:rFonts w:cstheme="minorHAnsi"/>
          <w:vertAlign w:val="superscript"/>
          <w:lang w:val="en-GB"/>
        </w:rPr>
        <w:t>2,3</w:t>
      </w:r>
      <w:r w:rsidRPr="00AD2821">
        <w:rPr>
          <w:rFonts w:cstheme="minorHAnsi"/>
          <w:lang w:val="en-GB"/>
        </w:rPr>
        <w:t>, Ajith K. Siriwardena</w:t>
      </w:r>
      <w:r w:rsidRPr="00AD2821">
        <w:rPr>
          <w:rFonts w:cstheme="minorHAnsi"/>
          <w:vertAlign w:val="superscript"/>
          <w:lang w:val="en-GB"/>
        </w:rPr>
        <w:t>92</w:t>
      </w:r>
      <w:r w:rsidRPr="00AD2821">
        <w:rPr>
          <w:rFonts w:cstheme="minorHAnsi"/>
          <w:i/>
          <w:iCs/>
          <w:vertAlign w:val="superscript"/>
          <w:lang w:val="en-GB"/>
        </w:rPr>
        <w:t>#</w:t>
      </w:r>
      <w:r w:rsidRPr="00AD2821">
        <w:rPr>
          <w:rFonts w:cstheme="minorHAnsi"/>
          <w:lang w:val="en-GB"/>
        </w:rPr>
        <w:t>, Horacio J. Asbun</w:t>
      </w:r>
      <w:r w:rsidRPr="00AD2821">
        <w:rPr>
          <w:rFonts w:cstheme="minorHAnsi"/>
          <w:vertAlign w:val="superscript"/>
          <w:lang w:val="en-GB"/>
        </w:rPr>
        <w:t>93</w:t>
      </w:r>
      <w:r w:rsidRPr="00AD2821">
        <w:rPr>
          <w:rFonts w:cstheme="minorHAnsi"/>
          <w:i/>
          <w:iCs/>
          <w:vertAlign w:val="superscript"/>
          <w:lang w:val="en-GB"/>
        </w:rPr>
        <w:t>#</w:t>
      </w:r>
    </w:p>
    <w:p w14:paraId="68C9FE4A" w14:textId="77777777" w:rsidR="002C38BB" w:rsidRPr="00AD2821" w:rsidRDefault="002C38BB" w:rsidP="002C38BB">
      <w:pPr>
        <w:jc w:val="center"/>
        <w:rPr>
          <w:rFonts w:cstheme="minorHAnsi"/>
          <w:i/>
          <w:iCs/>
          <w:color w:val="000000"/>
          <w:sz w:val="20"/>
          <w:szCs w:val="20"/>
          <w:lang w:val="en-GB"/>
        </w:rPr>
      </w:pPr>
      <w:r w:rsidRPr="00AD2821">
        <w:rPr>
          <w:rFonts w:cstheme="minorHAnsi"/>
          <w:i/>
          <w:iCs/>
          <w:color w:val="000000"/>
          <w:sz w:val="20"/>
          <w:szCs w:val="20"/>
          <w:lang w:val="en-GB"/>
        </w:rPr>
        <w:t>*Shared first author</w:t>
      </w:r>
      <w:r w:rsidRPr="00AD2821">
        <w:rPr>
          <w:rFonts w:cstheme="minorHAnsi"/>
          <w:i/>
          <w:iCs/>
          <w:color w:val="000000"/>
          <w:sz w:val="20"/>
          <w:szCs w:val="20"/>
          <w:lang w:val="en-GB"/>
        </w:rPr>
        <w:br/>
      </w:r>
      <w:r w:rsidRPr="00AD2821">
        <w:rPr>
          <w:rFonts w:cstheme="minorHAnsi"/>
          <w:i/>
          <w:iCs/>
          <w:color w:val="000000"/>
          <w:sz w:val="20"/>
          <w:szCs w:val="20"/>
          <w:vertAlign w:val="superscript"/>
          <w:lang w:val="en-GB"/>
        </w:rPr>
        <w:t xml:space="preserve"># </w:t>
      </w:r>
      <w:r w:rsidRPr="00AD2821">
        <w:rPr>
          <w:rFonts w:cstheme="minorHAnsi"/>
          <w:i/>
          <w:iCs/>
          <w:color w:val="000000"/>
          <w:sz w:val="20"/>
          <w:szCs w:val="20"/>
          <w:lang w:val="en-GB"/>
        </w:rPr>
        <w:t>Shared last author</w:t>
      </w:r>
    </w:p>
    <w:p w14:paraId="282D3992" w14:textId="77777777" w:rsidR="002C38BB" w:rsidRPr="00AD2821" w:rsidRDefault="002C38BB" w:rsidP="002C38BB">
      <w:pPr>
        <w:rPr>
          <w:rFonts w:cstheme="minorHAnsi"/>
          <w:lang w:val="en-GB"/>
        </w:rPr>
      </w:pPr>
    </w:p>
    <w:p w14:paraId="6A0663F6" w14:textId="77777777" w:rsidR="002C38BB" w:rsidRPr="00AD2821" w:rsidRDefault="002C38BB" w:rsidP="002C38BB">
      <w:pPr>
        <w:rPr>
          <w:rFonts w:cstheme="minorHAnsi"/>
          <w:sz w:val="18"/>
          <w:szCs w:val="18"/>
          <w:lang w:val="en-GB"/>
        </w:rPr>
      </w:pPr>
      <w:r w:rsidRPr="00AD2821">
        <w:rPr>
          <w:rFonts w:cstheme="minorHAnsi"/>
          <w:sz w:val="18"/>
          <w:szCs w:val="18"/>
          <w:lang w:val="en-GB"/>
        </w:rPr>
        <w:t>Author affiliation:</w:t>
      </w:r>
    </w:p>
    <w:p w14:paraId="1235D0FA" w14:textId="77777777" w:rsidR="002C38BB" w:rsidRPr="00AD2821" w:rsidRDefault="002C38BB" w:rsidP="002C38BB">
      <w:pPr>
        <w:rPr>
          <w:rFonts w:cstheme="minorHAnsi"/>
          <w:sz w:val="18"/>
          <w:szCs w:val="18"/>
          <w:lang w:val="en-GB"/>
        </w:rPr>
      </w:pPr>
      <w:r w:rsidRPr="00AD2821">
        <w:rPr>
          <w:rFonts w:cstheme="minorHAnsi"/>
          <w:sz w:val="18"/>
          <w:szCs w:val="18"/>
          <w:vertAlign w:val="superscript"/>
          <w:lang w:val="en-GB"/>
        </w:rPr>
        <w:t>1</w:t>
      </w:r>
      <w:r w:rsidRPr="00AD2821">
        <w:rPr>
          <w:rFonts w:cstheme="minorHAnsi"/>
          <w:sz w:val="18"/>
          <w:szCs w:val="18"/>
          <w:lang w:val="en-GB"/>
        </w:rPr>
        <w:t>Department of Surgery, Poliambulanza Foundation Hospital, Brescia, Italy</w:t>
      </w:r>
      <w:r w:rsidRPr="00AD2821">
        <w:rPr>
          <w:rFonts w:cstheme="minorHAnsi"/>
          <w:sz w:val="18"/>
          <w:szCs w:val="18"/>
          <w:lang w:val="en-GB"/>
        </w:rPr>
        <w:br/>
      </w:r>
      <w:r w:rsidRPr="00AD2821">
        <w:rPr>
          <w:rFonts w:cstheme="minorHAnsi"/>
          <w:sz w:val="18"/>
          <w:szCs w:val="18"/>
          <w:vertAlign w:val="superscript"/>
          <w:lang w:val="en-GB"/>
        </w:rPr>
        <w:t>2</w:t>
      </w:r>
      <w:r w:rsidRPr="00AD2821">
        <w:rPr>
          <w:rFonts w:cstheme="minorHAnsi"/>
          <w:sz w:val="18"/>
          <w:szCs w:val="18"/>
          <w:lang w:val="en-GB"/>
        </w:rPr>
        <w:t>Department of Surgery, University Hospital Southampton NHS Foundation Trust, Southampton, United Kingdom</w:t>
      </w:r>
      <w:r w:rsidRPr="00AD2821">
        <w:rPr>
          <w:rFonts w:cstheme="minorHAnsi"/>
          <w:sz w:val="18"/>
          <w:szCs w:val="18"/>
          <w:lang w:val="en-GB"/>
        </w:rPr>
        <w:br/>
      </w:r>
      <w:r w:rsidRPr="00AD2821">
        <w:rPr>
          <w:rFonts w:cstheme="minorHAnsi"/>
          <w:sz w:val="18"/>
          <w:szCs w:val="18"/>
          <w:vertAlign w:val="superscript"/>
          <w:lang w:val="en-GB"/>
        </w:rPr>
        <w:t>3</w:t>
      </w:r>
      <w:r w:rsidRPr="00AD2821">
        <w:rPr>
          <w:rFonts w:cstheme="minorHAnsi"/>
          <w:sz w:val="18"/>
          <w:szCs w:val="18"/>
          <w:lang w:val="en-GB"/>
        </w:rPr>
        <w:t>Department of Surgery, Amsterdam UMC location University of Amsterdam, Amsterdam, The Netherlands</w:t>
      </w:r>
      <w:r w:rsidRPr="00AD2821">
        <w:rPr>
          <w:rFonts w:cstheme="minorHAnsi"/>
          <w:sz w:val="18"/>
          <w:szCs w:val="18"/>
          <w:lang w:val="en-GB"/>
        </w:rPr>
        <w:br/>
      </w:r>
      <w:r w:rsidRPr="00AD2821">
        <w:rPr>
          <w:rFonts w:cstheme="minorHAnsi"/>
          <w:sz w:val="18"/>
          <w:szCs w:val="18"/>
          <w:vertAlign w:val="superscript"/>
          <w:lang w:val="en-GB"/>
        </w:rPr>
        <w:t>4</w:t>
      </w:r>
      <w:r w:rsidRPr="00AD2821">
        <w:rPr>
          <w:rFonts w:cstheme="minorHAnsi"/>
          <w:sz w:val="18"/>
          <w:szCs w:val="18"/>
          <w:lang w:val="en-GB"/>
        </w:rPr>
        <w:t>Cancer Centre Amsterdam, Amsterdam, The Netherlands</w:t>
      </w:r>
      <w:r w:rsidRPr="00AD2821">
        <w:rPr>
          <w:rFonts w:cstheme="minorHAnsi"/>
          <w:sz w:val="18"/>
          <w:szCs w:val="18"/>
          <w:lang w:val="en-GB"/>
        </w:rPr>
        <w:br/>
      </w:r>
      <w:r w:rsidRPr="00AD2821">
        <w:rPr>
          <w:rFonts w:cstheme="minorHAnsi"/>
          <w:sz w:val="18"/>
          <w:szCs w:val="18"/>
          <w:vertAlign w:val="superscript"/>
          <w:lang w:val="en-GB"/>
        </w:rPr>
        <w:t>5</w:t>
      </w:r>
      <w:r w:rsidRPr="00AD2821">
        <w:rPr>
          <w:rFonts w:cstheme="minorHAnsi"/>
          <w:sz w:val="18"/>
          <w:szCs w:val="18"/>
          <w:lang w:val="en-GB"/>
        </w:rPr>
        <w:t>The Intervention Centre and Department of HPB surgery, Oslo University Hospital and Institute of Medicine, University of Oslo, Oslo, Norway</w:t>
      </w:r>
      <w:r w:rsidRPr="00AD2821">
        <w:rPr>
          <w:rFonts w:cstheme="minorHAnsi"/>
          <w:sz w:val="18"/>
          <w:szCs w:val="18"/>
          <w:lang w:val="en-GB"/>
        </w:rPr>
        <w:br/>
      </w:r>
      <w:r w:rsidRPr="00AD2821">
        <w:rPr>
          <w:rFonts w:cstheme="minorHAnsi"/>
          <w:sz w:val="18"/>
          <w:szCs w:val="18"/>
          <w:vertAlign w:val="superscript"/>
          <w:lang w:val="en-GB"/>
        </w:rPr>
        <w:t>6</w:t>
      </w:r>
      <w:r w:rsidRPr="00AD2821">
        <w:rPr>
          <w:rFonts w:cstheme="minorHAnsi"/>
          <w:sz w:val="18"/>
          <w:szCs w:val="18"/>
          <w:lang w:val="en-GB"/>
        </w:rPr>
        <w:t>Department of Digestive Minimally Invasive Surgery, Antoine Béclère Hospital, Paris, France</w:t>
      </w:r>
      <w:r w:rsidRPr="00AD2821">
        <w:rPr>
          <w:rFonts w:cstheme="minorHAnsi"/>
          <w:sz w:val="18"/>
          <w:szCs w:val="18"/>
          <w:lang w:val="en-GB"/>
        </w:rPr>
        <w:br/>
      </w:r>
      <w:r w:rsidRPr="00AD2821">
        <w:rPr>
          <w:rFonts w:cstheme="minorHAnsi"/>
          <w:sz w:val="18"/>
          <w:szCs w:val="18"/>
          <w:vertAlign w:val="superscript"/>
          <w:lang w:val="en-GB"/>
        </w:rPr>
        <w:t>7</w:t>
      </w:r>
      <w:r w:rsidRPr="00AD2821">
        <w:rPr>
          <w:rFonts w:cstheme="minorHAnsi"/>
          <w:sz w:val="18"/>
          <w:szCs w:val="18"/>
          <w:lang w:val="en-GB"/>
        </w:rPr>
        <w:t>Department of Digestive and Hepatobiliary/Pancreatic Surgery, Groeninge Hospital, Kortrijk, Belgium</w:t>
      </w:r>
      <w:r w:rsidRPr="00AD2821">
        <w:rPr>
          <w:rFonts w:cstheme="minorHAnsi"/>
          <w:sz w:val="18"/>
          <w:szCs w:val="18"/>
          <w:lang w:val="en-GB"/>
        </w:rPr>
        <w:br/>
      </w:r>
      <w:r w:rsidRPr="00AD2821">
        <w:rPr>
          <w:rFonts w:cstheme="minorHAnsi"/>
          <w:sz w:val="18"/>
          <w:szCs w:val="18"/>
          <w:vertAlign w:val="superscript"/>
          <w:lang w:val="en-GB"/>
        </w:rPr>
        <w:t>8</w:t>
      </w:r>
      <w:r w:rsidRPr="00AD2821">
        <w:rPr>
          <w:rFonts w:cstheme="minorHAnsi"/>
          <w:sz w:val="18"/>
          <w:szCs w:val="18"/>
          <w:lang w:val="en-GB"/>
        </w:rPr>
        <w:t>Department of General Surgery, Centro hospitalar unversitario de Lisboa Central, Lisbon, Portugal</w:t>
      </w:r>
      <w:r w:rsidRPr="00AD2821">
        <w:rPr>
          <w:rFonts w:cstheme="minorHAnsi"/>
          <w:sz w:val="18"/>
          <w:szCs w:val="18"/>
          <w:lang w:val="en-GB"/>
        </w:rPr>
        <w:br/>
      </w:r>
      <w:r w:rsidRPr="00AD2821">
        <w:rPr>
          <w:rFonts w:cstheme="minorHAnsi"/>
          <w:sz w:val="18"/>
          <w:szCs w:val="18"/>
          <w:vertAlign w:val="superscript"/>
          <w:lang w:val="en-GB"/>
        </w:rPr>
        <w:t>9</w:t>
      </w:r>
      <w:r w:rsidRPr="00AD2821">
        <w:rPr>
          <w:rFonts w:cstheme="minorHAnsi"/>
          <w:sz w:val="18"/>
          <w:szCs w:val="18"/>
          <w:lang w:val="en-GB"/>
        </w:rPr>
        <w:t>Division of General and Transplant Surgery, University of Pisa, Pisa, Italy</w:t>
      </w:r>
      <w:r w:rsidRPr="00AD2821">
        <w:rPr>
          <w:rFonts w:cstheme="minorHAnsi"/>
          <w:sz w:val="18"/>
          <w:szCs w:val="18"/>
          <w:lang w:val="en-GB"/>
        </w:rPr>
        <w:br/>
      </w:r>
      <w:r w:rsidRPr="00AD2821">
        <w:rPr>
          <w:rFonts w:cstheme="minorHAnsi"/>
          <w:sz w:val="18"/>
          <w:szCs w:val="18"/>
          <w:vertAlign w:val="superscript"/>
          <w:lang w:val="en-GB"/>
        </w:rPr>
        <w:t>10</w:t>
      </w:r>
      <w:r w:rsidRPr="00AD2821">
        <w:rPr>
          <w:rFonts w:cstheme="minorHAnsi"/>
          <w:sz w:val="18"/>
          <w:szCs w:val="18"/>
          <w:lang w:val="en-GB"/>
        </w:rPr>
        <w:t>Digestive Health Institute, AdventHealth Tampa, Tampa, Florida, United States of America</w:t>
      </w:r>
      <w:r w:rsidRPr="00AD2821">
        <w:rPr>
          <w:rFonts w:cstheme="minorHAnsi"/>
          <w:sz w:val="18"/>
          <w:szCs w:val="18"/>
          <w:lang w:val="en-GB"/>
        </w:rPr>
        <w:br/>
      </w:r>
      <w:r w:rsidRPr="00AD2821">
        <w:rPr>
          <w:rFonts w:cstheme="minorHAnsi"/>
          <w:sz w:val="18"/>
          <w:szCs w:val="18"/>
          <w:vertAlign w:val="superscript"/>
          <w:lang w:val="en-GB"/>
        </w:rPr>
        <w:t>11</w:t>
      </w:r>
      <w:r w:rsidRPr="00AD2821">
        <w:rPr>
          <w:rFonts w:cstheme="minorHAnsi"/>
          <w:sz w:val="18"/>
          <w:szCs w:val="18"/>
          <w:lang w:val="en-GB"/>
        </w:rPr>
        <w:t>Department of General and Oncological Surgery, Umberto I Mauriziano Hospital, Turin, Italy</w:t>
      </w:r>
      <w:r w:rsidRPr="00AD2821">
        <w:rPr>
          <w:rFonts w:cstheme="minorHAnsi"/>
          <w:sz w:val="18"/>
          <w:szCs w:val="18"/>
          <w:lang w:val="en-GB"/>
        </w:rPr>
        <w:br/>
      </w:r>
      <w:r w:rsidRPr="00AD2821">
        <w:rPr>
          <w:rFonts w:cstheme="minorHAnsi"/>
          <w:sz w:val="18"/>
          <w:szCs w:val="18"/>
          <w:vertAlign w:val="superscript"/>
          <w:lang w:val="en-GB"/>
        </w:rPr>
        <w:t>12</w:t>
      </w:r>
      <w:r w:rsidRPr="00AD2821">
        <w:rPr>
          <w:rFonts w:cstheme="minorHAnsi"/>
          <w:sz w:val="18"/>
          <w:szCs w:val="18"/>
          <w:lang w:val="en-GB"/>
        </w:rPr>
        <w:t>Department of Surgery, Onze Lieve Vrouwe Gasthuis, Amsterdam, The Netherlands</w:t>
      </w:r>
      <w:r w:rsidRPr="00AD2821">
        <w:rPr>
          <w:rFonts w:cstheme="minorHAnsi"/>
          <w:sz w:val="18"/>
          <w:szCs w:val="18"/>
          <w:lang w:val="en-GB"/>
        </w:rPr>
        <w:br/>
      </w:r>
      <w:r w:rsidRPr="00AD2821">
        <w:rPr>
          <w:rFonts w:cstheme="minorHAnsi"/>
          <w:sz w:val="18"/>
          <w:szCs w:val="18"/>
          <w:vertAlign w:val="superscript"/>
          <w:lang w:val="en-GB"/>
        </w:rPr>
        <w:t>13</w:t>
      </w:r>
      <w:r w:rsidRPr="00AD2821">
        <w:rPr>
          <w:rFonts w:cstheme="minorHAnsi"/>
          <w:sz w:val="18"/>
          <w:szCs w:val="18"/>
          <w:lang w:val="en-GB"/>
        </w:rPr>
        <w:t>Department of Clinical Medicine and Surgery, Federico II University Naples, Naples, Italy</w:t>
      </w:r>
      <w:r w:rsidRPr="00AD2821">
        <w:rPr>
          <w:rFonts w:cstheme="minorHAnsi"/>
          <w:sz w:val="18"/>
          <w:szCs w:val="18"/>
          <w:lang w:val="en-GB"/>
        </w:rPr>
        <w:br/>
      </w:r>
      <w:r w:rsidRPr="00AD2821">
        <w:rPr>
          <w:rFonts w:cstheme="minorHAnsi"/>
          <w:sz w:val="18"/>
          <w:szCs w:val="18"/>
          <w:vertAlign w:val="superscript"/>
          <w:lang w:val="en-GB"/>
        </w:rPr>
        <w:t>14</w:t>
      </w:r>
      <w:r w:rsidRPr="00AD2821">
        <w:rPr>
          <w:rFonts w:cstheme="minorHAnsi"/>
          <w:sz w:val="18"/>
          <w:szCs w:val="18"/>
          <w:lang w:val="en-GB"/>
        </w:rPr>
        <w:t>Department of General, Visceral, Vascular and Transplant Surgery, University Hospital Magdeburg, Magdeburg, Germany</w:t>
      </w:r>
      <w:r w:rsidRPr="00AD2821">
        <w:rPr>
          <w:rFonts w:cstheme="minorHAnsi"/>
          <w:sz w:val="18"/>
          <w:szCs w:val="18"/>
          <w:lang w:val="en-GB"/>
        </w:rPr>
        <w:br/>
      </w:r>
      <w:r w:rsidRPr="00AD2821">
        <w:rPr>
          <w:rFonts w:cstheme="minorHAnsi"/>
          <w:sz w:val="18"/>
          <w:szCs w:val="18"/>
          <w:vertAlign w:val="superscript"/>
          <w:lang w:val="en-GB"/>
        </w:rPr>
        <w:t>15</w:t>
      </w:r>
      <w:r w:rsidRPr="00AD2821">
        <w:rPr>
          <w:rFonts w:cstheme="minorHAnsi"/>
          <w:sz w:val="18"/>
          <w:szCs w:val="18"/>
          <w:lang w:val="en-GB"/>
        </w:rPr>
        <w:t>Hepatobiliary Surgery Division, IRCCS San Raffaele Hospital, Milan, Italy</w:t>
      </w:r>
      <w:r w:rsidRPr="00AD2821">
        <w:rPr>
          <w:rFonts w:cstheme="minorHAnsi"/>
          <w:sz w:val="18"/>
          <w:szCs w:val="18"/>
          <w:lang w:val="en-GB"/>
        </w:rPr>
        <w:br/>
      </w:r>
      <w:r w:rsidRPr="00AD2821">
        <w:rPr>
          <w:rFonts w:cstheme="minorHAnsi"/>
          <w:sz w:val="18"/>
          <w:szCs w:val="18"/>
          <w:vertAlign w:val="superscript"/>
          <w:lang w:val="en-GB"/>
        </w:rPr>
        <w:t>16</w:t>
      </w:r>
      <w:r w:rsidRPr="00AD2821">
        <w:rPr>
          <w:rFonts w:cstheme="minorHAnsi"/>
          <w:sz w:val="18"/>
          <w:szCs w:val="18"/>
          <w:lang w:val="en-GB"/>
        </w:rPr>
        <w:t>Faculty of Medicine, Vita-Salute San Raffaele University, Milan, Italy</w:t>
      </w:r>
      <w:r w:rsidRPr="00AD2821">
        <w:rPr>
          <w:rFonts w:cstheme="minorHAnsi"/>
          <w:sz w:val="18"/>
          <w:szCs w:val="18"/>
          <w:lang w:val="en-GB"/>
        </w:rPr>
        <w:br/>
      </w:r>
      <w:r w:rsidRPr="00AD2821">
        <w:rPr>
          <w:rFonts w:cstheme="minorHAnsi"/>
          <w:sz w:val="18"/>
          <w:szCs w:val="18"/>
          <w:vertAlign w:val="superscript"/>
          <w:lang w:val="en-GB"/>
        </w:rPr>
        <w:t>17</w:t>
      </w:r>
      <w:r w:rsidRPr="00AD2821">
        <w:rPr>
          <w:rFonts w:cstheme="minorHAnsi"/>
          <w:sz w:val="18"/>
          <w:szCs w:val="18"/>
          <w:lang w:val="en-GB"/>
        </w:rPr>
        <w:t>Hepatobiliary Centre, Paul Brousse Hospital - Paris Sud University, Villejuif, France</w:t>
      </w:r>
      <w:r w:rsidRPr="00AD2821">
        <w:rPr>
          <w:rFonts w:cstheme="minorHAnsi"/>
          <w:sz w:val="18"/>
          <w:szCs w:val="18"/>
          <w:lang w:val="en-GB"/>
        </w:rPr>
        <w:br/>
      </w:r>
      <w:r w:rsidRPr="00AD2821">
        <w:rPr>
          <w:rFonts w:cstheme="minorHAnsi"/>
          <w:sz w:val="18"/>
          <w:szCs w:val="18"/>
          <w:vertAlign w:val="superscript"/>
          <w:lang w:val="en-GB"/>
        </w:rPr>
        <w:t>18</w:t>
      </w:r>
      <w:r w:rsidRPr="00AD2821">
        <w:rPr>
          <w:rFonts w:cstheme="minorHAnsi"/>
          <w:sz w:val="18"/>
          <w:szCs w:val="18"/>
          <w:lang w:val="en-GB"/>
        </w:rPr>
        <w:t>Department of Surgery, Virginia Mason Medical Centre, Seattle, Washington, United States of America</w:t>
      </w:r>
      <w:r w:rsidRPr="00AD2821">
        <w:rPr>
          <w:rFonts w:cstheme="minorHAnsi"/>
          <w:sz w:val="18"/>
          <w:szCs w:val="18"/>
          <w:lang w:val="en-GB"/>
        </w:rPr>
        <w:br/>
      </w:r>
      <w:r w:rsidRPr="00AD2821">
        <w:rPr>
          <w:rFonts w:cstheme="minorHAnsi"/>
          <w:sz w:val="18"/>
          <w:szCs w:val="18"/>
          <w:vertAlign w:val="superscript"/>
          <w:lang w:val="en-GB"/>
        </w:rPr>
        <w:t>19</w:t>
      </w:r>
      <w:r w:rsidRPr="00AD2821">
        <w:rPr>
          <w:rFonts w:cstheme="minorHAnsi"/>
          <w:sz w:val="18"/>
          <w:szCs w:val="18"/>
          <w:lang w:val="en-GB"/>
        </w:rPr>
        <w:t>Department of Surgery, University of California San Francisco, San Francisco, California, United States of America</w:t>
      </w:r>
      <w:r w:rsidRPr="00AD2821">
        <w:rPr>
          <w:rFonts w:cstheme="minorHAnsi"/>
          <w:sz w:val="18"/>
          <w:szCs w:val="18"/>
          <w:lang w:val="en-GB"/>
        </w:rPr>
        <w:br/>
      </w:r>
      <w:r w:rsidRPr="00AD2821">
        <w:rPr>
          <w:rFonts w:cstheme="minorHAnsi"/>
          <w:sz w:val="18"/>
          <w:szCs w:val="18"/>
          <w:vertAlign w:val="superscript"/>
          <w:lang w:val="en-GB"/>
        </w:rPr>
        <w:t>20</w:t>
      </w:r>
      <w:r w:rsidRPr="00AD2821">
        <w:rPr>
          <w:rFonts w:cstheme="minorHAnsi"/>
          <w:sz w:val="18"/>
          <w:szCs w:val="18"/>
          <w:lang w:val="en-GB"/>
        </w:rPr>
        <w:t>HPB and Liver Transplantation Unit, Department of Surgery, University Clinic, Universidad de Navarra, Pamplona, Navarra, Spain</w:t>
      </w:r>
      <w:r w:rsidRPr="00AD2821">
        <w:rPr>
          <w:rFonts w:cstheme="minorHAnsi"/>
          <w:sz w:val="18"/>
          <w:szCs w:val="18"/>
          <w:lang w:val="en-GB"/>
        </w:rPr>
        <w:br/>
      </w:r>
      <w:r w:rsidRPr="00AD2821">
        <w:rPr>
          <w:rFonts w:cstheme="minorHAnsi"/>
          <w:sz w:val="18"/>
          <w:szCs w:val="18"/>
          <w:vertAlign w:val="superscript"/>
          <w:lang w:val="en-GB"/>
        </w:rPr>
        <w:lastRenderedPageBreak/>
        <w:t>21</w:t>
      </w:r>
      <w:r w:rsidRPr="00AD2821">
        <w:rPr>
          <w:rFonts w:cstheme="minorHAnsi"/>
          <w:sz w:val="18"/>
          <w:szCs w:val="18"/>
          <w:lang w:val="en-GB"/>
        </w:rPr>
        <w:t>Institute of Health Research of Navarra (IdisNA), Pamplona, Spain</w:t>
      </w:r>
      <w:r w:rsidRPr="00AD2821">
        <w:rPr>
          <w:rFonts w:cstheme="minorHAnsi"/>
          <w:sz w:val="18"/>
          <w:szCs w:val="18"/>
          <w:lang w:val="en-GB"/>
        </w:rPr>
        <w:br/>
      </w:r>
      <w:r w:rsidRPr="00AD2821">
        <w:rPr>
          <w:rFonts w:cstheme="minorHAnsi"/>
          <w:sz w:val="18"/>
          <w:szCs w:val="18"/>
          <w:vertAlign w:val="superscript"/>
          <w:lang w:val="en-GB"/>
        </w:rPr>
        <w:t>22</w:t>
      </w:r>
      <w:r w:rsidRPr="00AD2821">
        <w:rPr>
          <w:rFonts w:cstheme="minorHAnsi"/>
          <w:sz w:val="18"/>
          <w:szCs w:val="18"/>
          <w:lang w:val="en-GB"/>
        </w:rPr>
        <w:t>Department of digestive, HBP and Liver Transplantation Surgery, Pitié-Salpêtrière Hospital, AP-HP, Paris, France</w:t>
      </w:r>
      <w:r w:rsidRPr="00AD2821">
        <w:rPr>
          <w:rFonts w:cstheme="minorHAnsi"/>
          <w:sz w:val="18"/>
          <w:szCs w:val="18"/>
          <w:lang w:val="en-GB"/>
        </w:rPr>
        <w:br/>
      </w:r>
      <w:r w:rsidRPr="00AD2821">
        <w:rPr>
          <w:rFonts w:cstheme="minorHAnsi"/>
          <w:sz w:val="18"/>
          <w:szCs w:val="18"/>
          <w:vertAlign w:val="superscript"/>
          <w:lang w:val="en-GB"/>
        </w:rPr>
        <w:t>23</w:t>
      </w:r>
      <w:r w:rsidRPr="00AD2821">
        <w:rPr>
          <w:rFonts w:cstheme="minorHAnsi"/>
          <w:sz w:val="18"/>
          <w:szCs w:val="18"/>
          <w:lang w:val="en-GB"/>
        </w:rPr>
        <w:t>Department of Surgery, Salmanyia Medical Complex, Manama, Bahrain</w:t>
      </w:r>
      <w:r w:rsidRPr="00AD2821">
        <w:rPr>
          <w:rFonts w:cstheme="minorHAnsi"/>
          <w:sz w:val="18"/>
          <w:szCs w:val="18"/>
          <w:lang w:val="en-GB"/>
        </w:rPr>
        <w:br/>
      </w:r>
      <w:r w:rsidRPr="00AD2821">
        <w:rPr>
          <w:rFonts w:cstheme="minorHAnsi"/>
          <w:sz w:val="18"/>
          <w:szCs w:val="18"/>
          <w:vertAlign w:val="superscript"/>
          <w:lang w:val="en-GB"/>
        </w:rPr>
        <w:t>24</w:t>
      </w:r>
      <w:r w:rsidRPr="00AD2821">
        <w:rPr>
          <w:rFonts w:cstheme="minorHAnsi"/>
          <w:sz w:val="18"/>
          <w:szCs w:val="18"/>
          <w:lang w:val="en-GB"/>
        </w:rPr>
        <w:t>Division of General Surgery and Liver Transplantation, S. Camillo Forlanini Hospital, Rome, Italy</w:t>
      </w:r>
      <w:r w:rsidRPr="00AD2821">
        <w:rPr>
          <w:rFonts w:cstheme="minorHAnsi"/>
          <w:sz w:val="18"/>
          <w:szCs w:val="18"/>
          <w:lang w:val="en-GB"/>
        </w:rPr>
        <w:br/>
      </w:r>
      <w:r w:rsidRPr="00AD2821">
        <w:rPr>
          <w:rFonts w:cstheme="minorHAnsi"/>
          <w:sz w:val="18"/>
          <w:szCs w:val="18"/>
          <w:vertAlign w:val="superscript"/>
          <w:lang w:val="en-GB"/>
        </w:rPr>
        <w:t>25</w:t>
      </w:r>
      <w:r w:rsidRPr="00AD2821">
        <w:rPr>
          <w:rFonts w:cstheme="minorHAnsi"/>
          <w:sz w:val="18"/>
          <w:szCs w:val="18"/>
          <w:lang w:val="en-GB"/>
        </w:rPr>
        <w:t>Department of Surgical, Oncological and Gastroenterological Sciences, General Surgery 2, Hepatopancreatobiliary Surgery and Liver Transplantation, Padua University Hospital, Padua, Italy</w:t>
      </w:r>
      <w:r w:rsidRPr="00AD2821">
        <w:rPr>
          <w:rFonts w:cstheme="minorHAnsi"/>
          <w:sz w:val="18"/>
          <w:szCs w:val="18"/>
          <w:lang w:val="en-GB"/>
        </w:rPr>
        <w:br/>
      </w:r>
      <w:r w:rsidRPr="00AD2821">
        <w:rPr>
          <w:rFonts w:cstheme="minorHAnsi"/>
          <w:sz w:val="18"/>
          <w:szCs w:val="18"/>
          <w:vertAlign w:val="superscript"/>
          <w:lang w:val="en-GB"/>
        </w:rPr>
        <w:t>26</w:t>
      </w:r>
      <w:r w:rsidRPr="00AD2821">
        <w:rPr>
          <w:rFonts w:cstheme="minorHAnsi"/>
          <w:sz w:val="18"/>
          <w:szCs w:val="18"/>
          <w:lang w:val="en-GB"/>
        </w:rPr>
        <w:t>Unit of Hepatobiliary Surgery and Liver Transplantation, University Hospital Reina Sofia, Cordoba, Spain</w:t>
      </w:r>
      <w:r w:rsidRPr="00AD2821">
        <w:rPr>
          <w:rFonts w:cstheme="minorHAnsi"/>
          <w:sz w:val="18"/>
          <w:szCs w:val="18"/>
          <w:lang w:val="en-GB"/>
        </w:rPr>
        <w:br/>
      </w:r>
      <w:r w:rsidRPr="00AD2821">
        <w:rPr>
          <w:rFonts w:cstheme="minorHAnsi"/>
          <w:sz w:val="18"/>
          <w:szCs w:val="18"/>
          <w:vertAlign w:val="superscript"/>
          <w:lang w:val="en-GB"/>
        </w:rPr>
        <w:t>27</w:t>
      </w:r>
      <w:r w:rsidRPr="00AD2821">
        <w:rPr>
          <w:rFonts w:cstheme="minorHAnsi"/>
          <w:sz w:val="18"/>
          <w:szCs w:val="18"/>
          <w:lang w:val="en-GB"/>
        </w:rPr>
        <w:t>Department of Surgery, Hospital Universitari Germans Trias I Pujol, Barcelona, Spain</w:t>
      </w:r>
      <w:r w:rsidRPr="00AD2821">
        <w:rPr>
          <w:rFonts w:cstheme="minorHAnsi"/>
          <w:sz w:val="18"/>
          <w:szCs w:val="18"/>
          <w:lang w:val="en-GB"/>
        </w:rPr>
        <w:br/>
      </w:r>
      <w:r w:rsidRPr="00AD2821">
        <w:rPr>
          <w:rFonts w:cstheme="minorHAnsi"/>
          <w:sz w:val="18"/>
          <w:szCs w:val="18"/>
          <w:vertAlign w:val="superscript"/>
          <w:lang w:val="en-GB"/>
        </w:rPr>
        <w:t>28</w:t>
      </w:r>
      <w:r w:rsidRPr="00AD2821">
        <w:rPr>
          <w:rFonts w:cstheme="minorHAnsi"/>
          <w:sz w:val="18"/>
          <w:szCs w:val="18"/>
          <w:lang w:val="en-GB"/>
        </w:rPr>
        <w:t>Department of Surgery, Hospital Mutua de Terrassa, Barcelona, Spain</w:t>
      </w:r>
      <w:r w:rsidRPr="00AD2821">
        <w:rPr>
          <w:rFonts w:cstheme="minorHAnsi"/>
          <w:sz w:val="18"/>
          <w:szCs w:val="18"/>
          <w:lang w:val="en-GB"/>
        </w:rPr>
        <w:br/>
      </w:r>
      <w:r w:rsidRPr="00AD2821">
        <w:rPr>
          <w:rFonts w:cstheme="minorHAnsi"/>
          <w:sz w:val="18"/>
          <w:szCs w:val="18"/>
          <w:vertAlign w:val="superscript"/>
          <w:lang w:val="en-GB"/>
        </w:rPr>
        <w:t>29</w:t>
      </w:r>
      <w:r w:rsidRPr="00AD2821">
        <w:rPr>
          <w:rFonts w:cstheme="minorHAnsi"/>
          <w:sz w:val="18"/>
          <w:szCs w:val="18"/>
          <w:lang w:val="en-GB"/>
        </w:rPr>
        <w:t>Hepato-Pancreato-Biliary Surgery and Liver Transplantation Unit, University of Modena and Reggio Emilia, Modena, Italy</w:t>
      </w:r>
      <w:r w:rsidRPr="00AD2821">
        <w:rPr>
          <w:rFonts w:cstheme="minorHAnsi"/>
          <w:sz w:val="18"/>
          <w:szCs w:val="18"/>
          <w:lang w:val="en-GB"/>
        </w:rPr>
        <w:br/>
      </w:r>
      <w:r w:rsidRPr="00AD2821">
        <w:rPr>
          <w:rFonts w:cstheme="minorHAnsi"/>
          <w:sz w:val="18"/>
          <w:szCs w:val="18"/>
          <w:vertAlign w:val="superscript"/>
          <w:lang w:val="en-GB"/>
        </w:rPr>
        <w:t>30</w:t>
      </w:r>
      <w:r w:rsidRPr="00AD2821">
        <w:rPr>
          <w:rFonts w:cstheme="minorHAnsi"/>
          <w:sz w:val="18"/>
          <w:szCs w:val="18"/>
          <w:lang w:val="en-GB"/>
        </w:rPr>
        <w:t>Department of Surgery, Cambridge University Hospitals NHS Foundation Trust, Cambridge, United Kingdom</w:t>
      </w:r>
      <w:r w:rsidRPr="00AD2821">
        <w:rPr>
          <w:rFonts w:cstheme="minorHAnsi"/>
          <w:sz w:val="18"/>
          <w:szCs w:val="18"/>
          <w:lang w:val="en-GB"/>
        </w:rPr>
        <w:br/>
      </w:r>
      <w:r w:rsidRPr="00AD2821">
        <w:rPr>
          <w:rFonts w:cstheme="minorHAnsi"/>
          <w:sz w:val="18"/>
          <w:szCs w:val="18"/>
          <w:vertAlign w:val="superscript"/>
          <w:lang w:val="en-GB"/>
        </w:rPr>
        <w:t>31</w:t>
      </w:r>
      <w:r w:rsidRPr="00AD2821">
        <w:rPr>
          <w:rFonts w:cstheme="minorHAnsi"/>
          <w:sz w:val="18"/>
          <w:szCs w:val="18"/>
          <w:lang w:val="en-GB"/>
        </w:rPr>
        <w:t>Liver Unit, Department of General Surgery, Univeristy Hospital of Wales, Cardiff, United Kingdom</w:t>
      </w:r>
      <w:r w:rsidRPr="00AD2821">
        <w:rPr>
          <w:rFonts w:cstheme="minorHAnsi"/>
          <w:sz w:val="18"/>
          <w:szCs w:val="18"/>
          <w:lang w:val="en-GB"/>
        </w:rPr>
        <w:br/>
      </w:r>
      <w:r w:rsidRPr="00AD2821">
        <w:rPr>
          <w:rFonts w:cstheme="minorHAnsi"/>
          <w:sz w:val="18"/>
          <w:szCs w:val="18"/>
          <w:vertAlign w:val="superscript"/>
          <w:lang w:val="en-GB"/>
        </w:rPr>
        <w:t>32</w:t>
      </w:r>
      <w:r w:rsidRPr="00AD2821">
        <w:rPr>
          <w:rFonts w:cstheme="minorHAnsi"/>
          <w:sz w:val="18"/>
          <w:szCs w:val="18"/>
          <w:lang w:val="en-GB"/>
        </w:rPr>
        <w:t>Department of Hepato-Pancreato-Biliary Surgery, Moscow Clinical Scientific Centre, Moscow, Russia</w:t>
      </w:r>
      <w:r w:rsidRPr="00AD2821">
        <w:rPr>
          <w:rFonts w:cstheme="minorHAnsi"/>
          <w:sz w:val="18"/>
          <w:szCs w:val="18"/>
          <w:lang w:val="en-GB"/>
        </w:rPr>
        <w:br/>
      </w:r>
      <w:r w:rsidRPr="00AD2821">
        <w:rPr>
          <w:rFonts w:cstheme="minorHAnsi"/>
          <w:sz w:val="18"/>
          <w:szCs w:val="18"/>
          <w:vertAlign w:val="superscript"/>
          <w:lang w:val="en-GB"/>
        </w:rPr>
        <w:t>33</w:t>
      </w:r>
      <w:r w:rsidRPr="00AD2821">
        <w:rPr>
          <w:rFonts w:cstheme="minorHAnsi"/>
          <w:sz w:val="18"/>
          <w:szCs w:val="18"/>
          <w:lang w:val="en-GB"/>
        </w:rPr>
        <w:t>Department of General and Digestive Surgery, Hospital Clinic, Barcelona, Spain</w:t>
      </w:r>
      <w:r w:rsidRPr="00AD2821">
        <w:rPr>
          <w:rFonts w:cstheme="minorHAnsi"/>
          <w:sz w:val="18"/>
          <w:szCs w:val="18"/>
          <w:lang w:val="en-GB"/>
        </w:rPr>
        <w:br/>
      </w:r>
      <w:r w:rsidRPr="00AD2821">
        <w:rPr>
          <w:rFonts w:cstheme="minorHAnsi"/>
          <w:sz w:val="18"/>
          <w:szCs w:val="18"/>
          <w:vertAlign w:val="superscript"/>
          <w:lang w:val="en-GB"/>
        </w:rPr>
        <w:t>34</w:t>
      </w:r>
      <w:r w:rsidRPr="00AD2821">
        <w:rPr>
          <w:rFonts w:cstheme="minorHAnsi"/>
          <w:sz w:val="18"/>
          <w:szCs w:val="18"/>
          <w:lang w:val="en-GB"/>
        </w:rPr>
        <w:t>The Intervention Centre, Oslo University Hospital, Oslo, Norway</w:t>
      </w:r>
      <w:r w:rsidRPr="00AD2821">
        <w:rPr>
          <w:rFonts w:cstheme="minorHAnsi"/>
          <w:sz w:val="18"/>
          <w:szCs w:val="18"/>
          <w:lang w:val="en-GB"/>
        </w:rPr>
        <w:br/>
      </w:r>
      <w:r w:rsidRPr="00AD2821">
        <w:rPr>
          <w:rFonts w:cstheme="minorHAnsi"/>
          <w:sz w:val="18"/>
          <w:szCs w:val="18"/>
          <w:vertAlign w:val="superscript"/>
          <w:lang w:val="en-GB"/>
        </w:rPr>
        <w:t>35</w:t>
      </w:r>
      <w:r w:rsidRPr="00AD2821">
        <w:rPr>
          <w:rFonts w:cstheme="minorHAnsi"/>
          <w:sz w:val="18"/>
          <w:szCs w:val="18"/>
          <w:lang w:val="en-GB"/>
        </w:rPr>
        <w:t>Department of Surgery, Fondazione Policlinico Universitario A. Gemelli IRCCS, Rome, Italy</w:t>
      </w:r>
      <w:r w:rsidRPr="00AD2821">
        <w:rPr>
          <w:rFonts w:cstheme="minorHAnsi"/>
          <w:sz w:val="18"/>
          <w:szCs w:val="18"/>
          <w:lang w:val="en-GB"/>
        </w:rPr>
        <w:br/>
      </w:r>
      <w:r w:rsidRPr="00AD2821">
        <w:rPr>
          <w:rFonts w:cstheme="minorHAnsi"/>
          <w:sz w:val="18"/>
          <w:szCs w:val="18"/>
          <w:vertAlign w:val="superscript"/>
          <w:lang w:val="en-GB"/>
        </w:rPr>
        <w:t>36</w:t>
      </w:r>
      <w:r w:rsidRPr="00AD2821">
        <w:rPr>
          <w:rFonts w:cstheme="minorHAnsi"/>
          <w:sz w:val="18"/>
          <w:szCs w:val="18"/>
          <w:lang w:val="en-GB"/>
        </w:rPr>
        <w:t>Department of Surgery, Universitair Medisch Centrum Utrecht, Utrecht, The Netherlands</w:t>
      </w:r>
      <w:r w:rsidRPr="00AD2821">
        <w:rPr>
          <w:rFonts w:cstheme="minorHAnsi"/>
          <w:sz w:val="18"/>
          <w:szCs w:val="18"/>
          <w:lang w:val="en-GB"/>
        </w:rPr>
        <w:br/>
      </w:r>
      <w:r w:rsidRPr="00AD2821">
        <w:rPr>
          <w:rFonts w:cstheme="minorHAnsi"/>
          <w:sz w:val="18"/>
          <w:szCs w:val="18"/>
          <w:vertAlign w:val="superscript"/>
          <w:lang w:val="en-GB"/>
        </w:rPr>
        <w:t>37</w:t>
      </w:r>
      <w:r w:rsidRPr="00AD2821">
        <w:rPr>
          <w:rFonts w:cstheme="minorHAnsi"/>
          <w:sz w:val="18"/>
          <w:szCs w:val="18"/>
          <w:lang w:val="en-GB"/>
        </w:rPr>
        <w:t>Department of Surgery, Seoul National University Bundang Hospital, Seoul National University College of Medicine, Seoul, South-Korea</w:t>
      </w:r>
      <w:r w:rsidRPr="00AD2821">
        <w:rPr>
          <w:rFonts w:cstheme="minorHAnsi"/>
          <w:sz w:val="18"/>
          <w:szCs w:val="18"/>
          <w:lang w:val="en-GB"/>
        </w:rPr>
        <w:br/>
      </w:r>
      <w:r w:rsidRPr="00AD2821">
        <w:rPr>
          <w:rFonts w:cstheme="minorHAnsi"/>
          <w:sz w:val="18"/>
          <w:szCs w:val="18"/>
          <w:vertAlign w:val="superscript"/>
          <w:lang w:val="en-GB"/>
        </w:rPr>
        <w:t>38</w:t>
      </w:r>
      <w:r w:rsidRPr="00AD2821">
        <w:rPr>
          <w:rFonts w:cstheme="minorHAnsi"/>
          <w:sz w:val="18"/>
          <w:szCs w:val="18"/>
          <w:lang w:val="en-GB"/>
        </w:rPr>
        <w:t>Department of Surgery, Institute of Gastroenterology, Tokyo Women's Medical University, Tokyo, Japan</w:t>
      </w:r>
      <w:r w:rsidRPr="00AD2821">
        <w:rPr>
          <w:rFonts w:cstheme="minorHAnsi"/>
          <w:sz w:val="18"/>
          <w:szCs w:val="18"/>
          <w:lang w:val="en-GB"/>
        </w:rPr>
        <w:br/>
      </w:r>
      <w:r w:rsidRPr="00AD2821">
        <w:rPr>
          <w:rFonts w:cstheme="minorHAnsi"/>
          <w:sz w:val="18"/>
          <w:szCs w:val="18"/>
          <w:vertAlign w:val="superscript"/>
          <w:lang w:val="en-GB"/>
        </w:rPr>
        <w:t>39</w:t>
      </w:r>
      <w:r w:rsidRPr="00AD2821">
        <w:rPr>
          <w:rFonts w:cstheme="minorHAnsi"/>
          <w:sz w:val="18"/>
          <w:szCs w:val="18"/>
          <w:lang w:val="en-GB"/>
        </w:rPr>
        <w:t>Department of HPB surgery and liver transplantation, AP-HP, Beaujon Hospital, DMU DIGEST, Clichy, France</w:t>
      </w:r>
      <w:r w:rsidRPr="00AD2821">
        <w:rPr>
          <w:rFonts w:cstheme="minorHAnsi"/>
          <w:sz w:val="18"/>
          <w:szCs w:val="18"/>
          <w:lang w:val="en-GB"/>
        </w:rPr>
        <w:br/>
      </w:r>
      <w:r w:rsidRPr="00AD2821">
        <w:rPr>
          <w:rFonts w:cstheme="minorHAnsi"/>
          <w:sz w:val="18"/>
          <w:szCs w:val="18"/>
          <w:vertAlign w:val="superscript"/>
          <w:lang w:val="en-GB"/>
        </w:rPr>
        <w:t>40</w:t>
      </w:r>
      <w:r w:rsidRPr="00AD2821">
        <w:rPr>
          <w:rFonts w:cstheme="minorHAnsi"/>
          <w:sz w:val="18"/>
          <w:szCs w:val="18"/>
          <w:lang w:val="en-GB"/>
        </w:rPr>
        <w:t>Department of Surgery, Leeds Teaching Hospitals NHS Trust, Leeds, United Kingdom</w:t>
      </w:r>
      <w:r w:rsidRPr="00AD2821">
        <w:rPr>
          <w:rFonts w:cstheme="minorHAnsi"/>
          <w:sz w:val="18"/>
          <w:szCs w:val="18"/>
          <w:lang w:val="en-GB"/>
        </w:rPr>
        <w:br/>
      </w:r>
      <w:r w:rsidRPr="00AD2821">
        <w:rPr>
          <w:rFonts w:cstheme="minorHAnsi"/>
          <w:sz w:val="18"/>
          <w:szCs w:val="18"/>
          <w:vertAlign w:val="superscript"/>
          <w:lang w:val="en-GB"/>
        </w:rPr>
        <w:t>41</w:t>
      </w:r>
      <w:r w:rsidRPr="00AD2821">
        <w:rPr>
          <w:rFonts w:cstheme="minorHAnsi"/>
          <w:sz w:val="18"/>
          <w:szCs w:val="18"/>
          <w:lang w:val="en-GB"/>
        </w:rPr>
        <w:t>Servei de Cirurgia General i Digestiva, Hospital Doctor Josep Trueta de Girona, Girona, Catalonia, Spain</w:t>
      </w:r>
      <w:r w:rsidRPr="00AD2821">
        <w:rPr>
          <w:rFonts w:cstheme="minorHAnsi"/>
          <w:sz w:val="18"/>
          <w:szCs w:val="18"/>
          <w:lang w:val="en-GB"/>
        </w:rPr>
        <w:br/>
      </w:r>
      <w:r w:rsidRPr="00AD2821">
        <w:rPr>
          <w:rFonts w:cstheme="minorHAnsi"/>
          <w:sz w:val="18"/>
          <w:szCs w:val="18"/>
          <w:vertAlign w:val="superscript"/>
          <w:lang w:val="en-GB"/>
        </w:rPr>
        <w:t>42</w:t>
      </w:r>
      <w:r w:rsidRPr="00AD2821">
        <w:rPr>
          <w:rFonts w:cstheme="minorHAnsi"/>
          <w:sz w:val="18"/>
          <w:szCs w:val="18"/>
          <w:lang w:val="en-GB"/>
        </w:rPr>
        <w:t>Department of Hepato-Pancreatc-Biliary Surgery, “F. Miulli” General Regional Hospital, Acquaviva delle Fonti, Bari, Italy</w:t>
      </w:r>
      <w:r w:rsidRPr="00AD2821">
        <w:rPr>
          <w:rFonts w:cstheme="minorHAnsi"/>
          <w:sz w:val="18"/>
          <w:szCs w:val="18"/>
          <w:lang w:val="en-GB"/>
        </w:rPr>
        <w:br/>
      </w:r>
      <w:r w:rsidRPr="00AD2821">
        <w:rPr>
          <w:rFonts w:cstheme="minorHAnsi"/>
          <w:sz w:val="18"/>
          <w:szCs w:val="18"/>
          <w:vertAlign w:val="superscript"/>
          <w:lang w:val="en-GB"/>
        </w:rPr>
        <w:t>43</w:t>
      </w:r>
      <w:r w:rsidRPr="00AD2821">
        <w:rPr>
          <w:rFonts w:cstheme="minorHAnsi"/>
          <w:sz w:val="18"/>
          <w:szCs w:val="18"/>
          <w:lang w:val="en-GB"/>
        </w:rPr>
        <w:t>Department of Medicine and Surgery, LUM University, Casamassima, Bari, Italy</w:t>
      </w:r>
      <w:r w:rsidRPr="00AD2821">
        <w:rPr>
          <w:rFonts w:cstheme="minorHAnsi"/>
          <w:sz w:val="18"/>
          <w:szCs w:val="18"/>
          <w:lang w:val="en-GB"/>
        </w:rPr>
        <w:br/>
      </w:r>
      <w:r w:rsidRPr="00AD2821">
        <w:rPr>
          <w:rFonts w:cstheme="minorHAnsi"/>
          <w:sz w:val="18"/>
          <w:szCs w:val="18"/>
          <w:vertAlign w:val="superscript"/>
          <w:lang w:val="en-GB"/>
        </w:rPr>
        <w:t>44</w:t>
      </w:r>
      <w:r w:rsidRPr="00AD2821">
        <w:rPr>
          <w:rFonts w:cstheme="minorHAnsi"/>
          <w:sz w:val="18"/>
          <w:szCs w:val="18"/>
          <w:lang w:val="en-GB"/>
        </w:rPr>
        <w:t>Department of Transplantation and Hepatopancreatobiliary Surgery, King's College Hospital NHS Foundation Trust, London, United Kingdom</w:t>
      </w:r>
      <w:r w:rsidRPr="00AD2821">
        <w:rPr>
          <w:rFonts w:cstheme="minorHAnsi"/>
          <w:sz w:val="18"/>
          <w:szCs w:val="18"/>
          <w:lang w:val="en-GB"/>
        </w:rPr>
        <w:br/>
      </w:r>
      <w:r w:rsidRPr="00AD2821">
        <w:rPr>
          <w:rFonts w:cstheme="minorHAnsi"/>
          <w:sz w:val="18"/>
          <w:szCs w:val="18"/>
          <w:vertAlign w:val="superscript"/>
          <w:lang w:val="en-GB"/>
        </w:rPr>
        <w:t>45</w:t>
      </w:r>
      <w:r w:rsidRPr="00AD2821">
        <w:rPr>
          <w:rFonts w:cstheme="minorHAnsi"/>
          <w:sz w:val="18"/>
          <w:szCs w:val="18"/>
          <w:lang w:val="en-GB"/>
        </w:rPr>
        <w:t>Department of General and Hepatopancreatobiliary Surgery, Ghent University Hospital, Ghent, Belgium</w:t>
      </w:r>
      <w:r w:rsidRPr="00AD2821">
        <w:rPr>
          <w:rFonts w:cstheme="minorHAnsi"/>
          <w:sz w:val="18"/>
          <w:szCs w:val="18"/>
          <w:lang w:val="en-GB"/>
        </w:rPr>
        <w:br/>
      </w:r>
      <w:r w:rsidRPr="00AD2821">
        <w:rPr>
          <w:rFonts w:cstheme="minorHAnsi"/>
          <w:sz w:val="18"/>
          <w:szCs w:val="18"/>
          <w:vertAlign w:val="superscript"/>
          <w:lang w:val="en-GB"/>
        </w:rPr>
        <w:t>46</w:t>
      </w:r>
      <w:r w:rsidRPr="00AD2821">
        <w:rPr>
          <w:rFonts w:cstheme="minorHAnsi"/>
          <w:sz w:val="18"/>
          <w:szCs w:val="18"/>
          <w:lang w:val="en-GB"/>
        </w:rPr>
        <w:t>Department of General, Visceral and Transplantation Surgery, Clinic and University Hospital Virgen de la Arrixaca, IMIB-ARRIXACA, El Palmar, Murcia, Spain</w:t>
      </w:r>
      <w:r w:rsidRPr="00AD2821">
        <w:rPr>
          <w:rFonts w:cstheme="minorHAnsi"/>
          <w:sz w:val="18"/>
          <w:szCs w:val="18"/>
          <w:lang w:val="en-GB"/>
        </w:rPr>
        <w:br/>
      </w:r>
      <w:r w:rsidRPr="00AD2821">
        <w:rPr>
          <w:rFonts w:cstheme="minorHAnsi"/>
          <w:sz w:val="18"/>
          <w:szCs w:val="18"/>
          <w:vertAlign w:val="superscript"/>
          <w:lang w:val="en-GB"/>
        </w:rPr>
        <w:t>47</w:t>
      </w:r>
      <w:r w:rsidRPr="00AD2821">
        <w:rPr>
          <w:rFonts w:cstheme="minorHAnsi"/>
          <w:sz w:val="18"/>
          <w:szCs w:val="18"/>
          <w:lang w:val="en-GB"/>
        </w:rPr>
        <w:t>Department of Surgery, University of Verona, Verona, Italy</w:t>
      </w:r>
      <w:r w:rsidRPr="00AD2821">
        <w:rPr>
          <w:rFonts w:cstheme="minorHAnsi"/>
          <w:sz w:val="18"/>
          <w:szCs w:val="18"/>
          <w:lang w:val="en-GB"/>
        </w:rPr>
        <w:br/>
      </w:r>
      <w:r w:rsidRPr="00AD2821">
        <w:rPr>
          <w:rFonts w:cstheme="minorHAnsi"/>
          <w:sz w:val="18"/>
          <w:szCs w:val="18"/>
          <w:vertAlign w:val="superscript"/>
          <w:lang w:val="en-GB"/>
        </w:rPr>
        <w:t>48</w:t>
      </w:r>
      <w:r w:rsidRPr="00AD2821">
        <w:rPr>
          <w:rFonts w:cstheme="minorHAnsi"/>
          <w:sz w:val="18"/>
          <w:szCs w:val="18"/>
          <w:lang w:val="en-GB"/>
        </w:rPr>
        <w:t>Department of General and Digestive Surgery, Vithas Hospital Malaga, Malaga, Spain</w:t>
      </w:r>
      <w:r w:rsidRPr="00AD2821">
        <w:rPr>
          <w:rFonts w:cstheme="minorHAnsi"/>
          <w:sz w:val="18"/>
          <w:szCs w:val="18"/>
          <w:lang w:val="en-GB"/>
        </w:rPr>
        <w:br/>
      </w:r>
      <w:r w:rsidRPr="00AD2821">
        <w:rPr>
          <w:rFonts w:cstheme="minorHAnsi"/>
          <w:sz w:val="18"/>
          <w:szCs w:val="18"/>
          <w:vertAlign w:val="superscript"/>
          <w:lang w:val="en-GB"/>
        </w:rPr>
        <w:t>49</w:t>
      </w:r>
      <w:r w:rsidRPr="00AD2821">
        <w:rPr>
          <w:rFonts w:cstheme="minorHAnsi"/>
          <w:sz w:val="18"/>
          <w:szCs w:val="18"/>
          <w:lang w:val="en-GB"/>
        </w:rPr>
        <w:t>Department of General, Visceral and Transplant Surgery, Hannover Medical School, Hannover, Germany</w:t>
      </w:r>
      <w:r w:rsidRPr="00AD2821">
        <w:rPr>
          <w:rFonts w:cstheme="minorHAnsi"/>
          <w:sz w:val="18"/>
          <w:szCs w:val="18"/>
          <w:lang w:val="en-GB"/>
        </w:rPr>
        <w:br/>
      </w:r>
      <w:r w:rsidRPr="00AD2821">
        <w:rPr>
          <w:rFonts w:cstheme="minorHAnsi"/>
          <w:sz w:val="18"/>
          <w:szCs w:val="18"/>
          <w:vertAlign w:val="superscript"/>
          <w:lang w:val="en-GB"/>
        </w:rPr>
        <w:t>50</w:t>
      </w:r>
      <w:r w:rsidRPr="00AD2821">
        <w:rPr>
          <w:rFonts w:cstheme="minorHAnsi"/>
          <w:sz w:val="18"/>
          <w:szCs w:val="18"/>
          <w:lang w:val="en-GB"/>
        </w:rPr>
        <w:t>Department of Oncologic Surgery, Regional Cancer Institute, Montpellier, France</w:t>
      </w:r>
      <w:r w:rsidRPr="00AD2821">
        <w:rPr>
          <w:rFonts w:cstheme="minorHAnsi"/>
          <w:sz w:val="18"/>
          <w:szCs w:val="18"/>
          <w:lang w:val="en-GB"/>
        </w:rPr>
        <w:br/>
      </w:r>
      <w:r w:rsidRPr="00AD2821">
        <w:rPr>
          <w:rFonts w:cstheme="minorHAnsi"/>
          <w:sz w:val="18"/>
          <w:szCs w:val="18"/>
          <w:vertAlign w:val="superscript"/>
          <w:lang w:val="en-GB"/>
        </w:rPr>
        <w:t>51</w:t>
      </w:r>
      <w:r w:rsidRPr="00AD2821">
        <w:rPr>
          <w:rFonts w:cstheme="minorHAnsi"/>
          <w:sz w:val="18"/>
          <w:szCs w:val="18"/>
          <w:lang w:val="en-GB"/>
        </w:rPr>
        <w:t>Liver Unit, Queen Elizabeth Hospital, Birmingham, United Kingdom</w:t>
      </w:r>
      <w:r w:rsidRPr="00AD2821">
        <w:rPr>
          <w:rFonts w:cstheme="minorHAnsi"/>
          <w:sz w:val="18"/>
          <w:szCs w:val="18"/>
          <w:lang w:val="en-GB"/>
        </w:rPr>
        <w:br/>
      </w:r>
      <w:r w:rsidRPr="00AD2821">
        <w:rPr>
          <w:rFonts w:cstheme="minorHAnsi"/>
          <w:sz w:val="18"/>
          <w:szCs w:val="18"/>
          <w:vertAlign w:val="superscript"/>
          <w:lang w:val="en-GB"/>
        </w:rPr>
        <w:t>52</w:t>
      </w:r>
      <w:r w:rsidRPr="00AD2821">
        <w:rPr>
          <w:rFonts w:cstheme="minorHAnsi"/>
          <w:sz w:val="18"/>
          <w:szCs w:val="18"/>
          <w:lang w:val="en-GB"/>
        </w:rPr>
        <w:t>Hepatobiliary Surgery section, Makati Medical Centre, Makati, The Philippines</w:t>
      </w:r>
      <w:r w:rsidRPr="00AD2821">
        <w:rPr>
          <w:rFonts w:cstheme="minorHAnsi"/>
          <w:sz w:val="18"/>
          <w:szCs w:val="18"/>
          <w:lang w:val="en-GB"/>
        </w:rPr>
        <w:br/>
      </w:r>
      <w:r w:rsidRPr="00AD2821">
        <w:rPr>
          <w:rFonts w:cstheme="minorHAnsi"/>
          <w:sz w:val="18"/>
          <w:szCs w:val="18"/>
          <w:vertAlign w:val="superscript"/>
          <w:lang w:val="en-GB"/>
        </w:rPr>
        <w:t>53</w:t>
      </w:r>
      <w:r w:rsidRPr="00AD2821">
        <w:rPr>
          <w:rFonts w:cstheme="minorHAnsi"/>
          <w:sz w:val="18"/>
          <w:szCs w:val="18"/>
          <w:lang w:val="en-GB"/>
        </w:rPr>
        <w:t>HPB and Abdominal Transplantation Surgery, Department of experimental and clinical medicine, University Hospital of Marche, Polytechnic University of Marche, Ancona, Italy</w:t>
      </w:r>
      <w:r w:rsidRPr="00AD2821">
        <w:rPr>
          <w:rFonts w:cstheme="minorHAnsi"/>
          <w:sz w:val="18"/>
          <w:szCs w:val="18"/>
          <w:lang w:val="en-GB"/>
        </w:rPr>
        <w:br/>
      </w:r>
      <w:r w:rsidRPr="00AD2821">
        <w:rPr>
          <w:rFonts w:cstheme="minorHAnsi"/>
          <w:sz w:val="18"/>
          <w:szCs w:val="18"/>
          <w:vertAlign w:val="superscript"/>
          <w:lang w:val="en-GB"/>
        </w:rPr>
        <w:t>54</w:t>
      </w:r>
      <w:r w:rsidRPr="00AD2821">
        <w:rPr>
          <w:rFonts w:cstheme="minorHAnsi"/>
          <w:sz w:val="18"/>
          <w:szCs w:val="18"/>
          <w:lang w:val="en-GB"/>
        </w:rPr>
        <w:t>Department of Surgery, Ageo Central General Hospital, Ageo, Japan</w:t>
      </w:r>
      <w:r w:rsidRPr="00AD2821">
        <w:rPr>
          <w:rFonts w:cstheme="minorHAnsi"/>
          <w:sz w:val="18"/>
          <w:szCs w:val="18"/>
          <w:lang w:val="en-GB"/>
        </w:rPr>
        <w:br/>
      </w:r>
      <w:r w:rsidRPr="00AD2821">
        <w:rPr>
          <w:rFonts w:cstheme="minorHAnsi"/>
          <w:sz w:val="18"/>
          <w:szCs w:val="18"/>
          <w:vertAlign w:val="superscript"/>
          <w:lang w:val="en-GB"/>
        </w:rPr>
        <w:t>55</w:t>
      </w:r>
      <w:r w:rsidRPr="00AD2821">
        <w:rPr>
          <w:rFonts w:cstheme="minorHAnsi"/>
          <w:sz w:val="18"/>
          <w:szCs w:val="18"/>
          <w:lang w:val="en-GB"/>
        </w:rPr>
        <w:t>Department of Surgery, Newcastle upon Tyne Hospitals NHS Foundation Trust, Newcastle upon Tyne, United Kingdom</w:t>
      </w:r>
      <w:r w:rsidRPr="00AD2821">
        <w:rPr>
          <w:rFonts w:cstheme="minorHAnsi"/>
          <w:sz w:val="18"/>
          <w:szCs w:val="18"/>
          <w:lang w:val="en-GB"/>
        </w:rPr>
        <w:br/>
      </w:r>
      <w:r w:rsidRPr="00AD2821">
        <w:rPr>
          <w:rFonts w:cstheme="minorHAnsi"/>
          <w:sz w:val="18"/>
          <w:szCs w:val="18"/>
          <w:vertAlign w:val="superscript"/>
          <w:lang w:val="en-GB"/>
        </w:rPr>
        <w:t>56</w:t>
      </w:r>
      <w:r w:rsidRPr="00AD2821">
        <w:rPr>
          <w:rFonts w:cstheme="minorHAnsi"/>
          <w:sz w:val="18"/>
          <w:szCs w:val="18"/>
          <w:lang w:val="en-GB"/>
        </w:rPr>
        <w:t>PLANETS Cancer Charity, Emsworth, Hampshire, United Kingdom</w:t>
      </w:r>
      <w:r w:rsidRPr="00AD2821">
        <w:rPr>
          <w:rFonts w:cstheme="minorHAnsi"/>
          <w:sz w:val="18"/>
          <w:szCs w:val="18"/>
          <w:lang w:val="en-GB"/>
        </w:rPr>
        <w:br/>
      </w:r>
      <w:r w:rsidRPr="00AD2821">
        <w:rPr>
          <w:rFonts w:cstheme="minorHAnsi"/>
          <w:sz w:val="18"/>
          <w:szCs w:val="18"/>
          <w:vertAlign w:val="superscript"/>
          <w:lang w:val="en-GB"/>
        </w:rPr>
        <w:t>57</w:t>
      </w:r>
      <w:r w:rsidRPr="00AD2821">
        <w:rPr>
          <w:rFonts w:cstheme="minorHAnsi"/>
          <w:sz w:val="18"/>
          <w:szCs w:val="18"/>
          <w:lang w:val="en-GB"/>
        </w:rPr>
        <w:t>Department of Surgical Science, HPB, and Transplant Unit, University of Rome Tor Vergata, Rome, Italy</w:t>
      </w:r>
      <w:r w:rsidRPr="00AD2821">
        <w:rPr>
          <w:rFonts w:cstheme="minorHAnsi"/>
          <w:sz w:val="18"/>
          <w:szCs w:val="18"/>
          <w:lang w:val="en-GB"/>
        </w:rPr>
        <w:br/>
      </w:r>
      <w:r w:rsidRPr="00AD2821">
        <w:rPr>
          <w:rFonts w:cstheme="minorHAnsi"/>
          <w:sz w:val="18"/>
          <w:szCs w:val="18"/>
          <w:vertAlign w:val="superscript"/>
          <w:lang w:val="en-GB"/>
        </w:rPr>
        <w:t>58</w:t>
      </w:r>
      <w:r w:rsidRPr="00AD2821">
        <w:rPr>
          <w:rFonts w:cstheme="minorHAnsi"/>
          <w:sz w:val="18"/>
          <w:szCs w:val="18"/>
          <w:lang w:val="en-GB"/>
        </w:rPr>
        <w:t>Hepato Biliary Pancreatic (HPB) Surgery Unit, Pederzoli Hospital, Peschiera del Garda, Italy</w:t>
      </w:r>
      <w:r w:rsidRPr="00AD2821">
        <w:rPr>
          <w:rFonts w:cstheme="minorHAnsi"/>
          <w:sz w:val="18"/>
          <w:szCs w:val="18"/>
          <w:lang w:val="en-GB"/>
        </w:rPr>
        <w:br/>
      </w:r>
      <w:r w:rsidRPr="00AD2821">
        <w:rPr>
          <w:rFonts w:cstheme="minorHAnsi"/>
          <w:sz w:val="18"/>
          <w:szCs w:val="18"/>
          <w:vertAlign w:val="superscript"/>
          <w:lang w:val="en-GB"/>
        </w:rPr>
        <w:t>59</w:t>
      </w:r>
      <w:r w:rsidRPr="00AD2821">
        <w:rPr>
          <w:rFonts w:cstheme="minorHAnsi"/>
          <w:sz w:val="18"/>
          <w:szCs w:val="18"/>
          <w:lang w:val="en-GB"/>
        </w:rPr>
        <w:t>Department of General Surgery, Division of Hepatopancreatobiliary Surgery, Koc University Hospital, Istanbul, Turkey</w:t>
      </w:r>
      <w:r w:rsidRPr="00AD2821">
        <w:rPr>
          <w:rFonts w:cstheme="minorHAnsi"/>
          <w:sz w:val="18"/>
          <w:szCs w:val="18"/>
          <w:lang w:val="en-GB"/>
        </w:rPr>
        <w:br/>
      </w:r>
      <w:r w:rsidRPr="00AD2821">
        <w:rPr>
          <w:rFonts w:cstheme="minorHAnsi"/>
          <w:sz w:val="18"/>
          <w:szCs w:val="18"/>
          <w:vertAlign w:val="superscript"/>
          <w:lang w:val="en-GB"/>
        </w:rPr>
        <w:t>60</w:t>
      </w:r>
      <w:r w:rsidRPr="00AD2821">
        <w:rPr>
          <w:rFonts w:cstheme="minorHAnsi"/>
          <w:sz w:val="18"/>
          <w:szCs w:val="18"/>
          <w:lang w:val="en-GB"/>
        </w:rPr>
        <w:t>Hepatobiliary Surgery Unit, Fondazione Policlinico Universitario A. Gemelli, IRCCS, Catholic University of the Sacred Heart, Rome, Italy</w:t>
      </w:r>
      <w:r w:rsidRPr="00AD2821">
        <w:rPr>
          <w:rFonts w:cstheme="minorHAnsi"/>
          <w:sz w:val="18"/>
          <w:szCs w:val="18"/>
          <w:lang w:val="en-GB"/>
        </w:rPr>
        <w:br/>
      </w:r>
      <w:r w:rsidRPr="00AD2821">
        <w:rPr>
          <w:rFonts w:cstheme="minorHAnsi"/>
          <w:sz w:val="18"/>
          <w:szCs w:val="18"/>
          <w:vertAlign w:val="superscript"/>
          <w:lang w:val="en-GB"/>
        </w:rPr>
        <w:t>61</w:t>
      </w:r>
      <w:r w:rsidRPr="00AD2821">
        <w:rPr>
          <w:rFonts w:cstheme="minorHAnsi"/>
          <w:sz w:val="18"/>
          <w:szCs w:val="18"/>
          <w:lang w:val="en-GB"/>
        </w:rPr>
        <w:t>Department of Visceral Surgery, University Hospital Basel, Basel, Switzerland</w:t>
      </w:r>
      <w:r w:rsidRPr="00AD2821">
        <w:rPr>
          <w:rFonts w:cstheme="minorHAnsi"/>
          <w:sz w:val="18"/>
          <w:szCs w:val="18"/>
          <w:lang w:val="en-GB"/>
        </w:rPr>
        <w:br/>
      </w:r>
      <w:r w:rsidRPr="00AD2821">
        <w:rPr>
          <w:rFonts w:cstheme="minorHAnsi"/>
          <w:sz w:val="18"/>
          <w:szCs w:val="18"/>
          <w:vertAlign w:val="superscript"/>
          <w:lang w:val="en-GB"/>
        </w:rPr>
        <w:t>62</w:t>
      </w:r>
      <w:r w:rsidRPr="00AD2821">
        <w:rPr>
          <w:rFonts w:cstheme="minorHAnsi"/>
          <w:sz w:val="18"/>
          <w:szCs w:val="18"/>
          <w:lang w:val="en-GB"/>
        </w:rPr>
        <w:t>Department of General and Digestive Surgery, Corachan Clinic, Barcelona, Spain</w:t>
      </w:r>
      <w:r w:rsidRPr="00AD2821">
        <w:rPr>
          <w:rFonts w:cstheme="minorHAnsi"/>
          <w:sz w:val="18"/>
          <w:szCs w:val="18"/>
          <w:lang w:val="en-GB"/>
        </w:rPr>
        <w:br/>
      </w:r>
      <w:r w:rsidRPr="00AD2821">
        <w:rPr>
          <w:rFonts w:cstheme="minorHAnsi"/>
          <w:sz w:val="18"/>
          <w:szCs w:val="18"/>
          <w:vertAlign w:val="superscript"/>
          <w:lang w:val="en-GB"/>
        </w:rPr>
        <w:t>63</w:t>
      </w:r>
      <w:r w:rsidRPr="00AD2821">
        <w:rPr>
          <w:rFonts w:cstheme="minorHAnsi"/>
          <w:sz w:val="18"/>
          <w:szCs w:val="18"/>
          <w:lang w:val="en-GB"/>
        </w:rPr>
        <w:t>department of Visceral, Transplant and Thoracic Surgery, Medical University Innsbruck, Innsbruck, Austria</w:t>
      </w:r>
      <w:r w:rsidRPr="00AD2821">
        <w:rPr>
          <w:rFonts w:cstheme="minorHAnsi"/>
          <w:sz w:val="18"/>
          <w:szCs w:val="18"/>
          <w:lang w:val="en-GB"/>
        </w:rPr>
        <w:br/>
      </w:r>
      <w:r w:rsidRPr="00AD2821">
        <w:rPr>
          <w:rFonts w:cstheme="minorHAnsi"/>
          <w:sz w:val="18"/>
          <w:szCs w:val="18"/>
          <w:vertAlign w:val="superscript"/>
          <w:lang w:val="en-GB"/>
        </w:rPr>
        <w:t>64</w:t>
      </w:r>
      <w:r w:rsidRPr="00AD2821">
        <w:rPr>
          <w:rFonts w:cstheme="minorHAnsi"/>
          <w:sz w:val="18"/>
          <w:szCs w:val="18"/>
          <w:lang w:val="en-GB"/>
        </w:rPr>
        <w:t>Department of Surgery, MASHHAD University of Medical Sciences, Mashhad, Iran</w:t>
      </w:r>
      <w:r w:rsidRPr="00AD2821">
        <w:rPr>
          <w:rFonts w:cstheme="minorHAnsi"/>
          <w:sz w:val="18"/>
          <w:szCs w:val="18"/>
          <w:lang w:val="en-GB"/>
        </w:rPr>
        <w:br/>
      </w:r>
      <w:r w:rsidRPr="00AD2821">
        <w:rPr>
          <w:rFonts w:cstheme="minorHAnsi"/>
          <w:sz w:val="18"/>
          <w:szCs w:val="18"/>
          <w:vertAlign w:val="superscript"/>
          <w:lang w:val="en-GB"/>
        </w:rPr>
        <w:t>65</w:t>
      </w:r>
      <w:r w:rsidRPr="00AD2821">
        <w:rPr>
          <w:rFonts w:cstheme="minorHAnsi"/>
          <w:sz w:val="18"/>
          <w:szCs w:val="18"/>
          <w:lang w:val="en-GB"/>
        </w:rPr>
        <w:t>Department of Hepatobiliary and General Surgery, Royal Liverpool University Hospital, Liverpool, United Kingdom</w:t>
      </w:r>
      <w:r w:rsidRPr="00AD2821">
        <w:rPr>
          <w:rFonts w:cstheme="minorHAnsi"/>
          <w:sz w:val="18"/>
          <w:szCs w:val="18"/>
          <w:lang w:val="en-GB"/>
        </w:rPr>
        <w:br/>
      </w:r>
      <w:r w:rsidRPr="00AD2821">
        <w:rPr>
          <w:rFonts w:cstheme="minorHAnsi"/>
          <w:sz w:val="18"/>
          <w:szCs w:val="18"/>
          <w:vertAlign w:val="superscript"/>
          <w:lang w:val="en-GB"/>
        </w:rPr>
        <w:t>66</w:t>
      </w:r>
      <w:r w:rsidRPr="00AD2821">
        <w:rPr>
          <w:rFonts w:cstheme="minorHAnsi"/>
          <w:sz w:val="18"/>
          <w:szCs w:val="18"/>
          <w:lang w:val="en-GB"/>
        </w:rPr>
        <w:t>(No affiliation data provided)</w:t>
      </w:r>
      <w:r w:rsidRPr="00AD2821">
        <w:rPr>
          <w:rFonts w:cstheme="minorHAnsi"/>
          <w:sz w:val="18"/>
          <w:szCs w:val="18"/>
          <w:lang w:val="en-GB"/>
        </w:rPr>
        <w:br/>
      </w:r>
      <w:r w:rsidRPr="00AD2821">
        <w:rPr>
          <w:rFonts w:cstheme="minorHAnsi"/>
          <w:sz w:val="18"/>
          <w:szCs w:val="18"/>
          <w:vertAlign w:val="superscript"/>
          <w:lang w:val="en-GB"/>
        </w:rPr>
        <w:t>67</w:t>
      </w:r>
      <w:r w:rsidRPr="00AD2821">
        <w:rPr>
          <w:rFonts w:cstheme="minorHAnsi"/>
          <w:sz w:val="18"/>
          <w:szCs w:val="18"/>
          <w:lang w:val="en-GB"/>
        </w:rPr>
        <w:t>Department of General Surgery, University Hospitals Coventry and Warwickshire, Clifford Bridges Road, Coventry, United Kingdom</w:t>
      </w:r>
      <w:r w:rsidRPr="00AD2821">
        <w:rPr>
          <w:rFonts w:cstheme="minorHAnsi"/>
          <w:sz w:val="18"/>
          <w:szCs w:val="18"/>
          <w:lang w:val="en-GB"/>
        </w:rPr>
        <w:br/>
      </w:r>
      <w:r w:rsidRPr="00AD2821">
        <w:rPr>
          <w:rFonts w:cstheme="minorHAnsi"/>
          <w:sz w:val="18"/>
          <w:szCs w:val="18"/>
          <w:vertAlign w:val="superscript"/>
          <w:lang w:val="en-GB"/>
        </w:rPr>
        <w:t>68</w:t>
      </w:r>
      <w:r w:rsidRPr="00AD2821">
        <w:rPr>
          <w:rFonts w:cstheme="minorHAnsi"/>
          <w:sz w:val="18"/>
          <w:szCs w:val="18"/>
          <w:lang w:val="en-GB"/>
        </w:rPr>
        <w:t>Pancreato-Biliary and Robotic Surgery, HPB and Transplant Surgeon, Hospital Clinic, Barcelona, Spain</w:t>
      </w:r>
      <w:r w:rsidRPr="00AD2821">
        <w:rPr>
          <w:rFonts w:cstheme="minorHAnsi"/>
          <w:sz w:val="18"/>
          <w:szCs w:val="18"/>
          <w:lang w:val="en-GB"/>
        </w:rPr>
        <w:br/>
      </w:r>
      <w:r w:rsidRPr="00AD2821">
        <w:rPr>
          <w:rFonts w:cstheme="minorHAnsi"/>
          <w:sz w:val="18"/>
          <w:szCs w:val="18"/>
          <w:vertAlign w:val="superscript"/>
          <w:lang w:val="en-GB"/>
        </w:rPr>
        <w:t>69</w:t>
      </w:r>
      <w:r w:rsidRPr="00AD2821">
        <w:rPr>
          <w:rFonts w:cstheme="minorHAnsi"/>
          <w:sz w:val="18"/>
          <w:szCs w:val="18"/>
          <w:lang w:val="en-GB"/>
        </w:rPr>
        <w:t>Department of Clinical and Experimental Sciences, University of Brescia, Brescia, Italy</w:t>
      </w:r>
      <w:r w:rsidRPr="00AD2821">
        <w:rPr>
          <w:rFonts w:cstheme="minorHAnsi"/>
          <w:sz w:val="18"/>
          <w:szCs w:val="18"/>
          <w:lang w:val="en-GB"/>
        </w:rPr>
        <w:br/>
      </w:r>
      <w:r w:rsidRPr="00AD2821">
        <w:rPr>
          <w:rFonts w:cstheme="minorHAnsi"/>
          <w:sz w:val="18"/>
          <w:szCs w:val="18"/>
          <w:vertAlign w:val="superscript"/>
          <w:lang w:val="en-GB"/>
        </w:rPr>
        <w:t>70</w:t>
      </w:r>
      <w:r w:rsidRPr="00AD2821">
        <w:rPr>
          <w:rFonts w:cstheme="minorHAnsi"/>
          <w:sz w:val="18"/>
          <w:szCs w:val="18"/>
          <w:lang w:val="en-GB"/>
        </w:rPr>
        <w:t>Department of General and Oncological Surgery, Ferrero Hospital, Verduno, italy</w:t>
      </w:r>
      <w:r w:rsidRPr="00AD2821">
        <w:rPr>
          <w:rFonts w:cstheme="minorHAnsi"/>
          <w:sz w:val="18"/>
          <w:szCs w:val="18"/>
          <w:lang w:val="en-GB"/>
        </w:rPr>
        <w:br/>
      </w:r>
      <w:r w:rsidRPr="00AD2821">
        <w:rPr>
          <w:rFonts w:cstheme="minorHAnsi"/>
          <w:sz w:val="18"/>
          <w:szCs w:val="18"/>
          <w:vertAlign w:val="superscript"/>
          <w:lang w:val="en-GB"/>
        </w:rPr>
        <w:t>71</w:t>
      </w:r>
      <w:r w:rsidRPr="00AD2821">
        <w:rPr>
          <w:rFonts w:cstheme="minorHAnsi"/>
          <w:sz w:val="18"/>
          <w:szCs w:val="18"/>
          <w:lang w:val="en-GB"/>
        </w:rPr>
        <w:t>Department of Surgery and Transplantation, Niguarda Hospital Milan &amp; University of Milano-Bicocca School of Medicine and Surgery, Milan, Italy</w:t>
      </w:r>
      <w:r w:rsidRPr="00AD2821">
        <w:rPr>
          <w:rFonts w:cstheme="minorHAnsi"/>
          <w:sz w:val="18"/>
          <w:szCs w:val="18"/>
          <w:lang w:val="en-GB"/>
        </w:rPr>
        <w:br/>
      </w:r>
      <w:r w:rsidRPr="00AD2821">
        <w:rPr>
          <w:rFonts w:cstheme="minorHAnsi"/>
          <w:sz w:val="18"/>
          <w:szCs w:val="18"/>
          <w:vertAlign w:val="superscript"/>
          <w:lang w:val="en-GB"/>
        </w:rPr>
        <w:t>72</w:t>
      </w:r>
      <w:r w:rsidRPr="00AD2821">
        <w:rPr>
          <w:rFonts w:cstheme="minorHAnsi"/>
          <w:sz w:val="18"/>
          <w:szCs w:val="18"/>
          <w:lang w:val="en-GB"/>
        </w:rPr>
        <w:t>Department of Surgery, AGIA OLGA Hospital, Athens, Greece</w:t>
      </w:r>
      <w:r w:rsidRPr="00AD2821">
        <w:rPr>
          <w:rFonts w:cstheme="minorHAnsi"/>
          <w:sz w:val="18"/>
          <w:szCs w:val="18"/>
          <w:lang w:val="en-GB"/>
        </w:rPr>
        <w:br/>
      </w:r>
      <w:r w:rsidRPr="00AD2821">
        <w:rPr>
          <w:rFonts w:cstheme="minorHAnsi"/>
          <w:sz w:val="18"/>
          <w:szCs w:val="18"/>
          <w:vertAlign w:val="superscript"/>
          <w:lang w:val="en-GB"/>
        </w:rPr>
        <w:t>73</w:t>
      </w:r>
      <w:r w:rsidRPr="00AD2821">
        <w:rPr>
          <w:rFonts w:cstheme="minorHAnsi"/>
          <w:sz w:val="18"/>
          <w:szCs w:val="18"/>
          <w:lang w:val="en-GB"/>
        </w:rPr>
        <w:t>Unit of Statistics, Istituto Ospedaliero Fondazione Poliambulanza, Brescia, Italy</w:t>
      </w:r>
      <w:r w:rsidRPr="00AD2821">
        <w:rPr>
          <w:rFonts w:cstheme="minorHAnsi"/>
          <w:sz w:val="18"/>
          <w:szCs w:val="18"/>
          <w:lang w:val="en-GB"/>
        </w:rPr>
        <w:br/>
      </w:r>
      <w:r w:rsidRPr="00AD2821">
        <w:rPr>
          <w:rFonts w:cstheme="minorHAnsi"/>
          <w:sz w:val="18"/>
          <w:szCs w:val="18"/>
          <w:vertAlign w:val="superscript"/>
          <w:lang w:val="en-GB"/>
        </w:rPr>
        <w:t>74</w:t>
      </w:r>
      <w:r w:rsidRPr="00AD2821">
        <w:rPr>
          <w:rFonts w:cstheme="minorHAnsi"/>
          <w:sz w:val="18"/>
          <w:szCs w:val="18"/>
          <w:lang w:val="en-GB"/>
        </w:rPr>
        <w:t>HPB &amp; Liver Transplant Unit, Royal Free London, London, United Kingdom</w:t>
      </w:r>
      <w:r w:rsidRPr="00AD2821">
        <w:rPr>
          <w:rFonts w:cstheme="minorHAnsi"/>
          <w:sz w:val="18"/>
          <w:szCs w:val="18"/>
          <w:lang w:val="en-GB"/>
        </w:rPr>
        <w:br/>
      </w:r>
      <w:r w:rsidRPr="00AD2821">
        <w:rPr>
          <w:rFonts w:cstheme="minorHAnsi"/>
          <w:sz w:val="18"/>
          <w:szCs w:val="18"/>
          <w:vertAlign w:val="superscript"/>
          <w:lang w:val="en-GB"/>
        </w:rPr>
        <w:t>75</w:t>
      </w:r>
      <w:r w:rsidRPr="00AD2821">
        <w:rPr>
          <w:rFonts w:cstheme="minorHAnsi"/>
          <w:sz w:val="18"/>
          <w:szCs w:val="18"/>
          <w:lang w:val="en-GB"/>
        </w:rPr>
        <w:t xml:space="preserve">Department of Surgery, Division of Hepatobiliary and Pancreatic Surgery, University of Pittsburgh Medical Centre, Pittsburgh, </w:t>
      </w:r>
      <w:r w:rsidRPr="00AD2821">
        <w:rPr>
          <w:rFonts w:cstheme="minorHAnsi"/>
          <w:sz w:val="18"/>
          <w:szCs w:val="18"/>
          <w:lang w:val="en-GB"/>
        </w:rPr>
        <w:lastRenderedPageBreak/>
        <w:t>Pennsylvania, United States of America</w:t>
      </w:r>
      <w:r w:rsidRPr="00AD2821">
        <w:rPr>
          <w:rFonts w:cstheme="minorHAnsi"/>
          <w:sz w:val="18"/>
          <w:szCs w:val="18"/>
          <w:lang w:val="en-GB"/>
        </w:rPr>
        <w:br/>
      </w:r>
      <w:r w:rsidRPr="00AD2821">
        <w:rPr>
          <w:rFonts w:cstheme="minorHAnsi"/>
          <w:sz w:val="18"/>
          <w:szCs w:val="18"/>
          <w:vertAlign w:val="superscript"/>
          <w:lang w:val="en-GB"/>
        </w:rPr>
        <w:t>76</w:t>
      </w:r>
      <w:r w:rsidRPr="00AD2821">
        <w:rPr>
          <w:rFonts w:cstheme="minorHAnsi"/>
          <w:sz w:val="18"/>
          <w:szCs w:val="18"/>
          <w:lang w:val="en-GB"/>
        </w:rPr>
        <w:t>Department of Hepatopancreatobiliary and Transplant Surgery, Singapore General Hospital and National Cancer Centre Singapore, Singapore, Singapore</w:t>
      </w:r>
      <w:r w:rsidRPr="00AD2821">
        <w:rPr>
          <w:rFonts w:cstheme="minorHAnsi"/>
          <w:sz w:val="18"/>
          <w:szCs w:val="18"/>
          <w:lang w:val="en-GB"/>
        </w:rPr>
        <w:br/>
      </w:r>
      <w:r w:rsidRPr="00AD2821">
        <w:rPr>
          <w:rFonts w:cstheme="minorHAnsi"/>
          <w:sz w:val="18"/>
          <w:szCs w:val="18"/>
          <w:vertAlign w:val="superscript"/>
          <w:lang w:val="en-GB"/>
        </w:rPr>
        <w:t>77</w:t>
      </w:r>
      <w:r w:rsidRPr="00AD2821">
        <w:rPr>
          <w:rFonts w:cstheme="minorHAnsi"/>
          <w:sz w:val="18"/>
          <w:szCs w:val="18"/>
          <w:lang w:val="en-GB"/>
        </w:rPr>
        <w:t>Surgery Academic Clinical Programme, Duke-National University of Singapore Medical School, Singapore, Singapore</w:t>
      </w:r>
      <w:r w:rsidRPr="00AD2821">
        <w:rPr>
          <w:rFonts w:cstheme="minorHAnsi"/>
          <w:sz w:val="18"/>
          <w:szCs w:val="18"/>
          <w:lang w:val="en-GB"/>
        </w:rPr>
        <w:br/>
      </w:r>
      <w:r w:rsidRPr="00AD2821">
        <w:rPr>
          <w:rFonts w:cstheme="minorHAnsi"/>
          <w:sz w:val="18"/>
          <w:szCs w:val="18"/>
          <w:vertAlign w:val="superscript"/>
          <w:lang w:val="en-GB"/>
        </w:rPr>
        <w:t>78</w:t>
      </w:r>
      <w:r w:rsidRPr="00AD2821">
        <w:rPr>
          <w:rFonts w:cstheme="minorHAnsi"/>
          <w:sz w:val="18"/>
          <w:szCs w:val="18"/>
          <w:lang w:val="en-GB"/>
        </w:rPr>
        <w:t>HPB Surgery, Atrium Health, Charlotte, North Carolina, United States of America</w:t>
      </w:r>
      <w:r w:rsidRPr="00AD2821">
        <w:rPr>
          <w:rFonts w:cstheme="minorHAnsi"/>
          <w:sz w:val="18"/>
          <w:szCs w:val="18"/>
          <w:lang w:val="en-GB"/>
        </w:rPr>
        <w:br/>
      </w:r>
      <w:r w:rsidRPr="00AD2821">
        <w:rPr>
          <w:rFonts w:cstheme="minorHAnsi"/>
          <w:sz w:val="18"/>
          <w:szCs w:val="18"/>
          <w:vertAlign w:val="superscript"/>
          <w:lang w:val="en-GB"/>
        </w:rPr>
        <w:t>79</w:t>
      </w:r>
      <w:r w:rsidRPr="00AD2821">
        <w:rPr>
          <w:rFonts w:cstheme="minorHAnsi"/>
          <w:sz w:val="18"/>
          <w:szCs w:val="18"/>
          <w:lang w:val="en-GB"/>
        </w:rPr>
        <w:t>Department of Surgery, Medical University of Graz, Graz, Austria</w:t>
      </w:r>
      <w:r w:rsidRPr="00AD2821">
        <w:rPr>
          <w:rFonts w:cstheme="minorHAnsi"/>
          <w:sz w:val="18"/>
          <w:szCs w:val="18"/>
          <w:lang w:val="en-GB"/>
        </w:rPr>
        <w:br/>
      </w:r>
      <w:r w:rsidRPr="00AD2821">
        <w:rPr>
          <w:rFonts w:cstheme="minorHAnsi"/>
          <w:sz w:val="18"/>
          <w:szCs w:val="18"/>
          <w:vertAlign w:val="superscript"/>
          <w:lang w:val="en-GB"/>
        </w:rPr>
        <w:t>80</w:t>
      </w:r>
      <w:r w:rsidRPr="00AD2821">
        <w:rPr>
          <w:rFonts w:cstheme="minorHAnsi"/>
          <w:sz w:val="18"/>
          <w:szCs w:val="18"/>
          <w:lang w:val="en-GB"/>
        </w:rPr>
        <w:t>Department of Surgery, University Hospital Essen, Essen, Germany</w:t>
      </w:r>
      <w:r w:rsidRPr="00AD2821">
        <w:rPr>
          <w:rFonts w:cstheme="minorHAnsi"/>
          <w:sz w:val="18"/>
          <w:szCs w:val="18"/>
          <w:lang w:val="en-GB"/>
        </w:rPr>
        <w:br/>
      </w:r>
      <w:r w:rsidRPr="00AD2821">
        <w:rPr>
          <w:rFonts w:cstheme="minorHAnsi"/>
          <w:sz w:val="18"/>
          <w:szCs w:val="18"/>
          <w:vertAlign w:val="superscript"/>
          <w:lang w:val="en-GB"/>
        </w:rPr>
        <w:t>81</w:t>
      </w:r>
      <w:r w:rsidRPr="00AD2821">
        <w:rPr>
          <w:rFonts w:cstheme="minorHAnsi"/>
          <w:sz w:val="18"/>
          <w:szCs w:val="18"/>
          <w:lang w:val="en-GB"/>
        </w:rPr>
        <w:t>Department of Surgery, IRCCS Azienda Ospedaliero-Universitaria di Bologna, Bologna, Italy</w:t>
      </w:r>
      <w:r w:rsidRPr="00AD2821">
        <w:rPr>
          <w:rFonts w:cstheme="minorHAnsi"/>
          <w:sz w:val="18"/>
          <w:szCs w:val="18"/>
          <w:lang w:val="en-GB"/>
        </w:rPr>
        <w:br/>
      </w:r>
      <w:r w:rsidRPr="00AD2821">
        <w:rPr>
          <w:rFonts w:cstheme="minorHAnsi"/>
          <w:sz w:val="18"/>
          <w:szCs w:val="18"/>
          <w:vertAlign w:val="superscript"/>
          <w:lang w:val="en-GB"/>
        </w:rPr>
        <w:t>82</w:t>
      </w:r>
      <w:r w:rsidRPr="00AD2821">
        <w:rPr>
          <w:rFonts w:cstheme="minorHAnsi"/>
          <w:sz w:val="18"/>
          <w:szCs w:val="18"/>
          <w:lang w:val="en-GB"/>
        </w:rPr>
        <w:t>Department of Surgery, Far-Eastern Memorial Hospital, New Taipei City, Taiwan</w:t>
      </w:r>
      <w:r w:rsidRPr="00AD2821">
        <w:rPr>
          <w:rFonts w:cstheme="minorHAnsi"/>
          <w:sz w:val="18"/>
          <w:szCs w:val="18"/>
          <w:lang w:val="en-GB"/>
        </w:rPr>
        <w:br/>
      </w:r>
      <w:r w:rsidRPr="00AD2821">
        <w:rPr>
          <w:rFonts w:cstheme="minorHAnsi"/>
          <w:sz w:val="18"/>
          <w:szCs w:val="18"/>
          <w:vertAlign w:val="superscript"/>
          <w:lang w:val="en-GB"/>
        </w:rPr>
        <w:t>83</w:t>
      </w:r>
      <w:r w:rsidRPr="00AD2821">
        <w:rPr>
          <w:rFonts w:cstheme="minorHAnsi"/>
          <w:sz w:val="18"/>
          <w:szCs w:val="18"/>
          <w:lang w:val="en-GB"/>
        </w:rPr>
        <w:t>Faculty of Hepatopancreatobiliary Surgery, The First Medical Centre of Chinese People’s Liberation Army (PLA) General Hospital, Beijing, China</w:t>
      </w:r>
      <w:r w:rsidRPr="00AD2821">
        <w:rPr>
          <w:rFonts w:cstheme="minorHAnsi"/>
          <w:sz w:val="18"/>
          <w:szCs w:val="18"/>
          <w:lang w:val="en-GB"/>
        </w:rPr>
        <w:br/>
      </w:r>
      <w:r w:rsidRPr="00AD2821">
        <w:rPr>
          <w:rFonts w:cstheme="minorHAnsi"/>
          <w:sz w:val="18"/>
          <w:szCs w:val="18"/>
          <w:vertAlign w:val="superscript"/>
          <w:lang w:val="en-GB"/>
        </w:rPr>
        <w:t>84</w:t>
      </w:r>
      <w:r w:rsidRPr="00AD2821">
        <w:rPr>
          <w:rFonts w:cstheme="minorHAnsi"/>
          <w:sz w:val="18"/>
          <w:szCs w:val="18"/>
          <w:lang w:val="en-GB"/>
        </w:rPr>
        <w:t>Department of Surgery, Montpellier University Hospital, Montpellier, France</w:t>
      </w:r>
      <w:r w:rsidRPr="00AD2821">
        <w:rPr>
          <w:rFonts w:cstheme="minorHAnsi"/>
          <w:sz w:val="18"/>
          <w:szCs w:val="18"/>
          <w:lang w:val="en-GB"/>
        </w:rPr>
        <w:br/>
      </w:r>
      <w:r w:rsidRPr="00AD2821">
        <w:rPr>
          <w:rFonts w:cstheme="minorHAnsi"/>
          <w:sz w:val="18"/>
          <w:szCs w:val="18"/>
          <w:vertAlign w:val="superscript"/>
          <w:lang w:val="en-GB"/>
        </w:rPr>
        <w:t>85</w:t>
      </w:r>
      <w:r w:rsidRPr="00AD2821">
        <w:rPr>
          <w:rFonts w:cstheme="minorHAnsi"/>
          <w:sz w:val="18"/>
          <w:szCs w:val="18"/>
          <w:lang w:val="en-GB"/>
        </w:rPr>
        <w:t>Department of Abdominal and Transplant Surgery, Cleveland Clinic Florida, Weston, Florida, United States of America</w:t>
      </w:r>
      <w:r w:rsidRPr="00AD2821">
        <w:rPr>
          <w:rFonts w:cstheme="minorHAnsi"/>
          <w:sz w:val="18"/>
          <w:szCs w:val="18"/>
          <w:lang w:val="en-GB"/>
        </w:rPr>
        <w:br/>
      </w:r>
      <w:r w:rsidRPr="00AD2821">
        <w:rPr>
          <w:rFonts w:cstheme="minorHAnsi"/>
          <w:sz w:val="18"/>
          <w:szCs w:val="18"/>
          <w:vertAlign w:val="superscript"/>
          <w:lang w:val="en-GB"/>
        </w:rPr>
        <w:t>86</w:t>
      </w:r>
      <w:r w:rsidRPr="00AD2821">
        <w:rPr>
          <w:rFonts w:cstheme="minorHAnsi"/>
          <w:sz w:val="18"/>
          <w:szCs w:val="18"/>
          <w:lang w:val="en-GB"/>
        </w:rPr>
        <w:t>Department of Clinical and Experimental Sciences, Surgical Clinic, University of Brescia, Brescia, Italy</w:t>
      </w:r>
      <w:r w:rsidRPr="00AD2821">
        <w:rPr>
          <w:rFonts w:cstheme="minorHAnsi"/>
          <w:sz w:val="18"/>
          <w:szCs w:val="18"/>
          <w:lang w:val="en-GB"/>
        </w:rPr>
        <w:br/>
      </w:r>
      <w:r w:rsidRPr="00AD2821">
        <w:rPr>
          <w:rFonts w:cstheme="minorHAnsi"/>
          <w:sz w:val="18"/>
          <w:szCs w:val="18"/>
          <w:vertAlign w:val="superscript"/>
          <w:lang w:val="en-GB"/>
        </w:rPr>
        <w:t>87</w:t>
      </w:r>
      <w:r w:rsidRPr="00AD2821">
        <w:rPr>
          <w:rFonts w:cstheme="minorHAnsi"/>
          <w:sz w:val="18"/>
          <w:szCs w:val="18"/>
          <w:lang w:val="en-GB"/>
        </w:rPr>
        <w:t>Liver and Pancreatic Cancer Charity</w:t>
      </w:r>
      <w:r w:rsidRPr="00AD2821">
        <w:rPr>
          <w:rFonts w:cstheme="minorHAnsi"/>
          <w:sz w:val="18"/>
          <w:szCs w:val="18"/>
          <w:lang w:val="en-GB"/>
        </w:rPr>
        <w:br/>
      </w:r>
      <w:r w:rsidRPr="00AD2821">
        <w:rPr>
          <w:rFonts w:cstheme="minorHAnsi"/>
          <w:sz w:val="18"/>
          <w:szCs w:val="18"/>
          <w:vertAlign w:val="superscript"/>
          <w:lang w:val="en-GB"/>
        </w:rPr>
        <w:t>88</w:t>
      </w:r>
      <w:r w:rsidRPr="00AD2821">
        <w:rPr>
          <w:rFonts w:cstheme="minorHAnsi"/>
          <w:sz w:val="18"/>
          <w:szCs w:val="18"/>
          <w:lang w:val="en-GB"/>
        </w:rPr>
        <w:t>Department of Intervention Radiology, Fondazione Poliambulanza Istituto Ospedaliero, Brescia, Italy</w:t>
      </w:r>
      <w:r w:rsidRPr="00AD2821">
        <w:rPr>
          <w:rFonts w:cstheme="minorHAnsi"/>
          <w:sz w:val="18"/>
          <w:szCs w:val="18"/>
          <w:lang w:val="en-GB"/>
        </w:rPr>
        <w:br/>
      </w:r>
      <w:r w:rsidRPr="00AD2821">
        <w:rPr>
          <w:rFonts w:cstheme="minorHAnsi"/>
          <w:sz w:val="18"/>
          <w:szCs w:val="18"/>
          <w:vertAlign w:val="superscript"/>
          <w:lang w:val="en-GB"/>
        </w:rPr>
        <w:t>89</w:t>
      </w:r>
      <w:r w:rsidRPr="00AD2821">
        <w:rPr>
          <w:rFonts w:cstheme="minorHAnsi"/>
          <w:sz w:val="18"/>
          <w:szCs w:val="18"/>
          <w:lang w:val="en-GB"/>
        </w:rPr>
        <w:t>HPB Surgical Division, Miguel Servet University Hospital, Zaragoza, Spain</w:t>
      </w:r>
      <w:r w:rsidRPr="00AD2821">
        <w:rPr>
          <w:rFonts w:cstheme="minorHAnsi"/>
          <w:sz w:val="18"/>
          <w:szCs w:val="18"/>
          <w:lang w:val="en-GB"/>
        </w:rPr>
        <w:br/>
      </w:r>
      <w:r w:rsidRPr="00AD2821">
        <w:rPr>
          <w:rFonts w:cstheme="minorHAnsi"/>
          <w:sz w:val="18"/>
          <w:szCs w:val="18"/>
          <w:vertAlign w:val="superscript"/>
          <w:lang w:val="en-GB"/>
        </w:rPr>
        <w:t>90</w:t>
      </w:r>
      <w:r w:rsidRPr="00AD2821">
        <w:rPr>
          <w:rFonts w:cstheme="minorHAnsi"/>
          <w:sz w:val="18"/>
          <w:szCs w:val="18"/>
          <w:lang w:val="en-GB"/>
        </w:rPr>
        <w:t>Department of Surgery, King Hussein Medical Centre, Amman, Jordan</w:t>
      </w:r>
      <w:r w:rsidRPr="00AD2821">
        <w:rPr>
          <w:rFonts w:cstheme="minorHAnsi"/>
          <w:sz w:val="18"/>
          <w:szCs w:val="18"/>
          <w:lang w:val="en-GB"/>
        </w:rPr>
        <w:br/>
      </w:r>
      <w:r w:rsidRPr="00AD2821">
        <w:rPr>
          <w:rFonts w:cstheme="minorHAnsi"/>
          <w:sz w:val="18"/>
          <w:szCs w:val="18"/>
          <w:vertAlign w:val="superscript"/>
          <w:lang w:val="en-GB"/>
        </w:rPr>
        <w:t>91</w:t>
      </w:r>
      <w:r w:rsidRPr="00AD2821">
        <w:rPr>
          <w:rFonts w:cstheme="minorHAnsi"/>
          <w:sz w:val="18"/>
          <w:szCs w:val="18"/>
          <w:lang w:val="en-GB"/>
        </w:rPr>
        <w:t>Department of Hepatopancreaticobiliary and Endocrine Surgery, Sheikh Shakhbout Medical City (SSMC), Abu Dhabi, United Arab Emirates</w:t>
      </w:r>
      <w:r w:rsidRPr="00AD2821">
        <w:rPr>
          <w:rFonts w:cstheme="minorHAnsi"/>
          <w:sz w:val="18"/>
          <w:szCs w:val="18"/>
          <w:lang w:val="en-GB"/>
        </w:rPr>
        <w:br/>
      </w:r>
      <w:r w:rsidRPr="00AD2821">
        <w:rPr>
          <w:rFonts w:cstheme="minorHAnsi"/>
          <w:sz w:val="18"/>
          <w:szCs w:val="18"/>
          <w:vertAlign w:val="superscript"/>
          <w:lang w:val="en-GB"/>
        </w:rPr>
        <w:t>92</w:t>
      </w:r>
      <w:r w:rsidRPr="00AD2821">
        <w:rPr>
          <w:rFonts w:cstheme="minorHAnsi"/>
          <w:sz w:val="18"/>
          <w:szCs w:val="18"/>
          <w:lang w:val="en-GB"/>
        </w:rPr>
        <w:t>Department of Surgery, Mater Hospital, Belfast, Northern Ireland, United Kingdom</w:t>
      </w:r>
      <w:r w:rsidRPr="00AD2821">
        <w:rPr>
          <w:rFonts w:cstheme="minorHAnsi"/>
          <w:sz w:val="18"/>
          <w:szCs w:val="18"/>
          <w:lang w:val="en-GB"/>
        </w:rPr>
        <w:br/>
      </w:r>
      <w:r w:rsidRPr="00AD2821">
        <w:rPr>
          <w:rFonts w:cstheme="minorHAnsi"/>
          <w:sz w:val="18"/>
          <w:szCs w:val="18"/>
          <w:vertAlign w:val="superscript"/>
          <w:lang w:val="en-GB"/>
        </w:rPr>
        <w:t>93</w:t>
      </w:r>
      <w:r w:rsidRPr="00AD2821">
        <w:rPr>
          <w:rFonts w:cstheme="minorHAnsi"/>
          <w:sz w:val="18"/>
          <w:szCs w:val="18"/>
          <w:lang w:val="en-GB"/>
        </w:rPr>
        <w:t>Hepatobiliary and Pancreatic Surgery Unit, Manchester University NHS FT, Manchester, United Kingdom</w:t>
      </w:r>
      <w:r w:rsidRPr="00AD2821">
        <w:rPr>
          <w:rFonts w:cstheme="minorHAnsi"/>
          <w:sz w:val="18"/>
          <w:szCs w:val="18"/>
          <w:lang w:val="en-GB"/>
        </w:rPr>
        <w:br/>
      </w:r>
      <w:r w:rsidRPr="00AD2821">
        <w:rPr>
          <w:rFonts w:cstheme="minorHAnsi"/>
          <w:sz w:val="18"/>
          <w:szCs w:val="18"/>
          <w:vertAlign w:val="superscript"/>
          <w:lang w:val="en-GB"/>
        </w:rPr>
        <w:t>94</w:t>
      </w:r>
      <w:r w:rsidRPr="00AD2821">
        <w:rPr>
          <w:rFonts w:cstheme="minorHAnsi"/>
          <w:sz w:val="18"/>
          <w:szCs w:val="18"/>
          <w:lang w:val="en-GB"/>
        </w:rPr>
        <w:t>Hepato-Biliary and Pancreas Surgery, Miami Cancer Institute, Miami, Florida, United States of America</w:t>
      </w:r>
    </w:p>
    <w:p w14:paraId="359EBCEB" w14:textId="77777777" w:rsidR="002C38BB" w:rsidRPr="00AD2821" w:rsidRDefault="002C38BB" w:rsidP="002C38BB">
      <w:pPr>
        <w:spacing w:line="360" w:lineRule="auto"/>
        <w:rPr>
          <w:rFonts w:cstheme="minorHAnsi"/>
          <w:color w:val="000000" w:themeColor="text1"/>
          <w:sz w:val="20"/>
          <w:szCs w:val="20"/>
          <w:lang w:val="en-GB"/>
        </w:rPr>
      </w:pPr>
    </w:p>
    <w:p w14:paraId="2D5368B8" w14:textId="2AA1D2E6" w:rsidR="002C38BB" w:rsidRPr="00AD2821" w:rsidRDefault="002C38BB" w:rsidP="002C38BB">
      <w:pPr>
        <w:pStyle w:val="NoSpacing"/>
        <w:spacing w:line="276" w:lineRule="auto"/>
        <w:rPr>
          <w:rFonts w:cstheme="minorHAnsi"/>
          <w:sz w:val="21"/>
          <w:szCs w:val="21"/>
          <w:lang w:val="en-GB"/>
        </w:rPr>
      </w:pPr>
      <w:r w:rsidRPr="00AD2821">
        <w:rPr>
          <w:rFonts w:cstheme="minorHAnsi"/>
          <w:b/>
          <w:sz w:val="21"/>
          <w:szCs w:val="21"/>
          <w:lang w:val="en-US"/>
        </w:rPr>
        <w:t xml:space="preserve">Corresponding author: </w:t>
      </w:r>
      <w:r w:rsidRPr="00AD2821">
        <w:rPr>
          <w:rFonts w:cstheme="minorHAnsi"/>
          <w:sz w:val="21"/>
          <w:szCs w:val="21"/>
          <w:lang w:val="en-US"/>
        </w:rPr>
        <w:t xml:space="preserve">Prof. Mohammad Abu Hilal, The University of Jordan, School of Medicine, Queen Rania St, Amman, Jordan, </w:t>
      </w:r>
      <w:hyperlink r:id="rId7" w:history="1">
        <w:r w:rsidRPr="00AD2821">
          <w:rPr>
            <w:rStyle w:val="Hyperlink"/>
            <w:rFonts w:cstheme="minorHAnsi"/>
            <w:sz w:val="21"/>
            <w:szCs w:val="21"/>
            <w:lang w:val="en-US"/>
          </w:rPr>
          <w:t>abuhilal9@gmail.com</w:t>
        </w:r>
      </w:hyperlink>
      <w:r w:rsidRPr="00AD2821">
        <w:rPr>
          <w:rFonts w:cstheme="minorHAnsi"/>
          <w:sz w:val="21"/>
          <w:szCs w:val="21"/>
          <w:lang w:val="en-GB"/>
        </w:rPr>
        <w:t xml:space="preserve">, </w:t>
      </w:r>
      <w:r w:rsidRPr="00AD2821">
        <w:rPr>
          <w:rFonts w:cstheme="minorHAnsi"/>
          <w:sz w:val="21"/>
          <w:szCs w:val="21"/>
          <w:lang w:val="en-US"/>
        </w:rPr>
        <w:t xml:space="preserve">ORCIDid: 0000-0002-3162-4639; Twitter: @abuhilal9abu </w:t>
      </w:r>
    </w:p>
    <w:p w14:paraId="6EC7DEFE" w14:textId="77777777" w:rsidR="00E93849" w:rsidRPr="00AD2821" w:rsidRDefault="00E93849" w:rsidP="00E93849">
      <w:pPr>
        <w:spacing w:line="360" w:lineRule="auto"/>
        <w:rPr>
          <w:rFonts w:cstheme="minorHAnsi"/>
          <w:color w:val="000000" w:themeColor="text1"/>
          <w:sz w:val="20"/>
          <w:szCs w:val="20"/>
          <w:lang w:val="en-GB"/>
        </w:rPr>
      </w:pPr>
    </w:p>
    <w:p w14:paraId="10D239C1" w14:textId="77777777" w:rsidR="00E93849" w:rsidRPr="00AD2821" w:rsidRDefault="00E93849" w:rsidP="001F47C8">
      <w:pPr>
        <w:spacing w:line="360" w:lineRule="auto"/>
        <w:jc w:val="both"/>
        <w:rPr>
          <w:rFonts w:cstheme="minorHAnsi"/>
          <w:b/>
          <w:bCs/>
          <w:sz w:val="22"/>
          <w:szCs w:val="22"/>
          <w:lang w:val="en-US"/>
        </w:rPr>
      </w:pPr>
    </w:p>
    <w:p w14:paraId="5428AF85" w14:textId="77777777" w:rsidR="002C38BB" w:rsidRPr="00AD2821" w:rsidRDefault="002C38BB">
      <w:pPr>
        <w:rPr>
          <w:rFonts w:cstheme="minorHAnsi"/>
          <w:b/>
          <w:bCs/>
          <w:sz w:val="22"/>
          <w:szCs w:val="22"/>
          <w:lang w:val="en-US"/>
        </w:rPr>
      </w:pPr>
      <w:r w:rsidRPr="00AD2821">
        <w:rPr>
          <w:rFonts w:cstheme="minorHAnsi"/>
          <w:b/>
          <w:bCs/>
          <w:sz w:val="22"/>
          <w:szCs w:val="22"/>
          <w:lang w:val="en-US"/>
        </w:rPr>
        <w:br w:type="page"/>
      </w:r>
    </w:p>
    <w:p w14:paraId="7210B930" w14:textId="25DAC0F1" w:rsidR="00862305" w:rsidRPr="00AD2821" w:rsidRDefault="001F47C8" w:rsidP="00661FF7">
      <w:pPr>
        <w:spacing w:line="276" w:lineRule="auto"/>
        <w:jc w:val="both"/>
        <w:rPr>
          <w:rFonts w:cstheme="minorHAnsi"/>
          <w:b/>
          <w:bCs/>
          <w:sz w:val="22"/>
          <w:szCs w:val="22"/>
          <w:lang w:val="en-US"/>
        </w:rPr>
      </w:pPr>
      <w:r w:rsidRPr="00AD2821">
        <w:rPr>
          <w:rFonts w:cstheme="minorHAnsi"/>
          <w:b/>
          <w:bCs/>
          <w:sz w:val="22"/>
          <w:szCs w:val="22"/>
          <w:lang w:val="en-US"/>
        </w:rPr>
        <w:lastRenderedPageBreak/>
        <w:t>Supplementary Materials - Index</w:t>
      </w:r>
    </w:p>
    <w:p w14:paraId="537CBA07" w14:textId="77777777" w:rsidR="001F47C8" w:rsidRPr="00AD2821" w:rsidRDefault="001F47C8" w:rsidP="00661FF7">
      <w:pPr>
        <w:spacing w:line="276" w:lineRule="auto"/>
        <w:jc w:val="both"/>
        <w:rPr>
          <w:rFonts w:cstheme="minorHAnsi"/>
          <w:sz w:val="22"/>
          <w:szCs w:val="22"/>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21"/>
        <w:gridCol w:w="4721"/>
      </w:tblGrid>
      <w:tr w:rsidR="00C833A3" w:rsidRPr="00AD2821" w14:paraId="2407ACED" w14:textId="77777777" w:rsidTr="00C833A3">
        <w:tc>
          <w:tcPr>
            <w:tcW w:w="4721" w:type="dxa"/>
          </w:tcPr>
          <w:p w14:paraId="4FB2B600" w14:textId="08ADB98F" w:rsidR="00C833A3" w:rsidRPr="00AD2821" w:rsidRDefault="00C833A3" w:rsidP="00C833A3">
            <w:pPr>
              <w:spacing w:line="360" w:lineRule="auto"/>
              <w:jc w:val="both"/>
              <w:rPr>
                <w:rFonts w:cstheme="minorHAnsi"/>
                <w:b/>
                <w:bCs/>
                <w:lang w:val="en-US"/>
              </w:rPr>
            </w:pPr>
            <w:r w:rsidRPr="00AD2821">
              <w:rPr>
                <w:rFonts w:cstheme="minorHAnsi"/>
                <w:b/>
                <w:bCs/>
                <w:lang w:val="en-US"/>
              </w:rPr>
              <w:t xml:space="preserve">Supplementary Appendixes </w:t>
            </w:r>
          </w:p>
        </w:tc>
        <w:tc>
          <w:tcPr>
            <w:tcW w:w="4721" w:type="dxa"/>
          </w:tcPr>
          <w:p w14:paraId="15FCF31F" w14:textId="77777777" w:rsidR="00C833A3" w:rsidRPr="00AD2821" w:rsidRDefault="00C833A3" w:rsidP="00C833A3">
            <w:pPr>
              <w:spacing w:line="360" w:lineRule="auto"/>
              <w:jc w:val="center"/>
              <w:rPr>
                <w:rFonts w:cstheme="minorHAnsi"/>
                <w:i/>
                <w:iCs/>
                <w:lang w:val="en-US"/>
              </w:rPr>
            </w:pPr>
          </w:p>
        </w:tc>
      </w:tr>
      <w:tr w:rsidR="00C833A3" w:rsidRPr="00AD2821" w14:paraId="13071249" w14:textId="77777777" w:rsidTr="00C833A3">
        <w:tc>
          <w:tcPr>
            <w:tcW w:w="4721" w:type="dxa"/>
          </w:tcPr>
          <w:p w14:paraId="35A5139F" w14:textId="21864E87" w:rsidR="00C833A3" w:rsidRPr="00AD2821" w:rsidRDefault="002C38BB" w:rsidP="002C38BB">
            <w:pPr>
              <w:rPr>
                <w:rFonts w:cstheme="minorHAnsi"/>
                <w:lang w:val="en-US"/>
              </w:rPr>
            </w:pPr>
            <w:r w:rsidRPr="00AD2821">
              <w:rPr>
                <w:rFonts w:cstheme="minorHAnsi"/>
                <w:lang w:val="en-US"/>
              </w:rPr>
              <w:t>Appendix 1. Panels and committees</w:t>
            </w:r>
          </w:p>
        </w:tc>
        <w:tc>
          <w:tcPr>
            <w:tcW w:w="4721" w:type="dxa"/>
          </w:tcPr>
          <w:p w14:paraId="18EE8F95" w14:textId="5CDAF4F1" w:rsidR="00C833A3" w:rsidRPr="00AD2821" w:rsidRDefault="00C833A3" w:rsidP="00C833A3">
            <w:pPr>
              <w:spacing w:line="360" w:lineRule="auto"/>
              <w:jc w:val="right"/>
              <w:rPr>
                <w:rFonts w:cstheme="minorHAnsi"/>
                <w:i/>
                <w:iCs/>
                <w:lang w:val="en-US"/>
              </w:rPr>
            </w:pPr>
            <w:r w:rsidRPr="00AD2821">
              <w:rPr>
                <w:rFonts w:cstheme="minorHAnsi"/>
                <w:i/>
                <w:iCs/>
                <w:lang w:val="en-US"/>
              </w:rPr>
              <w:t xml:space="preserve">pag. </w:t>
            </w:r>
            <w:r w:rsidR="002C38BB" w:rsidRPr="00AD2821">
              <w:rPr>
                <w:rFonts w:cstheme="minorHAnsi"/>
                <w:i/>
                <w:iCs/>
                <w:lang w:val="en-US"/>
              </w:rPr>
              <w:t>5</w:t>
            </w:r>
          </w:p>
        </w:tc>
      </w:tr>
      <w:tr w:rsidR="00C833A3" w:rsidRPr="00AD2821" w14:paraId="5806A490" w14:textId="77777777" w:rsidTr="00C833A3">
        <w:tc>
          <w:tcPr>
            <w:tcW w:w="4721" w:type="dxa"/>
          </w:tcPr>
          <w:p w14:paraId="1D1B3101" w14:textId="3A53853D" w:rsidR="00C833A3" w:rsidRPr="00AD2821" w:rsidRDefault="002C38BB" w:rsidP="002C38BB">
            <w:pPr>
              <w:spacing w:after="160" w:line="278" w:lineRule="auto"/>
              <w:rPr>
                <w:rFonts w:cstheme="minorHAnsi"/>
                <w:lang w:val="en-US"/>
              </w:rPr>
            </w:pPr>
            <w:r w:rsidRPr="00AD2821">
              <w:rPr>
                <w:rFonts w:cstheme="minorHAnsi"/>
                <w:lang w:val="en-US"/>
              </w:rPr>
              <w:t>Appendix 2. MILS search terms</w:t>
            </w:r>
          </w:p>
        </w:tc>
        <w:tc>
          <w:tcPr>
            <w:tcW w:w="4721" w:type="dxa"/>
          </w:tcPr>
          <w:p w14:paraId="3733C483" w14:textId="0E7C62B0" w:rsidR="00C833A3" w:rsidRPr="00AD2821" w:rsidRDefault="00C833A3" w:rsidP="00C833A3">
            <w:pPr>
              <w:spacing w:line="360" w:lineRule="auto"/>
              <w:jc w:val="right"/>
              <w:rPr>
                <w:rFonts w:cstheme="minorHAnsi"/>
                <w:i/>
                <w:iCs/>
                <w:lang w:val="en-US"/>
              </w:rPr>
            </w:pPr>
            <w:r w:rsidRPr="00AD2821">
              <w:rPr>
                <w:rFonts w:cstheme="minorHAnsi"/>
                <w:i/>
                <w:iCs/>
                <w:lang w:val="en-US"/>
              </w:rPr>
              <w:t>pag.</w:t>
            </w:r>
            <w:r w:rsidR="00C50078" w:rsidRPr="00AD2821">
              <w:rPr>
                <w:rFonts w:cstheme="minorHAnsi"/>
                <w:i/>
                <w:iCs/>
                <w:lang w:val="en-US"/>
              </w:rPr>
              <w:t xml:space="preserve"> </w:t>
            </w:r>
            <w:r w:rsidR="002C38BB" w:rsidRPr="00AD2821">
              <w:rPr>
                <w:rFonts w:cstheme="minorHAnsi"/>
                <w:i/>
                <w:iCs/>
                <w:lang w:val="en-US"/>
              </w:rPr>
              <w:t>8</w:t>
            </w:r>
          </w:p>
        </w:tc>
      </w:tr>
      <w:tr w:rsidR="002C38BB" w:rsidRPr="00AD2821" w14:paraId="03528B0A" w14:textId="77777777" w:rsidTr="00C833A3">
        <w:tc>
          <w:tcPr>
            <w:tcW w:w="4721" w:type="dxa"/>
          </w:tcPr>
          <w:p w14:paraId="76CB2D51" w14:textId="2A0B0D8B" w:rsidR="002C38BB" w:rsidRPr="00AD2821" w:rsidRDefault="002C38BB" w:rsidP="002C38BB">
            <w:pPr>
              <w:spacing w:after="160" w:line="278" w:lineRule="auto"/>
              <w:rPr>
                <w:rFonts w:cstheme="minorHAnsi"/>
                <w:lang w:val="en-US"/>
              </w:rPr>
            </w:pPr>
            <w:r w:rsidRPr="00AD2821">
              <w:rPr>
                <w:rFonts w:cstheme="minorHAnsi"/>
                <w:lang w:val="en-US"/>
              </w:rPr>
              <w:t xml:space="preserve">Appendix 3. </w:t>
            </w:r>
            <w:r w:rsidR="00303F17" w:rsidRPr="00AD2821">
              <w:rPr>
                <w:rFonts w:eastAsia="Aptos" w:cstheme="minorHAnsi"/>
                <w:lang w:val="en-GB"/>
              </w:rPr>
              <w:t>GRADE scoring system</w:t>
            </w:r>
          </w:p>
        </w:tc>
        <w:tc>
          <w:tcPr>
            <w:tcW w:w="4721" w:type="dxa"/>
          </w:tcPr>
          <w:p w14:paraId="6B9662A0" w14:textId="54E2A026"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C50078" w:rsidRPr="00AD2821">
              <w:rPr>
                <w:rFonts w:cstheme="minorHAnsi"/>
                <w:i/>
                <w:iCs/>
                <w:lang w:val="en-US"/>
              </w:rPr>
              <w:t xml:space="preserve"> 9</w:t>
            </w:r>
          </w:p>
        </w:tc>
      </w:tr>
      <w:tr w:rsidR="002C38BB" w:rsidRPr="00AD2821" w14:paraId="6E5E623F" w14:textId="77777777" w:rsidTr="00C833A3">
        <w:tc>
          <w:tcPr>
            <w:tcW w:w="4721" w:type="dxa"/>
          </w:tcPr>
          <w:p w14:paraId="713768FD" w14:textId="41FC2618" w:rsidR="002C38BB" w:rsidRPr="00AD2821" w:rsidRDefault="00C50078" w:rsidP="002C38BB">
            <w:pPr>
              <w:spacing w:after="160" w:line="278" w:lineRule="auto"/>
              <w:rPr>
                <w:rFonts w:cstheme="minorHAnsi"/>
                <w:lang w:val="en-US"/>
              </w:rPr>
            </w:pPr>
            <w:r w:rsidRPr="00C50078">
              <w:rPr>
                <w:rFonts w:cstheme="minorHAnsi"/>
                <w:lang w:val="en-US"/>
              </w:rPr>
              <w:t xml:space="preserve">Appendix 4. </w:t>
            </w:r>
            <w:r w:rsidRPr="00C50078">
              <w:rPr>
                <w:rFonts w:cstheme="minorHAnsi"/>
                <w:lang w:val="en-GB"/>
              </w:rPr>
              <w:t>Summary of Findings Tables and Considered Judgement</w:t>
            </w:r>
          </w:p>
        </w:tc>
        <w:tc>
          <w:tcPr>
            <w:tcW w:w="4721" w:type="dxa"/>
          </w:tcPr>
          <w:p w14:paraId="75C3AA04" w14:textId="1526C413"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C50078" w:rsidRPr="00AD2821">
              <w:rPr>
                <w:rFonts w:cstheme="minorHAnsi"/>
                <w:i/>
                <w:iCs/>
                <w:lang w:val="en-US"/>
              </w:rPr>
              <w:t xml:space="preserve"> 10</w:t>
            </w:r>
          </w:p>
        </w:tc>
      </w:tr>
      <w:tr w:rsidR="002C38BB" w:rsidRPr="00AD2821" w14:paraId="374A56E0" w14:textId="77777777" w:rsidTr="00C833A3">
        <w:tc>
          <w:tcPr>
            <w:tcW w:w="4721" w:type="dxa"/>
          </w:tcPr>
          <w:p w14:paraId="319D217D" w14:textId="3A9BDF8D" w:rsidR="002C38BB" w:rsidRPr="00AD2821" w:rsidRDefault="00C50078" w:rsidP="002C38BB">
            <w:pPr>
              <w:spacing w:after="160" w:line="278" w:lineRule="auto"/>
              <w:rPr>
                <w:rFonts w:cstheme="minorHAnsi"/>
                <w:lang w:val="en-GB"/>
              </w:rPr>
            </w:pPr>
            <w:r w:rsidRPr="00C50078">
              <w:rPr>
                <w:rFonts w:cstheme="minorHAnsi"/>
                <w:lang w:val="en-US"/>
              </w:rPr>
              <w:t xml:space="preserve">Appendix 5. </w:t>
            </w:r>
            <w:r w:rsidRPr="00C50078">
              <w:rPr>
                <w:rFonts w:cstheme="minorHAnsi"/>
                <w:lang w:val="en-GB"/>
              </w:rPr>
              <w:t>Strength of Recommendation</w:t>
            </w:r>
          </w:p>
        </w:tc>
        <w:tc>
          <w:tcPr>
            <w:tcW w:w="4721" w:type="dxa"/>
          </w:tcPr>
          <w:p w14:paraId="741A7D6B" w14:textId="4E6131EE"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C50078" w:rsidRPr="00AD2821">
              <w:rPr>
                <w:rFonts w:cstheme="minorHAnsi"/>
                <w:i/>
                <w:iCs/>
                <w:lang w:val="en-US"/>
              </w:rPr>
              <w:t xml:space="preserve"> 13</w:t>
            </w:r>
          </w:p>
        </w:tc>
      </w:tr>
      <w:tr w:rsidR="002C38BB" w:rsidRPr="00AD2821" w14:paraId="6BF6A58E" w14:textId="77777777" w:rsidTr="00C833A3">
        <w:tc>
          <w:tcPr>
            <w:tcW w:w="4721" w:type="dxa"/>
          </w:tcPr>
          <w:p w14:paraId="5033945E" w14:textId="0501FA65" w:rsidR="002C38BB" w:rsidRPr="00AD2821" w:rsidRDefault="00C50078" w:rsidP="002C38BB">
            <w:pPr>
              <w:spacing w:after="160" w:line="278" w:lineRule="auto"/>
              <w:rPr>
                <w:rFonts w:cstheme="minorHAnsi"/>
                <w:lang w:val="en-GB"/>
              </w:rPr>
            </w:pPr>
            <w:r w:rsidRPr="00C50078">
              <w:rPr>
                <w:rFonts w:cstheme="minorHAnsi"/>
                <w:lang w:val="en-US"/>
              </w:rPr>
              <w:t xml:space="preserve">Appendix 6. </w:t>
            </w:r>
            <w:r w:rsidRPr="00C50078">
              <w:rPr>
                <w:rFonts w:cstheme="minorHAnsi"/>
                <w:lang w:val="en-GB"/>
              </w:rPr>
              <w:t>Professional Oaths</w:t>
            </w:r>
          </w:p>
        </w:tc>
        <w:tc>
          <w:tcPr>
            <w:tcW w:w="4721" w:type="dxa"/>
          </w:tcPr>
          <w:p w14:paraId="65CFB243" w14:textId="5BC3F93B"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C50078" w:rsidRPr="00AD2821">
              <w:rPr>
                <w:rFonts w:cstheme="minorHAnsi"/>
                <w:i/>
                <w:iCs/>
                <w:lang w:val="en-US"/>
              </w:rPr>
              <w:t xml:space="preserve"> 14</w:t>
            </w:r>
          </w:p>
        </w:tc>
      </w:tr>
      <w:tr w:rsidR="002C38BB" w:rsidRPr="00AD2821" w14:paraId="63CBFE3C" w14:textId="77777777" w:rsidTr="00C833A3">
        <w:tc>
          <w:tcPr>
            <w:tcW w:w="4721" w:type="dxa"/>
          </w:tcPr>
          <w:p w14:paraId="6E037193" w14:textId="0ECF9E19" w:rsidR="002C38BB" w:rsidRPr="00AD2821" w:rsidRDefault="00C50078" w:rsidP="002C38BB">
            <w:pPr>
              <w:spacing w:after="160" w:line="278" w:lineRule="auto"/>
              <w:rPr>
                <w:rFonts w:cstheme="minorHAnsi"/>
                <w:lang w:val="en-GB"/>
              </w:rPr>
            </w:pPr>
            <w:r w:rsidRPr="00C50078">
              <w:rPr>
                <w:rFonts w:cstheme="minorHAnsi"/>
                <w:lang w:val="en-US"/>
              </w:rPr>
              <w:t xml:space="preserve">Appendix 7. </w:t>
            </w:r>
            <w:r w:rsidRPr="00C50078">
              <w:rPr>
                <w:rFonts w:cstheme="minorHAnsi"/>
                <w:lang w:val="en-GB"/>
              </w:rPr>
              <w:t xml:space="preserve">AGREE II GRS Tool </w:t>
            </w:r>
          </w:p>
        </w:tc>
        <w:tc>
          <w:tcPr>
            <w:tcW w:w="4721" w:type="dxa"/>
          </w:tcPr>
          <w:p w14:paraId="15291309" w14:textId="652C80A1"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C50078" w:rsidRPr="00AD2821">
              <w:rPr>
                <w:rFonts w:cstheme="minorHAnsi"/>
                <w:i/>
                <w:iCs/>
                <w:lang w:val="en-US"/>
              </w:rPr>
              <w:t xml:space="preserve"> 15</w:t>
            </w:r>
          </w:p>
        </w:tc>
      </w:tr>
      <w:tr w:rsidR="002C38BB" w:rsidRPr="00AD2821" w14:paraId="4AEB77BB" w14:textId="77777777" w:rsidTr="00C833A3">
        <w:tc>
          <w:tcPr>
            <w:tcW w:w="4721" w:type="dxa"/>
          </w:tcPr>
          <w:p w14:paraId="47BF12B8" w14:textId="5EF6AD25" w:rsidR="002C38BB" w:rsidRPr="00AD2821" w:rsidRDefault="00C50078" w:rsidP="002C38BB">
            <w:pPr>
              <w:spacing w:after="160" w:line="278" w:lineRule="auto"/>
              <w:rPr>
                <w:rFonts w:cstheme="minorHAnsi"/>
                <w:lang w:val="en-GB"/>
              </w:rPr>
            </w:pPr>
            <w:r w:rsidRPr="00C50078">
              <w:rPr>
                <w:rFonts w:cstheme="minorHAnsi"/>
                <w:lang w:val="en-US"/>
              </w:rPr>
              <w:t xml:space="preserve">Appendix 8. </w:t>
            </w:r>
            <w:r w:rsidRPr="00C50078">
              <w:rPr>
                <w:rFonts w:cstheme="minorHAnsi"/>
                <w:lang w:val="en-GB"/>
              </w:rPr>
              <w:t>Jury Feedback Form</w:t>
            </w:r>
          </w:p>
        </w:tc>
        <w:tc>
          <w:tcPr>
            <w:tcW w:w="4721" w:type="dxa"/>
          </w:tcPr>
          <w:p w14:paraId="083DEE4B" w14:textId="333CECC5"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C50078" w:rsidRPr="00AD2821">
              <w:rPr>
                <w:rFonts w:cstheme="minorHAnsi"/>
                <w:i/>
                <w:iCs/>
                <w:lang w:val="en-US"/>
              </w:rPr>
              <w:t xml:space="preserve"> 16</w:t>
            </w:r>
          </w:p>
        </w:tc>
      </w:tr>
      <w:tr w:rsidR="00C833A3" w:rsidRPr="00AD2821" w14:paraId="61AF219E" w14:textId="77777777" w:rsidTr="00C833A3">
        <w:tc>
          <w:tcPr>
            <w:tcW w:w="4721" w:type="dxa"/>
          </w:tcPr>
          <w:p w14:paraId="5FF31267" w14:textId="66CE0518" w:rsidR="00C833A3" w:rsidRPr="00AD2821" w:rsidRDefault="00C833A3" w:rsidP="00C833A3">
            <w:pPr>
              <w:rPr>
                <w:rFonts w:cstheme="minorHAnsi"/>
                <w:b/>
                <w:lang w:val="en-US"/>
              </w:rPr>
            </w:pPr>
            <w:r w:rsidRPr="00AD2821">
              <w:rPr>
                <w:rFonts w:cstheme="minorHAnsi"/>
                <w:b/>
                <w:bCs/>
                <w:lang w:val="en-US"/>
              </w:rPr>
              <w:t>Supplementary Figures and Tables</w:t>
            </w:r>
          </w:p>
        </w:tc>
        <w:tc>
          <w:tcPr>
            <w:tcW w:w="4721" w:type="dxa"/>
          </w:tcPr>
          <w:p w14:paraId="0B15E2EC" w14:textId="77777777" w:rsidR="00C833A3" w:rsidRPr="00AD2821" w:rsidRDefault="00C833A3" w:rsidP="00C833A3">
            <w:pPr>
              <w:spacing w:line="360" w:lineRule="auto"/>
              <w:jc w:val="right"/>
              <w:rPr>
                <w:rFonts w:cstheme="minorHAnsi"/>
                <w:i/>
                <w:iCs/>
                <w:lang w:val="en-US"/>
              </w:rPr>
            </w:pPr>
          </w:p>
        </w:tc>
      </w:tr>
      <w:tr w:rsidR="00C833A3" w:rsidRPr="00AD2821" w14:paraId="3D685A24" w14:textId="77777777" w:rsidTr="00C833A3">
        <w:tc>
          <w:tcPr>
            <w:tcW w:w="4721" w:type="dxa"/>
          </w:tcPr>
          <w:p w14:paraId="21FEA775" w14:textId="3FB7CB28" w:rsidR="00C833A3" w:rsidRPr="00AD2821" w:rsidRDefault="00C50078" w:rsidP="00C50078">
            <w:pPr>
              <w:spacing w:line="276" w:lineRule="auto"/>
              <w:ind w:left="182"/>
              <w:rPr>
                <w:rFonts w:cstheme="minorHAnsi"/>
                <w:lang w:val="en-GB"/>
              </w:rPr>
            </w:pPr>
            <w:r w:rsidRPr="00C50078">
              <w:rPr>
                <w:rFonts w:cstheme="minorHAnsi"/>
                <w:lang w:val="en-US"/>
              </w:rPr>
              <w:t xml:space="preserve">Supplementary Table 1. </w:t>
            </w:r>
            <w:r w:rsidRPr="00C50078">
              <w:rPr>
                <w:rFonts w:cstheme="minorHAnsi"/>
                <w:lang w:val="en-GB"/>
              </w:rPr>
              <w:t>Domain 1 MILS Terminology</w:t>
            </w:r>
          </w:p>
        </w:tc>
        <w:tc>
          <w:tcPr>
            <w:tcW w:w="4721" w:type="dxa"/>
          </w:tcPr>
          <w:p w14:paraId="416AE88E" w14:textId="61B42072" w:rsidR="00C833A3" w:rsidRPr="00AD2821" w:rsidRDefault="00C833A3" w:rsidP="00C833A3">
            <w:pPr>
              <w:spacing w:line="360" w:lineRule="auto"/>
              <w:jc w:val="right"/>
              <w:rPr>
                <w:rFonts w:cstheme="minorHAnsi"/>
                <w:i/>
                <w:iCs/>
                <w:lang w:val="en-US"/>
              </w:rPr>
            </w:pPr>
            <w:r w:rsidRPr="00AD2821">
              <w:rPr>
                <w:rFonts w:cstheme="minorHAnsi"/>
                <w:i/>
                <w:iCs/>
                <w:lang w:val="en-US"/>
              </w:rPr>
              <w:t xml:space="preserve">pag. </w:t>
            </w:r>
            <w:r w:rsidR="00C50078" w:rsidRPr="00AD2821">
              <w:rPr>
                <w:rFonts w:cstheme="minorHAnsi"/>
                <w:i/>
                <w:iCs/>
                <w:lang w:val="en-US"/>
              </w:rPr>
              <w:t>19</w:t>
            </w:r>
          </w:p>
        </w:tc>
      </w:tr>
      <w:tr w:rsidR="00C833A3" w:rsidRPr="00AD2821" w14:paraId="0C72C886" w14:textId="77777777" w:rsidTr="00C833A3">
        <w:tc>
          <w:tcPr>
            <w:tcW w:w="4721" w:type="dxa"/>
          </w:tcPr>
          <w:p w14:paraId="2F954134" w14:textId="78424C63" w:rsidR="00C833A3" w:rsidRPr="00AD2821" w:rsidRDefault="00023C91" w:rsidP="00023C91">
            <w:pPr>
              <w:spacing w:line="276" w:lineRule="auto"/>
              <w:ind w:left="182"/>
              <w:rPr>
                <w:rFonts w:cstheme="minorHAnsi"/>
                <w:lang w:val="en-GB"/>
              </w:rPr>
            </w:pPr>
            <w:r w:rsidRPr="00023C91">
              <w:rPr>
                <w:rFonts w:cstheme="minorHAnsi"/>
                <w:lang w:val="en-US"/>
              </w:rPr>
              <w:t xml:space="preserve">Supplementary Table 2. </w:t>
            </w:r>
            <w:r w:rsidRPr="00023C91">
              <w:rPr>
                <w:rFonts w:cstheme="minorHAnsi"/>
                <w:lang w:val="en-GB"/>
              </w:rPr>
              <w:t>Domain 2 Clinical Questions and Recommendations</w:t>
            </w:r>
          </w:p>
        </w:tc>
        <w:tc>
          <w:tcPr>
            <w:tcW w:w="4721" w:type="dxa"/>
          </w:tcPr>
          <w:p w14:paraId="0BF33632" w14:textId="57FEDDF2" w:rsidR="00C833A3" w:rsidRPr="00AD2821" w:rsidRDefault="00C833A3" w:rsidP="00C833A3">
            <w:pPr>
              <w:spacing w:line="360" w:lineRule="auto"/>
              <w:jc w:val="right"/>
              <w:rPr>
                <w:rFonts w:cstheme="minorHAnsi"/>
                <w:i/>
                <w:iCs/>
                <w:lang w:val="en-US"/>
              </w:rPr>
            </w:pPr>
            <w:r w:rsidRPr="00AD2821">
              <w:rPr>
                <w:rFonts w:cstheme="minorHAnsi"/>
                <w:i/>
                <w:iCs/>
                <w:lang w:val="en-US"/>
              </w:rPr>
              <w:t xml:space="preserve">pag. </w:t>
            </w:r>
            <w:r w:rsidR="00023C91" w:rsidRPr="00AD2821">
              <w:rPr>
                <w:rFonts w:cstheme="minorHAnsi"/>
                <w:i/>
                <w:iCs/>
                <w:lang w:val="en-US"/>
              </w:rPr>
              <w:t>22</w:t>
            </w:r>
          </w:p>
        </w:tc>
      </w:tr>
      <w:tr w:rsidR="002C38BB" w:rsidRPr="00AD2821" w14:paraId="6E8F131A" w14:textId="77777777" w:rsidTr="00C833A3">
        <w:tc>
          <w:tcPr>
            <w:tcW w:w="4721" w:type="dxa"/>
          </w:tcPr>
          <w:p w14:paraId="041ED657" w14:textId="0AB2C45D" w:rsidR="002C38BB" w:rsidRPr="00AD2821" w:rsidRDefault="00023C91" w:rsidP="00023C91">
            <w:pPr>
              <w:spacing w:line="276" w:lineRule="auto"/>
              <w:ind w:left="182"/>
              <w:rPr>
                <w:rFonts w:cstheme="minorHAnsi"/>
                <w:lang w:val="en-GB"/>
              </w:rPr>
            </w:pPr>
            <w:r w:rsidRPr="00023C91">
              <w:rPr>
                <w:rFonts w:cstheme="minorHAnsi"/>
                <w:lang w:val="en-US"/>
              </w:rPr>
              <w:t xml:space="preserve">Supplementary Table 3. </w:t>
            </w:r>
            <w:r w:rsidRPr="00023C91">
              <w:rPr>
                <w:rFonts w:cstheme="minorHAnsi"/>
                <w:lang w:val="en-GB"/>
              </w:rPr>
              <w:t xml:space="preserve">Domain 3 Clinical Questions and Recommendations </w:t>
            </w:r>
          </w:p>
        </w:tc>
        <w:tc>
          <w:tcPr>
            <w:tcW w:w="4721" w:type="dxa"/>
          </w:tcPr>
          <w:p w14:paraId="2E1173AA" w14:textId="75E7138B"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023C91" w:rsidRPr="00AD2821">
              <w:rPr>
                <w:rFonts w:cstheme="minorHAnsi"/>
                <w:i/>
                <w:iCs/>
                <w:lang w:val="en-US"/>
              </w:rPr>
              <w:t xml:space="preserve"> 25</w:t>
            </w:r>
          </w:p>
        </w:tc>
      </w:tr>
      <w:tr w:rsidR="002C38BB" w:rsidRPr="00AD2821" w14:paraId="7E768ABB" w14:textId="77777777" w:rsidTr="00C833A3">
        <w:tc>
          <w:tcPr>
            <w:tcW w:w="4721" w:type="dxa"/>
          </w:tcPr>
          <w:p w14:paraId="1A11B40F" w14:textId="60E5A167" w:rsidR="002C38BB" w:rsidRPr="00AD2821" w:rsidRDefault="005C1C5D" w:rsidP="005C1C5D">
            <w:pPr>
              <w:spacing w:line="276" w:lineRule="auto"/>
              <w:ind w:left="182"/>
              <w:rPr>
                <w:rFonts w:cstheme="minorHAnsi"/>
                <w:lang w:val="en-GB"/>
              </w:rPr>
            </w:pPr>
            <w:r w:rsidRPr="005C1C5D">
              <w:rPr>
                <w:rFonts w:cstheme="minorHAnsi"/>
                <w:lang w:val="en-US"/>
              </w:rPr>
              <w:t xml:space="preserve">Supplementary Table 4. </w:t>
            </w:r>
            <w:r w:rsidRPr="005C1C5D">
              <w:rPr>
                <w:rFonts w:cstheme="minorHAnsi"/>
                <w:lang w:val="en-GB"/>
              </w:rPr>
              <w:t xml:space="preserve">Domain 4 Clinical Questions and Recommendations </w:t>
            </w:r>
          </w:p>
        </w:tc>
        <w:tc>
          <w:tcPr>
            <w:tcW w:w="4721" w:type="dxa"/>
          </w:tcPr>
          <w:p w14:paraId="34355E7C" w14:textId="750CD4B6"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5C1C5D" w:rsidRPr="00AD2821">
              <w:rPr>
                <w:rFonts w:cstheme="minorHAnsi"/>
                <w:i/>
                <w:iCs/>
                <w:lang w:val="en-US"/>
              </w:rPr>
              <w:t xml:space="preserve"> 28</w:t>
            </w:r>
          </w:p>
        </w:tc>
      </w:tr>
      <w:tr w:rsidR="002C38BB" w:rsidRPr="00AD2821" w14:paraId="4E968DA3" w14:textId="77777777" w:rsidTr="00C833A3">
        <w:tc>
          <w:tcPr>
            <w:tcW w:w="4721" w:type="dxa"/>
          </w:tcPr>
          <w:p w14:paraId="4F08585D" w14:textId="5084D0B6" w:rsidR="002C38BB" w:rsidRPr="00AD2821" w:rsidRDefault="002665D0" w:rsidP="002665D0">
            <w:pPr>
              <w:spacing w:line="276" w:lineRule="auto"/>
              <w:ind w:left="182"/>
              <w:rPr>
                <w:rFonts w:cstheme="minorHAnsi"/>
                <w:lang w:val="en-GB"/>
              </w:rPr>
            </w:pPr>
            <w:r w:rsidRPr="002665D0">
              <w:rPr>
                <w:rFonts w:cstheme="minorHAnsi"/>
                <w:lang w:val="en-US"/>
              </w:rPr>
              <w:t xml:space="preserve">Supplementary Table 5. </w:t>
            </w:r>
            <w:r w:rsidRPr="002665D0">
              <w:rPr>
                <w:rFonts w:cstheme="minorHAnsi"/>
                <w:lang w:val="en-GB"/>
              </w:rPr>
              <w:t xml:space="preserve">Domain 5 Clinical Questions and Recommendations </w:t>
            </w:r>
          </w:p>
        </w:tc>
        <w:tc>
          <w:tcPr>
            <w:tcW w:w="4721" w:type="dxa"/>
          </w:tcPr>
          <w:p w14:paraId="0E32D15D" w14:textId="457D11C0"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2665D0" w:rsidRPr="00AD2821">
              <w:rPr>
                <w:rFonts w:cstheme="minorHAnsi"/>
                <w:i/>
                <w:iCs/>
                <w:lang w:val="en-US"/>
              </w:rPr>
              <w:t xml:space="preserve"> 31</w:t>
            </w:r>
          </w:p>
        </w:tc>
      </w:tr>
      <w:tr w:rsidR="002C38BB" w:rsidRPr="00AD2821" w14:paraId="5CF8CD74" w14:textId="77777777" w:rsidTr="00C833A3">
        <w:tc>
          <w:tcPr>
            <w:tcW w:w="4721" w:type="dxa"/>
          </w:tcPr>
          <w:p w14:paraId="179C6DD1" w14:textId="33AD5F7C" w:rsidR="002C38BB" w:rsidRPr="00AD2821" w:rsidRDefault="002665D0" w:rsidP="002665D0">
            <w:pPr>
              <w:spacing w:line="276" w:lineRule="auto"/>
              <w:ind w:left="182"/>
              <w:rPr>
                <w:rFonts w:cstheme="minorHAnsi"/>
                <w:lang w:val="en-GB"/>
              </w:rPr>
            </w:pPr>
            <w:r w:rsidRPr="002665D0">
              <w:rPr>
                <w:rFonts w:cstheme="minorHAnsi"/>
                <w:lang w:val="en-US"/>
              </w:rPr>
              <w:t xml:space="preserve">Supplementary Table 6. </w:t>
            </w:r>
            <w:r w:rsidRPr="002665D0">
              <w:rPr>
                <w:rFonts w:cstheme="minorHAnsi"/>
                <w:lang w:val="en-GB"/>
              </w:rPr>
              <w:t xml:space="preserve">Domain 6 Clinical Questions and Recommendations </w:t>
            </w:r>
          </w:p>
        </w:tc>
        <w:tc>
          <w:tcPr>
            <w:tcW w:w="4721" w:type="dxa"/>
          </w:tcPr>
          <w:p w14:paraId="672DA3FB" w14:textId="4B74B68C"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2665D0" w:rsidRPr="00AD2821">
              <w:rPr>
                <w:rFonts w:cstheme="minorHAnsi"/>
                <w:i/>
                <w:iCs/>
                <w:lang w:val="en-US"/>
              </w:rPr>
              <w:t xml:space="preserve"> 35</w:t>
            </w:r>
          </w:p>
        </w:tc>
      </w:tr>
      <w:tr w:rsidR="002C38BB" w:rsidRPr="00AD2821" w14:paraId="04588780" w14:textId="77777777" w:rsidTr="00C833A3">
        <w:tc>
          <w:tcPr>
            <w:tcW w:w="4721" w:type="dxa"/>
          </w:tcPr>
          <w:p w14:paraId="049FF3BA" w14:textId="264C8DB2" w:rsidR="002C38BB" w:rsidRPr="00AD2821" w:rsidRDefault="002665D0" w:rsidP="002665D0">
            <w:pPr>
              <w:spacing w:line="276" w:lineRule="auto"/>
              <w:ind w:left="182"/>
              <w:rPr>
                <w:rFonts w:cstheme="minorHAnsi"/>
                <w:lang w:val="en-GB"/>
              </w:rPr>
            </w:pPr>
            <w:r w:rsidRPr="002665D0">
              <w:rPr>
                <w:rFonts w:cstheme="minorHAnsi"/>
                <w:lang w:val="en-US"/>
              </w:rPr>
              <w:t xml:space="preserve">Supplementary Table 7. </w:t>
            </w:r>
            <w:r w:rsidRPr="002665D0">
              <w:rPr>
                <w:rFonts w:cstheme="minorHAnsi"/>
                <w:lang w:val="en-GB"/>
              </w:rPr>
              <w:t xml:space="preserve">Domain 7 Clinical Questions and Recommendations </w:t>
            </w:r>
          </w:p>
        </w:tc>
        <w:tc>
          <w:tcPr>
            <w:tcW w:w="4721" w:type="dxa"/>
          </w:tcPr>
          <w:p w14:paraId="0755DEFF" w14:textId="76ECB5C7"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2665D0" w:rsidRPr="00AD2821">
              <w:rPr>
                <w:rFonts w:cstheme="minorHAnsi"/>
                <w:i/>
                <w:iCs/>
                <w:lang w:val="en-US"/>
              </w:rPr>
              <w:t xml:space="preserve"> 37</w:t>
            </w:r>
          </w:p>
        </w:tc>
      </w:tr>
      <w:tr w:rsidR="002C38BB" w:rsidRPr="00AD2821" w14:paraId="37F49D9D" w14:textId="77777777" w:rsidTr="00C833A3">
        <w:tc>
          <w:tcPr>
            <w:tcW w:w="4721" w:type="dxa"/>
          </w:tcPr>
          <w:p w14:paraId="451DACD9" w14:textId="0712C318" w:rsidR="002C38BB" w:rsidRPr="00AD2821" w:rsidRDefault="002665D0" w:rsidP="002665D0">
            <w:pPr>
              <w:spacing w:line="276" w:lineRule="auto"/>
              <w:ind w:left="182"/>
              <w:rPr>
                <w:rFonts w:cstheme="minorHAnsi"/>
                <w:lang w:val="en-GB"/>
              </w:rPr>
            </w:pPr>
            <w:r w:rsidRPr="002665D0">
              <w:rPr>
                <w:rFonts w:cstheme="minorHAnsi"/>
                <w:lang w:val="en-US"/>
              </w:rPr>
              <w:t xml:space="preserve">Supplementary Table 8. </w:t>
            </w:r>
            <w:r w:rsidRPr="002665D0">
              <w:rPr>
                <w:rFonts w:cstheme="minorHAnsi"/>
                <w:lang w:val="en-GB"/>
              </w:rPr>
              <w:t>Domain 8 Clinical Questions and Recommendations</w:t>
            </w:r>
          </w:p>
        </w:tc>
        <w:tc>
          <w:tcPr>
            <w:tcW w:w="4721" w:type="dxa"/>
          </w:tcPr>
          <w:p w14:paraId="1E7CE1F1" w14:textId="51C32F7F"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2665D0" w:rsidRPr="00AD2821">
              <w:rPr>
                <w:rFonts w:cstheme="minorHAnsi"/>
                <w:i/>
                <w:iCs/>
                <w:lang w:val="en-US"/>
              </w:rPr>
              <w:t xml:space="preserve"> 42</w:t>
            </w:r>
          </w:p>
        </w:tc>
      </w:tr>
      <w:tr w:rsidR="002C38BB" w:rsidRPr="00AD2821" w14:paraId="65E8F206" w14:textId="77777777" w:rsidTr="00C833A3">
        <w:tc>
          <w:tcPr>
            <w:tcW w:w="4721" w:type="dxa"/>
          </w:tcPr>
          <w:p w14:paraId="0EAFA3EA" w14:textId="250CF3A7" w:rsidR="002C38BB" w:rsidRPr="00AD2821" w:rsidRDefault="002665D0" w:rsidP="002665D0">
            <w:pPr>
              <w:spacing w:line="276" w:lineRule="auto"/>
              <w:ind w:left="182"/>
              <w:rPr>
                <w:rFonts w:cstheme="minorHAnsi"/>
                <w:lang w:val="en-GB"/>
              </w:rPr>
            </w:pPr>
            <w:r w:rsidRPr="002665D0">
              <w:rPr>
                <w:rFonts w:cstheme="minorHAnsi"/>
                <w:lang w:val="en-US"/>
              </w:rPr>
              <w:t xml:space="preserve">Supplementary Table 9. </w:t>
            </w:r>
            <w:r w:rsidRPr="002665D0">
              <w:rPr>
                <w:rFonts w:cstheme="minorHAnsi"/>
                <w:lang w:val="en-GB"/>
              </w:rPr>
              <w:t>Agreement Rates and Topic Mean Performance Scores</w:t>
            </w:r>
          </w:p>
        </w:tc>
        <w:tc>
          <w:tcPr>
            <w:tcW w:w="4721" w:type="dxa"/>
          </w:tcPr>
          <w:p w14:paraId="0330102B" w14:textId="6A13F147" w:rsidR="002C38BB" w:rsidRPr="00AD2821" w:rsidRDefault="002C38BB" w:rsidP="00C833A3">
            <w:pPr>
              <w:spacing w:line="360" w:lineRule="auto"/>
              <w:jc w:val="right"/>
              <w:rPr>
                <w:rFonts w:cstheme="minorHAnsi"/>
                <w:i/>
                <w:iCs/>
                <w:lang w:val="en-US"/>
              </w:rPr>
            </w:pPr>
            <w:r w:rsidRPr="00AD2821">
              <w:rPr>
                <w:rFonts w:cstheme="minorHAnsi"/>
                <w:i/>
                <w:iCs/>
                <w:lang w:val="en-US"/>
              </w:rPr>
              <w:t>pag.</w:t>
            </w:r>
            <w:r w:rsidR="002665D0" w:rsidRPr="00AD2821">
              <w:rPr>
                <w:rFonts w:cstheme="minorHAnsi"/>
                <w:i/>
                <w:iCs/>
                <w:lang w:val="en-US"/>
              </w:rPr>
              <w:t xml:space="preserve"> 51</w:t>
            </w:r>
          </w:p>
        </w:tc>
      </w:tr>
    </w:tbl>
    <w:p w14:paraId="59BB59E0" w14:textId="63F273FD" w:rsidR="00BA67BD" w:rsidRPr="00AD2821" w:rsidRDefault="001F47C8" w:rsidP="002D6814">
      <w:pPr>
        <w:jc w:val="both"/>
        <w:rPr>
          <w:rFonts w:cstheme="minorHAnsi"/>
          <w:b/>
          <w:bCs/>
          <w:sz w:val="22"/>
          <w:szCs w:val="22"/>
          <w:lang w:val="en-US"/>
        </w:rPr>
      </w:pPr>
      <w:r w:rsidRPr="00AD2821">
        <w:rPr>
          <w:rFonts w:cstheme="minorHAnsi"/>
          <w:b/>
          <w:bCs/>
          <w:sz w:val="22"/>
          <w:szCs w:val="22"/>
          <w:lang w:val="en-US"/>
        </w:rPr>
        <w:br w:type="page"/>
      </w:r>
    </w:p>
    <w:p w14:paraId="1E727FC8" w14:textId="77777777" w:rsidR="002C38BB" w:rsidRPr="00AD2821" w:rsidRDefault="00C833A3">
      <w:pPr>
        <w:rPr>
          <w:rFonts w:cstheme="minorHAnsi"/>
          <w:b/>
          <w:bCs/>
          <w:sz w:val="22"/>
          <w:szCs w:val="22"/>
          <w:lang w:val="en-US"/>
        </w:rPr>
      </w:pPr>
      <w:r w:rsidRPr="00AD2821">
        <w:rPr>
          <w:rFonts w:cstheme="minorHAnsi"/>
          <w:b/>
          <w:bCs/>
          <w:sz w:val="22"/>
          <w:szCs w:val="22"/>
          <w:lang w:val="en-US"/>
        </w:rPr>
        <w:lastRenderedPageBreak/>
        <w:t>Supplementary Appendixes</w:t>
      </w:r>
    </w:p>
    <w:p w14:paraId="28858261" w14:textId="77777777" w:rsidR="002C38BB" w:rsidRPr="00AD2821" w:rsidRDefault="002C38BB">
      <w:pPr>
        <w:rPr>
          <w:rFonts w:cstheme="minorHAnsi"/>
          <w:b/>
          <w:bCs/>
          <w:sz w:val="22"/>
          <w:szCs w:val="22"/>
          <w:lang w:val="en-US"/>
        </w:rPr>
      </w:pPr>
    </w:p>
    <w:p w14:paraId="6450FC22" w14:textId="19211C74" w:rsidR="002C38BB" w:rsidRPr="00AD2821" w:rsidRDefault="002C38BB">
      <w:pPr>
        <w:rPr>
          <w:rFonts w:cstheme="minorHAnsi"/>
          <w:sz w:val="22"/>
          <w:szCs w:val="22"/>
          <w:lang w:val="en-US"/>
        </w:rPr>
      </w:pPr>
      <w:r w:rsidRPr="00AD2821">
        <w:rPr>
          <w:rFonts w:cstheme="minorHAnsi"/>
          <w:sz w:val="22"/>
          <w:szCs w:val="22"/>
          <w:lang w:val="en-US"/>
        </w:rPr>
        <w:t>Appendix 1. Panels and committees</w:t>
      </w:r>
    </w:p>
    <w:p w14:paraId="0235C0D6" w14:textId="77777777" w:rsidR="002C38BB" w:rsidRPr="00AD2821" w:rsidRDefault="002C38BB">
      <w:pPr>
        <w:rPr>
          <w:rFonts w:cstheme="minorHAnsi"/>
          <w:b/>
          <w:bCs/>
          <w:sz w:val="22"/>
          <w:szCs w:val="22"/>
          <w:lang w:val="en-US"/>
        </w:rPr>
      </w:pPr>
    </w:p>
    <w:tbl>
      <w:tblPr>
        <w:tblW w:w="3180" w:type="dxa"/>
        <w:tblCellMar>
          <w:left w:w="70" w:type="dxa"/>
          <w:right w:w="70" w:type="dxa"/>
        </w:tblCellMar>
        <w:tblLook w:val="04A0" w:firstRow="1" w:lastRow="0" w:firstColumn="1" w:lastColumn="0" w:noHBand="0" w:noVBand="1"/>
      </w:tblPr>
      <w:tblGrid>
        <w:gridCol w:w="3180"/>
      </w:tblGrid>
      <w:tr w:rsidR="002C38BB" w:rsidRPr="00AD2821" w14:paraId="48122378" w14:textId="77777777" w:rsidTr="00D45F54">
        <w:trPr>
          <w:trHeight w:val="300"/>
        </w:trPr>
        <w:tc>
          <w:tcPr>
            <w:tcW w:w="3180" w:type="dxa"/>
            <w:tcBorders>
              <w:top w:val="single" w:sz="4" w:space="0" w:color="000000"/>
              <w:left w:val="nil"/>
              <w:bottom w:val="single" w:sz="4" w:space="0" w:color="000000"/>
              <w:right w:val="nil"/>
            </w:tcBorders>
            <w:shd w:val="clear" w:color="auto" w:fill="auto"/>
            <w:noWrap/>
            <w:hideMark/>
          </w:tcPr>
          <w:p w14:paraId="633374BB" w14:textId="77777777" w:rsidR="002C38BB" w:rsidRPr="00AD2821" w:rsidRDefault="002C38BB"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Steering Committee</w:t>
            </w:r>
          </w:p>
        </w:tc>
      </w:tr>
      <w:tr w:rsidR="002C38BB" w:rsidRPr="00AD2821" w14:paraId="21482162" w14:textId="77777777" w:rsidTr="00D45F54">
        <w:trPr>
          <w:trHeight w:val="315"/>
        </w:trPr>
        <w:tc>
          <w:tcPr>
            <w:tcW w:w="3180" w:type="dxa"/>
            <w:tcBorders>
              <w:top w:val="nil"/>
              <w:left w:val="nil"/>
              <w:bottom w:val="nil"/>
              <w:right w:val="nil"/>
            </w:tcBorders>
            <w:shd w:val="clear" w:color="D9D9D9" w:fill="D9D9D9"/>
            <w:hideMark/>
          </w:tcPr>
          <w:p w14:paraId="7AE794E5" w14:textId="77777777" w:rsidR="002C38BB" w:rsidRPr="00AD2821" w:rsidRDefault="002C38BB" w:rsidP="00D45F54">
            <w:pPr>
              <w:rPr>
                <w:rFonts w:eastAsia="Times New Roman" w:cstheme="minorHAnsi"/>
                <w:color w:val="1A1A1A"/>
                <w:lang w:val="en-GB" w:eastAsia="nl-NL"/>
              </w:rPr>
            </w:pPr>
            <w:r w:rsidRPr="00AD2821">
              <w:rPr>
                <w:rFonts w:eastAsia="Times New Roman" w:cstheme="minorHAnsi"/>
                <w:color w:val="1A1A1A"/>
                <w:lang w:val="en-GB" w:eastAsia="nl-NL"/>
              </w:rPr>
              <w:t>Prof. Mo Abu Hilal</w:t>
            </w:r>
          </w:p>
        </w:tc>
      </w:tr>
      <w:tr w:rsidR="002C38BB" w:rsidRPr="00AD2821" w14:paraId="0A98F88E" w14:textId="77777777" w:rsidTr="00D45F54">
        <w:trPr>
          <w:trHeight w:val="315"/>
        </w:trPr>
        <w:tc>
          <w:tcPr>
            <w:tcW w:w="3180" w:type="dxa"/>
            <w:tcBorders>
              <w:top w:val="nil"/>
              <w:left w:val="nil"/>
              <w:bottom w:val="nil"/>
              <w:right w:val="nil"/>
            </w:tcBorders>
            <w:shd w:val="clear" w:color="auto" w:fill="auto"/>
            <w:hideMark/>
          </w:tcPr>
          <w:p w14:paraId="673580BE" w14:textId="77777777" w:rsidR="002C38BB" w:rsidRPr="00AD2821" w:rsidRDefault="002C38BB" w:rsidP="00D45F54">
            <w:pPr>
              <w:rPr>
                <w:rFonts w:eastAsia="Times New Roman" w:cstheme="minorHAnsi"/>
                <w:color w:val="1A1A1A"/>
                <w:lang w:val="en-GB" w:eastAsia="nl-NL"/>
              </w:rPr>
            </w:pPr>
            <w:r w:rsidRPr="00AD2821">
              <w:rPr>
                <w:rFonts w:eastAsia="Times New Roman" w:cstheme="minorHAnsi"/>
                <w:color w:val="1A1A1A"/>
                <w:lang w:val="en-GB" w:eastAsia="nl-NL"/>
              </w:rPr>
              <w:t>Prof. Luca Aldrighetti</w:t>
            </w:r>
          </w:p>
        </w:tc>
      </w:tr>
      <w:tr w:rsidR="002C38BB" w:rsidRPr="00AD2821" w14:paraId="4BBC5466" w14:textId="77777777" w:rsidTr="00D45F54">
        <w:trPr>
          <w:trHeight w:val="315"/>
        </w:trPr>
        <w:tc>
          <w:tcPr>
            <w:tcW w:w="3180" w:type="dxa"/>
            <w:tcBorders>
              <w:top w:val="nil"/>
              <w:left w:val="nil"/>
              <w:bottom w:val="nil"/>
              <w:right w:val="nil"/>
            </w:tcBorders>
            <w:shd w:val="clear" w:color="D9D9D9" w:fill="D9D9D9"/>
            <w:hideMark/>
          </w:tcPr>
          <w:p w14:paraId="298418E8" w14:textId="77777777" w:rsidR="002C38BB" w:rsidRPr="00AD2821" w:rsidRDefault="002C38BB" w:rsidP="00D45F54">
            <w:pPr>
              <w:rPr>
                <w:rFonts w:eastAsia="Times New Roman" w:cstheme="minorHAnsi"/>
                <w:color w:val="1A1A1A"/>
                <w:lang w:val="en-GB" w:eastAsia="nl-NL"/>
              </w:rPr>
            </w:pPr>
            <w:r w:rsidRPr="00AD2821">
              <w:rPr>
                <w:rFonts w:eastAsia="Times New Roman" w:cstheme="minorHAnsi"/>
                <w:color w:val="1A1A1A"/>
                <w:lang w:val="en-GB" w:eastAsia="nl-NL"/>
              </w:rPr>
              <w:t>Dr. Rutger-Jan Swijnenburg</w:t>
            </w:r>
          </w:p>
        </w:tc>
      </w:tr>
      <w:tr w:rsidR="002C38BB" w:rsidRPr="00AD2821" w14:paraId="4C168ABA" w14:textId="77777777" w:rsidTr="00D45F54">
        <w:trPr>
          <w:trHeight w:val="315"/>
        </w:trPr>
        <w:tc>
          <w:tcPr>
            <w:tcW w:w="3180" w:type="dxa"/>
            <w:tcBorders>
              <w:top w:val="nil"/>
              <w:left w:val="nil"/>
              <w:bottom w:val="nil"/>
              <w:right w:val="nil"/>
            </w:tcBorders>
            <w:shd w:val="clear" w:color="auto" w:fill="auto"/>
            <w:hideMark/>
          </w:tcPr>
          <w:p w14:paraId="12FE97E9" w14:textId="77777777" w:rsidR="002C38BB" w:rsidRPr="00AD2821" w:rsidRDefault="002C38BB" w:rsidP="00D45F54">
            <w:pPr>
              <w:rPr>
                <w:rFonts w:eastAsia="Times New Roman" w:cstheme="minorHAnsi"/>
                <w:color w:val="1A1A1A"/>
                <w:lang w:val="en-GB" w:eastAsia="nl-NL"/>
              </w:rPr>
            </w:pPr>
            <w:r w:rsidRPr="00AD2821">
              <w:rPr>
                <w:rFonts w:eastAsia="Times New Roman" w:cstheme="minorHAnsi"/>
                <w:color w:val="1A1A1A"/>
                <w:lang w:val="en-GB" w:eastAsia="nl-NL"/>
              </w:rPr>
              <w:t>Prof. Mathieu D’Hondt</w:t>
            </w:r>
          </w:p>
        </w:tc>
      </w:tr>
      <w:tr w:rsidR="002C38BB" w:rsidRPr="00AD2821" w14:paraId="5EA9BD85" w14:textId="77777777" w:rsidTr="00D45F54">
        <w:trPr>
          <w:trHeight w:val="315"/>
        </w:trPr>
        <w:tc>
          <w:tcPr>
            <w:tcW w:w="3180" w:type="dxa"/>
            <w:tcBorders>
              <w:top w:val="nil"/>
              <w:left w:val="nil"/>
              <w:bottom w:val="nil"/>
              <w:right w:val="nil"/>
            </w:tcBorders>
            <w:shd w:val="clear" w:color="D9D9D9" w:fill="D9D9D9"/>
            <w:hideMark/>
          </w:tcPr>
          <w:p w14:paraId="17D4ED8B" w14:textId="77777777" w:rsidR="002C38BB" w:rsidRPr="00AD2821" w:rsidRDefault="002C38BB" w:rsidP="00D45F54">
            <w:pPr>
              <w:rPr>
                <w:rFonts w:eastAsia="Times New Roman" w:cstheme="minorHAnsi"/>
                <w:color w:val="1A1A1A"/>
                <w:lang w:val="en-GB" w:eastAsia="nl-NL"/>
              </w:rPr>
            </w:pPr>
            <w:r w:rsidRPr="00AD2821">
              <w:rPr>
                <w:rFonts w:eastAsia="Times New Roman" w:cstheme="minorHAnsi"/>
                <w:color w:val="1A1A1A"/>
                <w:lang w:val="en-GB" w:eastAsia="nl-NL"/>
              </w:rPr>
              <w:t>Prof. Daniel Cherqui</w:t>
            </w:r>
          </w:p>
        </w:tc>
      </w:tr>
      <w:tr w:rsidR="002C38BB" w:rsidRPr="00AD2821" w14:paraId="7A6E5DB8" w14:textId="77777777" w:rsidTr="00D45F54">
        <w:trPr>
          <w:trHeight w:val="315"/>
        </w:trPr>
        <w:tc>
          <w:tcPr>
            <w:tcW w:w="3180" w:type="dxa"/>
            <w:tcBorders>
              <w:top w:val="nil"/>
              <w:left w:val="nil"/>
              <w:bottom w:val="nil"/>
              <w:right w:val="nil"/>
            </w:tcBorders>
            <w:shd w:val="clear" w:color="auto" w:fill="auto"/>
            <w:hideMark/>
          </w:tcPr>
          <w:p w14:paraId="30D870DB" w14:textId="77777777" w:rsidR="002C38BB" w:rsidRPr="00AD2821" w:rsidRDefault="002C38BB" w:rsidP="00D45F54">
            <w:pPr>
              <w:rPr>
                <w:rFonts w:eastAsia="Times New Roman" w:cstheme="minorHAnsi"/>
                <w:color w:val="1A1A1A"/>
                <w:lang w:val="en-GB" w:eastAsia="nl-NL"/>
              </w:rPr>
            </w:pPr>
            <w:r w:rsidRPr="00AD2821">
              <w:rPr>
                <w:rFonts w:eastAsia="Times New Roman" w:cstheme="minorHAnsi"/>
                <w:color w:val="1A1A1A"/>
                <w:lang w:val="en-GB" w:eastAsia="nl-NL"/>
              </w:rPr>
              <w:t>Prof. H.P. Marques</w:t>
            </w:r>
          </w:p>
        </w:tc>
      </w:tr>
      <w:tr w:rsidR="002C38BB" w:rsidRPr="00AD2821" w14:paraId="799570A4" w14:textId="77777777" w:rsidTr="00D45F54">
        <w:trPr>
          <w:trHeight w:val="315"/>
        </w:trPr>
        <w:tc>
          <w:tcPr>
            <w:tcW w:w="3180" w:type="dxa"/>
            <w:tcBorders>
              <w:top w:val="nil"/>
              <w:left w:val="nil"/>
              <w:bottom w:val="nil"/>
              <w:right w:val="nil"/>
            </w:tcBorders>
            <w:shd w:val="clear" w:color="D9D9D9" w:fill="D9D9D9"/>
            <w:hideMark/>
          </w:tcPr>
          <w:p w14:paraId="770E45B7" w14:textId="77777777" w:rsidR="002C38BB" w:rsidRPr="00AD2821" w:rsidRDefault="002C38BB" w:rsidP="00D45F54">
            <w:pPr>
              <w:rPr>
                <w:rFonts w:eastAsia="Times New Roman" w:cstheme="minorHAnsi"/>
                <w:color w:val="1A1A1A"/>
                <w:lang w:val="en-GB" w:eastAsia="nl-NL"/>
              </w:rPr>
            </w:pPr>
            <w:r w:rsidRPr="00AD2821">
              <w:rPr>
                <w:rFonts w:eastAsia="Times New Roman" w:cstheme="minorHAnsi"/>
                <w:color w:val="1A1A1A"/>
                <w:lang w:val="en-GB" w:eastAsia="nl-NL"/>
              </w:rPr>
              <w:t>Prof. Fernando Rotellar</w:t>
            </w:r>
          </w:p>
        </w:tc>
      </w:tr>
      <w:tr w:rsidR="002C38BB" w:rsidRPr="00AD2821" w14:paraId="66B6553F" w14:textId="77777777" w:rsidTr="00D45F54">
        <w:trPr>
          <w:trHeight w:val="315"/>
        </w:trPr>
        <w:tc>
          <w:tcPr>
            <w:tcW w:w="3180" w:type="dxa"/>
            <w:tcBorders>
              <w:top w:val="nil"/>
              <w:left w:val="nil"/>
              <w:bottom w:val="nil"/>
              <w:right w:val="nil"/>
            </w:tcBorders>
            <w:shd w:val="clear" w:color="auto" w:fill="auto"/>
            <w:hideMark/>
          </w:tcPr>
          <w:p w14:paraId="750F4AD2" w14:textId="77777777" w:rsidR="002C38BB" w:rsidRPr="00AD2821" w:rsidRDefault="002C38BB" w:rsidP="00D45F54">
            <w:pPr>
              <w:rPr>
                <w:rFonts w:eastAsia="Times New Roman" w:cstheme="minorHAnsi"/>
                <w:color w:val="1A1A1A"/>
                <w:lang w:val="en-GB" w:eastAsia="nl-NL"/>
              </w:rPr>
            </w:pPr>
            <w:r w:rsidRPr="00AD2821">
              <w:rPr>
                <w:rFonts w:eastAsia="Times New Roman" w:cstheme="minorHAnsi"/>
                <w:color w:val="1A1A1A"/>
                <w:lang w:val="en-GB" w:eastAsia="nl-NL"/>
              </w:rPr>
              <w:t>Prof. B. Edwin</w:t>
            </w:r>
          </w:p>
        </w:tc>
      </w:tr>
      <w:tr w:rsidR="002C38BB" w:rsidRPr="00AD2821" w14:paraId="6E948B53" w14:textId="77777777" w:rsidTr="00D45F54">
        <w:trPr>
          <w:trHeight w:val="315"/>
        </w:trPr>
        <w:tc>
          <w:tcPr>
            <w:tcW w:w="3180" w:type="dxa"/>
            <w:tcBorders>
              <w:top w:val="nil"/>
              <w:left w:val="nil"/>
              <w:bottom w:val="single" w:sz="4" w:space="0" w:color="000000"/>
              <w:right w:val="nil"/>
            </w:tcBorders>
            <w:shd w:val="clear" w:color="D9D9D9" w:fill="D9D9D9"/>
            <w:hideMark/>
          </w:tcPr>
          <w:p w14:paraId="7BF12E92" w14:textId="77777777" w:rsidR="002C38BB" w:rsidRPr="00AD2821" w:rsidRDefault="002C38BB" w:rsidP="00D45F54">
            <w:pPr>
              <w:rPr>
                <w:rFonts w:eastAsia="Times New Roman" w:cstheme="minorHAnsi"/>
                <w:color w:val="1A1A1A"/>
                <w:lang w:val="en-GB" w:eastAsia="nl-NL"/>
              </w:rPr>
            </w:pPr>
            <w:r w:rsidRPr="00AD2821">
              <w:rPr>
                <w:rFonts w:eastAsia="Times New Roman" w:cstheme="minorHAnsi"/>
                <w:color w:val="1A1A1A"/>
                <w:lang w:val="en-GB" w:eastAsia="nl-NL"/>
              </w:rPr>
              <w:t>Prof. I. Dagher</w:t>
            </w:r>
          </w:p>
        </w:tc>
      </w:tr>
    </w:tbl>
    <w:p w14:paraId="53B1EBC2" w14:textId="77777777" w:rsidR="002C38BB" w:rsidRPr="00AD2821" w:rsidRDefault="002C38BB" w:rsidP="002C38BB">
      <w:pPr>
        <w:spacing w:after="160" w:line="278" w:lineRule="auto"/>
        <w:rPr>
          <w:rFonts w:eastAsia="Aptos" w:cstheme="minorHAnsi"/>
          <w:lang w:val="en-GB"/>
        </w:rPr>
      </w:pPr>
    </w:p>
    <w:tbl>
      <w:tblPr>
        <w:tblW w:w="5000" w:type="pct"/>
        <w:tblCellMar>
          <w:left w:w="70" w:type="dxa"/>
          <w:right w:w="70" w:type="dxa"/>
        </w:tblCellMar>
        <w:tblLook w:val="04A0" w:firstRow="1" w:lastRow="0" w:firstColumn="1" w:lastColumn="0" w:noHBand="0" w:noVBand="1"/>
      </w:tblPr>
      <w:tblGrid>
        <w:gridCol w:w="1926"/>
        <w:gridCol w:w="2136"/>
        <w:gridCol w:w="3014"/>
        <w:gridCol w:w="2376"/>
      </w:tblGrid>
      <w:tr w:rsidR="002C38BB" w:rsidRPr="00AD2821" w14:paraId="1FB87FE5" w14:textId="77777777" w:rsidTr="00D45F54">
        <w:trPr>
          <w:trHeight w:val="300"/>
        </w:trPr>
        <w:tc>
          <w:tcPr>
            <w:tcW w:w="1003" w:type="pct"/>
            <w:tcBorders>
              <w:top w:val="single" w:sz="4" w:space="0" w:color="000000"/>
              <w:left w:val="nil"/>
              <w:bottom w:val="single" w:sz="4" w:space="0" w:color="000000"/>
              <w:right w:val="nil"/>
            </w:tcBorders>
            <w:shd w:val="clear" w:color="auto" w:fill="auto"/>
            <w:noWrap/>
            <w:vAlign w:val="bottom"/>
            <w:hideMark/>
          </w:tcPr>
          <w:p w14:paraId="6BAE4E03" w14:textId="77777777" w:rsidR="002C38BB" w:rsidRPr="00AD2821" w:rsidRDefault="002C38BB"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Domain 1</w:t>
            </w:r>
          </w:p>
        </w:tc>
        <w:tc>
          <w:tcPr>
            <w:tcW w:w="1117" w:type="pct"/>
            <w:tcBorders>
              <w:top w:val="single" w:sz="4" w:space="0" w:color="000000"/>
              <w:left w:val="nil"/>
              <w:bottom w:val="single" w:sz="4" w:space="0" w:color="000000"/>
              <w:right w:val="nil"/>
            </w:tcBorders>
            <w:shd w:val="clear" w:color="auto" w:fill="auto"/>
            <w:noWrap/>
            <w:vAlign w:val="bottom"/>
            <w:hideMark/>
          </w:tcPr>
          <w:p w14:paraId="18F3AF72" w14:textId="77777777" w:rsidR="002C38BB" w:rsidRPr="00AD2821" w:rsidRDefault="002C38BB"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Domain 2</w:t>
            </w:r>
          </w:p>
        </w:tc>
        <w:tc>
          <w:tcPr>
            <w:tcW w:w="1626" w:type="pct"/>
            <w:tcBorders>
              <w:top w:val="single" w:sz="4" w:space="0" w:color="000000"/>
              <w:left w:val="nil"/>
              <w:bottom w:val="single" w:sz="4" w:space="0" w:color="000000"/>
              <w:right w:val="nil"/>
            </w:tcBorders>
            <w:shd w:val="clear" w:color="auto" w:fill="auto"/>
            <w:noWrap/>
            <w:vAlign w:val="bottom"/>
            <w:hideMark/>
          </w:tcPr>
          <w:p w14:paraId="579E60AF" w14:textId="77777777" w:rsidR="002C38BB" w:rsidRPr="00AD2821" w:rsidRDefault="002C38BB"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Domain 3</w:t>
            </w:r>
          </w:p>
        </w:tc>
        <w:tc>
          <w:tcPr>
            <w:tcW w:w="1254" w:type="pct"/>
            <w:tcBorders>
              <w:top w:val="single" w:sz="4" w:space="0" w:color="000000"/>
              <w:left w:val="nil"/>
              <w:bottom w:val="single" w:sz="4" w:space="0" w:color="000000"/>
              <w:right w:val="nil"/>
            </w:tcBorders>
            <w:shd w:val="clear" w:color="auto" w:fill="auto"/>
            <w:noWrap/>
            <w:vAlign w:val="bottom"/>
            <w:hideMark/>
          </w:tcPr>
          <w:p w14:paraId="71F00338" w14:textId="77777777" w:rsidR="002C38BB" w:rsidRPr="00AD2821" w:rsidRDefault="002C38BB"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Domain 4</w:t>
            </w:r>
          </w:p>
        </w:tc>
      </w:tr>
      <w:tr w:rsidR="002C38BB" w:rsidRPr="00AD2821" w14:paraId="28D5258F" w14:textId="77777777" w:rsidTr="00D45F54">
        <w:trPr>
          <w:trHeight w:val="315"/>
        </w:trPr>
        <w:tc>
          <w:tcPr>
            <w:tcW w:w="1003" w:type="pct"/>
            <w:tcBorders>
              <w:top w:val="nil"/>
              <w:left w:val="nil"/>
              <w:bottom w:val="nil"/>
              <w:right w:val="nil"/>
            </w:tcBorders>
            <w:shd w:val="clear" w:color="D9D9D9" w:fill="D9D9D9"/>
            <w:noWrap/>
            <w:vAlign w:val="bottom"/>
            <w:hideMark/>
          </w:tcPr>
          <w:p w14:paraId="040F341C"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Adnan Alseidi (chair)</w:t>
            </w:r>
          </w:p>
        </w:tc>
        <w:tc>
          <w:tcPr>
            <w:tcW w:w="1117" w:type="pct"/>
            <w:tcBorders>
              <w:top w:val="nil"/>
              <w:left w:val="nil"/>
              <w:bottom w:val="nil"/>
              <w:right w:val="nil"/>
            </w:tcBorders>
            <w:shd w:val="clear" w:color="D9D9D9" w:fill="D9D9D9"/>
            <w:noWrap/>
            <w:vAlign w:val="bottom"/>
            <w:hideMark/>
          </w:tcPr>
          <w:p w14:paraId="564EC753"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Fernando Rottelar (chair)</w:t>
            </w:r>
          </w:p>
        </w:tc>
        <w:tc>
          <w:tcPr>
            <w:tcW w:w="1626" w:type="pct"/>
            <w:tcBorders>
              <w:top w:val="nil"/>
              <w:left w:val="nil"/>
              <w:bottom w:val="nil"/>
              <w:right w:val="nil"/>
            </w:tcBorders>
            <w:shd w:val="clear" w:color="D9D9D9" w:fill="D9D9D9"/>
            <w:noWrap/>
            <w:vAlign w:val="bottom"/>
            <w:hideMark/>
          </w:tcPr>
          <w:p w14:paraId="27419AFD"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Mathieu D'Hondt (chair)</w:t>
            </w:r>
          </w:p>
        </w:tc>
        <w:tc>
          <w:tcPr>
            <w:tcW w:w="1254" w:type="pct"/>
            <w:tcBorders>
              <w:top w:val="nil"/>
              <w:left w:val="nil"/>
              <w:bottom w:val="nil"/>
              <w:right w:val="nil"/>
            </w:tcBorders>
            <w:shd w:val="clear" w:color="D9D9D9" w:fill="D9D9D9"/>
            <w:noWrap/>
            <w:vAlign w:val="bottom"/>
            <w:hideMark/>
          </w:tcPr>
          <w:p w14:paraId="1AE39B9A" w14:textId="77777777" w:rsidR="002C38BB" w:rsidRPr="00AD2821" w:rsidRDefault="002C38BB" w:rsidP="00D45F54">
            <w:pPr>
              <w:rPr>
                <w:rFonts w:eastAsia="Times New Roman" w:cstheme="minorHAnsi"/>
                <w:color w:val="000000"/>
                <w:lang w:val="nl-NL" w:eastAsia="nl-NL"/>
              </w:rPr>
            </w:pPr>
            <w:r w:rsidRPr="00AD2821">
              <w:rPr>
                <w:rFonts w:eastAsia="Times New Roman" w:cstheme="minorHAnsi"/>
                <w:color w:val="000000"/>
                <w:lang w:val="nl-NL" w:eastAsia="nl-NL"/>
              </w:rPr>
              <w:t>Dr. Rutger-Jan Swijnenburg (chair)</w:t>
            </w:r>
          </w:p>
        </w:tc>
      </w:tr>
      <w:tr w:rsidR="002C38BB" w:rsidRPr="00AD2821" w14:paraId="7131D216" w14:textId="77777777" w:rsidTr="00D45F54">
        <w:trPr>
          <w:trHeight w:val="315"/>
        </w:trPr>
        <w:tc>
          <w:tcPr>
            <w:tcW w:w="1003" w:type="pct"/>
            <w:tcBorders>
              <w:top w:val="nil"/>
              <w:left w:val="nil"/>
              <w:bottom w:val="nil"/>
              <w:right w:val="nil"/>
            </w:tcBorders>
            <w:shd w:val="clear" w:color="auto" w:fill="auto"/>
            <w:noWrap/>
            <w:vAlign w:val="bottom"/>
            <w:hideMark/>
          </w:tcPr>
          <w:p w14:paraId="140EA4C9"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Ugo Boggi (chair)</w:t>
            </w:r>
          </w:p>
        </w:tc>
        <w:tc>
          <w:tcPr>
            <w:tcW w:w="1117" w:type="pct"/>
            <w:tcBorders>
              <w:top w:val="nil"/>
              <w:left w:val="nil"/>
              <w:bottom w:val="nil"/>
              <w:right w:val="nil"/>
            </w:tcBorders>
            <w:shd w:val="clear" w:color="auto" w:fill="auto"/>
            <w:noWrap/>
            <w:vAlign w:val="bottom"/>
            <w:hideMark/>
          </w:tcPr>
          <w:p w14:paraId="10D47196"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Iswanto Sucandy (chair)</w:t>
            </w:r>
          </w:p>
        </w:tc>
        <w:tc>
          <w:tcPr>
            <w:tcW w:w="1626" w:type="pct"/>
            <w:tcBorders>
              <w:top w:val="nil"/>
              <w:left w:val="nil"/>
              <w:bottom w:val="nil"/>
              <w:right w:val="nil"/>
            </w:tcBorders>
            <w:shd w:val="clear" w:color="auto" w:fill="auto"/>
            <w:noWrap/>
            <w:vAlign w:val="bottom"/>
            <w:hideMark/>
          </w:tcPr>
          <w:p w14:paraId="411654AB"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Ibrahim Dagher (chair)</w:t>
            </w:r>
          </w:p>
        </w:tc>
        <w:tc>
          <w:tcPr>
            <w:tcW w:w="1254" w:type="pct"/>
            <w:tcBorders>
              <w:top w:val="nil"/>
              <w:left w:val="nil"/>
              <w:bottom w:val="nil"/>
              <w:right w:val="nil"/>
            </w:tcBorders>
            <w:shd w:val="clear" w:color="auto" w:fill="auto"/>
            <w:noWrap/>
            <w:vAlign w:val="bottom"/>
            <w:hideMark/>
          </w:tcPr>
          <w:p w14:paraId="10BB0169"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Alessandro Ferrero (chair)</w:t>
            </w:r>
          </w:p>
        </w:tc>
      </w:tr>
      <w:tr w:rsidR="002C38BB" w:rsidRPr="00AD2821" w14:paraId="56428CA7" w14:textId="77777777" w:rsidTr="00D45F54">
        <w:trPr>
          <w:trHeight w:val="315"/>
        </w:trPr>
        <w:tc>
          <w:tcPr>
            <w:tcW w:w="1003" w:type="pct"/>
            <w:tcBorders>
              <w:top w:val="nil"/>
              <w:left w:val="nil"/>
              <w:bottom w:val="nil"/>
              <w:right w:val="nil"/>
            </w:tcBorders>
            <w:shd w:val="clear" w:color="D9D9D9" w:fill="D9D9D9"/>
            <w:noWrap/>
            <w:vAlign w:val="bottom"/>
            <w:hideMark/>
          </w:tcPr>
          <w:p w14:paraId="1F5597F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Ho-Seong Han</w:t>
            </w:r>
          </w:p>
        </w:tc>
        <w:tc>
          <w:tcPr>
            <w:tcW w:w="1117" w:type="pct"/>
            <w:tcBorders>
              <w:top w:val="nil"/>
              <w:left w:val="nil"/>
              <w:bottom w:val="nil"/>
              <w:right w:val="nil"/>
            </w:tcBorders>
            <w:shd w:val="clear" w:color="D9D9D9" w:fill="D9D9D9"/>
            <w:noWrap/>
            <w:vAlign w:val="bottom"/>
            <w:hideMark/>
          </w:tcPr>
          <w:p w14:paraId="31B4CAC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Go Wakabayashi</w:t>
            </w:r>
          </w:p>
        </w:tc>
        <w:tc>
          <w:tcPr>
            <w:tcW w:w="1626" w:type="pct"/>
            <w:tcBorders>
              <w:top w:val="nil"/>
              <w:left w:val="nil"/>
              <w:bottom w:val="nil"/>
              <w:right w:val="nil"/>
            </w:tcBorders>
            <w:shd w:val="clear" w:color="D9D9D9" w:fill="D9D9D9"/>
            <w:noWrap/>
            <w:vAlign w:val="bottom"/>
            <w:hideMark/>
          </w:tcPr>
          <w:p w14:paraId="7FD53160"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Constantino Fondevilla</w:t>
            </w:r>
          </w:p>
        </w:tc>
        <w:tc>
          <w:tcPr>
            <w:tcW w:w="1254" w:type="pct"/>
            <w:tcBorders>
              <w:top w:val="nil"/>
              <w:left w:val="nil"/>
              <w:bottom w:val="nil"/>
              <w:right w:val="nil"/>
            </w:tcBorders>
            <w:shd w:val="clear" w:color="D9D9D9" w:fill="D9D9D9"/>
            <w:noWrap/>
            <w:vAlign w:val="bottom"/>
            <w:hideMark/>
          </w:tcPr>
          <w:p w14:paraId="30D42956"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Fabrizio Di Benedetto</w:t>
            </w:r>
          </w:p>
        </w:tc>
      </w:tr>
      <w:tr w:rsidR="002C38BB" w:rsidRPr="00AD2821" w14:paraId="451AAF47" w14:textId="77777777" w:rsidTr="00D45F54">
        <w:trPr>
          <w:trHeight w:val="315"/>
        </w:trPr>
        <w:tc>
          <w:tcPr>
            <w:tcW w:w="1003" w:type="pct"/>
            <w:tcBorders>
              <w:top w:val="nil"/>
              <w:left w:val="nil"/>
              <w:bottom w:val="nil"/>
              <w:right w:val="nil"/>
            </w:tcBorders>
            <w:shd w:val="clear" w:color="auto" w:fill="auto"/>
            <w:noWrap/>
            <w:vAlign w:val="bottom"/>
            <w:hideMark/>
          </w:tcPr>
          <w:p w14:paraId="521AB64A"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Hendrik Marsman</w:t>
            </w:r>
          </w:p>
        </w:tc>
        <w:tc>
          <w:tcPr>
            <w:tcW w:w="1117" w:type="pct"/>
            <w:tcBorders>
              <w:top w:val="nil"/>
              <w:left w:val="nil"/>
              <w:bottom w:val="nil"/>
              <w:right w:val="nil"/>
            </w:tcBorders>
            <w:shd w:val="clear" w:color="auto" w:fill="auto"/>
            <w:noWrap/>
            <w:vAlign w:val="bottom"/>
            <w:hideMark/>
          </w:tcPr>
          <w:p w14:paraId="65D003A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Luca Aldrighetti</w:t>
            </w:r>
          </w:p>
        </w:tc>
        <w:tc>
          <w:tcPr>
            <w:tcW w:w="1626" w:type="pct"/>
            <w:tcBorders>
              <w:top w:val="nil"/>
              <w:left w:val="nil"/>
              <w:bottom w:val="nil"/>
              <w:right w:val="nil"/>
            </w:tcBorders>
            <w:shd w:val="clear" w:color="auto" w:fill="auto"/>
            <w:noWrap/>
            <w:vAlign w:val="bottom"/>
            <w:hideMark/>
          </w:tcPr>
          <w:p w14:paraId="78283404"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Krishna Menon</w:t>
            </w:r>
          </w:p>
        </w:tc>
        <w:tc>
          <w:tcPr>
            <w:tcW w:w="1254" w:type="pct"/>
            <w:tcBorders>
              <w:top w:val="nil"/>
              <w:left w:val="nil"/>
              <w:bottom w:val="nil"/>
              <w:right w:val="nil"/>
            </w:tcBorders>
            <w:shd w:val="clear" w:color="auto" w:fill="auto"/>
            <w:noWrap/>
            <w:vAlign w:val="bottom"/>
            <w:hideMark/>
          </w:tcPr>
          <w:p w14:paraId="3960794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Esteban Cugat</w:t>
            </w:r>
          </w:p>
        </w:tc>
      </w:tr>
      <w:tr w:rsidR="002C38BB" w:rsidRPr="00AD2821" w14:paraId="3A584757" w14:textId="77777777" w:rsidTr="00D45F54">
        <w:trPr>
          <w:trHeight w:val="315"/>
        </w:trPr>
        <w:tc>
          <w:tcPr>
            <w:tcW w:w="1003" w:type="pct"/>
            <w:tcBorders>
              <w:top w:val="nil"/>
              <w:left w:val="nil"/>
              <w:bottom w:val="nil"/>
              <w:right w:val="nil"/>
            </w:tcBorders>
            <w:shd w:val="clear" w:color="D9D9D9" w:fill="D9D9D9"/>
            <w:noWrap/>
            <w:vAlign w:val="bottom"/>
            <w:hideMark/>
          </w:tcPr>
          <w:p w14:paraId="2BC31FFE"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Santiago Lopez Ben</w:t>
            </w:r>
          </w:p>
        </w:tc>
        <w:tc>
          <w:tcPr>
            <w:tcW w:w="1117" w:type="pct"/>
            <w:tcBorders>
              <w:top w:val="nil"/>
              <w:left w:val="nil"/>
              <w:bottom w:val="nil"/>
              <w:right w:val="nil"/>
            </w:tcBorders>
            <w:shd w:val="clear" w:color="D9D9D9" w:fill="D9D9D9"/>
            <w:noWrap/>
            <w:vAlign w:val="bottom"/>
            <w:hideMark/>
          </w:tcPr>
          <w:p w14:paraId="77AF2E0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Mikhail Efanov</w:t>
            </w:r>
          </w:p>
        </w:tc>
        <w:tc>
          <w:tcPr>
            <w:tcW w:w="1626" w:type="pct"/>
            <w:tcBorders>
              <w:top w:val="nil"/>
              <w:left w:val="nil"/>
              <w:bottom w:val="nil"/>
              <w:right w:val="nil"/>
            </w:tcBorders>
            <w:shd w:val="clear" w:color="D9D9D9" w:fill="D9D9D9"/>
            <w:noWrap/>
            <w:vAlign w:val="bottom"/>
            <w:hideMark/>
          </w:tcPr>
          <w:p w14:paraId="168501A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Mikhail Efanov</w:t>
            </w:r>
          </w:p>
        </w:tc>
        <w:tc>
          <w:tcPr>
            <w:tcW w:w="1254" w:type="pct"/>
            <w:tcBorders>
              <w:top w:val="nil"/>
              <w:left w:val="nil"/>
              <w:bottom w:val="nil"/>
              <w:right w:val="nil"/>
            </w:tcBorders>
            <w:shd w:val="clear" w:color="D9D9D9" w:fill="D9D9D9"/>
            <w:noWrap/>
            <w:vAlign w:val="bottom"/>
            <w:hideMark/>
          </w:tcPr>
          <w:p w14:paraId="079D587C"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Steven White</w:t>
            </w:r>
          </w:p>
        </w:tc>
      </w:tr>
      <w:tr w:rsidR="002C38BB" w:rsidRPr="00AD2821" w14:paraId="4DDFE18B" w14:textId="77777777" w:rsidTr="00D45F54">
        <w:trPr>
          <w:trHeight w:val="315"/>
        </w:trPr>
        <w:tc>
          <w:tcPr>
            <w:tcW w:w="1003" w:type="pct"/>
            <w:tcBorders>
              <w:top w:val="nil"/>
              <w:left w:val="nil"/>
              <w:bottom w:val="nil"/>
              <w:right w:val="nil"/>
            </w:tcBorders>
            <w:shd w:val="clear" w:color="auto" w:fill="auto"/>
            <w:noWrap/>
            <w:vAlign w:val="bottom"/>
            <w:hideMark/>
          </w:tcPr>
          <w:p w14:paraId="67B5BA95"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Moritz Schmelzle</w:t>
            </w:r>
          </w:p>
        </w:tc>
        <w:tc>
          <w:tcPr>
            <w:tcW w:w="1117" w:type="pct"/>
            <w:tcBorders>
              <w:top w:val="nil"/>
              <w:left w:val="nil"/>
              <w:bottom w:val="nil"/>
              <w:right w:val="nil"/>
            </w:tcBorders>
            <w:shd w:val="clear" w:color="auto" w:fill="auto"/>
            <w:noWrap/>
            <w:vAlign w:val="bottom"/>
            <w:hideMark/>
          </w:tcPr>
          <w:p w14:paraId="41C3C823"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Peter Lodge</w:t>
            </w:r>
          </w:p>
        </w:tc>
        <w:tc>
          <w:tcPr>
            <w:tcW w:w="1626" w:type="pct"/>
            <w:tcBorders>
              <w:top w:val="nil"/>
              <w:left w:val="nil"/>
              <w:bottom w:val="nil"/>
              <w:right w:val="nil"/>
            </w:tcBorders>
            <w:shd w:val="clear" w:color="auto" w:fill="auto"/>
            <w:noWrap/>
            <w:vAlign w:val="bottom"/>
            <w:hideMark/>
          </w:tcPr>
          <w:p w14:paraId="0EE1B0AC"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Riccardo Robles-Campos</w:t>
            </w:r>
          </w:p>
        </w:tc>
        <w:tc>
          <w:tcPr>
            <w:tcW w:w="1254" w:type="pct"/>
            <w:tcBorders>
              <w:top w:val="nil"/>
              <w:left w:val="nil"/>
              <w:bottom w:val="nil"/>
              <w:right w:val="nil"/>
            </w:tcBorders>
            <w:shd w:val="clear" w:color="auto" w:fill="auto"/>
            <w:noWrap/>
            <w:vAlign w:val="bottom"/>
            <w:hideMark/>
          </w:tcPr>
          <w:p w14:paraId="034374AE"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Hani Alsaati</w:t>
            </w:r>
          </w:p>
        </w:tc>
      </w:tr>
      <w:tr w:rsidR="002C38BB" w:rsidRPr="00AD2821" w14:paraId="0D69C59C" w14:textId="77777777" w:rsidTr="00D45F54">
        <w:trPr>
          <w:trHeight w:val="315"/>
        </w:trPr>
        <w:tc>
          <w:tcPr>
            <w:tcW w:w="1003" w:type="pct"/>
            <w:tcBorders>
              <w:top w:val="nil"/>
              <w:left w:val="nil"/>
              <w:bottom w:val="nil"/>
              <w:right w:val="nil"/>
            </w:tcBorders>
            <w:shd w:val="clear" w:color="D9D9D9" w:fill="D9D9D9"/>
            <w:noWrap/>
            <w:vAlign w:val="bottom"/>
            <w:hideMark/>
          </w:tcPr>
          <w:p w14:paraId="20DC8364"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Alessandro Ferrero</w:t>
            </w:r>
          </w:p>
        </w:tc>
        <w:tc>
          <w:tcPr>
            <w:tcW w:w="1117" w:type="pct"/>
            <w:tcBorders>
              <w:top w:val="nil"/>
              <w:left w:val="nil"/>
              <w:bottom w:val="nil"/>
              <w:right w:val="nil"/>
            </w:tcBorders>
            <w:shd w:val="clear" w:color="D9D9D9" w:fill="D9D9D9"/>
            <w:noWrap/>
            <w:vAlign w:val="bottom"/>
            <w:hideMark/>
          </w:tcPr>
          <w:p w14:paraId="46A96167"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Umberto Cillo</w:t>
            </w:r>
          </w:p>
        </w:tc>
        <w:tc>
          <w:tcPr>
            <w:tcW w:w="1626" w:type="pct"/>
            <w:tcBorders>
              <w:top w:val="nil"/>
              <w:left w:val="nil"/>
              <w:bottom w:val="nil"/>
              <w:right w:val="nil"/>
            </w:tcBorders>
            <w:shd w:val="clear" w:color="D9D9D9" w:fill="D9D9D9"/>
            <w:noWrap/>
            <w:vAlign w:val="bottom"/>
            <w:hideMark/>
          </w:tcPr>
          <w:p w14:paraId="6B0A909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Giuseppe Ettorre</w:t>
            </w:r>
          </w:p>
        </w:tc>
        <w:tc>
          <w:tcPr>
            <w:tcW w:w="1254" w:type="pct"/>
            <w:tcBorders>
              <w:top w:val="nil"/>
              <w:left w:val="nil"/>
              <w:bottom w:val="nil"/>
              <w:right w:val="nil"/>
            </w:tcBorders>
            <w:shd w:val="clear" w:color="D9D9D9" w:fill="D9D9D9"/>
            <w:noWrap/>
            <w:vAlign w:val="bottom"/>
            <w:hideMark/>
          </w:tcPr>
          <w:p w14:paraId="0F5A11CE"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Roland Croner</w:t>
            </w:r>
          </w:p>
        </w:tc>
      </w:tr>
      <w:tr w:rsidR="002C38BB" w:rsidRPr="00AD2821" w14:paraId="0AAEC636" w14:textId="77777777" w:rsidTr="00D45F54">
        <w:trPr>
          <w:trHeight w:val="315"/>
        </w:trPr>
        <w:tc>
          <w:tcPr>
            <w:tcW w:w="1003" w:type="pct"/>
            <w:tcBorders>
              <w:top w:val="nil"/>
              <w:left w:val="nil"/>
              <w:bottom w:val="nil"/>
              <w:right w:val="nil"/>
            </w:tcBorders>
            <w:shd w:val="clear" w:color="auto" w:fill="auto"/>
            <w:noWrap/>
            <w:vAlign w:val="bottom"/>
            <w:hideMark/>
          </w:tcPr>
          <w:p w14:paraId="2DCEA6D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Federica Cipriani</w:t>
            </w:r>
          </w:p>
        </w:tc>
        <w:tc>
          <w:tcPr>
            <w:tcW w:w="1117" w:type="pct"/>
            <w:tcBorders>
              <w:top w:val="nil"/>
              <w:left w:val="nil"/>
              <w:bottom w:val="nil"/>
              <w:right w:val="nil"/>
            </w:tcBorders>
            <w:shd w:val="clear" w:color="auto" w:fill="auto"/>
            <w:noWrap/>
            <w:vAlign w:val="bottom"/>
            <w:hideMark/>
          </w:tcPr>
          <w:p w14:paraId="6BE49180"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Daniel Cherqui</w:t>
            </w:r>
          </w:p>
        </w:tc>
        <w:tc>
          <w:tcPr>
            <w:tcW w:w="1626" w:type="pct"/>
            <w:tcBorders>
              <w:top w:val="nil"/>
              <w:left w:val="nil"/>
              <w:bottom w:val="nil"/>
              <w:right w:val="nil"/>
            </w:tcBorders>
            <w:shd w:val="clear" w:color="auto" w:fill="auto"/>
            <w:noWrap/>
            <w:vAlign w:val="bottom"/>
            <w:hideMark/>
          </w:tcPr>
          <w:p w14:paraId="3AAEC93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Ruben Ciria</w:t>
            </w:r>
          </w:p>
        </w:tc>
        <w:tc>
          <w:tcPr>
            <w:tcW w:w="1254" w:type="pct"/>
            <w:tcBorders>
              <w:top w:val="nil"/>
              <w:left w:val="nil"/>
              <w:bottom w:val="nil"/>
              <w:right w:val="nil"/>
            </w:tcBorders>
            <w:shd w:val="clear" w:color="auto" w:fill="auto"/>
            <w:noWrap/>
            <w:vAlign w:val="bottom"/>
            <w:hideMark/>
          </w:tcPr>
          <w:p w14:paraId="5E695A0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Santiago Lopez Ben</w:t>
            </w:r>
          </w:p>
        </w:tc>
      </w:tr>
      <w:tr w:rsidR="002C38BB" w:rsidRPr="00AD2821" w14:paraId="61F4E72A" w14:textId="77777777" w:rsidTr="00D45F54">
        <w:trPr>
          <w:trHeight w:val="315"/>
        </w:trPr>
        <w:tc>
          <w:tcPr>
            <w:tcW w:w="1003" w:type="pct"/>
            <w:tcBorders>
              <w:top w:val="nil"/>
              <w:left w:val="nil"/>
              <w:bottom w:val="nil"/>
              <w:right w:val="nil"/>
            </w:tcBorders>
            <w:shd w:val="clear" w:color="D9D9D9" w:fill="D9D9D9"/>
            <w:noWrap/>
            <w:vAlign w:val="bottom"/>
            <w:hideMark/>
          </w:tcPr>
          <w:p w14:paraId="6DF6C40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Miriam Cortes</w:t>
            </w:r>
          </w:p>
        </w:tc>
        <w:tc>
          <w:tcPr>
            <w:tcW w:w="1117" w:type="pct"/>
            <w:tcBorders>
              <w:top w:val="nil"/>
              <w:left w:val="nil"/>
              <w:bottom w:val="nil"/>
              <w:right w:val="nil"/>
            </w:tcBorders>
            <w:shd w:val="clear" w:color="D9D9D9" w:fill="D9D9D9"/>
            <w:noWrap/>
            <w:vAlign w:val="bottom"/>
            <w:hideMark/>
          </w:tcPr>
          <w:p w14:paraId="2ECB4C83"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Giammauro Berardi</w:t>
            </w:r>
          </w:p>
        </w:tc>
        <w:tc>
          <w:tcPr>
            <w:tcW w:w="1626" w:type="pct"/>
            <w:tcBorders>
              <w:top w:val="nil"/>
              <w:left w:val="nil"/>
              <w:bottom w:val="nil"/>
              <w:right w:val="nil"/>
            </w:tcBorders>
            <w:shd w:val="clear" w:color="D9D9D9" w:fill="D9D9D9"/>
            <w:noWrap/>
            <w:vAlign w:val="bottom"/>
            <w:hideMark/>
          </w:tcPr>
          <w:p w14:paraId="4842FCC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Trish Duncan</w:t>
            </w:r>
          </w:p>
        </w:tc>
        <w:tc>
          <w:tcPr>
            <w:tcW w:w="1254" w:type="pct"/>
            <w:tcBorders>
              <w:top w:val="nil"/>
              <w:left w:val="nil"/>
              <w:bottom w:val="nil"/>
              <w:right w:val="nil"/>
            </w:tcBorders>
            <w:shd w:val="clear" w:color="D9D9D9" w:fill="D9D9D9"/>
            <w:noWrap/>
            <w:vAlign w:val="bottom"/>
            <w:hideMark/>
          </w:tcPr>
          <w:p w14:paraId="4CE756AC"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Andrea Ruzzenente</w:t>
            </w:r>
          </w:p>
        </w:tc>
      </w:tr>
      <w:tr w:rsidR="002C38BB" w:rsidRPr="00AD2821" w14:paraId="6EDF92CD" w14:textId="77777777" w:rsidTr="00D45F54">
        <w:trPr>
          <w:trHeight w:val="315"/>
        </w:trPr>
        <w:tc>
          <w:tcPr>
            <w:tcW w:w="1003" w:type="pct"/>
            <w:tcBorders>
              <w:top w:val="nil"/>
              <w:left w:val="nil"/>
              <w:bottom w:val="nil"/>
              <w:right w:val="nil"/>
            </w:tcBorders>
            <w:shd w:val="clear" w:color="auto" w:fill="auto"/>
            <w:noWrap/>
            <w:vAlign w:val="bottom"/>
            <w:hideMark/>
          </w:tcPr>
          <w:p w14:paraId="0B55189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Simone Famularo (lead)</w:t>
            </w:r>
          </w:p>
        </w:tc>
        <w:tc>
          <w:tcPr>
            <w:tcW w:w="1117" w:type="pct"/>
            <w:tcBorders>
              <w:top w:val="nil"/>
              <w:left w:val="nil"/>
              <w:bottom w:val="nil"/>
              <w:right w:val="nil"/>
            </w:tcBorders>
            <w:shd w:val="clear" w:color="auto" w:fill="auto"/>
            <w:noWrap/>
            <w:vAlign w:val="bottom"/>
            <w:hideMark/>
          </w:tcPr>
          <w:p w14:paraId="5A9C3224"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Francesca Ratti</w:t>
            </w:r>
          </w:p>
        </w:tc>
        <w:tc>
          <w:tcPr>
            <w:tcW w:w="1626" w:type="pct"/>
            <w:tcBorders>
              <w:top w:val="nil"/>
              <w:left w:val="nil"/>
              <w:bottom w:val="nil"/>
              <w:right w:val="nil"/>
            </w:tcBorders>
            <w:shd w:val="clear" w:color="auto" w:fill="auto"/>
            <w:noWrap/>
            <w:vAlign w:val="bottom"/>
            <w:hideMark/>
          </w:tcPr>
          <w:p w14:paraId="353C6326"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Felice Giuliante</w:t>
            </w:r>
          </w:p>
        </w:tc>
        <w:tc>
          <w:tcPr>
            <w:tcW w:w="1254" w:type="pct"/>
            <w:tcBorders>
              <w:top w:val="nil"/>
              <w:left w:val="nil"/>
              <w:bottom w:val="nil"/>
              <w:right w:val="nil"/>
            </w:tcBorders>
            <w:shd w:val="clear" w:color="auto" w:fill="auto"/>
            <w:noWrap/>
            <w:vAlign w:val="bottom"/>
            <w:hideMark/>
          </w:tcPr>
          <w:p w14:paraId="68B47B00"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Rafael Diaz-Nieto</w:t>
            </w:r>
          </w:p>
        </w:tc>
      </w:tr>
      <w:tr w:rsidR="002C38BB" w:rsidRPr="00AD2821" w14:paraId="645AA645" w14:textId="77777777" w:rsidTr="00D45F54">
        <w:trPr>
          <w:trHeight w:val="315"/>
        </w:trPr>
        <w:tc>
          <w:tcPr>
            <w:tcW w:w="1003" w:type="pct"/>
            <w:tcBorders>
              <w:top w:val="nil"/>
              <w:left w:val="nil"/>
              <w:bottom w:val="nil"/>
              <w:right w:val="nil"/>
            </w:tcBorders>
            <w:shd w:val="clear" w:color="D9D9D9" w:fill="D9D9D9"/>
            <w:noWrap/>
            <w:vAlign w:val="bottom"/>
            <w:hideMark/>
          </w:tcPr>
          <w:p w14:paraId="120FC095"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Sara Saidi</w:t>
            </w:r>
          </w:p>
        </w:tc>
        <w:tc>
          <w:tcPr>
            <w:tcW w:w="1117" w:type="pct"/>
            <w:tcBorders>
              <w:top w:val="nil"/>
              <w:left w:val="nil"/>
              <w:bottom w:val="nil"/>
              <w:right w:val="nil"/>
            </w:tcBorders>
            <w:shd w:val="clear" w:color="D9D9D9" w:fill="D9D9D9"/>
            <w:noWrap/>
            <w:vAlign w:val="bottom"/>
            <w:hideMark/>
          </w:tcPr>
          <w:p w14:paraId="015BBC3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Soufyan El Adel</w:t>
            </w:r>
          </w:p>
        </w:tc>
        <w:tc>
          <w:tcPr>
            <w:tcW w:w="1626" w:type="pct"/>
            <w:tcBorders>
              <w:top w:val="nil"/>
              <w:left w:val="nil"/>
              <w:bottom w:val="nil"/>
              <w:right w:val="nil"/>
            </w:tcBorders>
            <w:shd w:val="clear" w:color="D9D9D9" w:fill="D9D9D9"/>
            <w:noWrap/>
            <w:vAlign w:val="bottom"/>
            <w:hideMark/>
          </w:tcPr>
          <w:p w14:paraId="37506AA4"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Tijs Hoogteijling (lead)</w:t>
            </w:r>
          </w:p>
        </w:tc>
        <w:tc>
          <w:tcPr>
            <w:tcW w:w="1254" w:type="pct"/>
            <w:tcBorders>
              <w:top w:val="nil"/>
              <w:left w:val="nil"/>
              <w:bottom w:val="nil"/>
              <w:right w:val="nil"/>
            </w:tcBorders>
            <w:shd w:val="clear" w:color="D9D9D9" w:fill="D9D9D9"/>
            <w:noWrap/>
            <w:vAlign w:val="bottom"/>
            <w:hideMark/>
          </w:tcPr>
          <w:p w14:paraId="2317D53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Jasper Sijberden (lead)</w:t>
            </w:r>
          </w:p>
        </w:tc>
      </w:tr>
      <w:tr w:rsidR="002C38BB" w:rsidRPr="00AD2821" w14:paraId="310C6023" w14:textId="77777777" w:rsidTr="00D45F54">
        <w:trPr>
          <w:trHeight w:val="315"/>
        </w:trPr>
        <w:tc>
          <w:tcPr>
            <w:tcW w:w="1003" w:type="pct"/>
            <w:tcBorders>
              <w:top w:val="nil"/>
              <w:left w:val="nil"/>
              <w:bottom w:val="nil"/>
              <w:right w:val="nil"/>
            </w:tcBorders>
            <w:shd w:val="clear" w:color="auto" w:fill="auto"/>
            <w:noWrap/>
            <w:vAlign w:val="bottom"/>
            <w:hideMark/>
          </w:tcPr>
          <w:p w14:paraId="04A98D5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Victor Lopez-Lopez</w:t>
            </w:r>
          </w:p>
        </w:tc>
        <w:tc>
          <w:tcPr>
            <w:tcW w:w="1117" w:type="pct"/>
            <w:tcBorders>
              <w:top w:val="nil"/>
              <w:left w:val="nil"/>
              <w:bottom w:val="nil"/>
              <w:right w:val="nil"/>
            </w:tcBorders>
            <w:shd w:val="clear" w:color="auto" w:fill="auto"/>
            <w:noWrap/>
            <w:vAlign w:val="bottom"/>
            <w:hideMark/>
          </w:tcPr>
          <w:p w14:paraId="77A122FD"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Victor Lopez-Lopez (lead)</w:t>
            </w:r>
          </w:p>
        </w:tc>
        <w:tc>
          <w:tcPr>
            <w:tcW w:w="1626" w:type="pct"/>
            <w:tcBorders>
              <w:top w:val="nil"/>
              <w:left w:val="nil"/>
              <w:bottom w:val="nil"/>
              <w:right w:val="nil"/>
            </w:tcBorders>
            <w:shd w:val="clear" w:color="auto" w:fill="auto"/>
            <w:noWrap/>
            <w:vAlign w:val="bottom"/>
            <w:hideMark/>
          </w:tcPr>
          <w:p w14:paraId="7BC84DED"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Andrea Sheel</w:t>
            </w:r>
          </w:p>
        </w:tc>
        <w:tc>
          <w:tcPr>
            <w:tcW w:w="1254" w:type="pct"/>
            <w:tcBorders>
              <w:top w:val="nil"/>
              <w:left w:val="nil"/>
              <w:bottom w:val="nil"/>
              <w:right w:val="nil"/>
            </w:tcBorders>
            <w:shd w:val="clear" w:color="auto" w:fill="auto"/>
            <w:noWrap/>
            <w:vAlign w:val="bottom"/>
            <w:hideMark/>
          </w:tcPr>
          <w:p w14:paraId="4E626D6A"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Fernando Pardo Aranda</w:t>
            </w:r>
          </w:p>
        </w:tc>
      </w:tr>
      <w:tr w:rsidR="002C38BB" w:rsidRPr="00AD2821" w14:paraId="2977F6EE" w14:textId="77777777" w:rsidTr="00D45F54">
        <w:trPr>
          <w:trHeight w:val="315"/>
        </w:trPr>
        <w:tc>
          <w:tcPr>
            <w:tcW w:w="1003" w:type="pct"/>
            <w:tcBorders>
              <w:top w:val="nil"/>
              <w:left w:val="nil"/>
              <w:bottom w:val="nil"/>
              <w:right w:val="nil"/>
            </w:tcBorders>
            <w:shd w:val="clear" w:color="D9D9D9" w:fill="D9D9D9"/>
            <w:noWrap/>
            <w:vAlign w:val="bottom"/>
            <w:hideMark/>
          </w:tcPr>
          <w:p w14:paraId="42D0F66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Emre Bozkurt (co-lead)</w:t>
            </w:r>
          </w:p>
        </w:tc>
        <w:tc>
          <w:tcPr>
            <w:tcW w:w="1117" w:type="pct"/>
            <w:tcBorders>
              <w:top w:val="nil"/>
              <w:left w:val="nil"/>
              <w:bottom w:val="nil"/>
              <w:right w:val="nil"/>
            </w:tcBorders>
            <w:shd w:val="clear" w:color="D9D9D9" w:fill="D9D9D9"/>
            <w:noWrap/>
            <w:vAlign w:val="bottom"/>
            <w:hideMark/>
          </w:tcPr>
          <w:p w14:paraId="6588D50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Maria Conticchio</w:t>
            </w:r>
          </w:p>
        </w:tc>
        <w:tc>
          <w:tcPr>
            <w:tcW w:w="1626" w:type="pct"/>
            <w:tcBorders>
              <w:top w:val="nil"/>
              <w:left w:val="nil"/>
              <w:bottom w:val="nil"/>
              <w:right w:val="nil"/>
            </w:tcBorders>
            <w:shd w:val="clear" w:color="D9D9D9" w:fill="D9D9D9"/>
            <w:noWrap/>
            <w:vAlign w:val="bottom"/>
            <w:hideMark/>
          </w:tcPr>
          <w:p w14:paraId="4D608B89"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Fancesco Taliente</w:t>
            </w:r>
          </w:p>
        </w:tc>
        <w:tc>
          <w:tcPr>
            <w:tcW w:w="1254" w:type="pct"/>
            <w:tcBorders>
              <w:top w:val="nil"/>
              <w:left w:val="nil"/>
              <w:bottom w:val="nil"/>
              <w:right w:val="nil"/>
            </w:tcBorders>
            <w:shd w:val="clear" w:color="D9D9D9" w:fill="D9D9D9"/>
            <w:noWrap/>
            <w:vAlign w:val="bottom"/>
            <w:hideMark/>
          </w:tcPr>
          <w:p w14:paraId="0BD5F07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Roberta Angelico</w:t>
            </w:r>
          </w:p>
        </w:tc>
      </w:tr>
      <w:tr w:rsidR="002C38BB" w:rsidRPr="00AD2821" w14:paraId="086FD83B" w14:textId="77777777" w:rsidTr="00D45F54">
        <w:trPr>
          <w:trHeight w:val="315"/>
        </w:trPr>
        <w:tc>
          <w:tcPr>
            <w:tcW w:w="1003" w:type="pct"/>
            <w:tcBorders>
              <w:top w:val="nil"/>
              <w:left w:val="nil"/>
              <w:bottom w:val="nil"/>
              <w:right w:val="nil"/>
            </w:tcBorders>
            <w:shd w:val="clear" w:color="auto" w:fill="auto"/>
            <w:noWrap/>
            <w:vAlign w:val="bottom"/>
            <w:hideMark/>
          </w:tcPr>
          <w:p w14:paraId="7A48C42D"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Roberta Angelico</w:t>
            </w:r>
          </w:p>
        </w:tc>
        <w:tc>
          <w:tcPr>
            <w:tcW w:w="1117" w:type="pct"/>
            <w:tcBorders>
              <w:top w:val="nil"/>
              <w:left w:val="nil"/>
              <w:bottom w:val="nil"/>
              <w:right w:val="nil"/>
            </w:tcBorders>
            <w:shd w:val="clear" w:color="auto" w:fill="auto"/>
            <w:noWrap/>
            <w:vAlign w:val="bottom"/>
            <w:hideMark/>
          </w:tcPr>
          <w:p w14:paraId="549AE9A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Florian Primavesi</w:t>
            </w:r>
          </w:p>
        </w:tc>
        <w:tc>
          <w:tcPr>
            <w:tcW w:w="1626" w:type="pct"/>
            <w:tcBorders>
              <w:top w:val="nil"/>
              <w:left w:val="nil"/>
              <w:bottom w:val="nil"/>
              <w:right w:val="nil"/>
            </w:tcBorders>
            <w:shd w:val="clear" w:color="auto" w:fill="auto"/>
            <w:noWrap/>
            <w:vAlign w:val="bottom"/>
            <w:hideMark/>
          </w:tcPr>
          <w:p w14:paraId="5601CC49" w14:textId="77777777" w:rsidR="002C38BB" w:rsidRPr="00AD2821" w:rsidRDefault="002C38BB" w:rsidP="00D45F54">
            <w:pPr>
              <w:rPr>
                <w:rFonts w:eastAsia="Times New Roman" w:cstheme="minorHAnsi"/>
                <w:color w:val="000000"/>
                <w:lang w:eastAsia="nl-NL"/>
              </w:rPr>
            </w:pPr>
            <w:r w:rsidRPr="00AD2821">
              <w:rPr>
                <w:rFonts w:eastAsia="Times New Roman" w:cstheme="minorHAnsi"/>
                <w:color w:val="000000"/>
                <w:lang w:eastAsia="nl-NL"/>
              </w:rPr>
              <w:t>Dr. Andrea Benedetti Cacciaguerra (co-lead)</w:t>
            </w:r>
          </w:p>
        </w:tc>
        <w:tc>
          <w:tcPr>
            <w:tcW w:w="1254" w:type="pct"/>
            <w:tcBorders>
              <w:top w:val="nil"/>
              <w:left w:val="nil"/>
              <w:bottom w:val="nil"/>
              <w:right w:val="nil"/>
            </w:tcBorders>
            <w:shd w:val="clear" w:color="auto" w:fill="auto"/>
            <w:noWrap/>
            <w:vAlign w:val="bottom"/>
            <w:hideMark/>
          </w:tcPr>
          <w:p w14:paraId="1E06DD9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Christoph Kuemmerli (co-lead)</w:t>
            </w:r>
          </w:p>
        </w:tc>
      </w:tr>
      <w:tr w:rsidR="002C38BB" w:rsidRPr="00AD2821" w14:paraId="730034F9" w14:textId="77777777" w:rsidTr="00D45F54">
        <w:trPr>
          <w:trHeight w:val="315"/>
        </w:trPr>
        <w:tc>
          <w:tcPr>
            <w:tcW w:w="1003" w:type="pct"/>
            <w:tcBorders>
              <w:top w:val="nil"/>
              <w:left w:val="nil"/>
              <w:bottom w:val="nil"/>
              <w:right w:val="nil"/>
            </w:tcBorders>
            <w:shd w:val="clear" w:color="D9D9D9" w:fill="D9D9D9"/>
            <w:noWrap/>
            <w:vAlign w:val="bottom"/>
            <w:hideMark/>
          </w:tcPr>
          <w:p w14:paraId="45C6F1E7" w14:textId="77777777" w:rsidR="002C38BB" w:rsidRPr="00AD2821" w:rsidRDefault="002C38BB" w:rsidP="00D45F54">
            <w:pPr>
              <w:rPr>
                <w:rFonts w:eastAsia="Times New Roman" w:cstheme="minorHAnsi"/>
                <w:color w:val="000000"/>
                <w:lang w:val="en-GB" w:eastAsia="nl-NL"/>
              </w:rPr>
            </w:pPr>
          </w:p>
        </w:tc>
        <w:tc>
          <w:tcPr>
            <w:tcW w:w="1117" w:type="pct"/>
            <w:tcBorders>
              <w:top w:val="nil"/>
              <w:left w:val="nil"/>
              <w:bottom w:val="nil"/>
              <w:right w:val="nil"/>
            </w:tcBorders>
            <w:shd w:val="clear" w:color="D9D9D9" w:fill="D9D9D9"/>
            <w:noWrap/>
            <w:vAlign w:val="bottom"/>
            <w:hideMark/>
          </w:tcPr>
          <w:p w14:paraId="7C3AF3AC"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Elisa Bannone</w:t>
            </w:r>
          </w:p>
        </w:tc>
        <w:tc>
          <w:tcPr>
            <w:tcW w:w="1626" w:type="pct"/>
            <w:tcBorders>
              <w:top w:val="nil"/>
              <w:left w:val="nil"/>
              <w:bottom w:val="nil"/>
              <w:right w:val="nil"/>
            </w:tcBorders>
            <w:shd w:val="clear" w:color="D9D9D9" w:fill="D9D9D9"/>
            <w:noWrap/>
            <w:vAlign w:val="bottom"/>
            <w:hideMark/>
          </w:tcPr>
          <w:p w14:paraId="7CA2F5A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Simone Famularo (lead)</w:t>
            </w:r>
          </w:p>
        </w:tc>
        <w:tc>
          <w:tcPr>
            <w:tcW w:w="1254" w:type="pct"/>
            <w:tcBorders>
              <w:top w:val="nil"/>
              <w:left w:val="nil"/>
              <w:bottom w:val="nil"/>
              <w:right w:val="nil"/>
            </w:tcBorders>
            <w:shd w:val="clear" w:color="D9D9D9" w:fill="D9D9D9"/>
            <w:noWrap/>
            <w:vAlign w:val="bottom"/>
            <w:hideMark/>
          </w:tcPr>
          <w:p w14:paraId="12B63447"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Andrea Sheel</w:t>
            </w:r>
          </w:p>
        </w:tc>
      </w:tr>
      <w:tr w:rsidR="002C38BB" w:rsidRPr="00AD2821" w14:paraId="130A2C27" w14:textId="77777777" w:rsidTr="00D45F54">
        <w:trPr>
          <w:trHeight w:val="315"/>
        </w:trPr>
        <w:tc>
          <w:tcPr>
            <w:tcW w:w="1003" w:type="pct"/>
            <w:tcBorders>
              <w:top w:val="nil"/>
              <w:left w:val="nil"/>
              <w:bottom w:val="nil"/>
              <w:right w:val="nil"/>
            </w:tcBorders>
            <w:shd w:val="clear" w:color="auto" w:fill="auto"/>
            <w:noWrap/>
            <w:vAlign w:val="bottom"/>
            <w:hideMark/>
          </w:tcPr>
          <w:p w14:paraId="69FD2299" w14:textId="77777777" w:rsidR="002C38BB" w:rsidRPr="00AD2821" w:rsidRDefault="002C38BB" w:rsidP="00D45F54">
            <w:pPr>
              <w:rPr>
                <w:rFonts w:eastAsia="Times New Roman" w:cstheme="minorHAnsi"/>
                <w:color w:val="000000"/>
                <w:lang w:val="en-GB" w:eastAsia="nl-NL"/>
              </w:rPr>
            </w:pPr>
          </w:p>
        </w:tc>
        <w:tc>
          <w:tcPr>
            <w:tcW w:w="1117" w:type="pct"/>
            <w:tcBorders>
              <w:top w:val="nil"/>
              <w:left w:val="nil"/>
              <w:bottom w:val="nil"/>
              <w:right w:val="nil"/>
            </w:tcBorders>
            <w:shd w:val="clear" w:color="auto" w:fill="auto"/>
            <w:noWrap/>
            <w:vAlign w:val="bottom"/>
            <w:hideMark/>
          </w:tcPr>
          <w:p w14:paraId="2F254863" w14:textId="77777777" w:rsidR="002C38BB" w:rsidRPr="00AD2821" w:rsidRDefault="002C38BB" w:rsidP="00D45F54">
            <w:pPr>
              <w:rPr>
                <w:rFonts w:eastAsia="Times New Roman" w:cstheme="minorHAnsi"/>
                <w:lang w:val="en-GB" w:eastAsia="nl-NL"/>
              </w:rPr>
            </w:pPr>
          </w:p>
        </w:tc>
        <w:tc>
          <w:tcPr>
            <w:tcW w:w="1626" w:type="pct"/>
            <w:tcBorders>
              <w:top w:val="nil"/>
              <w:left w:val="nil"/>
              <w:bottom w:val="nil"/>
              <w:right w:val="nil"/>
            </w:tcBorders>
            <w:shd w:val="clear" w:color="auto" w:fill="auto"/>
            <w:noWrap/>
            <w:vAlign w:val="bottom"/>
            <w:hideMark/>
          </w:tcPr>
          <w:p w14:paraId="4456BAA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Martina Guerra</w:t>
            </w:r>
          </w:p>
        </w:tc>
        <w:tc>
          <w:tcPr>
            <w:tcW w:w="1254" w:type="pct"/>
            <w:tcBorders>
              <w:top w:val="nil"/>
              <w:left w:val="nil"/>
              <w:bottom w:val="nil"/>
              <w:right w:val="nil"/>
            </w:tcBorders>
            <w:shd w:val="clear" w:color="auto" w:fill="auto"/>
            <w:noWrap/>
            <w:vAlign w:val="bottom"/>
            <w:hideMark/>
          </w:tcPr>
          <w:p w14:paraId="4E439DD1" w14:textId="77777777" w:rsidR="002C38BB" w:rsidRPr="00AD2821" w:rsidRDefault="002C38BB" w:rsidP="00D45F54">
            <w:pPr>
              <w:rPr>
                <w:rFonts w:eastAsia="Times New Roman" w:cstheme="minorHAnsi"/>
                <w:color w:val="000000"/>
                <w:lang w:val="en-GB" w:eastAsia="nl-NL"/>
              </w:rPr>
            </w:pPr>
          </w:p>
        </w:tc>
      </w:tr>
      <w:tr w:rsidR="002C38BB" w:rsidRPr="00AD2821" w14:paraId="17D99017" w14:textId="77777777" w:rsidTr="00D45F54">
        <w:trPr>
          <w:trHeight w:val="315"/>
        </w:trPr>
        <w:tc>
          <w:tcPr>
            <w:tcW w:w="1003" w:type="pct"/>
            <w:tcBorders>
              <w:top w:val="nil"/>
              <w:left w:val="nil"/>
              <w:bottom w:val="single" w:sz="4" w:space="0" w:color="000000"/>
              <w:right w:val="nil"/>
            </w:tcBorders>
            <w:shd w:val="clear" w:color="D9D9D9" w:fill="D9D9D9"/>
            <w:noWrap/>
            <w:vAlign w:val="bottom"/>
            <w:hideMark/>
          </w:tcPr>
          <w:p w14:paraId="084C83C0" w14:textId="77777777" w:rsidR="002C38BB" w:rsidRPr="00AD2821" w:rsidRDefault="002C38BB" w:rsidP="00D45F54">
            <w:pPr>
              <w:rPr>
                <w:rFonts w:eastAsia="Times New Roman" w:cstheme="minorHAnsi"/>
                <w:lang w:val="en-GB" w:eastAsia="nl-NL"/>
              </w:rPr>
            </w:pPr>
          </w:p>
        </w:tc>
        <w:tc>
          <w:tcPr>
            <w:tcW w:w="1117" w:type="pct"/>
            <w:tcBorders>
              <w:top w:val="nil"/>
              <w:left w:val="nil"/>
              <w:bottom w:val="single" w:sz="4" w:space="0" w:color="000000"/>
              <w:right w:val="nil"/>
            </w:tcBorders>
            <w:shd w:val="clear" w:color="D9D9D9" w:fill="D9D9D9"/>
            <w:noWrap/>
            <w:vAlign w:val="bottom"/>
            <w:hideMark/>
          </w:tcPr>
          <w:p w14:paraId="7A671D56" w14:textId="77777777" w:rsidR="002C38BB" w:rsidRPr="00AD2821" w:rsidRDefault="002C38BB" w:rsidP="00D45F54">
            <w:pPr>
              <w:rPr>
                <w:rFonts w:eastAsia="Times New Roman" w:cstheme="minorHAnsi"/>
                <w:lang w:val="en-GB" w:eastAsia="nl-NL"/>
              </w:rPr>
            </w:pPr>
          </w:p>
        </w:tc>
        <w:tc>
          <w:tcPr>
            <w:tcW w:w="1626" w:type="pct"/>
            <w:tcBorders>
              <w:top w:val="nil"/>
              <w:left w:val="nil"/>
              <w:bottom w:val="single" w:sz="4" w:space="0" w:color="000000"/>
              <w:right w:val="nil"/>
            </w:tcBorders>
            <w:shd w:val="clear" w:color="D9D9D9" w:fill="D9D9D9"/>
            <w:noWrap/>
            <w:vAlign w:val="bottom"/>
            <w:hideMark/>
          </w:tcPr>
          <w:p w14:paraId="60DD5C1C" w14:textId="77777777" w:rsidR="002C38BB" w:rsidRPr="00AD2821" w:rsidRDefault="002C38BB" w:rsidP="00D45F54">
            <w:pPr>
              <w:rPr>
                <w:rFonts w:eastAsia="Times New Roman" w:cstheme="minorHAnsi"/>
                <w:lang w:val="en-GB" w:eastAsia="nl-NL"/>
              </w:rPr>
            </w:pPr>
          </w:p>
        </w:tc>
        <w:tc>
          <w:tcPr>
            <w:tcW w:w="1254" w:type="pct"/>
            <w:tcBorders>
              <w:top w:val="nil"/>
              <w:left w:val="nil"/>
              <w:bottom w:val="single" w:sz="4" w:space="0" w:color="000000"/>
              <w:right w:val="nil"/>
            </w:tcBorders>
            <w:shd w:val="clear" w:color="D9D9D9" w:fill="D9D9D9"/>
            <w:noWrap/>
            <w:vAlign w:val="bottom"/>
            <w:hideMark/>
          </w:tcPr>
          <w:p w14:paraId="27237F5B" w14:textId="77777777" w:rsidR="002C38BB" w:rsidRPr="00AD2821" w:rsidRDefault="002C38BB" w:rsidP="00D45F54">
            <w:pPr>
              <w:rPr>
                <w:rFonts w:eastAsia="Times New Roman" w:cstheme="minorHAnsi"/>
                <w:lang w:val="en-GB" w:eastAsia="nl-NL"/>
              </w:rPr>
            </w:pPr>
          </w:p>
        </w:tc>
      </w:tr>
    </w:tbl>
    <w:p w14:paraId="10798784" w14:textId="77777777" w:rsidR="002C38BB" w:rsidRPr="00AD2821" w:rsidRDefault="002C38BB" w:rsidP="002C38BB">
      <w:pPr>
        <w:spacing w:after="160" w:line="278" w:lineRule="auto"/>
        <w:rPr>
          <w:rFonts w:eastAsia="Aptos" w:cstheme="minorHAnsi"/>
          <w:lang w:val="en-GB"/>
        </w:rPr>
      </w:pPr>
    </w:p>
    <w:tbl>
      <w:tblPr>
        <w:tblW w:w="5000" w:type="pct"/>
        <w:tblCellMar>
          <w:left w:w="70" w:type="dxa"/>
          <w:right w:w="70" w:type="dxa"/>
        </w:tblCellMar>
        <w:tblLook w:val="04A0" w:firstRow="1" w:lastRow="0" w:firstColumn="1" w:lastColumn="0" w:noHBand="0" w:noVBand="1"/>
      </w:tblPr>
      <w:tblGrid>
        <w:gridCol w:w="3005"/>
        <w:gridCol w:w="2313"/>
        <w:gridCol w:w="2048"/>
        <w:gridCol w:w="2086"/>
      </w:tblGrid>
      <w:tr w:rsidR="002C38BB" w:rsidRPr="00AD2821" w14:paraId="3A62251E" w14:textId="77777777" w:rsidTr="00D45F54">
        <w:trPr>
          <w:trHeight w:val="300"/>
        </w:trPr>
        <w:tc>
          <w:tcPr>
            <w:tcW w:w="1588" w:type="pct"/>
            <w:tcBorders>
              <w:top w:val="single" w:sz="4" w:space="0" w:color="000000"/>
              <w:left w:val="nil"/>
              <w:bottom w:val="single" w:sz="4" w:space="0" w:color="000000"/>
              <w:right w:val="nil"/>
            </w:tcBorders>
            <w:shd w:val="clear" w:color="auto" w:fill="auto"/>
            <w:noWrap/>
            <w:vAlign w:val="bottom"/>
            <w:hideMark/>
          </w:tcPr>
          <w:p w14:paraId="21509F88" w14:textId="77777777" w:rsidR="002C38BB" w:rsidRPr="00AD2821" w:rsidRDefault="002C38BB"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Domain 5</w:t>
            </w:r>
          </w:p>
        </w:tc>
        <w:tc>
          <w:tcPr>
            <w:tcW w:w="1224" w:type="pct"/>
            <w:tcBorders>
              <w:top w:val="single" w:sz="4" w:space="0" w:color="000000"/>
              <w:left w:val="nil"/>
              <w:bottom w:val="single" w:sz="4" w:space="0" w:color="000000"/>
              <w:right w:val="nil"/>
            </w:tcBorders>
            <w:shd w:val="clear" w:color="auto" w:fill="auto"/>
            <w:noWrap/>
            <w:vAlign w:val="bottom"/>
            <w:hideMark/>
          </w:tcPr>
          <w:p w14:paraId="2D04F04F" w14:textId="77777777" w:rsidR="002C38BB" w:rsidRPr="00AD2821" w:rsidRDefault="002C38BB"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Domain 6</w:t>
            </w:r>
          </w:p>
        </w:tc>
        <w:tc>
          <w:tcPr>
            <w:tcW w:w="1084" w:type="pct"/>
            <w:tcBorders>
              <w:top w:val="single" w:sz="4" w:space="0" w:color="000000"/>
              <w:left w:val="nil"/>
              <w:bottom w:val="single" w:sz="4" w:space="0" w:color="000000"/>
              <w:right w:val="nil"/>
            </w:tcBorders>
            <w:shd w:val="clear" w:color="auto" w:fill="auto"/>
            <w:noWrap/>
            <w:vAlign w:val="bottom"/>
            <w:hideMark/>
          </w:tcPr>
          <w:p w14:paraId="3183E09D" w14:textId="77777777" w:rsidR="002C38BB" w:rsidRPr="00AD2821" w:rsidRDefault="002C38BB"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Domain 7</w:t>
            </w:r>
          </w:p>
        </w:tc>
        <w:tc>
          <w:tcPr>
            <w:tcW w:w="1104" w:type="pct"/>
            <w:tcBorders>
              <w:top w:val="single" w:sz="4" w:space="0" w:color="000000"/>
              <w:left w:val="nil"/>
              <w:bottom w:val="single" w:sz="4" w:space="0" w:color="000000"/>
              <w:right w:val="nil"/>
            </w:tcBorders>
            <w:shd w:val="clear" w:color="auto" w:fill="auto"/>
            <w:noWrap/>
            <w:vAlign w:val="bottom"/>
            <w:hideMark/>
          </w:tcPr>
          <w:p w14:paraId="2B4CBFAD" w14:textId="77777777" w:rsidR="002C38BB" w:rsidRPr="00AD2821" w:rsidRDefault="002C38BB"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Domain 8</w:t>
            </w:r>
          </w:p>
        </w:tc>
      </w:tr>
      <w:tr w:rsidR="002C38BB" w:rsidRPr="00AD2821" w14:paraId="461BDBCD" w14:textId="77777777" w:rsidTr="00D45F54">
        <w:trPr>
          <w:trHeight w:val="315"/>
        </w:trPr>
        <w:tc>
          <w:tcPr>
            <w:tcW w:w="1588" w:type="pct"/>
            <w:tcBorders>
              <w:top w:val="nil"/>
              <w:left w:val="nil"/>
              <w:bottom w:val="nil"/>
              <w:right w:val="nil"/>
            </w:tcBorders>
            <w:shd w:val="clear" w:color="D9D9D9" w:fill="D9D9D9"/>
            <w:noWrap/>
            <w:vAlign w:val="bottom"/>
            <w:hideMark/>
          </w:tcPr>
          <w:p w14:paraId="6236BE7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Bjorn Edwin (chair)</w:t>
            </w:r>
          </w:p>
        </w:tc>
        <w:tc>
          <w:tcPr>
            <w:tcW w:w="1224" w:type="pct"/>
            <w:tcBorders>
              <w:top w:val="nil"/>
              <w:left w:val="nil"/>
              <w:bottom w:val="nil"/>
              <w:right w:val="nil"/>
            </w:tcBorders>
            <w:shd w:val="clear" w:color="D9D9D9" w:fill="D9D9D9"/>
            <w:noWrap/>
            <w:vAlign w:val="bottom"/>
            <w:hideMark/>
          </w:tcPr>
          <w:p w14:paraId="6936FCBB"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Hugo Marques (chair)</w:t>
            </w:r>
          </w:p>
        </w:tc>
        <w:tc>
          <w:tcPr>
            <w:tcW w:w="1084" w:type="pct"/>
            <w:tcBorders>
              <w:top w:val="nil"/>
              <w:left w:val="nil"/>
              <w:bottom w:val="nil"/>
              <w:right w:val="nil"/>
            </w:tcBorders>
            <w:shd w:val="clear" w:color="D9D9D9" w:fill="D9D9D9"/>
            <w:noWrap/>
            <w:vAlign w:val="bottom"/>
            <w:hideMark/>
          </w:tcPr>
          <w:p w14:paraId="7D8A6FAA"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Adnan Alseidi (chair)</w:t>
            </w:r>
          </w:p>
        </w:tc>
        <w:tc>
          <w:tcPr>
            <w:tcW w:w="1104" w:type="pct"/>
            <w:tcBorders>
              <w:top w:val="nil"/>
              <w:left w:val="nil"/>
              <w:bottom w:val="nil"/>
              <w:right w:val="nil"/>
            </w:tcBorders>
            <w:shd w:val="clear" w:color="D9D9D9" w:fill="D9D9D9"/>
            <w:noWrap/>
            <w:vAlign w:val="bottom"/>
            <w:hideMark/>
          </w:tcPr>
          <w:p w14:paraId="42EAD5E0"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Andrew Gumbs (chair)</w:t>
            </w:r>
          </w:p>
        </w:tc>
      </w:tr>
      <w:tr w:rsidR="002C38BB" w:rsidRPr="00AD2821" w14:paraId="4688C48A" w14:textId="77777777" w:rsidTr="00D45F54">
        <w:trPr>
          <w:trHeight w:val="315"/>
        </w:trPr>
        <w:tc>
          <w:tcPr>
            <w:tcW w:w="1588" w:type="pct"/>
            <w:tcBorders>
              <w:top w:val="nil"/>
              <w:left w:val="nil"/>
              <w:bottom w:val="nil"/>
              <w:right w:val="nil"/>
            </w:tcBorders>
            <w:shd w:val="clear" w:color="auto" w:fill="auto"/>
            <w:noWrap/>
            <w:vAlign w:val="bottom"/>
            <w:hideMark/>
          </w:tcPr>
          <w:p w14:paraId="35CC10C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Hendrik Marsman (chair)</w:t>
            </w:r>
          </w:p>
        </w:tc>
        <w:tc>
          <w:tcPr>
            <w:tcW w:w="1224" w:type="pct"/>
            <w:tcBorders>
              <w:top w:val="nil"/>
              <w:left w:val="nil"/>
              <w:bottom w:val="nil"/>
              <w:right w:val="nil"/>
            </w:tcBorders>
            <w:shd w:val="clear" w:color="auto" w:fill="auto"/>
            <w:noWrap/>
            <w:vAlign w:val="bottom"/>
            <w:hideMark/>
          </w:tcPr>
          <w:p w14:paraId="70AB8850"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Olivier Scatton (chair)</w:t>
            </w:r>
          </w:p>
        </w:tc>
        <w:tc>
          <w:tcPr>
            <w:tcW w:w="1084" w:type="pct"/>
            <w:tcBorders>
              <w:top w:val="nil"/>
              <w:left w:val="nil"/>
              <w:bottom w:val="nil"/>
              <w:right w:val="nil"/>
            </w:tcBorders>
            <w:shd w:val="clear" w:color="auto" w:fill="auto"/>
            <w:noWrap/>
            <w:vAlign w:val="bottom"/>
            <w:hideMark/>
          </w:tcPr>
          <w:p w14:paraId="7F995AD9"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Roberto Troisi (chair)</w:t>
            </w:r>
          </w:p>
        </w:tc>
        <w:tc>
          <w:tcPr>
            <w:tcW w:w="1104" w:type="pct"/>
            <w:tcBorders>
              <w:top w:val="nil"/>
              <w:left w:val="nil"/>
              <w:bottom w:val="nil"/>
              <w:right w:val="nil"/>
            </w:tcBorders>
            <w:shd w:val="clear" w:color="auto" w:fill="auto"/>
            <w:noWrap/>
            <w:vAlign w:val="bottom"/>
            <w:hideMark/>
          </w:tcPr>
          <w:p w14:paraId="393F255A"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Roland Croner (chair)</w:t>
            </w:r>
          </w:p>
        </w:tc>
      </w:tr>
      <w:tr w:rsidR="002C38BB" w:rsidRPr="00AD2821" w14:paraId="34A8D6A8" w14:textId="77777777" w:rsidTr="00D45F54">
        <w:trPr>
          <w:trHeight w:val="315"/>
        </w:trPr>
        <w:tc>
          <w:tcPr>
            <w:tcW w:w="1588" w:type="pct"/>
            <w:tcBorders>
              <w:top w:val="nil"/>
              <w:left w:val="nil"/>
              <w:bottom w:val="nil"/>
              <w:right w:val="nil"/>
            </w:tcBorders>
            <w:shd w:val="clear" w:color="D9D9D9" w:fill="D9D9D9"/>
            <w:noWrap/>
            <w:vAlign w:val="bottom"/>
            <w:hideMark/>
          </w:tcPr>
          <w:p w14:paraId="07E8A99E"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Asmund Fretland</w:t>
            </w:r>
          </w:p>
        </w:tc>
        <w:tc>
          <w:tcPr>
            <w:tcW w:w="1224" w:type="pct"/>
            <w:tcBorders>
              <w:top w:val="nil"/>
              <w:left w:val="nil"/>
              <w:bottom w:val="nil"/>
              <w:right w:val="nil"/>
            </w:tcBorders>
            <w:shd w:val="clear" w:color="D9D9D9" w:fill="D9D9D9"/>
            <w:noWrap/>
            <w:vAlign w:val="bottom"/>
            <w:hideMark/>
          </w:tcPr>
          <w:p w14:paraId="03BFD0D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Steven White</w:t>
            </w:r>
          </w:p>
        </w:tc>
        <w:tc>
          <w:tcPr>
            <w:tcW w:w="1084" w:type="pct"/>
            <w:tcBorders>
              <w:top w:val="nil"/>
              <w:left w:val="nil"/>
              <w:bottom w:val="nil"/>
              <w:right w:val="nil"/>
            </w:tcBorders>
            <w:shd w:val="clear" w:color="D9D9D9" w:fill="D9D9D9"/>
            <w:noWrap/>
            <w:vAlign w:val="bottom"/>
            <w:hideMark/>
          </w:tcPr>
          <w:p w14:paraId="70BAA12A"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Rutger-Jan Swijnenburg</w:t>
            </w:r>
          </w:p>
        </w:tc>
        <w:tc>
          <w:tcPr>
            <w:tcW w:w="1104" w:type="pct"/>
            <w:tcBorders>
              <w:top w:val="nil"/>
              <w:left w:val="nil"/>
              <w:bottom w:val="nil"/>
              <w:right w:val="nil"/>
            </w:tcBorders>
            <w:shd w:val="clear" w:color="D9D9D9" w:fill="D9D9D9"/>
            <w:noWrap/>
            <w:vAlign w:val="bottom"/>
            <w:hideMark/>
          </w:tcPr>
          <w:p w14:paraId="42C5ADC9"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Asmund Fretland</w:t>
            </w:r>
          </w:p>
        </w:tc>
      </w:tr>
      <w:tr w:rsidR="002C38BB" w:rsidRPr="00AD2821" w14:paraId="30DC87B1" w14:textId="77777777" w:rsidTr="00D45F54">
        <w:trPr>
          <w:trHeight w:val="315"/>
        </w:trPr>
        <w:tc>
          <w:tcPr>
            <w:tcW w:w="1588" w:type="pct"/>
            <w:tcBorders>
              <w:top w:val="nil"/>
              <w:left w:val="nil"/>
              <w:bottom w:val="nil"/>
              <w:right w:val="nil"/>
            </w:tcBorders>
            <w:shd w:val="clear" w:color="auto" w:fill="auto"/>
            <w:noWrap/>
            <w:vAlign w:val="bottom"/>
            <w:hideMark/>
          </w:tcPr>
          <w:p w14:paraId="4C3FAE5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Jeroen Hagendoorn</w:t>
            </w:r>
          </w:p>
        </w:tc>
        <w:tc>
          <w:tcPr>
            <w:tcW w:w="1224" w:type="pct"/>
            <w:tcBorders>
              <w:top w:val="nil"/>
              <w:left w:val="nil"/>
              <w:bottom w:val="nil"/>
              <w:right w:val="nil"/>
            </w:tcBorders>
            <w:shd w:val="clear" w:color="auto" w:fill="auto"/>
            <w:noWrap/>
            <w:vAlign w:val="bottom"/>
            <w:hideMark/>
          </w:tcPr>
          <w:p w14:paraId="420F379C"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Marco Vivarelli</w:t>
            </w:r>
          </w:p>
        </w:tc>
        <w:tc>
          <w:tcPr>
            <w:tcW w:w="1084" w:type="pct"/>
            <w:tcBorders>
              <w:top w:val="nil"/>
              <w:left w:val="nil"/>
              <w:bottom w:val="nil"/>
              <w:right w:val="nil"/>
            </w:tcBorders>
            <w:shd w:val="clear" w:color="auto" w:fill="auto"/>
            <w:noWrap/>
            <w:vAlign w:val="bottom"/>
            <w:hideMark/>
          </w:tcPr>
          <w:p w14:paraId="5CD541D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Mikhael Lesurtel</w:t>
            </w:r>
          </w:p>
        </w:tc>
        <w:tc>
          <w:tcPr>
            <w:tcW w:w="1104" w:type="pct"/>
            <w:tcBorders>
              <w:top w:val="nil"/>
              <w:left w:val="nil"/>
              <w:bottom w:val="nil"/>
              <w:right w:val="nil"/>
            </w:tcBorders>
            <w:shd w:val="clear" w:color="auto" w:fill="auto"/>
            <w:noWrap/>
            <w:vAlign w:val="bottom"/>
            <w:hideMark/>
          </w:tcPr>
          <w:p w14:paraId="7C4CFEEB"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Iswanto Sucandy</w:t>
            </w:r>
          </w:p>
        </w:tc>
      </w:tr>
      <w:tr w:rsidR="002C38BB" w:rsidRPr="00AD2821" w14:paraId="6DCD2133" w14:textId="77777777" w:rsidTr="00D45F54">
        <w:trPr>
          <w:trHeight w:val="315"/>
        </w:trPr>
        <w:tc>
          <w:tcPr>
            <w:tcW w:w="1588" w:type="pct"/>
            <w:tcBorders>
              <w:top w:val="nil"/>
              <w:left w:val="nil"/>
              <w:bottom w:val="nil"/>
              <w:right w:val="nil"/>
            </w:tcBorders>
            <w:shd w:val="clear" w:color="D9D9D9" w:fill="D9D9D9"/>
            <w:noWrap/>
            <w:vAlign w:val="bottom"/>
            <w:hideMark/>
          </w:tcPr>
          <w:p w14:paraId="174E50C5"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Robert Sutcliffe</w:t>
            </w:r>
          </w:p>
        </w:tc>
        <w:tc>
          <w:tcPr>
            <w:tcW w:w="1224" w:type="pct"/>
            <w:tcBorders>
              <w:top w:val="nil"/>
              <w:left w:val="nil"/>
              <w:bottom w:val="nil"/>
              <w:right w:val="nil"/>
            </w:tcBorders>
            <w:shd w:val="clear" w:color="D9D9D9" w:fill="D9D9D9"/>
            <w:noWrap/>
            <w:vAlign w:val="bottom"/>
            <w:hideMark/>
          </w:tcPr>
          <w:p w14:paraId="327D4346"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Mikhael Lesurtel</w:t>
            </w:r>
          </w:p>
        </w:tc>
        <w:tc>
          <w:tcPr>
            <w:tcW w:w="1084" w:type="pct"/>
            <w:tcBorders>
              <w:top w:val="nil"/>
              <w:left w:val="nil"/>
              <w:bottom w:val="nil"/>
              <w:right w:val="nil"/>
            </w:tcBorders>
            <w:shd w:val="clear" w:color="D9D9D9" w:fill="D9D9D9"/>
            <w:noWrap/>
            <w:vAlign w:val="bottom"/>
            <w:hideMark/>
          </w:tcPr>
          <w:p w14:paraId="0A8AA6A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Umberto Cillo</w:t>
            </w:r>
          </w:p>
        </w:tc>
        <w:tc>
          <w:tcPr>
            <w:tcW w:w="1104" w:type="pct"/>
            <w:tcBorders>
              <w:top w:val="nil"/>
              <w:left w:val="nil"/>
              <w:bottom w:val="nil"/>
              <w:right w:val="nil"/>
            </w:tcBorders>
            <w:shd w:val="clear" w:color="D9D9D9" w:fill="D9D9D9"/>
            <w:noWrap/>
            <w:vAlign w:val="bottom"/>
            <w:hideMark/>
          </w:tcPr>
          <w:p w14:paraId="04272BE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Niki Rashidian</w:t>
            </w:r>
          </w:p>
        </w:tc>
      </w:tr>
      <w:tr w:rsidR="002C38BB" w:rsidRPr="00AD2821" w14:paraId="3F37E835" w14:textId="77777777" w:rsidTr="00D45F54">
        <w:trPr>
          <w:trHeight w:val="315"/>
        </w:trPr>
        <w:tc>
          <w:tcPr>
            <w:tcW w:w="1588" w:type="pct"/>
            <w:tcBorders>
              <w:top w:val="nil"/>
              <w:left w:val="nil"/>
              <w:bottom w:val="nil"/>
              <w:right w:val="nil"/>
            </w:tcBorders>
            <w:shd w:val="clear" w:color="auto" w:fill="auto"/>
            <w:noWrap/>
            <w:vAlign w:val="bottom"/>
            <w:hideMark/>
          </w:tcPr>
          <w:p w14:paraId="717F9643"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Roberto Troisi</w:t>
            </w:r>
          </w:p>
        </w:tc>
        <w:tc>
          <w:tcPr>
            <w:tcW w:w="1224" w:type="pct"/>
            <w:tcBorders>
              <w:top w:val="nil"/>
              <w:left w:val="nil"/>
              <w:bottom w:val="nil"/>
              <w:right w:val="nil"/>
            </w:tcBorders>
            <w:shd w:val="clear" w:color="auto" w:fill="auto"/>
            <w:noWrap/>
            <w:vAlign w:val="bottom"/>
            <w:hideMark/>
          </w:tcPr>
          <w:p w14:paraId="46B4888B"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Catherine Teh</w:t>
            </w:r>
          </w:p>
        </w:tc>
        <w:tc>
          <w:tcPr>
            <w:tcW w:w="1084" w:type="pct"/>
            <w:tcBorders>
              <w:top w:val="nil"/>
              <w:left w:val="nil"/>
              <w:bottom w:val="nil"/>
              <w:right w:val="nil"/>
            </w:tcBorders>
            <w:shd w:val="clear" w:color="auto" w:fill="auto"/>
            <w:noWrap/>
            <w:vAlign w:val="bottom"/>
            <w:hideMark/>
          </w:tcPr>
          <w:p w14:paraId="16E70E3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Robert Sutcliffe</w:t>
            </w:r>
          </w:p>
        </w:tc>
        <w:tc>
          <w:tcPr>
            <w:tcW w:w="1104" w:type="pct"/>
            <w:tcBorders>
              <w:top w:val="nil"/>
              <w:left w:val="nil"/>
              <w:bottom w:val="nil"/>
              <w:right w:val="nil"/>
            </w:tcBorders>
            <w:shd w:val="clear" w:color="auto" w:fill="auto"/>
            <w:noWrap/>
            <w:vAlign w:val="bottom"/>
            <w:hideMark/>
          </w:tcPr>
          <w:p w14:paraId="391A40E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Bjorn Edwin</w:t>
            </w:r>
          </w:p>
        </w:tc>
      </w:tr>
      <w:tr w:rsidR="002C38BB" w:rsidRPr="00AD2821" w14:paraId="512C98C4" w14:textId="77777777" w:rsidTr="00D45F54">
        <w:trPr>
          <w:trHeight w:val="315"/>
        </w:trPr>
        <w:tc>
          <w:tcPr>
            <w:tcW w:w="1588" w:type="pct"/>
            <w:tcBorders>
              <w:top w:val="nil"/>
              <w:left w:val="nil"/>
              <w:bottom w:val="nil"/>
              <w:right w:val="nil"/>
            </w:tcBorders>
            <w:shd w:val="clear" w:color="D9D9D9" w:fill="D9D9D9"/>
            <w:noWrap/>
            <w:vAlign w:val="bottom"/>
            <w:hideMark/>
          </w:tcPr>
          <w:p w14:paraId="5ED4056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Julio Santoyo</w:t>
            </w:r>
          </w:p>
        </w:tc>
        <w:tc>
          <w:tcPr>
            <w:tcW w:w="1224" w:type="pct"/>
            <w:tcBorders>
              <w:top w:val="nil"/>
              <w:left w:val="nil"/>
              <w:bottom w:val="nil"/>
              <w:right w:val="nil"/>
            </w:tcBorders>
            <w:shd w:val="clear" w:color="D9D9D9" w:fill="D9D9D9"/>
            <w:noWrap/>
            <w:vAlign w:val="bottom"/>
            <w:hideMark/>
          </w:tcPr>
          <w:p w14:paraId="06DF4910"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Nadia Russolillo</w:t>
            </w:r>
          </w:p>
        </w:tc>
        <w:tc>
          <w:tcPr>
            <w:tcW w:w="1084" w:type="pct"/>
            <w:tcBorders>
              <w:top w:val="nil"/>
              <w:left w:val="nil"/>
              <w:bottom w:val="nil"/>
              <w:right w:val="nil"/>
            </w:tcBorders>
            <w:shd w:val="clear" w:color="D9D9D9" w:fill="D9D9D9"/>
            <w:noWrap/>
            <w:vAlign w:val="bottom"/>
            <w:hideMark/>
          </w:tcPr>
          <w:p w14:paraId="3F0290BA"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Federica Cipriani</w:t>
            </w:r>
          </w:p>
        </w:tc>
        <w:tc>
          <w:tcPr>
            <w:tcW w:w="1104" w:type="pct"/>
            <w:tcBorders>
              <w:top w:val="nil"/>
              <w:left w:val="nil"/>
              <w:bottom w:val="nil"/>
              <w:right w:val="nil"/>
            </w:tcBorders>
            <w:shd w:val="clear" w:color="D9D9D9" w:fill="D9D9D9"/>
            <w:noWrap/>
            <w:vAlign w:val="bottom"/>
            <w:hideMark/>
          </w:tcPr>
          <w:p w14:paraId="607705F6"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Emre Bozkurt (lead)</w:t>
            </w:r>
          </w:p>
        </w:tc>
      </w:tr>
      <w:tr w:rsidR="002C38BB" w:rsidRPr="00AD2821" w14:paraId="40EABC65" w14:textId="77777777" w:rsidTr="00D45F54">
        <w:trPr>
          <w:trHeight w:val="315"/>
        </w:trPr>
        <w:tc>
          <w:tcPr>
            <w:tcW w:w="1588" w:type="pct"/>
            <w:tcBorders>
              <w:top w:val="nil"/>
              <w:left w:val="nil"/>
              <w:bottom w:val="nil"/>
              <w:right w:val="nil"/>
            </w:tcBorders>
            <w:shd w:val="clear" w:color="auto" w:fill="auto"/>
            <w:noWrap/>
            <w:vAlign w:val="bottom"/>
            <w:hideMark/>
          </w:tcPr>
          <w:p w14:paraId="36ED6E5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Riccardo Memeo</w:t>
            </w:r>
          </w:p>
        </w:tc>
        <w:tc>
          <w:tcPr>
            <w:tcW w:w="1224" w:type="pct"/>
            <w:tcBorders>
              <w:top w:val="nil"/>
              <w:left w:val="nil"/>
              <w:bottom w:val="nil"/>
              <w:right w:val="nil"/>
            </w:tcBorders>
            <w:shd w:val="clear" w:color="auto" w:fill="auto"/>
            <w:noWrap/>
            <w:vAlign w:val="bottom"/>
            <w:hideMark/>
          </w:tcPr>
          <w:p w14:paraId="4DAF0953"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Christoph Kuemmerli (lead)</w:t>
            </w:r>
          </w:p>
        </w:tc>
        <w:tc>
          <w:tcPr>
            <w:tcW w:w="1084" w:type="pct"/>
            <w:tcBorders>
              <w:top w:val="nil"/>
              <w:left w:val="nil"/>
              <w:bottom w:val="nil"/>
              <w:right w:val="nil"/>
            </w:tcBorders>
            <w:shd w:val="clear" w:color="auto" w:fill="auto"/>
            <w:noWrap/>
            <w:vAlign w:val="bottom"/>
            <w:hideMark/>
          </w:tcPr>
          <w:p w14:paraId="4F05897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Niki Rashidian</w:t>
            </w:r>
          </w:p>
        </w:tc>
        <w:tc>
          <w:tcPr>
            <w:tcW w:w="1104" w:type="pct"/>
            <w:tcBorders>
              <w:top w:val="nil"/>
              <w:left w:val="nil"/>
              <w:bottom w:val="nil"/>
              <w:right w:val="nil"/>
            </w:tcBorders>
            <w:shd w:val="clear" w:color="auto" w:fill="auto"/>
            <w:noWrap/>
            <w:vAlign w:val="bottom"/>
            <w:hideMark/>
          </w:tcPr>
          <w:p w14:paraId="2276C184"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Niki Rashidian (co-lead)</w:t>
            </w:r>
          </w:p>
        </w:tc>
      </w:tr>
      <w:tr w:rsidR="002C38BB" w:rsidRPr="00AD2821" w14:paraId="06FD4DF0" w14:textId="77777777" w:rsidTr="00D45F54">
        <w:trPr>
          <w:trHeight w:val="315"/>
        </w:trPr>
        <w:tc>
          <w:tcPr>
            <w:tcW w:w="1588" w:type="pct"/>
            <w:tcBorders>
              <w:top w:val="nil"/>
              <w:left w:val="nil"/>
              <w:bottom w:val="nil"/>
              <w:right w:val="nil"/>
            </w:tcBorders>
            <w:shd w:val="clear" w:color="D9D9D9" w:fill="D9D9D9"/>
            <w:noWrap/>
            <w:vAlign w:val="bottom"/>
            <w:hideMark/>
          </w:tcPr>
          <w:p w14:paraId="084A478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Goro Honda</w:t>
            </w:r>
          </w:p>
        </w:tc>
        <w:tc>
          <w:tcPr>
            <w:tcW w:w="1224" w:type="pct"/>
            <w:tcBorders>
              <w:top w:val="nil"/>
              <w:left w:val="nil"/>
              <w:bottom w:val="nil"/>
              <w:right w:val="nil"/>
            </w:tcBorders>
            <w:shd w:val="clear" w:color="D9D9D9" w:fill="D9D9D9"/>
            <w:noWrap/>
            <w:vAlign w:val="bottom"/>
            <w:hideMark/>
          </w:tcPr>
          <w:p w14:paraId="24A7FCC3"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Jasper Sijberden (co-lead)</w:t>
            </w:r>
          </w:p>
        </w:tc>
        <w:tc>
          <w:tcPr>
            <w:tcW w:w="1084" w:type="pct"/>
            <w:tcBorders>
              <w:top w:val="nil"/>
              <w:left w:val="nil"/>
              <w:bottom w:val="nil"/>
              <w:right w:val="nil"/>
            </w:tcBorders>
            <w:shd w:val="clear" w:color="D9D9D9" w:fill="D9D9D9"/>
            <w:noWrap/>
            <w:vAlign w:val="bottom"/>
            <w:hideMark/>
          </w:tcPr>
          <w:p w14:paraId="5B988713"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Florian Primavesi (lead)</w:t>
            </w:r>
          </w:p>
        </w:tc>
        <w:tc>
          <w:tcPr>
            <w:tcW w:w="1104" w:type="pct"/>
            <w:tcBorders>
              <w:top w:val="nil"/>
              <w:left w:val="nil"/>
              <w:bottom w:val="nil"/>
              <w:right w:val="nil"/>
            </w:tcBorders>
            <w:shd w:val="clear" w:color="D9D9D9" w:fill="D9D9D9"/>
            <w:noWrap/>
            <w:vAlign w:val="bottom"/>
            <w:hideMark/>
          </w:tcPr>
          <w:p w14:paraId="0582D3A0"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Martina Guerra</w:t>
            </w:r>
          </w:p>
        </w:tc>
      </w:tr>
      <w:tr w:rsidR="002C38BB" w:rsidRPr="00AD2821" w14:paraId="4F231CE7" w14:textId="77777777" w:rsidTr="00D45F54">
        <w:trPr>
          <w:trHeight w:val="315"/>
        </w:trPr>
        <w:tc>
          <w:tcPr>
            <w:tcW w:w="1588" w:type="pct"/>
            <w:tcBorders>
              <w:top w:val="nil"/>
              <w:left w:val="nil"/>
              <w:bottom w:val="nil"/>
              <w:right w:val="nil"/>
            </w:tcBorders>
            <w:shd w:val="clear" w:color="auto" w:fill="auto"/>
            <w:noWrap/>
            <w:vAlign w:val="bottom"/>
            <w:hideMark/>
          </w:tcPr>
          <w:p w14:paraId="3EA3952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Mortiz Schmelzle</w:t>
            </w:r>
          </w:p>
        </w:tc>
        <w:tc>
          <w:tcPr>
            <w:tcW w:w="1224" w:type="pct"/>
            <w:tcBorders>
              <w:top w:val="nil"/>
              <w:left w:val="nil"/>
              <w:bottom w:val="nil"/>
              <w:right w:val="nil"/>
            </w:tcBorders>
            <w:shd w:val="clear" w:color="auto" w:fill="auto"/>
            <w:noWrap/>
            <w:vAlign w:val="bottom"/>
            <w:hideMark/>
          </w:tcPr>
          <w:p w14:paraId="249CDB85"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Soufyan El Adel</w:t>
            </w:r>
          </w:p>
        </w:tc>
        <w:tc>
          <w:tcPr>
            <w:tcW w:w="1084" w:type="pct"/>
            <w:tcBorders>
              <w:top w:val="nil"/>
              <w:left w:val="nil"/>
              <w:bottom w:val="nil"/>
              <w:right w:val="nil"/>
            </w:tcBorders>
            <w:shd w:val="clear" w:color="auto" w:fill="auto"/>
            <w:noWrap/>
            <w:vAlign w:val="bottom"/>
            <w:hideMark/>
          </w:tcPr>
          <w:p w14:paraId="309E5090"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Niki Rashidian (co-lead)</w:t>
            </w:r>
          </w:p>
        </w:tc>
        <w:tc>
          <w:tcPr>
            <w:tcW w:w="1104" w:type="pct"/>
            <w:tcBorders>
              <w:top w:val="nil"/>
              <w:left w:val="nil"/>
              <w:bottom w:val="nil"/>
              <w:right w:val="nil"/>
            </w:tcBorders>
            <w:shd w:val="clear" w:color="auto" w:fill="auto"/>
            <w:noWrap/>
            <w:vAlign w:val="bottom"/>
            <w:hideMark/>
          </w:tcPr>
          <w:p w14:paraId="44857695"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Elisa Bannone</w:t>
            </w:r>
          </w:p>
        </w:tc>
      </w:tr>
      <w:tr w:rsidR="002C38BB" w:rsidRPr="00AD2821" w14:paraId="6274FA32" w14:textId="77777777" w:rsidTr="00D45F54">
        <w:trPr>
          <w:trHeight w:val="315"/>
        </w:trPr>
        <w:tc>
          <w:tcPr>
            <w:tcW w:w="1588" w:type="pct"/>
            <w:tcBorders>
              <w:top w:val="nil"/>
              <w:left w:val="nil"/>
              <w:bottom w:val="nil"/>
              <w:right w:val="nil"/>
            </w:tcBorders>
            <w:shd w:val="clear" w:color="D9D9D9" w:fill="D9D9D9"/>
            <w:noWrap/>
            <w:vAlign w:val="bottom"/>
            <w:hideMark/>
          </w:tcPr>
          <w:p w14:paraId="11189D8B"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Ruben Ciria</w:t>
            </w:r>
          </w:p>
        </w:tc>
        <w:tc>
          <w:tcPr>
            <w:tcW w:w="1224" w:type="pct"/>
            <w:tcBorders>
              <w:top w:val="nil"/>
              <w:left w:val="nil"/>
              <w:bottom w:val="nil"/>
              <w:right w:val="nil"/>
            </w:tcBorders>
            <w:shd w:val="clear" w:color="D9D9D9" w:fill="D9D9D9"/>
            <w:noWrap/>
            <w:vAlign w:val="bottom"/>
            <w:hideMark/>
          </w:tcPr>
          <w:p w14:paraId="786085E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Fernando Pardo Aranda</w:t>
            </w:r>
          </w:p>
        </w:tc>
        <w:tc>
          <w:tcPr>
            <w:tcW w:w="1084" w:type="pct"/>
            <w:tcBorders>
              <w:top w:val="nil"/>
              <w:left w:val="nil"/>
              <w:bottom w:val="nil"/>
              <w:right w:val="nil"/>
            </w:tcBorders>
            <w:shd w:val="clear" w:color="D9D9D9" w:fill="D9D9D9"/>
            <w:noWrap/>
            <w:vAlign w:val="bottom"/>
            <w:hideMark/>
          </w:tcPr>
          <w:p w14:paraId="29FD0545" w14:textId="77777777" w:rsidR="002C38BB" w:rsidRPr="00AD2821" w:rsidRDefault="002C38BB" w:rsidP="00D45F54">
            <w:pPr>
              <w:rPr>
                <w:rFonts w:eastAsia="Times New Roman" w:cstheme="minorHAnsi"/>
                <w:color w:val="000000"/>
                <w:lang w:eastAsia="nl-NL"/>
              </w:rPr>
            </w:pPr>
            <w:r w:rsidRPr="00AD2821">
              <w:rPr>
                <w:rFonts w:eastAsia="Times New Roman" w:cstheme="minorHAnsi"/>
                <w:color w:val="000000"/>
                <w:lang w:eastAsia="nl-NL"/>
              </w:rPr>
              <w:t>Dr. Gabriela Pilz da Cunha</w:t>
            </w:r>
          </w:p>
        </w:tc>
        <w:tc>
          <w:tcPr>
            <w:tcW w:w="1104" w:type="pct"/>
            <w:tcBorders>
              <w:top w:val="nil"/>
              <w:left w:val="nil"/>
              <w:bottom w:val="nil"/>
              <w:right w:val="nil"/>
            </w:tcBorders>
            <w:shd w:val="clear" w:color="D9D9D9" w:fill="D9D9D9"/>
            <w:noWrap/>
            <w:vAlign w:val="bottom"/>
            <w:hideMark/>
          </w:tcPr>
          <w:p w14:paraId="6ABFFDB5"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Teodros Veronesi</w:t>
            </w:r>
          </w:p>
        </w:tc>
      </w:tr>
      <w:tr w:rsidR="002C38BB" w:rsidRPr="00AD2821" w14:paraId="0B1DAF41" w14:textId="77777777" w:rsidTr="00D45F54">
        <w:trPr>
          <w:trHeight w:val="315"/>
        </w:trPr>
        <w:tc>
          <w:tcPr>
            <w:tcW w:w="1588" w:type="pct"/>
            <w:tcBorders>
              <w:top w:val="nil"/>
              <w:left w:val="nil"/>
              <w:bottom w:val="nil"/>
              <w:right w:val="nil"/>
            </w:tcBorders>
            <w:shd w:val="clear" w:color="auto" w:fill="auto"/>
            <w:noWrap/>
            <w:vAlign w:val="bottom"/>
            <w:hideMark/>
          </w:tcPr>
          <w:p w14:paraId="3CAF2A27"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Olivia Sgarbura</w:t>
            </w:r>
          </w:p>
        </w:tc>
        <w:tc>
          <w:tcPr>
            <w:tcW w:w="1224" w:type="pct"/>
            <w:tcBorders>
              <w:top w:val="nil"/>
              <w:left w:val="nil"/>
              <w:bottom w:val="nil"/>
              <w:right w:val="nil"/>
            </w:tcBorders>
            <w:shd w:val="clear" w:color="auto" w:fill="auto"/>
            <w:noWrap/>
            <w:vAlign w:val="bottom"/>
            <w:hideMark/>
          </w:tcPr>
          <w:p w14:paraId="26F0F9C7"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Teodros Veronesi</w:t>
            </w:r>
          </w:p>
        </w:tc>
        <w:tc>
          <w:tcPr>
            <w:tcW w:w="1084" w:type="pct"/>
            <w:tcBorders>
              <w:top w:val="nil"/>
              <w:left w:val="nil"/>
              <w:bottom w:val="nil"/>
              <w:right w:val="nil"/>
            </w:tcBorders>
            <w:shd w:val="clear" w:color="auto" w:fill="auto"/>
            <w:noWrap/>
            <w:vAlign w:val="bottom"/>
            <w:hideMark/>
          </w:tcPr>
          <w:p w14:paraId="05AB187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Maria Conticchio</w:t>
            </w:r>
          </w:p>
        </w:tc>
        <w:tc>
          <w:tcPr>
            <w:tcW w:w="1104" w:type="pct"/>
            <w:tcBorders>
              <w:top w:val="nil"/>
              <w:left w:val="nil"/>
              <w:bottom w:val="nil"/>
              <w:right w:val="nil"/>
            </w:tcBorders>
            <w:shd w:val="clear" w:color="auto" w:fill="auto"/>
            <w:noWrap/>
            <w:vAlign w:val="bottom"/>
            <w:hideMark/>
          </w:tcPr>
          <w:p w14:paraId="0FD57607"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Sara Saidi</w:t>
            </w:r>
          </w:p>
        </w:tc>
      </w:tr>
      <w:tr w:rsidR="002C38BB" w:rsidRPr="00AD2821" w14:paraId="201EC7DC" w14:textId="77777777" w:rsidTr="00D45F54">
        <w:trPr>
          <w:trHeight w:val="315"/>
        </w:trPr>
        <w:tc>
          <w:tcPr>
            <w:tcW w:w="1588" w:type="pct"/>
            <w:tcBorders>
              <w:top w:val="nil"/>
              <w:left w:val="nil"/>
              <w:bottom w:val="nil"/>
              <w:right w:val="nil"/>
            </w:tcBorders>
            <w:shd w:val="clear" w:color="D9D9D9" w:fill="D9D9D9"/>
            <w:noWrap/>
            <w:vAlign w:val="bottom"/>
            <w:hideMark/>
          </w:tcPr>
          <w:p w14:paraId="0CD919BF" w14:textId="77777777" w:rsidR="002C38BB" w:rsidRPr="00AD2821" w:rsidRDefault="002C38BB" w:rsidP="00D45F54">
            <w:pPr>
              <w:rPr>
                <w:rFonts w:eastAsia="Times New Roman" w:cstheme="minorHAnsi"/>
                <w:color w:val="000000"/>
                <w:lang w:eastAsia="nl-NL"/>
              </w:rPr>
            </w:pPr>
            <w:r w:rsidRPr="00AD2821">
              <w:rPr>
                <w:rFonts w:eastAsia="Times New Roman" w:cstheme="minorHAnsi"/>
                <w:color w:val="000000"/>
                <w:lang w:eastAsia="nl-NL"/>
              </w:rPr>
              <w:t>Dr. Andrea Benedetti Cacciaguerra (lead)</w:t>
            </w:r>
          </w:p>
        </w:tc>
        <w:tc>
          <w:tcPr>
            <w:tcW w:w="1224" w:type="pct"/>
            <w:tcBorders>
              <w:top w:val="nil"/>
              <w:left w:val="nil"/>
              <w:bottom w:val="nil"/>
              <w:right w:val="nil"/>
            </w:tcBorders>
            <w:shd w:val="clear" w:color="D9D9D9" w:fill="D9D9D9"/>
            <w:noWrap/>
            <w:vAlign w:val="bottom"/>
            <w:hideMark/>
          </w:tcPr>
          <w:p w14:paraId="7FBD72A6" w14:textId="77777777" w:rsidR="002C38BB" w:rsidRPr="00AD2821" w:rsidRDefault="002C38BB" w:rsidP="00D45F54">
            <w:pPr>
              <w:rPr>
                <w:rFonts w:eastAsia="Times New Roman" w:cstheme="minorHAnsi"/>
                <w:color w:val="000000"/>
                <w:lang w:eastAsia="nl-NL"/>
              </w:rPr>
            </w:pPr>
          </w:p>
        </w:tc>
        <w:tc>
          <w:tcPr>
            <w:tcW w:w="1084" w:type="pct"/>
            <w:tcBorders>
              <w:top w:val="nil"/>
              <w:left w:val="nil"/>
              <w:bottom w:val="nil"/>
              <w:right w:val="nil"/>
            </w:tcBorders>
            <w:shd w:val="clear" w:color="D9D9D9" w:fill="D9D9D9"/>
            <w:noWrap/>
            <w:vAlign w:val="bottom"/>
            <w:hideMark/>
          </w:tcPr>
          <w:p w14:paraId="21E44856"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Francesco Sucameli</w:t>
            </w:r>
          </w:p>
        </w:tc>
        <w:tc>
          <w:tcPr>
            <w:tcW w:w="1104" w:type="pct"/>
            <w:tcBorders>
              <w:top w:val="nil"/>
              <w:left w:val="nil"/>
              <w:bottom w:val="nil"/>
              <w:right w:val="nil"/>
            </w:tcBorders>
            <w:shd w:val="clear" w:color="D9D9D9" w:fill="D9D9D9"/>
            <w:noWrap/>
            <w:vAlign w:val="bottom"/>
            <w:hideMark/>
          </w:tcPr>
          <w:p w14:paraId="4DB7D2CC" w14:textId="77777777" w:rsidR="002C38BB" w:rsidRPr="00AD2821" w:rsidRDefault="002C38BB" w:rsidP="00D45F54">
            <w:pPr>
              <w:rPr>
                <w:rFonts w:eastAsia="Times New Roman" w:cstheme="minorHAnsi"/>
                <w:color w:val="000000"/>
                <w:lang w:val="en-GB" w:eastAsia="nl-NL"/>
              </w:rPr>
            </w:pPr>
          </w:p>
        </w:tc>
      </w:tr>
      <w:tr w:rsidR="002C38BB" w:rsidRPr="00AD2821" w14:paraId="1D0B519C" w14:textId="77777777" w:rsidTr="00D45F54">
        <w:trPr>
          <w:trHeight w:val="315"/>
        </w:trPr>
        <w:tc>
          <w:tcPr>
            <w:tcW w:w="1588" w:type="pct"/>
            <w:tcBorders>
              <w:top w:val="nil"/>
              <w:left w:val="nil"/>
              <w:bottom w:val="nil"/>
              <w:right w:val="nil"/>
            </w:tcBorders>
            <w:shd w:val="clear" w:color="auto" w:fill="auto"/>
            <w:noWrap/>
            <w:vAlign w:val="bottom"/>
            <w:hideMark/>
          </w:tcPr>
          <w:p w14:paraId="57E5FE0A" w14:textId="77777777" w:rsidR="002C38BB" w:rsidRPr="00AD2821" w:rsidRDefault="002C38BB" w:rsidP="00D45F54">
            <w:pPr>
              <w:rPr>
                <w:rFonts w:eastAsia="Times New Roman" w:cstheme="minorHAnsi"/>
                <w:color w:val="000000"/>
                <w:lang w:eastAsia="nl-NL"/>
              </w:rPr>
            </w:pPr>
            <w:r w:rsidRPr="00AD2821">
              <w:rPr>
                <w:rFonts w:eastAsia="Times New Roman" w:cstheme="minorHAnsi"/>
                <w:color w:val="000000"/>
                <w:lang w:eastAsia="nl-NL"/>
              </w:rPr>
              <w:t>Dr. Gabriela Pilz da Cunha</w:t>
            </w:r>
          </w:p>
        </w:tc>
        <w:tc>
          <w:tcPr>
            <w:tcW w:w="1224" w:type="pct"/>
            <w:tcBorders>
              <w:top w:val="nil"/>
              <w:left w:val="nil"/>
              <w:bottom w:val="nil"/>
              <w:right w:val="nil"/>
            </w:tcBorders>
            <w:shd w:val="clear" w:color="auto" w:fill="auto"/>
            <w:noWrap/>
            <w:vAlign w:val="bottom"/>
            <w:hideMark/>
          </w:tcPr>
          <w:p w14:paraId="2D4FAB89" w14:textId="77777777" w:rsidR="002C38BB" w:rsidRPr="00AD2821" w:rsidRDefault="002C38BB" w:rsidP="00D45F54">
            <w:pPr>
              <w:rPr>
                <w:rFonts w:eastAsia="Times New Roman" w:cstheme="minorHAnsi"/>
                <w:color w:val="000000"/>
                <w:lang w:eastAsia="nl-NL"/>
              </w:rPr>
            </w:pPr>
          </w:p>
        </w:tc>
        <w:tc>
          <w:tcPr>
            <w:tcW w:w="1084" w:type="pct"/>
            <w:tcBorders>
              <w:top w:val="nil"/>
              <w:left w:val="nil"/>
              <w:bottom w:val="nil"/>
              <w:right w:val="nil"/>
            </w:tcBorders>
            <w:shd w:val="clear" w:color="auto" w:fill="auto"/>
            <w:noWrap/>
            <w:vAlign w:val="bottom"/>
            <w:hideMark/>
          </w:tcPr>
          <w:p w14:paraId="647481CE" w14:textId="77777777" w:rsidR="002C38BB" w:rsidRPr="00AD2821" w:rsidRDefault="002C38BB" w:rsidP="00D45F54">
            <w:pPr>
              <w:rPr>
                <w:rFonts w:eastAsia="Times New Roman" w:cstheme="minorHAnsi"/>
                <w:lang w:eastAsia="nl-NL"/>
              </w:rPr>
            </w:pPr>
          </w:p>
        </w:tc>
        <w:tc>
          <w:tcPr>
            <w:tcW w:w="1104" w:type="pct"/>
            <w:tcBorders>
              <w:top w:val="nil"/>
              <w:left w:val="nil"/>
              <w:bottom w:val="nil"/>
              <w:right w:val="nil"/>
            </w:tcBorders>
            <w:shd w:val="clear" w:color="auto" w:fill="auto"/>
            <w:noWrap/>
            <w:vAlign w:val="bottom"/>
            <w:hideMark/>
          </w:tcPr>
          <w:p w14:paraId="64A4B046" w14:textId="77777777" w:rsidR="002C38BB" w:rsidRPr="00AD2821" w:rsidRDefault="002C38BB" w:rsidP="00D45F54">
            <w:pPr>
              <w:rPr>
                <w:rFonts w:eastAsia="Times New Roman" w:cstheme="minorHAnsi"/>
                <w:lang w:eastAsia="nl-NL"/>
              </w:rPr>
            </w:pPr>
          </w:p>
        </w:tc>
      </w:tr>
      <w:tr w:rsidR="002C38BB" w:rsidRPr="00AD2821" w14:paraId="062F6CCB" w14:textId="77777777" w:rsidTr="00D45F54">
        <w:trPr>
          <w:trHeight w:val="315"/>
        </w:trPr>
        <w:tc>
          <w:tcPr>
            <w:tcW w:w="1588" w:type="pct"/>
            <w:tcBorders>
              <w:top w:val="nil"/>
              <w:left w:val="nil"/>
              <w:bottom w:val="nil"/>
              <w:right w:val="nil"/>
            </w:tcBorders>
            <w:shd w:val="clear" w:color="D9D9D9" w:fill="D9D9D9"/>
            <w:noWrap/>
            <w:vAlign w:val="bottom"/>
            <w:hideMark/>
          </w:tcPr>
          <w:p w14:paraId="5646A1E4"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Francesco Sucameli</w:t>
            </w:r>
          </w:p>
        </w:tc>
        <w:tc>
          <w:tcPr>
            <w:tcW w:w="1224" w:type="pct"/>
            <w:tcBorders>
              <w:top w:val="nil"/>
              <w:left w:val="nil"/>
              <w:bottom w:val="nil"/>
              <w:right w:val="nil"/>
            </w:tcBorders>
            <w:shd w:val="clear" w:color="D9D9D9" w:fill="D9D9D9"/>
            <w:noWrap/>
            <w:vAlign w:val="bottom"/>
            <w:hideMark/>
          </w:tcPr>
          <w:p w14:paraId="6EBD87F5" w14:textId="77777777" w:rsidR="002C38BB" w:rsidRPr="00AD2821" w:rsidRDefault="002C38BB" w:rsidP="00D45F54">
            <w:pPr>
              <w:rPr>
                <w:rFonts w:eastAsia="Times New Roman" w:cstheme="minorHAnsi"/>
                <w:color w:val="000000"/>
                <w:lang w:val="en-GB" w:eastAsia="nl-NL"/>
              </w:rPr>
            </w:pPr>
          </w:p>
        </w:tc>
        <w:tc>
          <w:tcPr>
            <w:tcW w:w="1084" w:type="pct"/>
            <w:tcBorders>
              <w:top w:val="nil"/>
              <w:left w:val="nil"/>
              <w:bottom w:val="nil"/>
              <w:right w:val="nil"/>
            </w:tcBorders>
            <w:shd w:val="clear" w:color="D9D9D9" w:fill="D9D9D9"/>
            <w:noWrap/>
            <w:vAlign w:val="bottom"/>
            <w:hideMark/>
          </w:tcPr>
          <w:p w14:paraId="7815C3ED" w14:textId="77777777" w:rsidR="002C38BB" w:rsidRPr="00AD2821" w:rsidRDefault="002C38BB" w:rsidP="00D45F54">
            <w:pPr>
              <w:rPr>
                <w:rFonts w:eastAsia="Times New Roman" w:cstheme="minorHAnsi"/>
                <w:lang w:val="en-GB" w:eastAsia="nl-NL"/>
              </w:rPr>
            </w:pPr>
          </w:p>
        </w:tc>
        <w:tc>
          <w:tcPr>
            <w:tcW w:w="1104" w:type="pct"/>
            <w:tcBorders>
              <w:top w:val="nil"/>
              <w:left w:val="nil"/>
              <w:bottom w:val="nil"/>
              <w:right w:val="nil"/>
            </w:tcBorders>
            <w:shd w:val="clear" w:color="D9D9D9" w:fill="D9D9D9"/>
            <w:noWrap/>
            <w:vAlign w:val="bottom"/>
            <w:hideMark/>
          </w:tcPr>
          <w:p w14:paraId="760A5A19" w14:textId="77777777" w:rsidR="002C38BB" w:rsidRPr="00AD2821" w:rsidRDefault="002C38BB" w:rsidP="00D45F54">
            <w:pPr>
              <w:rPr>
                <w:rFonts w:eastAsia="Times New Roman" w:cstheme="minorHAnsi"/>
                <w:lang w:val="en-GB" w:eastAsia="nl-NL"/>
              </w:rPr>
            </w:pPr>
          </w:p>
        </w:tc>
      </w:tr>
      <w:tr w:rsidR="002C38BB" w:rsidRPr="00AD2821" w14:paraId="05C09A93" w14:textId="77777777" w:rsidTr="00D45F54">
        <w:trPr>
          <w:trHeight w:val="315"/>
        </w:trPr>
        <w:tc>
          <w:tcPr>
            <w:tcW w:w="1588" w:type="pct"/>
            <w:tcBorders>
              <w:top w:val="nil"/>
              <w:left w:val="nil"/>
              <w:bottom w:val="nil"/>
              <w:right w:val="nil"/>
            </w:tcBorders>
            <w:shd w:val="clear" w:color="auto" w:fill="auto"/>
            <w:noWrap/>
            <w:vAlign w:val="bottom"/>
            <w:hideMark/>
          </w:tcPr>
          <w:p w14:paraId="646D5706"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Tijs Hoogteijling (co-lead)</w:t>
            </w:r>
          </w:p>
        </w:tc>
        <w:tc>
          <w:tcPr>
            <w:tcW w:w="1224" w:type="pct"/>
            <w:tcBorders>
              <w:top w:val="nil"/>
              <w:left w:val="nil"/>
              <w:bottom w:val="nil"/>
              <w:right w:val="nil"/>
            </w:tcBorders>
            <w:shd w:val="clear" w:color="auto" w:fill="auto"/>
            <w:noWrap/>
            <w:vAlign w:val="bottom"/>
            <w:hideMark/>
          </w:tcPr>
          <w:p w14:paraId="51B0729F" w14:textId="77777777" w:rsidR="002C38BB" w:rsidRPr="00AD2821" w:rsidRDefault="002C38BB" w:rsidP="00D45F54">
            <w:pPr>
              <w:rPr>
                <w:rFonts w:eastAsia="Times New Roman" w:cstheme="minorHAnsi"/>
                <w:color w:val="000000"/>
                <w:lang w:val="en-GB" w:eastAsia="nl-NL"/>
              </w:rPr>
            </w:pPr>
          </w:p>
        </w:tc>
        <w:tc>
          <w:tcPr>
            <w:tcW w:w="1084" w:type="pct"/>
            <w:tcBorders>
              <w:top w:val="nil"/>
              <w:left w:val="nil"/>
              <w:bottom w:val="nil"/>
              <w:right w:val="nil"/>
            </w:tcBorders>
            <w:shd w:val="clear" w:color="auto" w:fill="auto"/>
            <w:noWrap/>
            <w:vAlign w:val="bottom"/>
            <w:hideMark/>
          </w:tcPr>
          <w:p w14:paraId="792A17BF" w14:textId="77777777" w:rsidR="002C38BB" w:rsidRPr="00AD2821" w:rsidRDefault="002C38BB" w:rsidP="00D45F54">
            <w:pPr>
              <w:rPr>
                <w:rFonts w:eastAsia="Times New Roman" w:cstheme="minorHAnsi"/>
                <w:lang w:val="en-GB" w:eastAsia="nl-NL"/>
              </w:rPr>
            </w:pPr>
          </w:p>
        </w:tc>
        <w:tc>
          <w:tcPr>
            <w:tcW w:w="1104" w:type="pct"/>
            <w:tcBorders>
              <w:top w:val="nil"/>
              <w:left w:val="nil"/>
              <w:bottom w:val="nil"/>
              <w:right w:val="nil"/>
            </w:tcBorders>
            <w:shd w:val="clear" w:color="auto" w:fill="auto"/>
            <w:noWrap/>
            <w:vAlign w:val="bottom"/>
            <w:hideMark/>
          </w:tcPr>
          <w:p w14:paraId="5EDE005B" w14:textId="77777777" w:rsidR="002C38BB" w:rsidRPr="00AD2821" w:rsidRDefault="002C38BB" w:rsidP="00D45F54">
            <w:pPr>
              <w:rPr>
                <w:rFonts w:eastAsia="Times New Roman" w:cstheme="minorHAnsi"/>
                <w:lang w:val="en-GB" w:eastAsia="nl-NL"/>
              </w:rPr>
            </w:pPr>
          </w:p>
        </w:tc>
      </w:tr>
      <w:tr w:rsidR="002C38BB" w:rsidRPr="00AD2821" w14:paraId="54CBFCE2" w14:textId="77777777" w:rsidTr="00D45F54">
        <w:trPr>
          <w:trHeight w:val="315"/>
        </w:trPr>
        <w:tc>
          <w:tcPr>
            <w:tcW w:w="1588" w:type="pct"/>
            <w:tcBorders>
              <w:top w:val="nil"/>
              <w:left w:val="nil"/>
              <w:bottom w:val="single" w:sz="4" w:space="0" w:color="000000"/>
              <w:right w:val="nil"/>
            </w:tcBorders>
            <w:shd w:val="clear" w:color="D9D9D9" w:fill="D9D9D9"/>
            <w:noWrap/>
            <w:vAlign w:val="bottom"/>
            <w:hideMark/>
          </w:tcPr>
          <w:p w14:paraId="48F6A203"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Fancesco Taliente</w:t>
            </w:r>
          </w:p>
        </w:tc>
        <w:tc>
          <w:tcPr>
            <w:tcW w:w="1224" w:type="pct"/>
            <w:tcBorders>
              <w:top w:val="nil"/>
              <w:left w:val="nil"/>
              <w:bottom w:val="single" w:sz="4" w:space="0" w:color="000000"/>
              <w:right w:val="nil"/>
            </w:tcBorders>
            <w:shd w:val="clear" w:color="D9D9D9" w:fill="D9D9D9"/>
            <w:noWrap/>
            <w:vAlign w:val="bottom"/>
            <w:hideMark/>
          </w:tcPr>
          <w:p w14:paraId="38B2382A" w14:textId="77777777" w:rsidR="002C38BB" w:rsidRPr="00AD2821" w:rsidRDefault="002C38BB" w:rsidP="00D45F54">
            <w:pPr>
              <w:rPr>
                <w:rFonts w:eastAsia="Times New Roman" w:cstheme="minorHAnsi"/>
                <w:color w:val="000000"/>
                <w:lang w:val="en-GB" w:eastAsia="nl-NL"/>
              </w:rPr>
            </w:pPr>
          </w:p>
        </w:tc>
        <w:tc>
          <w:tcPr>
            <w:tcW w:w="1084" w:type="pct"/>
            <w:tcBorders>
              <w:top w:val="nil"/>
              <w:left w:val="nil"/>
              <w:bottom w:val="single" w:sz="4" w:space="0" w:color="000000"/>
              <w:right w:val="nil"/>
            </w:tcBorders>
            <w:shd w:val="clear" w:color="D9D9D9" w:fill="D9D9D9"/>
            <w:noWrap/>
            <w:vAlign w:val="bottom"/>
            <w:hideMark/>
          </w:tcPr>
          <w:p w14:paraId="28216C64" w14:textId="77777777" w:rsidR="002C38BB" w:rsidRPr="00AD2821" w:rsidRDefault="002C38BB" w:rsidP="00D45F54">
            <w:pPr>
              <w:rPr>
                <w:rFonts w:eastAsia="Times New Roman" w:cstheme="minorHAnsi"/>
                <w:lang w:val="en-GB" w:eastAsia="nl-NL"/>
              </w:rPr>
            </w:pPr>
          </w:p>
        </w:tc>
        <w:tc>
          <w:tcPr>
            <w:tcW w:w="1104" w:type="pct"/>
            <w:tcBorders>
              <w:top w:val="nil"/>
              <w:left w:val="nil"/>
              <w:bottom w:val="single" w:sz="4" w:space="0" w:color="000000"/>
              <w:right w:val="nil"/>
            </w:tcBorders>
            <w:shd w:val="clear" w:color="D9D9D9" w:fill="D9D9D9"/>
            <w:noWrap/>
            <w:vAlign w:val="bottom"/>
            <w:hideMark/>
          </w:tcPr>
          <w:p w14:paraId="2547F698" w14:textId="77777777" w:rsidR="002C38BB" w:rsidRPr="00AD2821" w:rsidRDefault="002C38BB" w:rsidP="00D45F54">
            <w:pPr>
              <w:rPr>
                <w:rFonts w:eastAsia="Times New Roman" w:cstheme="minorHAnsi"/>
                <w:lang w:val="en-GB" w:eastAsia="nl-NL"/>
              </w:rPr>
            </w:pPr>
          </w:p>
        </w:tc>
      </w:tr>
    </w:tbl>
    <w:p w14:paraId="30B157DF" w14:textId="77777777" w:rsidR="002C38BB" w:rsidRPr="00AD2821" w:rsidRDefault="002C38BB" w:rsidP="002C38BB">
      <w:pPr>
        <w:spacing w:after="160" w:line="278" w:lineRule="auto"/>
        <w:rPr>
          <w:rFonts w:eastAsia="Aptos" w:cstheme="minorHAnsi"/>
          <w:lang w:val="en-GB"/>
        </w:rPr>
      </w:pPr>
    </w:p>
    <w:tbl>
      <w:tblPr>
        <w:tblW w:w="0" w:type="auto"/>
        <w:tblCellMar>
          <w:left w:w="70" w:type="dxa"/>
          <w:right w:w="70" w:type="dxa"/>
        </w:tblCellMar>
        <w:tblLook w:val="04A0" w:firstRow="1" w:lastRow="0" w:firstColumn="1" w:lastColumn="0" w:noHBand="0" w:noVBand="1"/>
      </w:tblPr>
      <w:tblGrid>
        <w:gridCol w:w="2781"/>
      </w:tblGrid>
      <w:tr w:rsidR="002C38BB" w:rsidRPr="00AD2821" w14:paraId="6B24D903" w14:textId="77777777" w:rsidTr="00D45F54">
        <w:trPr>
          <w:trHeight w:val="315"/>
        </w:trPr>
        <w:tc>
          <w:tcPr>
            <w:tcW w:w="0" w:type="auto"/>
            <w:tcBorders>
              <w:top w:val="single" w:sz="4" w:space="0" w:color="000000"/>
              <w:left w:val="nil"/>
              <w:bottom w:val="single" w:sz="4" w:space="0" w:color="000000"/>
              <w:right w:val="nil"/>
            </w:tcBorders>
            <w:shd w:val="clear" w:color="auto" w:fill="auto"/>
            <w:noWrap/>
            <w:vAlign w:val="bottom"/>
            <w:hideMark/>
          </w:tcPr>
          <w:p w14:paraId="1E84E3D3" w14:textId="77777777" w:rsidR="002C38BB" w:rsidRPr="00AD2821" w:rsidRDefault="002C38BB"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Validation Committee</w:t>
            </w:r>
          </w:p>
        </w:tc>
      </w:tr>
      <w:tr w:rsidR="002C38BB" w:rsidRPr="00AD2821" w14:paraId="252285C2" w14:textId="77777777" w:rsidTr="00D45F54">
        <w:trPr>
          <w:trHeight w:val="315"/>
        </w:trPr>
        <w:tc>
          <w:tcPr>
            <w:tcW w:w="0" w:type="auto"/>
            <w:tcBorders>
              <w:top w:val="nil"/>
              <w:left w:val="nil"/>
              <w:bottom w:val="nil"/>
              <w:right w:val="nil"/>
            </w:tcBorders>
            <w:shd w:val="clear" w:color="D9D9D9" w:fill="D9D9D9"/>
            <w:noWrap/>
            <w:vAlign w:val="bottom"/>
            <w:hideMark/>
          </w:tcPr>
          <w:p w14:paraId="7FA62D3D"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Ajith Siriwardena</w:t>
            </w:r>
          </w:p>
        </w:tc>
      </w:tr>
      <w:tr w:rsidR="002C38BB" w:rsidRPr="00AD2821" w14:paraId="0CAAD786" w14:textId="77777777" w:rsidTr="00D45F54">
        <w:trPr>
          <w:trHeight w:val="315"/>
        </w:trPr>
        <w:tc>
          <w:tcPr>
            <w:tcW w:w="0" w:type="auto"/>
            <w:tcBorders>
              <w:top w:val="nil"/>
              <w:left w:val="nil"/>
              <w:bottom w:val="nil"/>
              <w:right w:val="nil"/>
            </w:tcBorders>
            <w:shd w:val="clear" w:color="auto" w:fill="auto"/>
            <w:noWrap/>
            <w:vAlign w:val="bottom"/>
            <w:hideMark/>
          </w:tcPr>
          <w:p w14:paraId="38721C0C" w14:textId="77777777" w:rsidR="002C38BB" w:rsidRPr="00AD2821" w:rsidRDefault="002C38BB" w:rsidP="00D45F54">
            <w:pPr>
              <w:rPr>
                <w:rFonts w:eastAsia="Times New Roman" w:cstheme="minorHAnsi"/>
                <w:color w:val="000000"/>
                <w:lang w:val="nl-NL" w:eastAsia="nl-NL"/>
              </w:rPr>
            </w:pPr>
            <w:r w:rsidRPr="00AD2821">
              <w:rPr>
                <w:rFonts w:eastAsia="Times New Roman" w:cstheme="minorHAnsi"/>
                <w:color w:val="000000"/>
                <w:lang w:val="nl-NL" w:eastAsia="nl-NL"/>
              </w:rPr>
              <w:t>Prof. M.G.H. Besselink</w:t>
            </w:r>
          </w:p>
        </w:tc>
      </w:tr>
      <w:tr w:rsidR="002C38BB" w:rsidRPr="00AD2821" w14:paraId="4DB79C27" w14:textId="77777777" w:rsidTr="00D45F54">
        <w:trPr>
          <w:trHeight w:val="315"/>
        </w:trPr>
        <w:tc>
          <w:tcPr>
            <w:tcW w:w="0" w:type="auto"/>
            <w:tcBorders>
              <w:top w:val="nil"/>
              <w:left w:val="nil"/>
              <w:bottom w:val="nil"/>
              <w:right w:val="nil"/>
            </w:tcBorders>
            <w:shd w:val="clear" w:color="D9D9D9" w:fill="D9D9D9"/>
            <w:noWrap/>
            <w:vAlign w:val="bottom"/>
            <w:hideMark/>
          </w:tcPr>
          <w:p w14:paraId="111AD705"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Christos Dervenis</w:t>
            </w:r>
          </w:p>
        </w:tc>
      </w:tr>
      <w:tr w:rsidR="002C38BB" w:rsidRPr="00AD2821" w14:paraId="30D82A89" w14:textId="77777777" w:rsidTr="00D45F54">
        <w:trPr>
          <w:trHeight w:val="315"/>
        </w:trPr>
        <w:tc>
          <w:tcPr>
            <w:tcW w:w="0" w:type="auto"/>
            <w:tcBorders>
              <w:top w:val="nil"/>
              <w:left w:val="nil"/>
              <w:bottom w:val="nil"/>
              <w:right w:val="nil"/>
            </w:tcBorders>
            <w:shd w:val="clear" w:color="auto" w:fill="auto"/>
            <w:noWrap/>
            <w:vAlign w:val="bottom"/>
            <w:hideMark/>
          </w:tcPr>
          <w:p w14:paraId="17EE6CFF"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Alejandro Serrablo</w:t>
            </w:r>
          </w:p>
        </w:tc>
      </w:tr>
      <w:tr w:rsidR="002C38BB" w:rsidRPr="00AD2821" w14:paraId="2E8B4A32" w14:textId="77777777" w:rsidTr="00D45F54">
        <w:trPr>
          <w:trHeight w:val="315"/>
        </w:trPr>
        <w:tc>
          <w:tcPr>
            <w:tcW w:w="0" w:type="auto"/>
            <w:tcBorders>
              <w:top w:val="nil"/>
              <w:left w:val="nil"/>
              <w:bottom w:val="nil"/>
              <w:right w:val="nil"/>
            </w:tcBorders>
            <w:shd w:val="clear" w:color="D9D9D9" w:fill="D9D9D9"/>
            <w:noWrap/>
            <w:vAlign w:val="bottom"/>
            <w:hideMark/>
          </w:tcPr>
          <w:p w14:paraId="6FE49093"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Mark Taylor</w:t>
            </w:r>
          </w:p>
        </w:tc>
      </w:tr>
      <w:tr w:rsidR="002C38BB" w:rsidRPr="00AD2821" w14:paraId="0952BA26" w14:textId="77777777" w:rsidTr="00D45F54">
        <w:trPr>
          <w:trHeight w:val="315"/>
        </w:trPr>
        <w:tc>
          <w:tcPr>
            <w:tcW w:w="0" w:type="auto"/>
            <w:tcBorders>
              <w:top w:val="nil"/>
              <w:left w:val="nil"/>
              <w:bottom w:val="nil"/>
              <w:right w:val="nil"/>
            </w:tcBorders>
            <w:shd w:val="clear" w:color="auto" w:fill="auto"/>
            <w:noWrap/>
            <w:vAlign w:val="bottom"/>
            <w:hideMark/>
          </w:tcPr>
          <w:p w14:paraId="30AA1E2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Brian Goh</w:t>
            </w:r>
          </w:p>
        </w:tc>
      </w:tr>
      <w:tr w:rsidR="002C38BB" w:rsidRPr="00AD2821" w14:paraId="56BF9A31" w14:textId="77777777" w:rsidTr="00D45F54">
        <w:trPr>
          <w:trHeight w:val="315"/>
        </w:trPr>
        <w:tc>
          <w:tcPr>
            <w:tcW w:w="0" w:type="auto"/>
            <w:tcBorders>
              <w:top w:val="nil"/>
              <w:left w:val="nil"/>
              <w:bottom w:val="nil"/>
              <w:right w:val="nil"/>
            </w:tcBorders>
            <w:shd w:val="clear" w:color="D9D9D9" w:fill="D9D9D9"/>
            <w:noWrap/>
            <w:vAlign w:val="bottom"/>
            <w:hideMark/>
          </w:tcPr>
          <w:p w14:paraId="45BBF555"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Horacio Asbun</w:t>
            </w:r>
          </w:p>
        </w:tc>
      </w:tr>
      <w:tr w:rsidR="002C38BB" w:rsidRPr="00AD2821" w14:paraId="66A12ABC" w14:textId="77777777" w:rsidTr="00D45F54">
        <w:trPr>
          <w:trHeight w:val="315"/>
        </w:trPr>
        <w:tc>
          <w:tcPr>
            <w:tcW w:w="0" w:type="auto"/>
            <w:tcBorders>
              <w:top w:val="nil"/>
              <w:left w:val="nil"/>
              <w:bottom w:val="nil"/>
              <w:right w:val="nil"/>
            </w:tcBorders>
            <w:shd w:val="clear" w:color="auto" w:fill="auto"/>
            <w:noWrap/>
            <w:vAlign w:val="bottom"/>
            <w:hideMark/>
          </w:tcPr>
          <w:p w14:paraId="0F8B1B40"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David Geller</w:t>
            </w:r>
          </w:p>
        </w:tc>
      </w:tr>
      <w:tr w:rsidR="002C38BB" w:rsidRPr="00AD2821" w14:paraId="7685F717" w14:textId="77777777" w:rsidTr="00D45F54">
        <w:trPr>
          <w:trHeight w:val="315"/>
        </w:trPr>
        <w:tc>
          <w:tcPr>
            <w:tcW w:w="0" w:type="auto"/>
            <w:tcBorders>
              <w:top w:val="nil"/>
              <w:left w:val="nil"/>
              <w:bottom w:val="nil"/>
              <w:right w:val="nil"/>
            </w:tcBorders>
            <w:shd w:val="clear" w:color="D9D9D9" w:fill="D9D9D9"/>
            <w:noWrap/>
            <w:vAlign w:val="bottom"/>
            <w:hideMark/>
          </w:tcPr>
          <w:p w14:paraId="4FF148E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Alfredo Guglielmi</w:t>
            </w:r>
          </w:p>
        </w:tc>
      </w:tr>
      <w:tr w:rsidR="002C38BB" w:rsidRPr="00AD2821" w14:paraId="20131E63" w14:textId="77777777" w:rsidTr="00D45F54">
        <w:trPr>
          <w:trHeight w:val="315"/>
        </w:trPr>
        <w:tc>
          <w:tcPr>
            <w:tcW w:w="0" w:type="auto"/>
            <w:tcBorders>
              <w:top w:val="nil"/>
              <w:left w:val="nil"/>
              <w:bottom w:val="nil"/>
              <w:right w:val="nil"/>
            </w:tcBorders>
            <w:shd w:val="clear" w:color="auto" w:fill="auto"/>
            <w:noWrap/>
            <w:vAlign w:val="bottom"/>
            <w:hideMark/>
          </w:tcPr>
          <w:p w14:paraId="0C652A44"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Luciano De Carlis</w:t>
            </w:r>
          </w:p>
        </w:tc>
      </w:tr>
      <w:tr w:rsidR="002C38BB" w:rsidRPr="00AD2821" w14:paraId="3DC4785D" w14:textId="77777777" w:rsidTr="00D45F54">
        <w:trPr>
          <w:trHeight w:val="315"/>
        </w:trPr>
        <w:tc>
          <w:tcPr>
            <w:tcW w:w="0" w:type="auto"/>
            <w:tcBorders>
              <w:top w:val="nil"/>
              <w:left w:val="nil"/>
              <w:bottom w:val="nil"/>
              <w:right w:val="nil"/>
            </w:tcBorders>
            <w:shd w:val="clear" w:color="D9D9D9" w:fill="D9D9D9"/>
            <w:noWrap/>
            <w:vAlign w:val="bottom"/>
            <w:hideMark/>
          </w:tcPr>
          <w:p w14:paraId="188191D6"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Prof. Sergio Alfieri</w:t>
            </w:r>
          </w:p>
        </w:tc>
      </w:tr>
      <w:tr w:rsidR="002C38BB" w:rsidRPr="00AD2821" w14:paraId="7FBB7DE0" w14:textId="77777777" w:rsidTr="00D45F54">
        <w:trPr>
          <w:trHeight w:val="315"/>
        </w:trPr>
        <w:tc>
          <w:tcPr>
            <w:tcW w:w="0" w:type="auto"/>
            <w:tcBorders>
              <w:top w:val="nil"/>
              <w:left w:val="nil"/>
              <w:bottom w:val="nil"/>
              <w:right w:val="nil"/>
            </w:tcBorders>
            <w:shd w:val="clear" w:color="auto" w:fill="auto"/>
            <w:noWrap/>
            <w:vAlign w:val="bottom"/>
            <w:hideMark/>
          </w:tcPr>
          <w:p w14:paraId="354A5569"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Elio Jovine</w:t>
            </w:r>
          </w:p>
        </w:tc>
      </w:tr>
      <w:tr w:rsidR="002C38BB" w:rsidRPr="00AD2821" w14:paraId="5A2F12D3" w14:textId="77777777" w:rsidTr="00D45F54">
        <w:trPr>
          <w:trHeight w:val="315"/>
        </w:trPr>
        <w:tc>
          <w:tcPr>
            <w:tcW w:w="0" w:type="auto"/>
            <w:tcBorders>
              <w:top w:val="nil"/>
              <w:left w:val="nil"/>
              <w:bottom w:val="nil"/>
              <w:right w:val="nil"/>
            </w:tcBorders>
            <w:shd w:val="clear" w:color="D9D9D9" w:fill="D9D9D9"/>
            <w:noWrap/>
            <w:vAlign w:val="bottom"/>
            <w:hideMark/>
          </w:tcPr>
          <w:p w14:paraId="56D8E75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Antonio Pinna</w:t>
            </w:r>
          </w:p>
        </w:tc>
      </w:tr>
      <w:tr w:rsidR="002C38BB" w:rsidRPr="00AD2821" w14:paraId="111A102A" w14:textId="77777777" w:rsidTr="00D45F54">
        <w:trPr>
          <w:trHeight w:val="315"/>
        </w:trPr>
        <w:tc>
          <w:tcPr>
            <w:tcW w:w="0" w:type="auto"/>
            <w:tcBorders>
              <w:top w:val="nil"/>
              <w:left w:val="nil"/>
              <w:bottom w:val="nil"/>
              <w:right w:val="nil"/>
            </w:tcBorders>
            <w:shd w:val="clear" w:color="auto" w:fill="auto"/>
            <w:noWrap/>
            <w:vAlign w:val="bottom"/>
            <w:hideMark/>
          </w:tcPr>
          <w:p w14:paraId="5AF200EB"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Chen Kiu-Hsin</w:t>
            </w:r>
          </w:p>
        </w:tc>
      </w:tr>
      <w:tr w:rsidR="002C38BB" w:rsidRPr="00AD2821" w14:paraId="5F7123CD" w14:textId="77777777" w:rsidTr="00D45F54">
        <w:trPr>
          <w:trHeight w:val="315"/>
        </w:trPr>
        <w:tc>
          <w:tcPr>
            <w:tcW w:w="0" w:type="auto"/>
            <w:tcBorders>
              <w:top w:val="nil"/>
              <w:left w:val="nil"/>
              <w:bottom w:val="nil"/>
              <w:right w:val="nil"/>
            </w:tcBorders>
            <w:shd w:val="clear" w:color="D9D9D9" w:fill="D9D9D9"/>
            <w:noWrap/>
            <w:vAlign w:val="bottom"/>
            <w:hideMark/>
          </w:tcPr>
          <w:p w14:paraId="2FEAD81A"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Nazzario Portolani</w:t>
            </w:r>
          </w:p>
        </w:tc>
      </w:tr>
      <w:tr w:rsidR="002C38BB" w:rsidRPr="00AD2821" w14:paraId="087D4E9F" w14:textId="77777777" w:rsidTr="00D45F54">
        <w:trPr>
          <w:trHeight w:val="315"/>
        </w:trPr>
        <w:tc>
          <w:tcPr>
            <w:tcW w:w="0" w:type="auto"/>
            <w:tcBorders>
              <w:top w:val="nil"/>
              <w:left w:val="nil"/>
              <w:bottom w:val="nil"/>
              <w:right w:val="nil"/>
            </w:tcBorders>
            <w:shd w:val="clear" w:color="auto" w:fill="auto"/>
            <w:noWrap/>
            <w:vAlign w:val="bottom"/>
            <w:hideMark/>
          </w:tcPr>
          <w:p w14:paraId="12775ED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Claudio Sallemi</w:t>
            </w:r>
          </w:p>
        </w:tc>
      </w:tr>
      <w:tr w:rsidR="002C38BB" w:rsidRPr="00AD2821" w14:paraId="4346145B" w14:textId="77777777" w:rsidTr="00D45F54">
        <w:trPr>
          <w:trHeight w:val="315"/>
        </w:trPr>
        <w:tc>
          <w:tcPr>
            <w:tcW w:w="0" w:type="auto"/>
            <w:tcBorders>
              <w:top w:val="nil"/>
              <w:left w:val="nil"/>
              <w:bottom w:val="nil"/>
              <w:right w:val="nil"/>
            </w:tcBorders>
            <w:shd w:val="clear" w:color="D9D9D9" w:fill="D9D9D9"/>
            <w:noWrap/>
            <w:vAlign w:val="bottom"/>
            <w:hideMark/>
          </w:tcPr>
          <w:p w14:paraId="4A3DE34E"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Gianluca Baiocchi</w:t>
            </w:r>
          </w:p>
        </w:tc>
      </w:tr>
      <w:tr w:rsidR="002C38BB" w:rsidRPr="00AD2821" w14:paraId="5EA69637" w14:textId="77777777" w:rsidTr="00D45F54">
        <w:trPr>
          <w:trHeight w:val="315"/>
        </w:trPr>
        <w:tc>
          <w:tcPr>
            <w:tcW w:w="0" w:type="auto"/>
            <w:tcBorders>
              <w:top w:val="nil"/>
              <w:left w:val="nil"/>
              <w:bottom w:val="nil"/>
              <w:right w:val="nil"/>
            </w:tcBorders>
            <w:shd w:val="clear" w:color="auto" w:fill="auto"/>
            <w:noWrap/>
            <w:vAlign w:val="bottom"/>
            <w:hideMark/>
          </w:tcPr>
          <w:p w14:paraId="7287CBE9"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Safi Dokmak</w:t>
            </w:r>
          </w:p>
        </w:tc>
      </w:tr>
      <w:tr w:rsidR="002C38BB" w:rsidRPr="00AD2821" w14:paraId="4BEE9DC5" w14:textId="77777777" w:rsidTr="00D45F54">
        <w:trPr>
          <w:trHeight w:val="315"/>
        </w:trPr>
        <w:tc>
          <w:tcPr>
            <w:tcW w:w="0" w:type="auto"/>
            <w:tcBorders>
              <w:top w:val="nil"/>
              <w:left w:val="nil"/>
              <w:bottom w:val="nil"/>
              <w:right w:val="nil"/>
            </w:tcBorders>
            <w:shd w:val="clear" w:color="D9D9D9" w:fill="D9D9D9"/>
            <w:noWrap/>
            <w:vAlign w:val="bottom"/>
            <w:hideMark/>
          </w:tcPr>
          <w:p w14:paraId="37DD9D77"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Sameer Smadi</w:t>
            </w:r>
          </w:p>
        </w:tc>
      </w:tr>
      <w:tr w:rsidR="002C38BB" w:rsidRPr="00AD2821" w14:paraId="2F0B2D63" w14:textId="77777777" w:rsidTr="00D45F54">
        <w:trPr>
          <w:trHeight w:val="315"/>
        </w:trPr>
        <w:tc>
          <w:tcPr>
            <w:tcW w:w="0" w:type="auto"/>
            <w:tcBorders>
              <w:top w:val="nil"/>
              <w:left w:val="nil"/>
              <w:bottom w:val="nil"/>
              <w:right w:val="nil"/>
            </w:tcBorders>
            <w:shd w:val="clear" w:color="auto" w:fill="auto"/>
            <w:noWrap/>
            <w:vAlign w:val="bottom"/>
            <w:hideMark/>
          </w:tcPr>
          <w:p w14:paraId="1C27699B"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Federico Mocchegiani</w:t>
            </w:r>
          </w:p>
        </w:tc>
      </w:tr>
      <w:tr w:rsidR="002C38BB" w:rsidRPr="00AD2821" w14:paraId="4F0088E0" w14:textId="77777777" w:rsidTr="00D45F54">
        <w:trPr>
          <w:trHeight w:val="315"/>
        </w:trPr>
        <w:tc>
          <w:tcPr>
            <w:tcW w:w="0" w:type="auto"/>
            <w:tcBorders>
              <w:top w:val="nil"/>
              <w:left w:val="nil"/>
              <w:bottom w:val="nil"/>
              <w:right w:val="nil"/>
            </w:tcBorders>
            <w:shd w:val="clear" w:color="D9D9D9" w:fill="D9D9D9"/>
            <w:noWrap/>
            <w:vAlign w:val="bottom"/>
            <w:hideMark/>
          </w:tcPr>
          <w:p w14:paraId="5AD8ECC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Fabio Ausania</w:t>
            </w:r>
          </w:p>
        </w:tc>
      </w:tr>
      <w:tr w:rsidR="002C38BB" w:rsidRPr="00AD2821" w14:paraId="43982BCA" w14:textId="77777777" w:rsidTr="00D45F54">
        <w:trPr>
          <w:trHeight w:val="315"/>
        </w:trPr>
        <w:tc>
          <w:tcPr>
            <w:tcW w:w="0" w:type="auto"/>
            <w:tcBorders>
              <w:top w:val="nil"/>
              <w:left w:val="nil"/>
              <w:bottom w:val="nil"/>
              <w:right w:val="nil"/>
            </w:tcBorders>
            <w:shd w:val="clear" w:color="auto" w:fill="auto"/>
            <w:noWrap/>
            <w:vAlign w:val="bottom"/>
            <w:hideMark/>
          </w:tcPr>
          <w:p w14:paraId="628FD982"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Kito Fusai</w:t>
            </w:r>
          </w:p>
        </w:tc>
      </w:tr>
      <w:tr w:rsidR="002C38BB" w:rsidRPr="00AD2821" w14:paraId="5F5EA4B5" w14:textId="77777777" w:rsidTr="00D45F54">
        <w:trPr>
          <w:trHeight w:val="315"/>
        </w:trPr>
        <w:tc>
          <w:tcPr>
            <w:tcW w:w="0" w:type="auto"/>
            <w:tcBorders>
              <w:top w:val="nil"/>
              <w:left w:val="nil"/>
              <w:bottom w:val="nil"/>
              <w:right w:val="nil"/>
            </w:tcBorders>
            <w:shd w:val="clear" w:color="D9D9D9" w:fill="D9D9D9"/>
            <w:noWrap/>
            <w:vAlign w:val="bottom"/>
            <w:hideMark/>
          </w:tcPr>
          <w:p w14:paraId="3FD4BCE0"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Amal Suhool</w:t>
            </w:r>
          </w:p>
        </w:tc>
      </w:tr>
      <w:tr w:rsidR="002C38BB" w:rsidRPr="00AD2821" w14:paraId="038ED711" w14:textId="77777777" w:rsidTr="00D45F54">
        <w:trPr>
          <w:trHeight w:val="315"/>
        </w:trPr>
        <w:tc>
          <w:tcPr>
            <w:tcW w:w="0" w:type="auto"/>
            <w:tcBorders>
              <w:top w:val="nil"/>
              <w:left w:val="nil"/>
              <w:bottom w:val="nil"/>
              <w:right w:val="nil"/>
            </w:tcBorders>
            <w:shd w:val="clear" w:color="auto" w:fill="auto"/>
            <w:noWrap/>
            <w:vAlign w:val="bottom"/>
            <w:hideMark/>
          </w:tcPr>
          <w:p w14:paraId="4CE18A9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Ravi Marudanayagam</w:t>
            </w:r>
          </w:p>
        </w:tc>
      </w:tr>
      <w:tr w:rsidR="002C38BB" w:rsidRPr="00AD2821" w14:paraId="5D8F3775" w14:textId="77777777" w:rsidTr="00D45F54">
        <w:trPr>
          <w:trHeight w:val="315"/>
        </w:trPr>
        <w:tc>
          <w:tcPr>
            <w:tcW w:w="0" w:type="auto"/>
            <w:tcBorders>
              <w:top w:val="nil"/>
              <w:left w:val="nil"/>
              <w:bottom w:val="nil"/>
              <w:right w:val="nil"/>
            </w:tcBorders>
            <w:shd w:val="clear" w:color="D9D9D9" w:fill="D9D9D9"/>
            <w:noWrap/>
            <w:vAlign w:val="bottom"/>
            <w:hideMark/>
          </w:tcPr>
          <w:p w14:paraId="19DD659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Antonella Delvecchio</w:t>
            </w:r>
          </w:p>
        </w:tc>
      </w:tr>
      <w:tr w:rsidR="002C38BB" w:rsidRPr="00AD2821" w14:paraId="337D3678" w14:textId="77777777" w:rsidTr="00D45F54">
        <w:trPr>
          <w:trHeight w:val="315"/>
        </w:trPr>
        <w:tc>
          <w:tcPr>
            <w:tcW w:w="0" w:type="auto"/>
            <w:tcBorders>
              <w:top w:val="nil"/>
              <w:left w:val="nil"/>
              <w:bottom w:val="nil"/>
              <w:right w:val="nil"/>
            </w:tcBorders>
            <w:shd w:val="clear" w:color="auto" w:fill="auto"/>
            <w:noWrap/>
            <w:vAlign w:val="bottom"/>
            <w:hideMark/>
          </w:tcPr>
          <w:p w14:paraId="5A4F690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Mr. Omar Saleh</w:t>
            </w:r>
          </w:p>
        </w:tc>
      </w:tr>
      <w:tr w:rsidR="002C38BB" w:rsidRPr="00AD2821" w14:paraId="2CAFADF4" w14:textId="77777777" w:rsidTr="00D45F54">
        <w:trPr>
          <w:trHeight w:val="315"/>
        </w:trPr>
        <w:tc>
          <w:tcPr>
            <w:tcW w:w="0" w:type="auto"/>
            <w:tcBorders>
              <w:top w:val="nil"/>
              <w:left w:val="nil"/>
              <w:bottom w:val="nil"/>
              <w:right w:val="nil"/>
            </w:tcBorders>
            <w:shd w:val="clear" w:color="D9D9D9" w:fill="D9D9D9"/>
            <w:noWrap/>
            <w:vAlign w:val="bottom"/>
            <w:hideMark/>
          </w:tcPr>
          <w:p w14:paraId="659F55E9"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Jawad Ahmad</w:t>
            </w:r>
          </w:p>
        </w:tc>
      </w:tr>
      <w:tr w:rsidR="002C38BB" w:rsidRPr="00AD2821" w14:paraId="2982C4E1" w14:textId="77777777" w:rsidTr="00D45F54">
        <w:trPr>
          <w:trHeight w:val="315"/>
        </w:trPr>
        <w:tc>
          <w:tcPr>
            <w:tcW w:w="0" w:type="auto"/>
            <w:tcBorders>
              <w:top w:val="nil"/>
              <w:left w:val="nil"/>
              <w:bottom w:val="nil"/>
              <w:right w:val="nil"/>
            </w:tcBorders>
            <w:shd w:val="clear" w:color="auto" w:fill="auto"/>
            <w:noWrap/>
            <w:vAlign w:val="bottom"/>
            <w:hideMark/>
          </w:tcPr>
          <w:p w14:paraId="6AB1291A"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Thomas van Gulik</w:t>
            </w:r>
          </w:p>
        </w:tc>
      </w:tr>
      <w:tr w:rsidR="002C38BB" w:rsidRPr="00AD2821" w14:paraId="41CE5DA1" w14:textId="77777777" w:rsidTr="00D45F54">
        <w:trPr>
          <w:trHeight w:val="315"/>
        </w:trPr>
        <w:tc>
          <w:tcPr>
            <w:tcW w:w="0" w:type="auto"/>
            <w:tcBorders>
              <w:top w:val="nil"/>
              <w:left w:val="nil"/>
              <w:bottom w:val="nil"/>
              <w:right w:val="nil"/>
            </w:tcBorders>
            <w:shd w:val="clear" w:color="D9D9D9" w:fill="D9D9D9"/>
            <w:noWrap/>
            <w:vAlign w:val="bottom"/>
            <w:hideMark/>
          </w:tcPr>
          <w:p w14:paraId="18C7BDF0"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Fabrizio Panaro</w:t>
            </w:r>
          </w:p>
        </w:tc>
      </w:tr>
      <w:tr w:rsidR="002C38BB" w:rsidRPr="00AD2821" w14:paraId="5D03C2CF" w14:textId="77777777" w:rsidTr="00D45F54">
        <w:trPr>
          <w:trHeight w:val="315"/>
        </w:trPr>
        <w:tc>
          <w:tcPr>
            <w:tcW w:w="0" w:type="auto"/>
            <w:tcBorders>
              <w:top w:val="nil"/>
              <w:left w:val="nil"/>
              <w:bottom w:val="nil"/>
              <w:right w:val="nil"/>
            </w:tcBorders>
            <w:shd w:val="clear" w:color="auto" w:fill="auto"/>
            <w:noWrap/>
            <w:vAlign w:val="bottom"/>
            <w:hideMark/>
          </w:tcPr>
          <w:p w14:paraId="24EAC13B"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Stefano Berti</w:t>
            </w:r>
          </w:p>
        </w:tc>
      </w:tr>
      <w:tr w:rsidR="002C38BB" w:rsidRPr="00AD2821" w14:paraId="093FE691" w14:textId="77777777" w:rsidTr="00D45F54">
        <w:trPr>
          <w:trHeight w:val="315"/>
        </w:trPr>
        <w:tc>
          <w:tcPr>
            <w:tcW w:w="0" w:type="auto"/>
            <w:tcBorders>
              <w:top w:val="nil"/>
              <w:left w:val="nil"/>
              <w:bottom w:val="nil"/>
              <w:right w:val="nil"/>
            </w:tcBorders>
            <w:shd w:val="clear" w:color="D9D9D9" w:fill="D9D9D9"/>
            <w:noWrap/>
            <w:vAlign w:val="bottom"/>
            <w:hideMark/>
          </w:tcPr>
          <w:p w14:paraId="745558E3"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Ms. Clarissa Ferrari</w:t>
            </w:r>
          </w:p>
        </w:tc>
      </w:tr>
      <w:tr w:rsidR="002C38BB" w:rsidRPr="00AD2821" w14:paraId="1E0D2864" w14:textId="77777777" w:rsidTr="00D45F54">
        <w:trPr>
          <w:trHeight w:val="315"/>
        </w:trPr>
        <w:tc>
          <w:tcPr>
            <w:tcW w:w="0" w:type="auto"/>
            <w:tcBorders>
              <w:top w:val="nil"/>
              <w:left w:val="nil"/>
              <w:bottom w:val="nil"/>
              <w:right w:val="nil"/>
            </w:tcBorders>
            <w:shd w:val="clear" w:color="auto" w:fill="auto"/>
            <w:noWrap/>
            <w:vAlign w:val="bottom"/>
            <w:hideMark/>
          </w:tcPr>
          <w:p w14:paraId="737D03F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Rong Liu</w:t>
            </w:r>
          </w:p>
        </w:tc>
      </w:tr>
      <w:tr w:rsidR="002C38BB" w:rsidRPr="00AD2821" w14:paraId="3BC7F531" w14:textId="77777777" w:rsidTr="00D45F54">
        <w:trPr>
          <w:trHeight w:val="315"/>
        </w:trPr>
        <w:tc>
          <w:tcPr>
            <w:tcW w:w="0" w:type="auto"/>
            <w:tcBorders>
              <w:top w:val="nil"/>
              <w:left w:val="nil"/>
              <w:bottom w:val="nil"/>
              <w:right w:val="nil"/>
            </w:tcBorders>
            <w:shd w:val="clear" w:color="D9D9D9" w:fill="D9D9D9"/>
            <w:noWrap/>
            <w:vAlign w:val="bottom"/>
            <w:hideMark/>
          </w:tcPr>
          <w:p w14:paraId="79D35745"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Derar Jaradat</w:t>
            </w:r>
          </w:p>
        </w:tc>
      </w:tr>
      <w:tr w:rsidR="002C38BB" w:rsidRPr="00AD2821" w14:paraId="4AE99787" w14:textId="77777777" w:rsidTr="00D45F54">
        <w:trPr>
          <w:trHeight w:val="315"/>
        </w:trPr>
        <w:tc>
          <w:tcPr>
            <w:tcW w:w="0" w:type="auto"/>
            <w:tcBorders>
              <w:top w:val="nil"/>
              <w:left w:val="nil"/>
              <w:bottom w:val="single" w:sz="4" w:space="0" w:color="000000"/>
              <w:right w:val="nil"/>
            </w:tcBorders>
            <w:shd w:val="clear" w:color="auto" w:fill="auto"/>
            <w:noWrap/>
            <w:vAlign w:val="bottom"/>
            <w:hideMark/>
          </w:tcPr>
          <w:p w14:paraId="01162DD9"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David Iannitti</w:t>
            </w:r>
          </w:p>
        </w:tc>
      </w:tr>
    </w:tbl>
    <w:p w14:paraId="7E66EAA2" w14:textId="77777777" w:rsidR="002C38BB" w:rsidRPr="00AD2821" w:rsidRDefault="002C38BB" w:rsidP="002C38BB">
      <w:pPr>
        <w:spacing w:after="160" w:line="278" w:lineRule="auto"/>
        <w:rPr>
          <w:rFonts w:eastAsia="Aptos" w:cstheme="minorHAnsi"/>
          <w:lang w:val="en-GB"/>
        </w:rPr>
      </w:pPr>
    </w:p>
    <w:tbl>
      <w:tblPr>
        <w:tblW w:w="0" w:type="auto"/>
        <w:tblCellMar>
          <w:left w:w="70" w:type="dxa"/>
          <w:right w:w="70" w:type="dxa"/>
        </w:tblCellMar>
        <w:tblLook w:val="04A0" w:firstRow="1" w:lastRow="0" w:firstColumn="1" w:lastColumn="0" w:noHBand="0" w:noVBand="1"/>
      </w:tblPr>
      <w:tblGrid>
        <w:gridCol w:w="2388"/>
      </w:tblGrid>
      <w:tr w:rsidR="002C38BB" w:rsidRPr="00AD2821" w14:paraId="51D59743" w14:textId="77777777" w:rsidTr="00D45F54">
        <w:trPr>
          <w:trHeight w:val="300"/>
        </w:trPr>
        <w:tc>
          <w:tcPr>
            <w:tcW w:w="0" w:type="auto"/>
            <w:tcBorders>
              <w:top w:val="single" w:sz="4" w:space="0" w:color="000000"/>
              <w:left w:val="nil"/>
              <w:bottom w:val="single" w:sz="4" w:space="0" w:color="000000"/>
              <w:right w:val="nil"/>
            </w:tcBorders>
            <w:shd w:val="clear" w:color="auto" w:fill="auto"/>
            <w:noWrap/>
            <w:hideMark/>
          </w:tcPr>
          <w:p w14:paraId="4D44574A" w14:textId="77777777" w:rsidR="002C38BB" w:rsidRPr="00AD2821" w:rsidRDefault="002C38BB"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Jury Committee</w:t>
            </w:r>
          </w:p>
        </w:tc>
      </w:tr>
      <w:tr w:rsidR="002C38BB" w:rsidRPr="00AD2821" w14:paraId="7109894A" w14:textId="77777777" w:rsidTr="00D45F54">
        <w:trPr>
          <w:trHeight w:val="315"/>
        </w:trPr>
        <w:tc>
          <w:tcPr>
            <w:tcW w:w="0" w:type="auto"/>
            <w:tcBorders>
              <w:top w:val="nil"/>
              <w:left w:val="nil"/>
              <w:bottom w:val="nil"/>
              <w:right w:val="nil"/>
            </w:tcBorders>
            <w:shd w:val="clear" w:color="D9D9D9" w:fill="D9D9D9"/>
            <w:noWrap/>
            <w:hideMark/>
          </w:tcPr>
          <w:p w14:paraId="0A18B5F7"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Brian Goh</w:t>
            </w:r>
          </w:p>
        </w:tc>
      </w:tr>
      <w:tr w:rsidR="002C38BB" w:rsidRPr="00AD2821" w14:paraId="03445EB6" w14:textId="77777777" w:rsidTr="00D45F54">
        <w:trPr>
          <w:trHeight w:val="315"/>
        </w:trPr>
        <w:tc>
          <w:tcPr>
            <w:tcW w:w="0" w:type="auto"/>
            <w:tcBorders>
              <w:top w:val="nil"/>
              <w:left w:val="nil"/>
              <w:bottom w:val="nil"/>
              <w:right w:val="nil"/>
            </w:tcBorders>
            <w:shd w:val="clear" w:color="auto" w:fill="auto"/>
            <w:noWrap/>
            <w:hideMark/>
          </w:tcPr>
          <w:p w14:paraId="15E4BD71"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Alfredo Guglielmi</w:t>
            </w:r>
          </w:p>
        </w:tc>
      </w:tr>
      <w:tr w:rsidR="002C38BB" w:rsidRPr="00AD2821" w14:paraId="155968E3" w14:textId="77777777" w:rsidTr="00D45F54">
        <w:trPr>
          <w:trHeight w:val="315"/>
        </w:trPr>
        <w:tc>
          <w:tcPr>
            <w:tcW w:w="0" w:type="auto"/>
            <w:tcBorders>
              <w:top w:val="nil"/>
              <w:left w:val="nil"/>
              <w:bottom w:val="nil"/>
              <w:right w:val="nil"/>
            </w:tcBorders>
            <w:shd w:val="clear" w:color="D9D9D9" w:fill="D9D9D9"/>
            <w:noWrap/>
            <w:hideMark/>
          </w:tcPr>
          <w:p w14:paraId="70F22A9B"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Elio Jovine</w:t>
            </w:r>
          </w:p>
        </w:tc>
      </w:tr>
      <w:tr w:rsidR="002C38BB" w:rsidRPr="00AD2821" w14:paraId="46231FAC" w14:textId="77777777" w:rsidTr="00D45F54">
        <w:trPr>
          <w:trHeight w:val="315"/>
        </w:trPr>
        <w:tc>
          <w:tcPr>
            <w:tcW w:w="0" w:type="auto"/>
            <w:tcBorders>
              <w:top w:val="nil"/>
              <w:left w:val="nil"/>
              <w:bottom w:val="nil"/>
              <w:right w:val="nil"/>
            </w:tcBorders>
            <w:shd w:val="clear" w:color="auto" w:fill="auto"/>
            <w:noWrap/>
            <w:hideMark/>
          </w:tcPr>
          <w:p w14:paraId="22197826"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Fabio Ausania</w:t>
            </w:r>
          </w:p>
        </w:tc>
      </w:tr>
      <w:tr w:rsidR="002C38BB" w:rsidRPr="00AD2821" w14:paraId="55436E38" w14:textId="77777777" w:rsidTr="00D45F54">
        <w:trPr>
          <w:trHeight w:val="315"/>
        </w:trPr>
        <w:tc>
          <w:tcPr>
            <w:tcW w:w="0" w:type="auto"/>
            <w:tcBorders>
              <w:top w:val="nil"/>
              <w:left w:val="nil"/>
              <w:bottom w:val="nil"/>
              <w:right w:val="nil"/>
            </w:tcBorders>
            <w:shd w:val="clear" w:color="D9D9D9" w:fill="D9D9D9"/>
            <w:noWrap/>
            <w:hideMark/>
          </w:tcPr>
          <w:p w14:paraId="4C82E97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Kito Fusai</w:t>
            </w:r>
          </w:p>
        </w:tc>
      </w:tr>
      <w:tr w:rsidR="002C38BB" w:rsidRPr="00AD2821" w14:paraId="662F34D9" w14:textId="77777777" w:rsidTr="00D45F54">
        <w:trPr>
          <w:trHeight w:val="315"/>
        </w:trPr>
        <w:tc>
          <w:tcPr>
            <w:tcW w:w="0" w:type="auto"/>
            <w:tcBorders>
              <w:top w:val="nil"/>
              <w:left w:val="nil"/>
              <w:bottom w:val="nil"/>
              <w:right w:val="nil"/>
            </w:tcBorders>
            <w:shd w:val="clear" w:color="auto" w:fill="auto"/>
            <w:noWrap/>
            <w:hideMark/>
          </w:tcPr>
          <w:p w14:paraId="16E83B14"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Prof. Thomas van Gulik</w:t>
            </w:r>
          </w:p>
        </w:tc>
      </w:tr>
      <w:tr w:rsidR="002C38BB" w:rsidRPr="00AD2821" w14:paraId="17A4CB2D" w14:textId="77777777" w:rsidTr="00D45F54">
        <w:trPr>
          <w:trHeight w:val="315"/>
        </w:trPr>
        <w:tc>
          <w:tcPr>
            <w:tcW w:w="0" w:type="auto"/>
            <w:tcBorders>
              <w:top w:val="nil"/>
              <w:left w:val="nil"/>
              <w:bottom w:val="nil"/>
              <w:right w:val="nil"/>
            </w:tcBorders>
            <w:shd w:val="clear" w:color="D9D9D9" w:fill="D9D9D9"/>
            <w:noWrap/>
            <w:hideMark/>
          </w:tcPr>
          <w:p w14:paraId="3C0B46B8"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Fabrizio Panaro</w:t>
            </w:r>
          </w:p>
        </w:tc>
      </w:tr>
      <w:tr w:rsidR="002C38BB" w:rsidRPr="00AD2821" w14:paraId="0458D3EA" w14:textId="77777777" w:rsidTr="00D45F54">
        <w:trPr>
          <w:trHeight w:val="315"/>
        </w:trPr>
        <w:tc>
          <w:tcPr>
            <w:tcW w:w="0" w:type="auto"/>
            <w:tcBorders>
              <w:top w:val="nil"/>
              <w:left w:val="nil"/>
              <w:bottom w:val="single" w:sz="4" w:space="0" w:color="000000"/>
              <w:right w:val="nil"/>
            </w:tcBorders>
            <w:shd w:val="clear" w:color="auto" w:fill="auto"/>
            <w:noWrap/>
            <w:hideMark/>
          </w:tcPr>
          <w:p w14:paraId="28133805" w14:textId="77777777" w:rsidR="002C38BB" w:rsidRPr="00AD2821" w:rsidRDefault="002C38BB" w:rsidP="00D45F54">
            <w:pPr>
              <w:rPr>
                <w:rFonts w:eastAsia="Times New Roman" w:cstheme="minorHAnsi"/>
                <w:color w:val="000000"/>
                <w:lang w:val="en-GB" w:eastAsia="nl-NL"/>
              </w:rPr>
            </w:pPr>
            <w:r w:rsidRPr="00AD2821">
              <w:rPr>
                <w:rFonts w:eastAsia="Times New Roman" w:cstheme="minorHAnsi"/>
                <w:color w:val="000000"/>
                <w:lang w:val="en-GB" w:eastAsia="nl-NL"/>
              </w:rPr>
              <w:t>Dr. Derar Jaradat</w:t>
            </w:r>
          </w:p>
        </w:tc>
      </w:tr>
    </w:tbl>
    <w:p w14:paraId="5EC65F0B" w14:textId="77777777" w:rsidR="002C38BB" w:rsidRPr="00AD2821" w:rsidRDefault="002C38BB" w:rsidP="002C38BB">
      <w:pPr>
        <w:spacing w:after="160" w:line="278" w:lineRule="auto"/>
        <w:rPr>
          <w:rFonts w:eastAsia="Aptos" w:cstheme="minorHAnsi"/>
          <w:lang w:val="en-GB"/>
        </w:rPr>
      </w:pPr>
    </w:p>
    <w:p w14:paraId="03894203" w14:textId="77777777" w:rsidR="002C38BB" w:rsidRPr="00AD2821" w:rsidRDefault="002C38BB">
      <w:pPr>
        <w:rPr>
          <w:rFonts w:eastAsia="Aptos" w:cstheme="minorHAnsi"/>
          <w:lang w:val="en-GB"/>
        </w:rPr>
      </w:pPr>
      <w:r w:rsidRPr="00AD2821">
        <w:rPr>
          <w:rFonts w:eastAsia="Aptos" w:cstheme="minorHAnsi"/>
          <w:lang w:val="en-GB"/>
        </w:rPr>
        <w:br w:type="page"/>
      </w:r>
    </w:p>
    <w:p w14:paraId="534D2778" w14:textId="1752F566" w:rsidR="002C38BB" w:rsidRPr="00AD2821" w:rsidRDefault="002C38BB" w:rsidP="002C38BB">
      <w:pPr>
        <w:spacing w:after="160" w:line="278" w:lineRule="auto"/>
        <w:rPr>
          <w:rFonts w:cstheme="minorHAnsi"/>
          <w:sz w:val="22"/>
          <w:szCs w:val="22"/>
          <w:lang w:val="en-US"/>
        </w:rPr>
      </w:pPr>
      <w:r w:rsidRPr="00AD2821">
        <w:rPr>
          <w:rFonts w:cstheme="minorHAnsi"/>
          <w:sz w:val="22"/>
          <w:szCs w:val="22"/>
          <w:lang w:val="en-US"/>
        </w:rPr>
        <w:lastRenderedPageBreak/>
        <w:t>Appendix 2. MILS search terms</w:t>
      </w:r>
    </w:p>
    <w:p w14:paraId="0324A6D3" w14:textId="77777777" w:rsidR="00303F17" w:rsidRPr="00AD2821" w:rsidRDefault="002C38BB" w:rsidP="002C38BB">
      <w:pPr>
        <w:spacing w:after="160" w:line="278" w:lineRule="auto"/>
        <w:rPr>
          <w:rFonts w:eastAsia="Aptos" w:cstheme="minorHAnsi"/>
          <w:lang w:val="en-GB"/>
        </w:rPr>
      </w:pPr>
      <w:r w:rsidRPr="00AD2821">
        <w:rPr>
          <w:rFonts w:eastAsia="Aptos" w:cstheme="minorHAnsi"/>
          <w:lang w:val="en-GB"/>
        </w:rPr>
        <w:t>("Hepatectomy"[Mesh] OR hepatectom*[tiab] OR ((liver[tiab] OR hepato*[tiab] OR hepatic*[tiab]) AND (surger*[tiab] OR resect*[tiab] OR operation[tiab] OR procedure*[tiab]))) AND ("Robotic Surgical Procedures"[Mesh] OR robot*[tiab] OR "Video-Assisted Surgery"[Mesh] OR video-assist*[tiab] OR "Laparoscopy"[Mesh] OR laparoscop*[tiab] OR "Minimally Invasive Surgical Procedures"[Mesh:NoExp] OR minimal-invasiv*[tiab] OR minimally-invasiv*[tiab] OR mini-invasive[tiab] OR minimal-access[tiab] OR keyhole[tiab] OR less-invasiv*[tiab])</w:t>
      </w:r>
    </w:p>
    <w:p w14:paraId="25580337" w14:textId="77777777" w:rsidR="00303F17" w:rsidRPr="00AD2821" w:rsidRDefault="00303F17">
      <w:pPr>
        <w:rPr>
          <w:rFonts w:eastAsia="Aptos" w:cstheme="minorHAnsi"/>
          <w:lang w:val="en-GB"/>
        </w:rPr>
      </w:pPr>
      <w:r w:rsidRPr="00AD2821">
        <w:rPr>
          <w:rFonts w:eastAsia="Aptos" w:cstheme="minorHAnsi"/>
          <w:lang w:val="en-GB"/>
        </w:rPr>
        <w:br w:type="page"/>
      </w:r>
    </w:p>
    <w:p w14:paraId="1AA29635" w14:textId="61F139D0" w:rsidR="00303F17" w:rsidRPr="00AD2821" w:rsidRDefault="00303F17">
      <w:pPr>
        <w:rPr>
          <w:rFonts w:eastAsia="Aptos" w:cstheme="minorHAnsi"/>
          <w:lang w:val="en-GB"/>
        </w:rPr>
      </w:pPr>
      <w:r w:rsidRPr="00AD2821">
        <w:rPr>
          <w:rFonts w:eastAsia="Aptos" w:cstheme="minorHAnsi"/>
          <w:lang w:val="en-GB"/>
        </w:rPr>
        <w:lastRenderedPageBreak/>
        <w:t>Appendix 3. GRADE scoring system</w:t>
      </w:r>
    </w:p>
    <w:p w14:paraId="0B18A7A4" w14:textId="77777777" w:rsidR="00303F17" w:rsidRPr="00AD2821" w:rsidRDefault="00303F17">
      <w:pPr>
        <w:rPr>
          <w:rFonts w:eastAsia="Aptos" w:cstheme="minorHAnsi"/>
          <w:lang w:val="en-GB"/>
        </w:rPr>
      </w:pPr>
    </w:p>
    <w:p w14:paraId="095DB221" w14:textId="40C01B92" w:rsidR="00303F17" w:rsidRPr="00AD2821" w:rsidRDefault="00303F17">
      <w:pPr>
        <w:rPr>
          <w:rFonts w:eastAsia="Aptos" w:cstheme="minorHAnsi"/>
          <w:lang w:val="en-GB"/>
        </w:rPr>
      </w:pPr>
      <w:r w:rsidRPr="00AD2821">
        <w:rPr>
          <w:rFonts w:eastAsia="Aptos" w:cstheme="minorHAnsi"/>
          <w:noProof/>
          <w:lang w:val="en-GB" w:eastAsia="en-GB"/>
        </w:rPr>
        <w:drawing>
          <wp:inline distT="0" distB="0" distL="0" distR="0" wp14:anchorId="3D17D844" wp14:editId="56D07F9E">
            <wp:extent cx="5731510" cy="1576070"/>
            <wp:effectExtent l="0" t="0" r="2540" b="5080"/>
            <wp:docPr id="4" name="Immagine 1" descr="A screenshot of a computer&#10;&#10;AI-generated content may be incorrect.">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5284644-4111-024A-BCC0-B3920F631C2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1" descr="A screenshot of a computer&#10;&#10;AI-generated content may be incorrect.">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5284644-4111-024A-BCC0-B3920F631C2D}"/>
                        </a:ext>
                      </a:extLst>
                    </pic:cNvPr>
                    <pic:cNvPicPr>
                      <a:picLocks noChangeAspect="1"/>
                    </pic:cNvPicPr>
                  </pic:nvPicPr>
                  <pic:blipFill rotWithShape="1">
                    <a:blip r:embed="rId8">
                      <a:extLst>
                        <a:ext uri="{28A0092B-C50C-407E-A947-70E740481C1C}">
                          <a14:useLocalDpi xmlns:a14="http://schemas.microsoft.com/office/drawing/2010/main" val="0"/>
                        </a:ext>
                      </a:extLst>
                    </a:blip>
                    <a:srcRect l="27410" t="53183" r="12790" b="16161"/>
                    <a:stretch/>
                  </pic:blipFill>
                  <pic:spPr bwMode="auto">
                    <a:xfrm>
                      <a:off x="0" y="0"/>
                      <a:ext cx="5731510" cy="1576070"/>
                    </a:xfrm>
                    <a:prstGeom prst="rect">
                      <a:avLst/>
                    </a:prstGeom>
                    <a:ln>
                      <a:noFill/>
                    </a:ln>
                    <a:extLst>
                      <a:ext uri="{53640926-AAD7-44D8-BBD7-CCE9431645EC}">
                        <a14:shadowObscured xmlns:a14="http://schemas.microsoft.com/office/drawing/2010/main"/>
                      </a:ext>
                    </a:extLst>
                  </pic:spPr>
                </pic:pic>
              </a:graphicData>
            </a:graphic>
          </wp:inline>
        </w:drawing>
      </w:r>
    </w:p>
    <w:p w14:paraId="6EB36854" w14:textId="77777777" w:rsidR="00303F17" w:rsidRPr="00AD2821" w:rsidRDefault="00303F17">
      <w:pPr>
        <w:rPr>
          <w:rFonts w:eastAsia="Aptos" w:cstheme="minorHAnsi"/>
          <w:lang w:val="en-GB"/>
        </w:rPr>
      </w:pPr>
    </w:p>
    <w:p w14:paraId="36036E87" w14:textId="3CB3F0CF" w:rsidR="00303F17" w:rsidRPr="00AD2821" w:rsidRDefault="00303F17">
      <w:pPr>
        <w:rPr>
          <w:rFonts w:eastAsia="Aptos" w:cstheme="minorHAnsi"/>
          <w:lang w:val="en-GB"/>
        </w:rPr>
      </w:pPr>
      <w:r w:rsidRPr="00AD2821">
        <w:rPr>
          <w:rFonts w:eastAsia="Aptos" w:cstheme="minorHAnsi"/>
          <w:noProof/>
          <w:lang w:val="en-GB" w:eastAsia="en-GB"/>
        </w:rPr>
        <w:drawing>
          <wp:inline distT="0" distB="0" distL="0" distR="0" wp14:anchorId="5E29FEC7" wp14:editId="0C20005F">
            <wp:extent cx="5731510" cy="2412365"/>
            <wp:effectExtent l="0" t="0" r="2540" b="6985"/>
            <wp:docPr id="5" name="Afbeelding 4" descr="A table with text and images&#10;&#10;AI-generated content may be incorrect.">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848081E-69BD-0C47-B1E1-AB2D9FBEAC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fbeelding 4" descr="A table with text and images&#10;&#10;AI-generated content may be incorrect.">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848081E-69BD-0C47-B1E1-AB2D9FBEACCA}"/>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1510" cy="2412365"/>
                    </a:xfrm>
                    <a:prstGeom prst="rect">
                      <a:avLst/>
                    </a:prstGeom>
                  </pic:spPr>
                </pic:pic>
              </a:graphicData>
            </a:graphic>
          </wp:inline>
        </w:drawing>
      </w:r>
    </w:p>
    <w:p w14:paraId="11AC055C" w14:textId="6D21045C" w:rsidR="00303F17" w:rsidRPr="00AD2821" w:rsidRDefault="00303F17">
      <w:pPr>
        <w:rPr>
          <w:rFonts w:cstheme="minorHAnsi"/>
          <w:b/>
          <w:bCs/>
          <w:sz w:val="22"/>
          <w:szCs w:val="22"/>
          <w:lang w:val="en-US"/>
        </w:rPr>
      </w:pPr>
    </w:p>
    <w:p w14:paraId="4F235CF5" w14:textId="77777777" w:rsidR="00303F17" w:rsidRPr="00AD2821" w:rsidRDefault="00303F17">
      <w:pPr>
        <w:rPr>
          <w:rFonts w:cstheme="minorHAnsi"/>
          <w:b/>
          <w:bCs/>
          <w:sz w:val="22"/>
          <w:szCs w:val="22"/>
          <w:lang w:val="en-US"/>
        </w:rPr>
      </w:pPr>
      <w:r w:rsidRPr="00AD2821">
        <w:rPr>
          <w:rFonts w:cstheme="minorHAnsi"/>
          <w:b/>
          <w:bCs/>
          <w:sz w:val="22"/>
          <w:szCs w:val="22"/>
          <w:lang w:val="en-US"/>
        </w:rPr>
        <w:br w:type="page"/>
      </w:r>
    </w:p>
    <w:p w14:paraId="172833EB" w14:textId="00E28FCB" w:rsidR="00303F17" w:rsidRPr="00AD2821" w:rsidRDefault="00303F17" w:rsidP="002D6814">
      <w:pPr>
        <w:jc w:val="both"/>
        <w:rPr>
          <w:rFonts w:cstheme="minorHAnsi"/>
          <w:sz w:val="22"/>
          <w:szCs w:val="22"/>
          <w:lang w:val="en-US"/>
        </w:rPr>
      </w:pPr>
      <w:r w:rsidRPr="00AD2821">
        <w:rPr>
          <w:rFonts w:cstheme="minorHAnsi"/>
          <w:sz w:val="22"/>
          <w:szCs w:val="22"/>
          <w:lang w:val="en-US"/>
        </w:rPr>
        <w:lastRenderedPageBreak/>
        <w:t xml:space="preserve">Appendix 4. </w:t>
      </w:r>
      <w:r w:rsidR="00C50078" w:rsidRPr="00AD2821">
        <w:rPr>
          <w:rFonts w:cstheme="minorHAnsi"/>
          <w:sz w:val="22"/>
          <w:szCs w:val="22"/>
          <w:lang w:val="en-GB"/>
        </w:rPr>
        <w:t>Summary of Findings Tables and Considered Judgement</w:t>
      </w:r>
    </w:p>
    <w:p w14:paraId="4BBB91C9" w14:textId="77777777" w:rsidR="00303F17" w:rsidRPr="00AD2821" w:rsidRDefault="00303F17" w:rsidP="00303F17">
      <w:pPr>
        <w:spacing w:after="160" w:line="278" w:lineRule="auto"/>
        <w:rPr>
          <w:rFonts w:eastAsia="Aptos" w:cstheme="minorHAnsi"/>
          <w:lang w:val="en-GB"/>
        </w:rPr>
      </w:pPr>
    </w:p>
    <w:p w14:paraId="75D49D2A" w14:textId="77777777" w:rsidR="00303F17" w:rsidRPr="00AD2821" w:rsidRDefault="00303F17" w:rsidP="00303F17">
      <w:pPr>
        <w:spacing w:after="160" w:line="278" w:lineRule="auto"/>
        <w:rPr>
          <w:rFonts w:eastAsia="Aptos" w:cstheme="minorHAnsi"/>
          <w:lang w:val="en-GB"/>
        </w:rPr>
      </w:pPr>
      <w:r w:rsidRPr="00AD2821">
        <w:rPr>
          <w:rFonts w:eastAsia="Aptos" w:cstheme="minorHAnsi"/>
          <w:noProof/>
          <w:lang w:val="en-GB" w:eastAsia="en-GB"/>
        </w:rPr>
        <w:drawing>
          <wp:inline distT="0" distB="0" distL="0" distR="0" wp14:anchorId="6B7A3770" wp14:editId="4AADC131">
            <wp:extent cx="4296427" cy="4307851"/>
            <wp:effectExtent l="0" t="0" r="8890" b="0"/>
            <wp:docPr id="710475860" name="Afbeelding 3" descr="A close-up of a document&#10;&#10;AI-generated content may be incorrect.">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B794EDA-207A-4C4F-9D3B-8522BD63AF9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475860" name="Afbeelding 3" descr="A close-up of a document&#10;&#10;AI-generated content may be incorrect.">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B794EDA-207A-4C4F-9D3B-8522BD63AF92}"/>
                        </a:ext>
                      </a:extLst>
                    </pic:cNvPr>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4299570" cy="4311002"/>
                    </a:xfrm>
                    <a:prstGeom prst="rect">
                      <a:avLst/>
                    </a:prstGeom>
                  </pic:spPr>
                </pic:pic>
              </a:graphicData>
            </a:graphic>
          </wp:inline>
        </w:drawing>
      </w:r>
      <w:r w:rsidRPr="00AD2821">
        <w:rPr>
          <w:rFonts w:eastAsia="Aptos" w:cstheme="minorHAnsi"/>
          <w:lang w:val="en-GB"/>
        </w:rPr>
        <w:br w:type="page"/>
      </w:r>
    </w:p>
    <w:p w14:paraId="789E4998" w14:textId="77777777" w:rsidR="00303F17" w:rsidRPr="00AD2821" w:rsidRDefault="00303F17" w:rsidP="00303F17">
      <w:pPr>
        <w:spacing w:after="160" w:line="278" w:lineRule="auto"/>
        <w:rPr>
          <w:rFonts w:eastAsia="Times New Roman" w:cstheme="minorHAnsi"/>
          <w:color w:val="0F4761"/>
          <w:sz w:val="32"/>
          <w:szCs w:val="32"/>
          <w:lang w:val="en-GB"/>
        </w:rPr>
      </w:pPr>
      <w:r w:rsidRPr="00AD2821">
        <w:rPr>
          <w:rFonts w:eastAsia="Times New Roman" w:cstheme="minorHAnsi"/>
          <w:noProof/>
          <w:color w:val="0F4761"/>
          <w:sz w:val="32"/>
          <w:szCs w:val="32"/>
          <w:lang w:val="en-GB" w:eastAsia="en-GB"/>
        </w:rPr>
        <w:lastRenderedPageBreak/>
        <w:drawing>
          <wp:inline distT="0" distB="0" distL="0" distR="0" wp14:anchorId="06D9583C" wp14:editId="5B1AAAB2">
            <wp:extent cx="5014244" cy="7603299"/>
            <wp:effectExtent l="0" t="0" r="0" b="0"/>
            <wp:docPr id="8" name="Tijdelijke aanduiding voor inhoud 7" descr="A white paper with black text&#10;&#10;AI-generated content may be incorrect.">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C50D1A5-5DD1-054C-98B9-0FBAFCB6FAF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Tijdelijke aanduiding voor inhoud 7" descr="A white paper with black text&#10;&#10;AI-generated content may be incorrect.">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C50D1A5-5DD1-054C-98B9-0FBAFCB6FAF8}"/>
                        </a:ext>
                      </a:extLst>
                    </pic:cNvPr>
                    <pic:cNvPicPr>
                      <a:picLocks noGrp="1"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5032754" cy="7631367"/>
                    </a:xfrm>
                    <a:prstGeom prst="rect">
                      <a:avLst/>
                    </a:prstGeom>
                  </pic:spPr>
                </pic:pic>
              </a:graphicData>
            </a:graphic>
          </wp:inline>
        </w:drawing>
      </w:r>
      <w:r w:rsidRPr="00AD2821">
        <w:rPr>
          <w:rFonts w:eastAsia="Times New Roman" w:cstheme="minorHAnsi"/>
          <w:noProof/>
          <w:color w:val="0F4761"/>
          <w:sz w:val="32"/>
          <w:szCs w:val="32"/>
          <w:lang w:val="en-GB" w:eastAsia="en-GB"/>
        </w:rPr>
        <w:lastRenderedPageBreak/>
        <w:drawing>
          <wp:inline distT="0" distB="0" distL="0" distR="0" wp14:anchorId="291351A5" wp14:editId="652FFEC1">
            <wp:extent cx="5257800" cy="5708469"/>
            <wp:effectExtent l="0" t="0" r="0" b="6985"/>
            <wp:docPr id="6" name="Afbeelding 5">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37BFD4D-7A65-BB4F-B532-136198D0BC2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fbeelding 5">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37BFD4D-7A65-BB4F-B532-136198D0BC23}"/>
                        </a:ext>
                      </a:extLst>
                    </pic:cNvPr>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5257800" cy="5708469"/>
                    </a:xfrm>
                    <a:prstGeom prst="rect">
                      <a:avLst/>
                    </a:prstGeom>
                  </pic:spPr>
                </pic:pic>
              </a:graphicData>
            </a:graphic>
          </wp:inline>
        </w:drawing>
      </w:r>
    </w:p>
    <w:p w14:paraId="03DB68BD" w14:textId="77777777" w:rsidR="00303F17" w:rsidRPr="00AD2821" w:rsidRDefault="00303F17" w:rsidP="002D6814">
      <w:pPr>
        <w:jc w:val="both"/>
        <w:rPr>
          <w:rFonts w:cstheme="minorHAnsi"/>
          <w:b/>
          <w:bCs/>
          <w:sz w:val="22"/>
          <w:szCs w:val="22"/>
          <w:lang w:val="en-US"/>
        </w:rPr>
      </w:pPr>
    </w:p>
    <w:p w14:paraId="297FB6AF" w14:textId="77777777" w:rsidR="00303F17" w:rsidRPr="00AD2821" w:rsidRDefault="00303F17">
      <w:pPr>
        <w:rPr>
          <w:rFonts w:cstheme="minorHAnsi"/>
          <w:b/>
          <w:bCs/>
          <w:sz w:val="22"/>
          <w:szCs w:val="22"/>
          <w:lang w:val="en-US"/>
        </w:rPr>
      </w:pPr>
      <w:r w:rsidRPr="00AD2821">
        <w:rPr>
          <w:rFonts w:cstheme="minorHAnsi"/>
          <w:b/>
          <w:bCs/>
          <w:sz w:val="22"/>
          <w:szCs w:val="22"/>
          <w:lang w:val="en-US"/>
        </w:rPr>
        <w:br w:type="page"/>
      </w:r>
    </w:p>
    <w:p w14:paraId="3DC927EC" w14:textId="77777777" w:rsidR="00C50078" w:rsidRPr="00AD2821" w:rsidRDefault="00303F17" w:rsidP="00C50078">
      <w:pPr>
        <w:keepNext/>
        <w:keepLines/>
        <w:spacing w:before="160" w:after="80" w:line="278" w:lineRule="auto"/>
        <w:outlineLvl w:val="1"/>
        <w:rPr>
          <w:rFonts w:eastAsia="Times New Roman" w:cstheme="minorHAnsi"/>
          <w:color w:val="000000" w:themeColor="text1"/>
          <w:sz w:val="22"/>
          <w:szCs w:val="22"/>
          <w:lang w:val="en-GB"/>
        </w:rPr>
      </w:pPr>
      <w:r w:rsidRPr="00AD2821">
        <w:rPr>
          <w:rFonts w:cstheme="minorHAnsi"/>
          <w:color w:val="000000" w:themeColor="text1"/>
          <w:sz w:val="22"/>
          <w:szCs w:val="22"/>
          <w:lang w:val="en-US"/>
        </w:rPr>
        <w:lastRenderedPageBreak/>
        <w:t xml:space="preserve">Appendix 5. </w:t>
      </w:r>
      <w:r w:rsidR="00C50078" w:rsidRPr="00AD2821">
        <w:rPr>
          <w:rFonts w:eastAsia="Times New Roman" w:cstheme="minorHAnsi"/>
          <w:color w:val="000000" w:themeColor="text1"/>
          <w:sz w:val="22"/>
          <w:szCs w:val="22"/>
          <w:lang w:val="en-GB"/>
        </w:rPr>
        <w:t>Strength of Recommendation</w:t>
      </w:r>
    </w:p>
    <w:p w14:paraId="690D5708" w14:textId="77777777" w:rsidR="00C50078" w:rsidRPr="00AD2821" w:rsidRDefault="00C50078" w:rsidP="00C50078">
      <w:pPr>
        <w:spacing w:after="160" w:line="278" w:lineRule="auto"/>
        <w:rPr>
          <w:rFonts w:eastAsia="Aptos" w:cstheme="minorHAnsi"/>
          <w:lang w:val="en-GB"/>
        </w:rPr>
      </w:pPr>
      <w:r w:rsidRPr="00AD2821">
        <w:rPr>
          <w:rFonts w:eastAsia="Aptos" w:cstheme="minorHAnsi"/>
          <w:noProof/>
          <w:lang w:val="en-GB" w:eastAsia="en-GB"/>
        </w:rPr>
        <w:drawing>
          <wp:inline distT="0" distB="0" distL="0" distR="0" wp14:anchorId="7FB3C13E" wp14:editId="2E095EE3">
            <wp:extent cx="5731510" cy="1576070"/>
            <wp:effectExtent l="0" t="0" r="2540" b="5080"/>
            <wp:docPr id="189104361" name="Immagine 1" descr="A screenshot of a computer&#10;&#10;AI-generated content may be incorrect.">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5284644-4111-024A-BCC0-B3920F631C2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4361" name="Immagine 1" descr="A screenshot of a computer&#10;&#10;AI-generated content may be incorrect.">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5284644-4111-024A-BCC0-B3920F631C2D}"/>
                        </a:ext>
                      </a:extLst>
                    </pic:cNvPr>
                    <pic:cNvPicPr>
                      <a:picLocks noChangeAspect="1"/>
                    </pic:cNvPicPr>
                  </pic:nvPicPr>
                  <pic:blipFill rotWithShape="1">
                    <a:blip r:embed="rId8">
                      <a:extLst>
                        <a:ext uri="{28A0092B-C50C-407E-A947-70E740481C1C}">
                          <a14:useLocalDpi xmlns:a14="http://schemas.microsoft.com/office/drawing/2010/main" val="0"/>
                        </a:ext>
                      </a:extLst>
                    </a:blip>
                    <a:srcRect l="27410" t="53183" r="12790" b="16161"/>
                    <a:stretch/>
                  </pic:blipFill>
                  <pic:spPr bwMode="auto">
                    <a:xfrm>
                      <a:off x="0" y="0"/>
                      <a:ext cx="5731510" cy="1576070"/>
                    </a:xfrm>
                    <a:prstGeom prst="rect">
                      <a:avLst/>
                    </a:prstGeom>
                    <a:ln>
                      <a:noFill/>
                    </a:ln>
                    <a:extLst>
                      <a:ext uri="{53640926-AAD7-44D8-BBD7-CCE9431645EC}">
                        <a14:shadowObscured xmlns:a14="http://schemas.microsoft.com/office/drawing/2010/main"/>
                      </a:ext>
                    </a:extLst>
                  </pic:spPr>
                </pic:pic>
              </a:graphicData>
            </a:graphic>
          </wp:inline>
        </w:drawing>
      </w:r>
      <w:r w:rsidRPr="00AD2821">
        <w:rPr>
          <w:rFonts w:eastAsia="Aptos" w:cstheme="minorHAnsi"/>
          <w:noProof/>
          <w:lang w:val="en-GB" w:eastAsia="en-GB"/>
        </w:rPr>
        <w:drawing>
          <wp:inline distT="0" distB="0" distL="0" distR="0" wp14:anchorId="3889EB94" wp14:editId="1E1F60B0">
            <wp:extent cx="5731510" cy="2412365"/>
            <wp:effectExtent l="0" t="0" r="2540" b="6985"/>
            <wp:docPr id="829530764" name="Afbeelding 4" descr="A table with text and images&#10;&#10;AI-generated content may be incorrect.">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848081E-69BD-0C47-B1E1-AB2D9FBEAC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530764" name="Afbeelding 4" descr="A table with text and images&#10;&#10;AI-generated content may be incorrect.">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848081E-69BD-0C47-B1E1-AB2D9FBEACCA}"/>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1510" cy="2412365"/>
                    </a:xfrm>
                    <a:prstGeom prst="rect">
                      <a:avLst/>
                    </a:prstGeom>
                  </pic:spPr>
                </pic:pic>
              </a:graphicData>
            </a:graphic>
          </wp:inline>
        </w:drawing>
      </w:r>
    </w:p>
    <w:p w14:paraId="4E7909A4" w14:textId="43B9E616" w:rsidR="00303F17" w:rsidRPr="00AD2821" w:rsidRDefault="00C50078" w:rsidP="00C50078">
      <w:pPr>
        <w:spacing w:after="160" w:line="278" w:lineRule="auto"/>
        <w:rPr>
          <w:rFonts w:eastAsia="Times New Roman" w:cstheme="minorHAnsi"/>
          <w:color w:val="0F4761"/>
          <w:sz w:val="32"/>
          <w:szCs w:val="32"/>
          <w:lang w:val="en-GB"/>
        </w:rPr>
      </w:pPr>
      <w:r w:rsidRPr="00AD2821">
        <w:rPr>
          <w:rFonts w:eastAsia="Aptos" w:cstheme="minorHAnsi"/>
          <w:lang w:val="en-GB"/>
        </w:rPr>
        <w:br w:type="page"/>
      </w:r>
    </w:p>
    <w:p w14:paraId="4DBCAE36" w14:textId="77777777" w:rsidR="00C50078" w:rsidRPr="00AD2821" w:rsidRDefault="00303F17" w:rsidP="00C50078">
      <w:pPr>
        <w:keepNext/>
        <w:keepLines/>
        <w:spacing w:before="160" w:after="80" w:line="278" w:lineRule="auto"/>
        <w:outlineLvl w:val="1"/>
        <w:rPr>
          <w:rFonts w:eastAsia="Times New Roman" w:cstheme="minorHAnsi"/>
          <w:color w:val="000000" w:themeColor="text1"/>
          <w:sz w:val="22"/>
          <w:szCs w:val="22"/>
          <w:lang w:val="en-GB"/>
        </w:rPr>
      </w:pPr>
      <w:r w:rsidRPr="00AD2821">
        <w:rPr>
          <w:rFonts w:cstheme="minorHAnsi"/>
          <w:color w:val="000000" w:themeColor="text1"/>
          <w:sz w:val="22"/>
          <w:szCs w:val="22"/>
          <w:lang w:val="en-US"/>
        </w:rPr>
        <w:lastRenderedPageBreak/>
        <w:t xml:space="preserve">Appendix 6. </w:t>
      </w:r>
      <w:r w:rsidR="00C50078" w:rsidRPr="00AD2821">
        <w:rPr>
          <w:rFonts w:eastAsia="Times New Roman" w:cstheme="minorHAnsi"/>
          <w:color w:val="000000" w:themeColor="text1"/>
          <w:sz w:val="22"/>
          <w:szCs w:val="22"/>
          <w:lang w:val="en-GB"/>
        </w:rPr>
        <w:t>Professional Oaths</w:t>
      </w:r>
    </w:p>
    <w:p w14:paraId="207CA8E1" w14:textId="77777777" w:rsidR="00C50078" w:rsidRPr="00AD2821" w:rsidRDefault="00C50078" w:rsidP="00C50078">
      <w:pPr>
        <w:spacing w:after="160" w:line="278" w:lineRule="auto"/>
        <w:jc w:val="both"/>
        <w:rPr>
          <w:rFonts w:eastAsia="Aptos" w:cstheme="minorHAnsi"/>
          <w:sz w:val="21"/>
          <w:szCs w:val="21"/>
          <w:u w:val="single"/>
          <w:lang w:val="en-GB"/>
        </w:rPr>
      </w:pPr>
    </w:p>
    <w:p w14:paraId="5A742DC0" w14:textId="0EE5C9D5" w:rsidR="00C50078" w:rsidRPr="00AD2821" w:rsidRDefault="00C50078" w:rsidP="00C50078">
      <w:pPr>
        <w:spacing w:after="160" w:line="278" w:lineRule="auto"/>
        <w:jc w:val="both"/>
        <w:rPr>
          <w:rFonts w:eastAsia="Aptos" w:cstheme="minorHAnsi"/>
          <w:sz w:val="21"/>
          <w:szCs w:val="21"/>
          <w:u w:val="single"/>
          <w:lang w:val="en-GB"/>
        </w:rPr>
      </w:pPr>
      <w:r w:rsidRPr="00AD2821">
        <w:rPr>
          <w:rFonts w:eastAsia="Aptos" w:cstheme="minorHAnsi"/>
          <w:sz w:val="21"/>
          <w:szCs w:val="21"/>
          <w:u w:val="single"/>
          <w:lang w:val="en-GB"/>
        </w:rPr>
        <w:t>Expert Committee – Björn Edwin</w:t>
      </w:r>
    </w:p>
    <w:p w14:paraId="360BFA50" w14:textId="77777777" w:rsidR="00C50078" w:rsidRPr="00AD2821" w:rsidRDefault="00C50078" w:rsidP="00C50078">
      <w:pPr>
        <w:spacing w:after="160" w:line="278" w:lineRule="auto"/>
        <w:jc w:val="both"/>
        <w:rPr>
          <w:rFonts w:eastAsia="Aptos" w:cstheme="minorHAnsi"/>
          <w:sz w:val="21"/>
          <w:szCs w:val="21"/>
          <w:lang w:val="en-GB"/>
        </w:rPr>
      </w:pPr>
      <w:r w:rsidRPr="00AD2821">
        <w:rPr>
          <w:rFonts w:eastAsia="Aptos" w:cstheme="minorHAnsi"/>
          <w:sz w:val="21"/>
          <w:szCs w:val="21"/>
          <w:lang w:val="en-GB"/>
        </w:rPr>
        <w:t>I, Björn Edwin, on behalf of the Expert Committee, declare that we have operated following the norms of professional and ethical integrity and acted to our best scientific knowledge, ability, and judgment in accordance with the internationally acknowledged methodology for guidelines development. We will work with the Chairman, the Validation, the Research, and the Jury Committee to finalize the First Internationally Validated Guidelines on Minimally Invasive Liver Surgery with no conflict of interest to report.</w:t>
      </w:r>
    </w:p>
    <w:p w14:paraId="048EA78F" w14:textId="77777777" w:rsidR="00C50078" w:rsidRPr="00AD2821" w:rsidRDefault="00C50078" w:rsidP="00C50078">
      <w:pPr>
        <w:spacing w:after="160" w:line="278" w:lineRule="auto"/>
        <w:jc w:val="both"/>
        <w:rPr>
          <w:rFonts w:eastAsia="Aptos" w:cstheme="minorHAnsi"/>
          <w:sz w:val="21"/>
          <w:szCs w:val="21"/>
          <w:lang w:val="en-GB"/>
        </w:rPr>
      </w:pPr>
    </w:p>
    <w:p w14:paraId="6FBEB9EA" w14:textId="77777777" w:rsidR="00C50078" w:rsidRPr="00AD2821" w:rsidRDefault="00C50078" w:rsidP="00C50078">
      <w:pPr>
        <w:spacing w:after="160" w:line="278" w:lineRule="auto"/>
        <w:jc w:val="both"/>
        <w:rPr>
          <w:rFonts w:eastAsia="Aptos" w:cstheme="minorHAnsi"/>
          <w:sz w:val="21"/>
          <w:szCs w:val="21"/>
          <w:u w:val="single"/>
          <w:lang w:val="en-GB"/>
        </w:rPr>
      </w:pPr>
      <w:r w:rsidRPr="00AD2821">
        <w:rPr>
          <w:rFonts w:eastAsia="Aptos" w:cstheme="minorHAnsi"/>
          <w:sz w:val="21"/>
          <w:szCs w:val="21"/>
          <w:u w:val="single"/>
          <w:lang w:val="en-GB"/>
        </w:rPr>
        <w:t>Validation Committee – Horacio Asbun</w:t>
      </w:r>
    </w:p>
    <w:p w14:paraId="02EF4338" w14:textId="77777777" w:rsidR="00C50078" w:rsidRPr="00AD2821" w:rsidRDefault="00C50078" w:rsidP="00C50078">
      <w:pPr>
        <w:spacing w:after="160" w:line="278" w:lineRule="auto"/>
        <w:jc w:val="both"/>
        <w:rPr>
          <w:rFonts w:eastAsia="Aptos" w:cstheme="minorHAnsi"/>
          <w:sz w:val="21"/>
          <w:szCs w:val="21"/>
          <w:lang w:val="en-GB"/>
        </w:rPr>
      </w:pPr>
      <w:r w:rsidRPr="00AD2821">
        <w:rPr>
          <w:rFonts w:eastAsia="Aptos" w:cstheme="minorHAnsi"/>
          <w:sz w:val="21"/>
          <w:szCs w:val="21"/>
          <w:lang w:val="en-GB"/>
        </w:rPr>
        <w:t>I, Horacio Asbun, on behalf of the Validation Committee, declare that we have regularly been informed about the ongoing process of guideline development by the chairman professor Mohammad Abu Hilal and that we will validate what is presented by the Expert and Research Committee in accordance with the AGREE-methodology. We will operate in accordance with the norms of professional and ethical integrity, and act to our best scientific knowledge, ability, and judgment.</w:t>
      </w:r>
    </w:p>
    <w:p w14:paraId="2FF25C8A" w14:textId="77777777" w:rsidR="00C50078" w:rsidRPr="00AD2821" w:rsidRDefault="00C50078" w:rsidP="00C50078">
      <w:pPr>
        <w:spacing w:after="160" w:line="278" w:lineRule="auto"/>
        <w:jc w:val="both"/>
        <w:rPr>
          <w:rFonts w:eastAsia="Aptos" w:cstheme="minorHAnsi"/>
          <w:sz w:val="21"/>
          <w:szCs w:val="21"/>
          <w:lang w:val="en-GB"/>
        </w:rPr>
      </w:pPr>
    </w:p>
    <w:p w14:paraId="7FD4DF84" w14:textId="77777777" w:rsidR="00C50078" w:rsidRPr="00AD2821" w:rsidRDefault="00C50078" w:rsidP="00C50078">
      <w:pPr>
        <w:spacing w:after="160" w:line="278" w:lineRule="auto"/>
        <w:jc w:val="both"/>
        <w:rPr>
          <w:rFonts w:eastAsia="Aptos" w:cstheme="minorHAnsi"/>
          <w:sz w:val="21"/>
          <w:szCs w:val="21"/>
          <w:u w:val="single"/>
          <w:lang w:val="en-GB"/>
        </w:rPr>
      </w:pPr>
      <w:r w:rsidRPr="00AD2821">
        <w:rPr>
          <w:rFonts w:eastAsia="Aptos" w:cstheme="minorHAnsi"/>
          <w:sz w:val="21"/>
          <w:szCs w:val="21"/>
          <w:u w:val="single"/>
          <w:lang w:val="en-GB"/>
        </w:rPr>
        <w:t>Research Committee – Tijs Hoogteijling</w:t>
      </w:r>
    </w:p>
    <w:p w14:paraId="248FC371" w14:textId="77777777" w:rsidR="00C50078" w:rsidRPr="00AD2821" w:rsidRDefault="00C50078" w:rsidP="00C50078">
      <w:pPr>
        <w:spacing w:after="160" w:line="278" w:lineRule="auto"/>
        <w:jc w:val="both"/>
        <w:rPr>
          <w:rFonts w:eastAsia="Aptos" w:cstheme="minorHAnsi"/>
          <w:sz w:val="21"/>
          <w:szCs w:val="21"/>
          <w:lang w:val="en-GB"/>
        </w:rPr>
      </w:pPr>
      <w:r w:rsidRPr="00AD2821">
        <w:rPr>
          <w:rFonts w:eastAsia="Aptos" w:cstheme="minorHAnsi"/>
          <w:sz w:val="21"/>
          <w:szCs w:val="21"/>
          <w:lang w:val="en-GB"/>
        </w:rPr>
        <w:t>I, Tijs Hoogteijling, on behalf of the Research Committee, declare that we have operated following the norms of professional and ethical integrity and acted to our best scientific knowledge, ability, and judgment in accordance with the internationally acknowledged methodology for guidelines development. We will work with the Chairman, the Expert, the Validation, and the Jury Committee to finalize the First Internationally Validated Guidelines on Minimally Invasive Liver Surgery with no conflict of interest to report.</w:t>
      </w:r>
    </w:p>
    <w:p w14:paraId="77E71456" w14:textId="3A497C86" w:rsidR="00303F17" w:rsidRPr="00AD2821" w:rsidRDefault="00303F17" w:rsidP="002D6814">
      <w:pPr>
        <w:jc w:val="both"/>
        <w:rPr>
          <w:rFonts w:cstheme="minorHAnsi"/>
          <w:b/>
          <w:bCs/>
          <w:sz w:val="22"/>
          <w:szCs w:val="22"/>
          <w:lang w:val="en-GB"/>
        </w:rPr>
      </w:pPr>
    </w:p>
    <w:p w14:paraId="72B55167" w14:textId="77777777" w:rsidR="00303F17" w:rsidRPr="00AD2821" w:rsidRDefault="00303F17" w:rsidP="002D6814">
      <w:pPr>
        <w:jc w:val="both"/>
        <w:rPr>
          <w:rFonts w:cstheme="minorHAnsi"/>
          <w:b/>
          <w:bCs/>
          <w:sz w:val="22"/>
          <w:szCs w:val="22"/>
          <w:lang w:val="en-US"/>
        </w:rPr>
      </w:pPr>
    </w:p>
    <w:p w14:paraId="04C143B1" w14:textId="77777777" w:rsidR="00303F17" w:rsidRPr="00AD2821" w:rsidRDefault="00303F17">
      <w:pPr>
        <w:rPr>
          <w:rFonts w:cstheme="minorHAnsi"/>
          <w:b/>
          <w:bCs/>
          <w:sz w:val="22"/>
          <w:szCs w:val="22"/>
          <w:lang w:val="en-US"/>
        </w:rPr>
      </w:pPr>
      <w:r w:rsidRPr="00AD2821">
        <w:rPr>
          <w:rFonts w:cstheme="minorHAnsi"/>
          <w:b/>
          <w:bCs/>
          <w:sz w:val="22"/>
          <w:szCs w:val="22"/>
          <w:lang w:val="en-US"/>
        </w:rPr>
        <w:br w:type="page"/>
      </w:r>
    </w:p>
    <w:p w14:paraId="373D7B4E" w14:textId="77777777" w:rsidR="00C50078" w:rsidRPr="00AD2821" w:rsidRDefault="00303F17" w:rsidP="00C50078">
      <w:pPr>
        <w:keepNext/>
        <w:keepLines/>
        <w:spacing w:before="160" w:after="80" w:line="278" w:lineRule="auto"/>
        <w:outlineLvl w:val="1"/>
        <w:rPr>
          <w:rFonts w:eastAsia="Times New Roman" w:cstheme="minorHAnsi"/>
          <w:color w:val="000000" w:themeColor="text1"/>
          <w:sz w:val="22"/>
          <w:szCs w:val="22"/>
          <w:lang w:val="en-GB"/>
        </w:rPr>
      </w:pPr>
      <w:r w:rsidRPr="00AD2821">
        <w:rPr>
          <w:rFonts w:cstheme="minorHAnsi"/>
          <w:color w:val="000000" w:themeColor="text1"/>
          <w:sz w:val="22"/>
          <w:szCs w:val="22"/>
          <w:lang w:val="en-US"/>
        </w:rPr>
        <w:lastRenderedPageBreak/>
        <w:t>Appendix 7</w:t>
      </w:r>
      <w:r w:rsidR="00C50078" w:rsidRPr="00AD2821">
        <w:rPr>
          <w:rFonts w:cstheme="minorHAnsi"/>
          <w:color w:val="000000" w:themeColor="text1"/>
          <w:sz w:val="22"/>
          <w:szCs w:val="22"/>
          <w:lang w:val="en-US"/>
        </w:rPr>
        <w:t xml:space="preserve">. </w:t>
      </w:r>
      <w:r w:rsidR="00C50078" w:rsidRPr="00AD2821">
        <w:rPr>
          <w:rFonts w:eastAsia="Times New Roman" w:cstheme="minorHAnsi"/>
          <w:color w:val="000000" w:themeColor="text1"/>
          <w:sz w:val="22"/>
          <w:szCs w:val="22"/>
          <w:lang w:val="en-GB"/>
        </w:rPr>
        <w:t xml:space="preserve">AGREE II GRS Tool </w:t>
      </w:r>
    </w:p>
    <w:p w14:paraId="4CB030C8" w14:textId="77777777" w:rsidR="00C50078" w:rsidRPr="00AD2821" w:rsidRDefault="00C50078" w:rsidP="00C50078">
      <w:pPr>
        <w:spacing w:after="160" w:line="278" w:lineRule="auto"/>
        <w:rPr>
          <w:rFonts w:eastAsia="Aptos" w:cstheme="minorHAnsi"/>
          <w:lang w:val="en-GB"/>
        </w:rPr>
      </w:pPr>
      <w:r w:rsidRPr="00AD2821">
        <w:rPr>
          <w:rFonts w:eastAsia="Aptos" w:cstheme="minorHAnsi"/>
          <w:noProof/>
          <w:lang w:val="en-GB" w:eastAsia="en-GB"/>
        </w:rPr>
        <w:drawing>
          <wp:inline distT="0" distB="0" distL="0" distR="0" wp14:anchorId="6356AA24" wp14:editId="0ECA1C58">
            <wp:extent cx="5731510" cy="2548255"/>
            <wp:effectExtent l="0" t="0" r="2540" b="0"/>
            <wp:docPr id="1645508632" name="Afbeelding 43" descr="Afbeelding met tekst, schermopname, Lettertype, Graphic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508632" name="Afbeelding 43" descr="Afbeelding met tekst, schermopname, Lettertype, Graphics&#10;&#10;Automatisch gegenereerde beschrijvi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2548255"/>
                    </a:xfrm>
                    <a:prstGeom prst="rect">
                      <a:avLst/>
                    </a:prstGeom>
                  </pic:spPr>
                </pic:pic>
              </a:graphicData>
            </a:graphic>
          </wp:inline>
        </w:drawing>
      </w:r>
    </w:p>
    <w:p w14:paraId="1E4C5382" w14:textId="77777777" w:rsidR="00C50078" w:rsidRPr="00AD2821" w:rsidRDefault="00C50078" w:rsidP="00C50078">
      <w:pPr>
        <w:spacing w:after="160" w:line="278" w:lineRule="auto"/>
        <w:rPr>
          <w:rFonts w:eastAsia="Aptos" w:cstheme="minorHAnsi"/>
          <w:lang w:val="en-GB"/>
        </w:rPr>
      </w:pPr>
      <w:r w:rsidRPr="00AD2821">
        <w:rPr>
          <w:rFonts w:eastAsia="Aptos" w:cstheme="minorHAnsi"/>
          <w:lang w:val="en-GB"/>
        </w:rPr>
        <w:t xml:space="preserve">GRS Items: </w:t>
      </w:r>
    </w:p>
    <w:p w14:paraId="712C5673" w14:textId="77777777" w:rsidR="00C50078" w:rsidRPr="00AD2821" w:rsidRDefault="00C50078" w:rsidP="00C50078">
      <w:pPr>
        <w:spacing w:after="160" w:line="278" w:lineRule="auto"/>
        <w:rPr>
          <w:rFonts w:eastAsia="Aptos" w:cstheme="minorHAnsi"/>
          <w:lang w:val="en-GB"/>
        </w:rPr>
      </w:pPr>
      <w:r w:rsidRPr="00AD2821">
        <w:rPr>
          <w:rFonts w:eastAsia="Aptos" w:cstheme="minorHAnsi"/>
          <w:noProof/>
          <w:lang w:val="en-GB" w:eastAsia="en-GB"/>
        </w:rPr>
        <w:drawing>
          <wp:inline distT="0" distB="0" distL="0" distR="0" wp14:anchorId="7AAE19B5" wp14:editId="041D285F">
            <wp:extent cx="5836828" cy="3093928"/>
            <wp:effectExtent l="0" t="0" r="0" b="0"/>
            <wp:docPr id="1949522496" name="Afbeelding 44" descr="A black and blue rectangular objec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522496" name="Afbeelding 44" descr="A black and blue rectangular object with text&#10;&#10;AI-generated content may be incorrec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46636" cy="3099127"/>
                    </a:xfrm>
                    <a:prstGeom prst="rect">
                      <a:avLst/>
                    </a:prstGeom>
                    <a:noFill/>
                  </pic:spPr>
                </pic:pic>
              </a:graphicData>
            </a:graphic>
          </wp:inline>
        </w:drawing>
      </w:r>
    </w:p>
    <w:p w14:paraId="4CFD6AC5" w14:textId="77777777" w:rsidR="00C50078" w:rsidRPr="00AD2821" w:rsidRDefault="00C50078" w:rsidP="00C50078">
      <w:pPr>
        <w:spacing w:after="160" w:line="278" w:lineRule="auto"/>
        <w:rPr>
          <w:rFonts w:eastAsia="Aptos" w:cstheme="minorHAnsi"/>
          <w:lang w:val="en-GB"/>
        </w:rPr>
      </w:pPr>
      <w:r w:rsidRPr="00AD2821">
        <w:rPr>
          <w:rFonts w:eastAsia="Aptos" w:cstheme="minorHAnsi"/>
          <w:lang w:val="en-GB"/>
        </w:rPr>
        <w:t>Example of mean performance scores:</w:t>
      </w:r>
    </w:p>
    <w:p w14:paraId="690C2C63" w14:textId="30F5DE1C" w:rsidR="00303F17" w:rsidRPr="00AD2821" w:rsidRDefault="00C50078" w:rsidP="00C50078">
      <w:pPr>
        <w:jc w:val="both"/>
        <w:rPr>
          <w:rFonts w:cstheme="minorHAnsi"/>
          <w:b/>
          <w:bCs/>
          <w:sz w:val="22"/>
          <w:szCs w:val="22"/>
          <w:lang w:val="en-US"/>
        </w:rPr>
      </w:pPr>
      <w:r w:rsidRPr="00AD2821">
        <w:rPr>
          <w:rFonts w:eastAsia="Aptos" w:cstheme="minorHAnsi"/>
          <w:noProof/>
          <w:lang w:val="en-GB" w:eastAsia="en-GB"/>
        </w:rPr>
        <w:drawing>
          <wp:inline distT="0" distB="0" distL="0" distR="0" wp14:anchorId="6DA2827A" wp14:editId="0E74647B">
            <wp:extent cx="5843764" cy="1478071"/>
            <wp:effectExtent l="0" t="0" r="5080" b="8255"/>
            <wp:docPr id="228919629" name="Afbeelding 45" descr="A blue and black chart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919629" name="Afbeelding 45" descr="A blue and black chart with black text&#10;&#10;AI-generated content may be incorrec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85578" cy="1488647"/>
                    </a:xfrm>
                    <a:prstGeom prst="rect">
                      <a:avLst/>
                    </a:prstGeom>
                    <a:noFill/>
                  </pic:spPr>
                </pic:pic>
              </a:graphicData>
            </a:graphic>
          </wp:inline>
        </w:drawing>
      </w:r>
    </w:p>
    <w:p w14:paraId="5EC846C5" w14:textId="77777777" w:rsidR="00303F17" w:rsidRPr="00AD2821" w:rsidRDefault="00303F17" w:rsidP="002D6814">
      <w:pPr>
        <w:jc w:val="both"/>
        <w:rPr>
          <w:rFonts w:cstheme="minorHAnsi"/>
          <w:b/>
          <w:bCs/>
          <w:sz w:val="22"/>
          <w:szCs w:val="22"/>
          <w:lang w:val="en-US"/>
        </w:rPr>
      </w:pPr>
    </w:p>
    <w:p w14:paraId="4565367F" w14:textId="77777777" w:rsidR="00303F17" w:rsidRPr="00AD2821" w:rsidRDefault="00303F17">
      <w:pPr>
        <w:rPr>
          <w:rFonts w:cstheme="minorHAnsi"/>
          <w:b/>
          <w:bCs/>
          <w:sz w:val="22"/>
          <w:szCs w:val="22"/>
          <w:lang w:val="en-US"/>
        </w:rPr>
      </w:pPr>
      <w:r w:rsidRPr="00AD2821">
        <w:rPr>
          <w:rFonts w:cstheme="minorHAnsi"/>
          <w:b/>
          <w:bCs/>
          <w:sz w:val="22"/>
          <w:szCs w:val="22"/>
          <w:lang w:val="en-US"/>
        </w:rPr>
        <w:br w:type="page"/>
      </w:r>
    </w:p>
    <w:p w14:paraId="75303E08" w14:textId="77777777" w:rsidR="00C50078" w:rsidRPr="00AD2821" w:rsidRDefault="00303F17" w:rsidP="00C50078">
      <w:pPr>
        <w:keepNext/>
        <w:keepLines/>
        <w:spacing w:before="160" w:after="80" w:line="278" w:lineRule="auto"/>
        <w:outlineLvl w:val="1"/>
        <w:rPr>
          <w:rFonts w:eastAsia="Times New Roman" w:cstheme="minorHAnsi"/>
          <w:color w:val="000000" w:themeColor="text1"/>
          <w:sz w:val="22"/>
          <w:szCs w:val="22"/>
          <w:lang w:val="en-GB"/>
        </w:rPr>
      </w:pPr>
      <w:r w:rsidRPr="00AD2821">
        <w:rPr>
          <w:rFonts w:cstheme="minorHAnsi"/>
          <w:color w:val="000000" w:themeColor="text1"/>
          <w:sz w:val="22"/>
          <w:szCs w:val="22"/>
          <w:lang w:val="en-US"/>
        </w:rPr>
        <w:lastRenderedPageBreak/>
        <w:t xml:space="preserve">Appendix 8. </w:t>
      </w:r>
      <w:r w:rsidR="00C50078" w:rsidRPr="00AD2821">
        <w:rPr>
          <w:rFonts w:eastAsia="Times New Roman" w:cstheme="minorHAnsi"/>
          <w:color w:val="000000" w:themeColor="text1"/>
          <w:sz w:val="22"/>
          <w:szCs w:val="22"/>
          <w:lang w:val="en-GB"/>
        </w:rPr>
        <w:t>Jury Feedback Form</w:t>
      </w:r>
    </w:p>
    <w:p w14:paraId="56C8BD14" w14:textId="77777777" w:rsidR="00C50078" w:rsidRPr="00AD2821" w:rsidRDefault="00C50078" w:rsidP="00C50078">
      <w:pPr>
        <w:ind w:left="708" w:firstLine="708"/>
        <w:rPr>
          <w:rFonts w:eastAsia="Times New Roman" w:cstheme="minorHAnsi"/>
          <w:lang w:val="en-GB" w:eastAsia="nl-NL"/>
        </w:rPr>
      </w:pPr>
      <w:r w:rsidRPr="00AD2821">
        <w:rPr>
          <w:rFonts w:eastAsia="Times New Roman" w:cstheme="minorHAnsi"/>
          <w:b/>
          <w:bCs/>
          <w:color w:val="000000"/>
          <w:sz w:val="32"/>
          <w:szCs w:val="32"/>
          <w:lang w:val="en-GB" w:eastAsia="nl-NL"/>
        </w:rPr>
        <w:t>JURY COMMITTEE FEEDBACK FORM </w:t>
      </w:r>
    </w:p>
    <w:p w14:paraId="6E0A91FD" w14:textId="77777777" w:rsidR="00C50078" w:rsidRPr="00AD2821" w:rsidRDefault="00C50078" w:rsidP="00C50078">
      <w:pPr>
        <w:rPr>
          <w:rFonts w:eastAsia="Times New Roman" w:cstheme="minorHAnsi"/>
          <w:lang w:val="en-GB" w:eastAsia="nl-NL"/>
        </w:rPr>
      </w:pPr>
    </w:p>
    <w:p w14:paraId="268F7C11" w14:textId="77777777" w:rsidR="00C50078" w:rsidRPr="00AD2821" w:rsidRDefault="00C50078" w:rsidP="00C50078">
      <w:pPr>
        <w:spacing w:line="480" w:lineRule="auto"/>
        <w:jc w:val="center"/>
        <w:rPr>
          <w:rFonts w:eastAsia="Times New Roman" w:cstheme="minorHAnsi"/>
          <w:lang w:val="en-GB" w:eastAsia="nl-NL"/>
        </w:rPr>
      </w:pPr>
      <w:r w:rsidRPr="00AD2821">
        <w:rPr>
          <w:rFonts w:eastAsia="Times New Roman" w:cstheme="minorHAnsi"/>
          <w:color w:val="000000"/>
          <w:sz w:val="28"/>
          <w:szCs w:val="28"/>
          <w:lang w:val="en-GB" w:eastAsia="nl-NL"/>
        </w:rPr>
        <w:t>FEEDBACK FORM - DAY 1</w:t>
      </w:r>
    </w:p>
    <w:p w14:paraId="6997540B" w14:textId="77777777" w:rsidR="00C50078" w:rsidRPr="00AD2821" w:rsidRDefault="00C50078" w:rsidP="00C50078">
      <w:pPr>
        <w:spacing w:after="240"/>
        <w:rPr>
          <w:rFonts w:eastAsia="Times New Roman" w:cstheme="minorHAnsi"/>
          <w:lang w:val="en-GB" w:eastAsia="nl-NL"/>
        </w:rPr>
      </w:pPr>
    </w:p>
    <w:p w14:paraId="6D8008DA" w14:textId="77777777" w:rsidR="00C50078" w:rsidRPr="00AD2821" w:rsidRDefault="00C50078" w:rsidP="00C50078">
      <w:pPr>
        <w:spacing w:line="720" w:lineRule="auto"/>
        <w:jc w:val="center"/>
        <w:rPr>
          <w:rFonts w:eastAsia="Times New Roman" w:cstheme="minorHAnsi"/>
          <w:lang w:val="en-GB" w:eastAsia="nl-NL"/>
        </w:rPr>
      </w:pPr>
      <w:r w:rsidRPr="00AD2821">
        <w:rPr>
          <w:rFonts w:eastAsia="Times New Roman" w:cstheme="minorHAnsi"/>
          <w:color w:val="000000"/>
          <w:sz w:val="28"/>
          <w:szCs w:val="28"/>
          <w:lang w:val="en-GB" w:eastAsia="nl-NL"/>
        </w:rPr>
        <w:t>NAME/SURNAME: </w:t>
      </w:r>
    </w:p>
    <w:p w14:paraId="63E091BF" w14:textId="77777777" w:rsidR="00C50078" w:rsidRPr="00AD2821" w:rsidRDefault="00C50078" w:rsidP="00C50078">
      <w:pPr>
        <w:spacing w:line="720" w:lineRule="auto"/>
        <w:jc w:val="center"/>
        <w:rPr>
          <w:rFonts w:eastAsia="Times New Roman" w:cstheme="minorHAnsi"/>
          <w:lang w:val="en-GB" w:eastAsia="nl-NL"/>
        </w:rPr>
      </w:pPr>
      <w:r w:rsidRPr="00AD2821">
        <w:rPr>
          <w:rFonts w:eastAsia="Times New Roman" w:cstheme="minorHAnsi"/>
          <w:color w:val="000000"/>
          <w:sz w:val="28"/>
          <w:szCs w:val="28"/>
          <w:lang w:val="en-GB" w:eastAsia="nl-NL"/>
        </w:rPr>
        <w:t> ____________________________________</w:t>
      </w:r>
    </w:p>
    <w:p w14:paraId="394444A6" w14:textId="77777777" w:rsidR="00C50078" w:rsidRPr="00AD2821" w:rsidRDefault="00C50078" w:rsidP="00C50078">
      <w:pPr>
        <w:rPr>
          <w:rFonts w:eastAsia="Times New Roman" w:cstheme="minorHAnsi"/>
          <w:lang w:val="en-GB" w:eastAsia="nl-NL"/>
        </w:rPr>
      </w:pPr>
    </w:p>
    <w:tbl>
      <w:tblPr>
        <w:tblW w:w="0" w:type="auto"/>
        <w:tblCellMar>
          <w:top w:w="15" w:type="dxa"/>
          <w:left w:w="15" w:type="dxa"/>
          <w:bottom w:w="15" w:type="dxa"/>
          <w:right w:w="15" w:type="dxa"/>
        </w:tblCellMar>
        <w:tblLook w:val="04A0" w:firstRow="1" w:lastRow="0" w:firstColumn="1" w:lastColumn="0" w:noHBand="0" w:noVBand="1"/>
      </w:tblPr>
      <w:tblGrid>
        <w:gridCol w:w="4472"/>
        <w:gridCol w:w="2240"/>
        <w:gridCol w:w="409"/>
        <w:gridCol w:w="2321"/>
      </w:tblGrid>
      <w:tr w:rsidR="00C50078" w:rsidRPr="00AD2821" w14:paraId="21F221E8"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0A5C3D" w14:textId="77777777" w:rsidR="00C50078" w:rsidRPr="00AD2821" w:rsidRDefault="00C50078" w:rsidP="00D45F54">
            <w:pPr>
              <w:spacing w:after="240"/>
              <w:rPr>
                <w:rFonts w:eastAsia="Times New Roman" w:cstheme="minorHAnsi"/>
                <w:lang w:val="en-GB" w:eastAsia="nl-NL"/>
              </w:rPr>
            </w:pPr>
          </w:p>
          <w:p w14:paraId="27815206" w14:textId="77777777" w:rsidR="00C50078" w:rsidRPr="00AD2821" w:rsidRDefault="00C50078" w:rsidP="00D45F54">
            <w:pPr>
              <w:rPr>
                <w:rFonts w:eastAsia="Times New Roman" w:cstheme="minorHAnsi"/>
                <w:lang w:val="en-GB" w:eastAsia="nl-NL"/>
              </w:rPr>
            </w:pPr>
            <w:r w:rsidRPr="00AD2821">
              <w:rPr>
                <w:rFonts w:eastAsia="Times New Roman" w:cstheme="minorHAnsi"/>
                <w:b/>
                <w:bCs/>
                <w:color w:val="000000"/>
                <w:lang w:val="en-GB" w:eastAsia="nl-NL"/>
              </w:rPr>
              <w:t>Questions</w:t>
            </w:r>
          </w:p>
          <w:p w14:paraId="27347D0F" w14:textId="77777777" w:rsidR="00C50078" w:rsidRPr="00AD2821" w:rsidRDefault="00C50078" w:rsidP="00D45F54">
            <w:pPr>
              <w:rPr>
                <w:rFonts w:eastAsia="Times New Roman" w:cstheme="minorHAnsi"/>
                <w:lang w:val="en-GB" w:eastAsia="nl-NL"/>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AE69DD" w14:textId="77777777" w:rsidR="00C50078" w:rsidRPr="00AD2821" w:rsidRDefault="00C50078" w:rsidP="00D45F54">
            <w:pPr>
              <w:jc w:val="center"/>
              <w:rPr>
                <w:rFonts w:eastAsia="Times New Roman" w:cstheme="minorHAnsi"/>
                <w:lang w:val="en-GB" w:eastAsia="nl-NL"/>
              </w:rPr>
            </w:pPr>
            <w:r w:rsidRPr="00AD2821">
              <w:rPr>
                <w:rFonts w:eastAsia="Times New Roman" w:cstheme="minorHAnsi"/>
                <w:color w:val="000000"/>
                <w:lang w:val="en-GB" w:eastAsia="nl-NL"/>
              </w:rPr>
              <w:t>Lowest grade</w:t>
            </w:r>
          </w:p>
          <w:p w14:paraId="75200CB6" w14:textId="77777777" w:rsidR="00C50078" w:rsidRPr="00AD2821" w:rsidRDefault="00C50078" w:rsidP="00D45F54">
            <w:pPr>
              <w:jc w:val="center"/>
              <w:rPr>
                <w:rFonts w:eastAsia="Times New Roman" w:cstheme="minorHAnsi"/>
                <w:lang w:val="en-GB" w:eastAsia="nl-NL"/>
              </w:rPr>
            </w:pPr>
            <w:r w:rsidRPr="00AD2821">
              <w:rPr>
                <w:rFonts w:eastAsia="Times New Roman" w:cstheme="minorHAnsi"/>
                <w:color w:val="000000"/>
                <w:lang w:val="en-GB" w:eastAsia="nl-NL"/>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94A29E" w14:textId="77777777" w:rsidR="00C50078" w:rsidRPr="00AD2821" w:rsidRDefault="00C50078" w:rsidP="00D45F54">
            <w:pPr>
              <w:rPr>
                <w:rFonts w:eastAsia="Times New Roman" w:cstheme="minorHAnsi"/>
                <w:lang w:val="en-GB" w:eastAsia="nl-NL"/>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2F7506" w14:textId="77777777" w:rsidR="00C50078" w:rsidRPr="00AD2821" w:rsidRDefault="00C50078" w:rsidP="00D45F54">
            <w:pPr>
              <w:jc w:val="center"/>
              <w:rPr>
                <w:rFonts w:eastAsia="Times New Roman" w:cstheme="minorHAnsi"/>
                <w:lang w:val="en-GB" w:eastAsia="nl-NL"/>
              </w:rPr>
            </w:pPr>
            <w:r w:rsidRPr="00AD2821">
              <w:rPr>
                <w:rFonts w:eastAsia="Times New Roman" w:cstheme="minorHAnsi"/>
                <w:color w:val="000000"/>
                <w:lang w:val="en-GB" w:eastAsia="nl-NL"/>
              </w:rPr>
              <w:t>Highest grade</w:t>
            </w:r>
          </w:p>
          <w:p w14:paraId="65A910B0" w14:textId="77777777" w:rsidR="00C50078" w:rsidRPr="00AD2821" w:rsidRDefault="00C50078" w:rsidP="00D45F54">
            <w:pPr>
              <w:jc w:val="center"/>
              <w:rPr>
                <w:rFonts w:eastAsia="Times New Roman" w:cstheme="minorHAnsi"/>
                <w:lang w:val="en-GB" w:eastAsia="nl-NL"/>
              </w:rPr>
            </w:pPr>
            <w:r w:rsidRPr="00AD2821">
              <w:rPr>
                <w:rFonts w:eastAsia="Times New Roman" w:cstheme="minorHAnsi"/>
                <w:color w:val="000000"/>
                <w:lang w:val="en-GB" w:eastAsia="nl-NL"/>
              </w:rPr>
              <w:t>(10)</w:t>
            </w:r>
          </w:p>
        </w:tc>
      </w:tr>
      <w:tr w:rsidR="00C50078" w:rsidRPr="00AD2821" w14:paraId="538C3FFA" w14:textId="77777777" w:rsidTr="00D45F54">
        <w:tc>
          <w:tcPr>
            <w:tcW w:w="0" w:type="auto"/>
            <w:gridSpan w:val="4"/>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hideMark/>
          </w:tcPr>
          <w:p w14:paraId="610B7F52" w14:textId="77777777" w:rsidR="00C50078" w:rsidRPr="00AD2821" w:rsidRDefault="00C50078" w:rsidP="00D45F54">
            <w:pPr>
              <w:rPr>
                <w:rFonts w:eastAsia="Times New Roman" w:cstheme="minorHAnsi"/>
                <w:lang w:val="en-GB" w:eastAsia="nl-NL"/>
              </w:rPr>
            </w:pPr>
          </w:p>
          <w:p w14:paraId="112055EB" w14:textId="77777777" w:rsidR="00C50078" w:rsidRPr="00AD2821" w:rsidRDefault="00C50078" w:rsidP="00D45F54">
            <w:pPr>
              <w:rPr>
                <w:rFonts w:eastAsia="Times New Roman" w:cstheme="minorHAnsi"/>
                <w:lang w:val="en-GB" w:eastAsia="nl-NL"/>
              </w:rPr>
            </w:pPr>
            <w:r w:rsidRPr="00AD2821">
              <w:rPr>
                <w:rFonts w:eastAsia="Times New Roman" w:cstheme="minorHAnsi"/>
                <w:i/>
                <w:iCs/>
                <w:color w:val="000000"/>
                <w:lang w:val="en-GB" w:eastAsia="nl-NL"/>
              </w:rPr>
              <w:t>Methodology </w:t>
            </w:r>
          </w:p>
          <w:p w14:paraId="208CC5C8" w14:textId="77777777" w:rsidR="00C50078" w:rsidRPr="00AD2821" w:rsidRDefault="00C50078" w:rsidP="00D45F54">
            <w:pPr>
              <w:rPr>
                <w:rFonts w:eastAsia="Times New Roman" w:cstheme="minorHAnsi"/>
                <w:lang w:val="en-GB" w:eastAsia="nl-NL"/>
              </w:rPr>
            </w:pPr>
          </w:p>
        </w:tc>
      </w:tr>
      <w:tr w:rsidR="00C50078" w:rsidRPr="00AD2821" w14:paraId="238ADD7B"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7F4E1C" w14:textId="77777777" w:rsidR="00C50078" w:rsidRPr="00AD2821" w:rsidRDefault="00C50078" w:rsidP="00D45F54">
            <w:pPr>
              <w:numPr>
                <w:ilvl w:val="0"/>
                <w:numId w:val="3"/>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 methodology was all clear to the public. </w:t>
            </w:r>
          </w:p>
          <w:p w14:paraId="1CE45E6B" w14:textId="77777777" w:rsidR="00C50078" w:rsidRPr="00AD2821" w:rsidRDefault="00C50078" w:rsidP="00D45F54">
            <w:pPr>
              <w:rPr>
                <w:rFonts w:eastAsia="Times New Roman" w:cstheme="minorHAnsi"/>
                <w:lang w:val="en-GB" w:eastAsia="nl-NL"/>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06E4F9"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4EACCD36" wp14:editId="5D557561">
                  <wp:extent cx="3018790" cy="313055"/>
                  <wp:effectExtent l="0" t="0" r="0" b="0"/>
                  <wp:docPr id="1429642951"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2F7D4B3A" w14:textId="77777777" w:rsidTr="00D45F54">
        <w:tc>
          <w:tcPr>
            <w:tcW w:w="0" w:type="auto"/>
            <w:gridSpan w:val="4"/>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hideMark/>
          </w:tcPr>
          <w:p w14:paraId="215F73EE" w14:textId="77777777" w:rsidR="00C50078" w:rsidRPr="00AD2821" w:rsidRDefault="00C50078" w:rsidP="00D45F54">
            <w:pPr>
              <w:rPr>
                <w:rFonts w:eastAsia="Times New Roman" w:cstheme="minorHAnsi"/>
                <w:lang w:val="en-GB" w:eastAsia="nl-NL"/>
              </w:rPr>
            </w:pPr>
          </w:p>
          <w:p w14:paraId="65EF3412" w14:textId="77777777" w:rsidR="00C50078" w:rsidRPr="00AD2821" w:rsidRDefault="00C50078" w:rsidP="00D45F54">
            <w:pPr>
              <w:rPr>
                <w:rFonts w:eastAsia="Times New Roman" w:cstheme="minorHAnsi"/>
                <w:lang w:val="en-GB" w:eastAsia="nl-NL"/>
              </w:rPr>
            </w:pPr>
            <w:r w:rsidRPr="00AD2821">
              <w:rPr>
                <w:rFonts w:eastAsia="Times New Roman" w:cstheme="minorHAnsi"/>
                <w:i/>
                <w:iCs/>
                <w:color w:val="000000"/>
                <w:lang w:val="en-GB" w:eastAsia="nl-NL"/>
              </w:rPr>
              <w:t>Committee / public involvement </w:t>
            </w:r>
          </w:p>
          <w:p w14:paraId="24AD82BD" w14:textId="77777777" w:rsidR="00C50078" w:rsidRPr="00AD2821" w:rsidRDefault="00C50078" w:rsidP="00D45F54">
            <w:pPr>
              <w:rPr>
                <w:rFonts w:eastAsia="Times New Roman" w:cstheme="minorHAnsi"/>
                <w:lang w:val="en-GB" w:eastAsia="nl-NL"/>
              </w:rPr>
            </w:pPr>
          </w:p>
        </w:tc>
      </w:tr>
      <w:tr w:rsidR="00C50078" w:rsidRPr="00AD2821" w14:paraId="06B2325F"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BBBD3E" w14:textId="77777777" w:rsidR="00C50078" w:rsidRPr="00AD2821" w:rsidRDefault="00C50078" w:rsidP="00D45F54">
            <w:pPr>
              <w:numPr>
                <w:ilvl w:val="0"/>
                <w:numId w:val="4"/>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 validation committee was present on every assessment.</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57F72C"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5A57B2BC" wp14:editId="2FDD716F">
                  <wp:extent cx="3018790" cy="313055"/>
                  <wp:effectExtent l="0" t="0" r="0" b="0"/>
                  <wp:docPr id="176360651"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74A522CC"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4322C0" w14:textId="77777777" w:rsidR="00C50078" w:rsidRPr="00AD2821" w:rsidRDefault="00C50078" w:rsidP="00D45F54">
            <w:pPr>
              <w:numPr>
                <w:ilvl w:val="0"/>
                <w:numId w:val="5"/>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 validation committee had enough privacy during the validation process.</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992174"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0BF996B1" wp14:editId="725E89E8">
                  <wp:extent cx="3018790" cy="313055"/>
                  <wp:effectExtent l="0" t="0" r="0" b="0"/>
                  <wp:docPr id="337968584"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1C95744D"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34ED22" w14:textId="77777777" w:rsidR="00C50078" w:rsidRPr="00AD2821" w:rsidRDefault="00C50078" w:rsidP="00D45F54">
            <w:pPr>
              <w:numPr>
                <w:ilvl w:val="0"/>
                <w:numId w:val="6"/>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 public had an independent vote on each statement.</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7A2976"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5F33635C" wp14:editId="0D438553">
                  <wp:extent cx="3018790" cy="313055"/>
                  <wp:effectExtent l="0" t="0" r="0" b="0"/>
                  <wp:docPr id="1791674122"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2D3859FB"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9B7F0C" w14:textId="77777777" w:rsidR="00C50078" w:rsidRPr="00AD2821" w:rsidRDefault="00C50078" w:rsidP="00D45F54">
            <w:pPr>
              <w:numPr>
                <w:ilvl w:val="0"/>
                <w:numId w:val="7"/>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 patients’ representative involvement was adequate.</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65B75D"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7814AF0E" wp14:editId="70AF39A6">
                  <wp:extent cx="3018790" cy="313055"/>
                  <wp:effectExtent l="0" t="0" r="0" b="0"/>
                  <wp:docPr id="465061357"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73F0798F"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E0BAF0" w14:textId="77777777" w:rsidR="00C50078" w:rsidRPr="00AD2821" w:rsidRDefault="00C50078" w:rsidP="00D45F54">
            <w:pPr>
              <w:numPr>
                <w:ilvl w:val="0"/>
                <w:numId w:val="8"/>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Faculty participation level</w:t>
            </w:r>
          </w:p>
          <w:p w14:paraId="79707156" w14:textId="77777777" w:rsidR="00C50078" w:rsidRPr="00AD2821" w:rsidRDefault="00C50078" w:rsidP="00D45F54">
            <w:pPr>
              <w:rPr>
                <w:rFonts w:eastAsia="Times New Roman" w:cstheme="minorHAnsi"/>
                <w:lang w:val="en-GB" w:eastAsia="nl-NL"/>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B8DC83"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491CA2D6" wp14:editId="713A9D3E">
                  <wp:extent cx="3018790" cy="313055"/>
                  <wp:effectExtent l="0" t="0" r="0" b="0"/>
                  <wp:docPr id="1549860022"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3A0478AC" w14:textId="77777777" w:rsidTr="00D45F54">
        <w:tc>
          <w:tcPr>
            <w:tcW w:w="0" w:type="auto"/>
            <w:gridSpan w:val="4"/>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hideMark/>
          </w:tcPr>
          <w:p w14:paraId="6B745955" w14:textId="77777777" w:rsidR="00C50078" w:rsidRPr="00AD2821" w:rsidRDefault="00C50078" w:rsidP="00D45F54">
            <w:pPr>
              <w:rPr>
                <w:rFonts w:eastAsia="Times New Roman" w:cstheme="minorHAnsi"/>
                <w:lang w:val="en-GB" w:eastAsia="nl-NL"/>
              </w:rPr>
            </w:pPr>
          </w:p>
          <w:p w14:paraId="699411C7" w14:textId="77777777" w:rsidR="00C50078" w:rsidRPr="00AD2821" w:rsidRDefault="00C50078" w:rsidP="00D45F54">
            <w:pPr>
              <w:rPr>
                <w:rFonts w:eastAsia="Times New Roman" w:cstheme="minorHAnsi"/>
                <w:lang w:val="en-GB" w:eastAsia="nl-NL"/>
              </w:rPr>
            </w:pPr>
            <w:r w:rsidRPr="00AD2821">
              <w:rPr>
                <w:rFonts w:eastAsia="Times New Roman" w:cstheme="minorHAnsi"/>
                <w:i/>
                <w:iCs/>
                <w:color w:val="000000"/>
                <w:lang w:val="en-GB" w:eastAsia="nl-NL"/>
              </w:rPr>
              <w:t>IEGUMILS meeting </w:t>
            </w:r>
          </w:p>
          <w:p w14:paraId="707B01E4" w14:textId="77777777" w:rsidR="00C50078" w:rsidRPr="00AD2821" w:rsidRDefault="00C50078" w:rsidP="00D45F54">
            <w:pPr>
              <w:rPr>
                <w:rFonts w:eastAsia="Times New Roman" w:cstheme="minorHAnsi"/>
                <w:lang w:val="en-GB" w:eastAsia="nl-NL"/>
              </w:rPr>
            </w:pPr>
          </w:p>
        </w:tc>
      </w:tr>
      <w:tr w:rsidR="00C50078" w:rsidRPr="00AD2821" w14:paraId="3992BDF9"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96273D" w14:textId="77777777" w:rsidR="00C50078" w:rsidRPr="00AD2821" w:rsidRDefault="00C50078" w:rsidP="00D45F54">
            <w:pPr>
              <w:numPr>
                <w:ilvl w:val="0"/>
                <w:numId w:val="9"/>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lastRenderedPageBreak/>
              <w:t>How would you rate the scientific level of today</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6C3750"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109C3D96" wp14:editId="1DBCDB6D">
                  <wp:extent cx="3018790" cy="313055"/>
                  <wp:effectExtent l="0" t="0" r="0" b="0"/>
                  <wp:docPr id="1791938208"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1221772E"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8EBEFD" w14:textId="77777777" w:rsidR="00C50078" w:rsidRPr="00AD2821" w:rsidRDefault="00C50078" w:rsidP="00D45F54">
            <w:pPr>
              <w:numPr>
                <w:ilvl w:val="0"/>
                <w:numId w:val="10"/>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How would you rate the presentations of today</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41DF53"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1698970D" wp14:editId="29EDAAC4">
                  <wp:extent cx="3018790" cy="313055"/>
                  <wp:effectExtent l="0" t="0" r="0" b="0"/>
                  <wp:docPr id="543501283"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2FB56280"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E5D549" w14:textId="77777777" w:rsidR="00C50078" w:rsidRPr="00AD2821" w:rsidRDefault="00C50078" w:rsidP="00D45F54">
            <w:pPr>
              <w:numPr>
                <w:ilvl w:val="0"/>
                <w:numId w:val="11"/>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How would you rate the scientific program of today </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34267E"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2E8A42B4" wp14:editId="4A89F7A1">
                  <wp:extent cx="3018790" cy="313055"/>
                  <wp:effectExtent l="0" t="0" r="0" b="0"/>
                  <wp:docPr id="77895688"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270709D3"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90A137" w14:textId="77777777" w:rsidR="00C50078" w:rsidRPr="00AD2821" w:rsidRDefault="00C50078" w:rsidP="00D45F54">
            <w:pPr>
              <w:numPr>
                <w:ilvl w:val="0"/>
                <w:numId w:val="12"/>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How would you rate the clinical impact of today</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859738"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3B77F581" wp14:editId="3CC0C673">
                  <wp:extent cx="3018790" cy="313055"/>
                  <wp:effectExtent l="0" t="0" r="0" b="0"/>
                  <wp:docPr id="2084589605"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769E37F3"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10AC42" w14:textId="77777777" w:rsidR="00C50078" w:rsidRPr="00AD2821" w:rsidRDefault="00C50078" w:rsidP="00D45F54">
            <w:pPr>
              <w:numPr>
                <w:ilvl w:val="0"/>
                <w:numId w:val="13"/>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There was enough time for discussion after each statement  </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AD3A31"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49525756" wp14:editId="790B2CC0">
                  <wp:extent cx="3018790" cy="313055"/>
                  <wp:effectExtent l="0" t="0" r="0" b="0"/>
                  <wp:docPr id="1329504290"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39CD8DEA"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D5506D" w14:textId="77777777" w:rsidR="00C50078" w:rsidRPr="00AD2821" w:rsidRDefault="00C50078" w:rsidP="00D45F54">
            <w:pPr>
              <w:numPr>
                <w:ilvl w:val="0"/>
                <w:numId w:val="14"/>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 discussions before/after the vote were democratic and not influential </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7B35D8"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0CA914AA" wp14:editId="765369B5">
                  <wp:extent cx="3018790" cy="313055"/>
                  <wp:effectExtent l="0" t="0" r="0" b="0"/>
                  <wp:docPr id="704834217"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390D79E8"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CA19CF" w14:textId="77777777" w:rsidR="00C50078" w:rsidRPr="00AD2821" w:rsidRDefault="00C50078" w:rsidP="00D45F54">
            <w:pPr>
              <w:numPr>
                <w:ilvl w:val="0"/>
                <w:numId w:val="14"/>
              </w:numPr>
              <w:spacing w:after="160"/>
              <w:textAlignment w:val="baseline"/>
              <w:rPr>
                <w:rFonts w:eastAsia="Times New Roman" w:cstheme="minorHAnsi"/>
                <w:color w:val="000000"/>
                <w:sz w:val="22"/>
                <w:szCs w:val="22"/>
                <w:lang w:val="en-GB" w:eastAsia="nl-NL"/>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4CDED5" w14:textId="77777777" w:rsidR="00C50078" w:rsidRPr="00AD2821" w:rsidRDefault="00C50078" w:rsidP="00D45F54">
            <w:pPr>
              <w:rPr>
                <w:rFonts w:eastAsia="Times New Roman" w:cstheme="minorHAnsi"/>
                <w:lang w:val="en-GB" w:eastAsia="nl-NL"/>
              </w:rPr>
            </w:pPr>
          </w:p>
        </w:tc>
      </w:tr>
    </w:tbl>
    <w:p w14:paraId="550A7BBE" w14:textId="77777777" w:rsidR="00C50078" w:rsidRPr="00AD2821" w:rsidRDefault="00C50078" w:rsidP="00C50078">
      <w:pPr>
        <w:spacing w:after="160" w:line="278" w:lineRule="auto"/>
        <w:rPr>
          <w:rFonts w:eastAsia="Aptos" w:cstheme="minorHAnsi"/>
          <w:lang w:val="en-GB"/>
        </w:rPr>
      </w:pPr>
    </w:p>
    <w:p w14:paraId="0E3A0649" w14:textId="77777777" w:rsidR="00C50078" w:rsidRPr="00AD2821" w:rsidRDefault="00C50078" w:rsidP="00C50078">
      <w:pPr>
        <w:spacing w:line="480" w:lineRule="auto"/>
        <w:jc w:val="center"/>
        <w:rPr>
          <w:rFonts w:eastAsia="Times New Roman" w:cstheme="minorHAnsi"/>
          <w:lang w:val="en-GB" w:eastAsia="nl-NL"/>
        </w:rPr>
      </w:pPr>
      <w:r w:rsidRPr="00AD2821">
        <w:rPr>
          <w:rFonts w:eastAsia="Times New Roman" w:cstheme="minorHAnsi"/>
          <w:color w:val="000000"/>
          <w:sz w:val="28"/>
          <w:szCs w:val="28"/>
          <w:lang w:val="en-GB" w:eastAsia="nl-NL"/>
        </w:rPr>
        <w:t>FEEDBACK FORM - DAY 2</w:t>
      </w:r>
    </w:p>
    <w:p w14:paraId="630FE553" w14:textId="77777777" w:rsidR="00C50078" w:rsidRPr="00AD2821" w:rsidRDefault="00C50078" w:rsidP="00C50078">
      <w:pPr>
        <w:spacing w:after="240"/>
        <w:rPr>
          <w:rFonts w:eastAsia="Times New Roman" w:cstheme="minorHAnsi"/>
          <w:lang w:val="en-GB" w:eastAsia="nl-NL"/>
        </w:rPr>
      </w:pPr>
    </w:p>
    <w:p w14:paraId="73DD93F1" w14:textId="77777777" w:rsidR="00C50078" w:rsidRPr="00AD2821" w:rsidRDefault="00C50078" w:rsidP="00C50078">
      <w:pPr>
        <w:spacing w:line="720" w:lineRule="auto"/>
        <w:jc w:val="center"/>
        <w:rPr>
          <w:rFonts w:eastAsia="Times New Roman" w:cstheme="minorHAnsi"/>
          <w:lang w:val="en-GB" w:eastAsia="nl-NL"/>
        </w:rPr>
      </w:pPr>
      <w:r w:rsidRPr="00AD2821">
        <w:rPr>
          <w:rFonts w:eastAsia="Times New Roman" w:cstheme="minorHAnsi"/>
          <w:color w:val="000000"/>
          <w:sz w:val="28"/>
          <w:szCs w:val="28"/>
          <w:lang w:val="en-GB" w:eastAsia="nl-NL"/>
        </w:rPr>
        <w:t>NAME/SURNAME: </w:t>
      </w:r>
    </w:p>
    <w:p w14:paraId="168168E2" w14:textId="77777777" w:rsidR="00C50078" w:rsidRPr="00AD2821" w:rsidRDefault="00C50078" w:rsidP="00C50078">
      <w:pPr>
        <w:spacing w:line="720" w:lineRule="auto"/>
        <w:jc w:val="center"/>
        <w:rPr>
          <w:rFonts w:eastAsia="Times New Roman" w:cstheme="minorHAnsi"/>
          <w:lang w:val="en-GB" w:eastAsia="nl-NL"/>
        </w:rPr>
      </w:pPr>
      <w:r w:rsidRPr="00AD2821">
        <w:rPr>
          <w:rFonts w:eastAsia="Times New Roman" w:cstheme="minorHAnsi"/>
          <w:color w:val="000000"/>
          <w:sz w:val="28"/>
          <w:szCs w:val="28"/>
          <w:lang w:val="en-GB" w:eastAsia="nl-NL"/>
        </w:rPr>
        <w:t> ____________________________________</w:t>
      </w:r>
    </w:p>
    <w:p w14:paraId="7DA161F7" w14:textId="77777777" w:rsidR="00C50078" w:rsidRPr="00AD2821" w:rsidRDefault="00C50078" w:rsidP="00C50078">
      <w:pPr>
        <w:rPr>
          <w:rFonts w:eastAsia="Times New Roman" w:cstheme="minorHAnsi"/>
          <w:lang w:val="en-GB" w:eastAsia="nl-NL"/>
        </w:rPr>
      </w:pPr>
    </w:p>
    <w:tbl>
      <w:tblPr>
        <w:tblW w:w="0" w:type="auto"/>
        <w:tblCellMar>
          <w:top w:w="15" w:type="dxa"/>
          <w:left w:w="15" w:type="dxa"/>
          <w:bottom w:w="15" w:type="dxa"/>
          <w:right w:w="15" w:type="dxa"/>
        </w:tblCellMar>
        <w:tblLook w:val="04A0" w:firstRow="1" w:lastRow="0" w:firstColumn="1" w:lastColumn="0" w:noHBand="0" w:noVBand="1"/>
      </w:tblPr>
      <w:tblGrid>
        <w:gridCol w:w="4472"/>
        <w:gridCol w:w="2240"/>
        <w:gridCol w:w="409"/>
        <w:gridCol w:w="2321"/>
      </w:tblGrid>
      <w:tr w:rsidR="00C50078" w:rsidRPr="00AD2821" w14:paraId="15BBC109"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3845F4" w14:textId="77777777" w:rsidR="00C50078" w:rsidRPr="00AD2821" w:rsidRDefault="00C50078" w:rsidP="00D45F54">
            <w:pPr>
              <w:spacing w:after="240"/>
              <w:rPr>
                <w:rFonts w:eastAsia="Times New Roman" w:cstheme="minorHAnsi"/>
                <w:lang w:val="en-GB" w:eastAsia="nl-NL"/>
              </w:rPr>
            </w:pPr>
          </w:p>
          <w:p w14:paraId="10E079FC" w14:textId="77777777" w:rsidR="00C50078" w:rsidRPr="00AD2821" w:rsidRDefault="00C50078" w:rsidP="00D45F54">
            <w:pPr>
              <w:rPr>
                <w:rFonts w:eastAsia="Times New Roman" w:cstheme="minorHAnsi"/>
                <w:lang w:val="en-GB" w:eastAsia="nl-NL"/>
              </w:rPr>
            </w:pPr>
            <w:r w:rsidRPr="00AD2821">
              <w:rPr>
                <w:rFonts w:eastAsia="Times New Roman" w:cstheme="minorHAnsi"/>
                <w:b/>
                <w:bCs/>
                <w:color w:val="000000"/>
                <w:lang w:val="en-GB" w:eastAsia="nl-NL"/>
              </w:rPr>
              <w:t>Questions</w:t>
            </w:r>
          </w:p>
          <w:p w14:paraId="0EB471F2" w14:textId="77777777" w:rsidR="00C50078" w:rsidRPr="00AD2821" w:rsidRDefault="00C50078" w:rsidP="00D45F54">
            <w:pPr>
              <w:rPr>
                <w:rFonts w:eastAsia="Times New Roman" w:cstheme="minorHAnsi"/>
                <w:lang w:val="en-GB" w:eastAsia="nl-NL"/>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8409A3" w14:textId="77777777" w:rsidR="00C50078" w:rsidRPr="00AD2821" w:rsidRDefault="00C50078" w:rsidP="00D45F54">
            <w:pPr>
              <w:jc w:val="center"/>
              <w:rPr>
                <w:rFonts w:eastAsia="Times New Roman" w:cstheme="minorHAnsi"/>
                <w:lang w:val="en-GB" w:eastAsia="nl-NL"/>
              </w:rPr>
            </w:pPr>
            <w:r w:rsidRPr="00AD2821">
              <w:rPr>
                <w:rFonts w:eastAsia="Times New Roman" w:cstheme="minorHAnsi"/>
                <w:color w:val="000000"/>
                <w:lang w:val="en-GB" w:eastAsia="nl-NL"/>
              </w:rPr>
              <w:t>Lowest grade</w:t>
            </w:r>
          </w:p>
          <w:p w14:paraId="537278F2" w14:textId="77777777" w:rsidR="00C50078" w:rsidRPr="00AD2821" w:rsidRDefault="00C50078" w:rsidP="00D45F54">
            <w:pPr>
              <w:jc w:val="center"/>
              <w:rPr>
                <w:rFonts w:eastAsia="Times New Roman" w:cstheme="minorHAnsi"/>
                <w:lang w:val="en-GB" w:eastAsia="nl-NL"/>
              </w:rPr>
            </w:pPr>
            <w:r w:rsidRPr="00AD2821">
              <w:rPr>
                <w:rFonts w:eastAsia="Times New Roman" w:cstheme="minorHAnsi"/>
                <w:color w:val="000000"/>
                <w:lang w:val="en-GB" w:eastAsia="nl-NL"/>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96C7BC" w14:textId="77777777" w:rsidR="00C50078" w:rsidRPr="00AD2821" w:rsidRDefault="00C50078" w:rsidP="00D45F54">
            <w:pPr>
              <w:rPr>
                <w:rFonts w:eastAsia="Times New Roman" w:cstheme="minorHAnsi"/>
                <w:lang w:val="en-GB" w:eastAsia="nl-NL"/>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795FBF" w14:textId="77777777" w:rsidR="00C50078" w:rsidRPr="00AD2821" w:rsidRDefault="00C50078" w:rsidP="00D45F54">
            <w:pPr>
              <w:jc w:val="center"/>
              <w:rPr>
                <w:rFonts w:eastAsia="Times New Roman" w:cstheme="minorHAnsi"/>
                <w:lang w:val="en-GB" w:eastAsia="nl-NL"/>
              </w:rPr>
            </w:pPr>
            <w:r w:rsidRPr="00AD2821">
              <w:rPr>
                <w:rFonts w:eastAsia="Times New Roman" w:cstheme="minorHAnsi"/>
                <w:color w:val="000000"/>
                <w:lang w:val="en-GB" w:eastAsia="nl-NL"/>
              </w:rPr>
              <w:t>Highest grade</w:t>
            </w:r>
          </w:p>
          <w:p w14:paraId="435B042B" w14:textId="77777777" w:rsidR="00C50078" w:rsidRPr="00AD2821" w:rsidRDefault="00C50078" w:rsidP="00D45F54">
            <w:pPr>
              <w:jc w:val="center"/>
              <w:rPr>
                <w:rFonts w:eastAsia="Times New Roman" w:cstheme="minorHAnsi"/>
                <w:lang w:val="en-GB" w:eastAsia="nl-NL"/>
              </w:rPr>
            </w:pPr>
            <w:r w:rsidRPr="00AD2821">
              <w:rPr>
                <w:rFonts w:eastAsia="Times New Roman" w:cstheme="minorHAnsi"/>
                <w:color w:val="000000"/>
                <w:lang w:val="en-GB" w:eastAsia="nl-NL"/>
              </w:rPr>
              <w:t>(10)</w:t>
            </w:r>
          </w:p>
        </w:tc>
      </w:tr>
      <w:tr w:rsidR="00C50078" w:rsidRPr="00AD2821" w14:paraId="2D95C2C9" w14:textId="77777777" w:rsidTr="00D45F54">
        <w:tc>
          <w:tcPr>
            <w:tcW w:w="0" w:type="auto"/>
            <w:gridSpan w:val="4"/>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hideMark/>
          </w:tcPr>
          <w:p w14:paraId="5EE940D2" w14:textId="77777777" w:rsidR="00C50078" w:rsidRPr="00AD2821" w:rsidRDefault="00C50078" w:rsidP="00D45F54">
            <w:pPr>
              <w:rPr>
                <w:rFonts w:eastAsia="Times New Roman" w:cstheme="minorHAnsi"/>
                <w:lang w:val="en-GB" w:eastAsia="nl-NL"/>
              </w:rPr>
            </w:pPr>
          </w:p>
          <w:p w14:paraId="3568AE3A" w14:textId="77777777" w:rsidR="00C50078" w:rsidRPr="00AD2821" w:rsidRDefault="00C50078" w:rsidP="00D45F54">
            <w:pPr>
              <w:rPr>
                <w:rFonts w:eastAsia="Times New Roman" w:cstheme="minorHAnsi"/>
                <w:lang w:val="en-GB" w:eastAsia="nl-NL"/>
              </w:rPr>
            </w:pPr>
            <w:r w:rsidRPr="00AD2821">
              <w:rPr>
                <w:rFonts w:eastAsia="Times New Roman" w:cstheme="minorHAnsi"/>
                <w:i/>
                <w:iCs/>
                <w:color w:val="000000"/>
                <w:lang w:val="en-GB" w:eastAsia="nl-NL"/>
              </w:rPr>
              <w:t>Methodology </w:t>
            </w:r>
          </w:p>
          <w:p w14:paraId="0BF0BD2B" w14:textId="77777777" w:rsidR="00C50078" w:rsidRPr="00AD2821" w:rsidRDefault="00C50078" w:rsidP="00D45F54">
            <w:pPr>
              <w:rPr>
                <w:rFonts w:eastAsia="Times New Roman" w:cstheme="minorHAnsi"/>
                <w:lang w:val="en-GB" w:eastAsia="nl-NL"/>
              </w:rPr>
            </w:pPr>
          </w:p>
        </w:tc>
      </w:tr>
      <w:tr w:rsidR="00C50078" w:rsidRPr="00AD2821" w14:paraId="5C4E9777"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5E5A48" w14:textId="77777777" w:rsidR="00C50078" w:rsidRPr="00AD2821" w:rsidRDefault="00C50078" w:rsidP="00D45F54">
            <w:pPr>
              <w:numPr>
                <w:ilvl w:val="0"/>
                <w:numId w:val="15"/>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 methodology was all clear to the public. </w:t>
            </w:r>
          </w:p>
          <w:p w14:paraId="6FBA5E03" w14:textId="77777777" w:rsidR="00C50078" w:rsidRPr="00AD2821" w:rsidRDefault="00C50078" w:rsidP="00D45F54">
            <w:pPr>
              <w:rPr>
                <w:rFonts w:eastAsia="Times New Roman" w:cstheme="minorHAnsi"/>
                <w:lang w:val="en-GB" w:eastAsia="nl-NL"/>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B57B78"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5257E5C8" wp14:editId="1FAACBA6">
                  <wp:extent cx="3018790" cy="313055"/>
                  <wp:effectExtent l="0" t="0" r="0" b="0"/>
                  <wp:docPr id="303869534" name="Afbeelding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54ACC60B" w14:textId="77777777" w:rsidTr="00D45F54">
        <w:tc>
          <w:tcPr>
            <w:tcW w:w="0" w:type="auto"/>
            <w:gridSpan w:val="4"/>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hideMark/>
          </w:tcPr>
          <w:p w14:paraId="4E158726" w14:textId="77777777" w:rsidR="00C50078" w:rsidRPr="00AD2821" w:rsidRDefault="00C50078" w:rsidP="00D45F54">
            <w:pPr>
              <w:rPr>
                <w:rFonts w:eastAsia="Times New Roman" w:cstheme="minorHAnsi"/>
                <w:lang w:val="en-GB" w:eastAsia="nl-NL"/>
              </w:rPr>
            </w:pPr>
          </w:p>
          <w:p w14:paraId="2AEE8B42" w14:textId="77777777" w:rsidR="00C50078" w:rsidRPr="00AD2821" w:rsidRDefault="00C50078" w:rsidP="00D45F54">
            <w:pPr>
              <w:rPr>
                <w:rFonts w:eastAsia="Times New Roman" w:cstheme="minorHAnsi"/>
                <w:lang w:val="en-GB" w:eastAsia="nl-NL"/>
              </w:rPr>
            </w:pPr>
            <w:r w:rsidRPr="00AD2821">
              <w:rPr>
                <w:rFonts w:eastAsia="Times New Roman" w:cstheme="minorHAnsi"/>
                <w:i/>
                <w:iCs/>
                <w:color w:val="000000"/>
                <w:lang w:val="en-GB" w:eastAsia="nl-NL"/>
              </w:rPr>
              <w:t>Committee / public involvement </w:t>
            </w:r>
          </w:p>
          <w:p w14:paraId="1C611D46" w14:textId="77777777" w:rsidR="00C50078" w:rsidRPr="00AD2821" w:rsidRDefault="00C50078" w:rsidP="00D45F54">
            <w:pPr>
              <w:rPr>
                <w:rFonts w:eastAsia="Times New Roman" w:cstheme="minorHAnsi"/>
                <w:lang w:val="en-GB" w:eastAsia="nl-NL"/>
              </w:rPr>
            </w:pPr>
          </w:p>
        </w:tc>
      </w:tr>
      <w:tr w:rsidR="00C50078" w:rsidRPr="00AD2821" w14:paraId="1F4CDDFC"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367602" w14:textId="77777777" w:rsidR="00C50078" w:rsidRPr="00AD2821" w:rsidRDefault="00C50078" w:rsidP="00D45F54">
            <w:pPr>
              <w:numPr>
                <w:ilvl w:val="0"/>
                <w:numId w:val="16"/>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lastRenderedPageBreak/>
              <w:t>The validation committee was present on every assessment.</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59CE51"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3955C32C" wp14:editId="15F2D38F">
                  <wp:extent cx="3018790" cy="313055"/>
                  <wp:effectExtent l="0" t="0" r="0" b="0"/>
                  <wp:docPr id="1470814522" name="Afbeelding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5ED8455B"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ECCDE2" w14:textId="77777777" w:rsidR="00C50078" w:rsidRPr="00AD2821" w:rsidRDefault="00C50078" w:rsidP="00D45F54">
            <w:pPr>
              <w:numPr>
                <w:ilvl w:val="0"/>
                <w:numId w:val="17"/>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 validation committee had enough privacy during the validation process.</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A33FED"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27B4084A" wp14:editId="56690507">
                  <wp:extent cx="3018790" cy="313055"/>
                  <wp:effectExtent l="0" t="0" r="0" b="0"/>
                  <wp:docPr id="1183998364" name="Afbeelding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2B887C41"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E9A13B" w14:textId="77777777" w:rsidR="00C50078" w:rsidRPr="00AD2821" w:rsidRDefault="00C50078" w:rsidP="00D45F54">
            <w:pPr>
              <w:numPr>
                <w:ilvl w:val="0"/>
                <w:numId w:val="18"/>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 public had an independent vote on each statement.</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DB20DD"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0CD458DE" wp14:editId="042339B2">
                  <wp:extent cx="3018790" cy="313055"/>
                  <wp:effectExtent l="0" t="0" r="0" b="0"/>
                  <wp:docPr id="1563588763" name="Afbeelding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019F2119"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138569" w14:textId="77777777" w:rsidR="00C50078" w:rsidRPr="00AD2821" w:rsidRDefault="00C50078" w:rsidP="00D45F54">
            <w:pPr>
              <w:numPr>
                <w:ilvl w:val="0"/>
                <w:numId w:val="19"/>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 patients’ representative involvement was adequate.</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F1D5AD"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4EB5BCBE" wp14:editId="40652AAE">
                  <wp:extent cx="3018790" cy="313055"/>
                  <wp:effectExtent l="0" t="0" r="0" b="0"/>
                  <wp:docPr id="1138243975" name="Afbeelding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04A94921"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C567FD" w14:textId="77777777" w:rsidR="00C50078" w:rsidRPr="00AD2821" w:rsidRDefault="00C50078" w:rsidP="00D45F54">
            <w:pPr>
              <w:numPr>
                <w:ilvl w:val="0"/>
                <w:numId w:val="20"/>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Faculty participation level</w:t>
            </w:r>
          </w:p>
          <w:p w14:paraId="40333FAF" w14:textId="77777777" w:rsidR="00C50078" w:rsidRPr="00AD2821" w:rsidRDefault="00C50078" w:rsidP="00D45F54">
            <w:pPr>
              <w:rPr>
                <w:rFonts w:eastAsia="Times New Roman" w:cstheme="minorHAnsi"/>
                <w:lang w:val="en-GB" w:eastAsia="nl-NL"/>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1EFBA9"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5938062E" wp14:editId="37653313">
                  <wp:extent cx="3018790" cy="313055"/>
                  <wp:effectExtent l="0" t="0" r="0" b="0"/>
                  <wp:docPr id="888677378" name="Afbeelding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3E03F855" w14:textId="77777777" w:rsidTr="00D45F54">
        <w:tc>
          <w:tcPr>
            <w:tcW w:w="0" w:type="auto"/>
            <w:gridSpan w:val="4"/>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hideMark/>
          </w:tcPr>
          <w:p w14:paraId="6D673C72" w14:textId="77777777" w:rsidR="00C50078" w:rsidRPr="00AD2821" w:rsidRDefault="00C50078" w:rsidP="00D45F54">
            <w:pPr>
              <w:rPr>
                <w:rFonts w:eastAsia="Times New Roman" w:cstheme="minorHAnsi"/>
                <w:lang w:val="en-GB" w:eastAsia="nl-NL"/>
              </w:rPr>
            </w:pPr>
          </w:p>
          <w:p w14:paraId="2C86C9DE" w14:textId="77777777" w:rsidR="00C50078" w:rsidRPr="00AD2821" w:rsidRDefault="00C50078" w:rsidP="00D45F54">
            <w:pPr>
              <w:rPr>
                <w:rFonts w:eastAsia="Times New Roman" w:cstheme="minorHAnsi"/>
                <w:lang w:val="en-GB" w:eastAsia="nl-NL"/>
              </w:rPr>
            </w:pPr>
            <w:r w:rsidRPr="00AD2821">
              <w:rPr>
                <w:rFonts w:eastAsia="Times New Roman" w:cstheme="minorHAnsi"/>
                <w:i/>
                <w:iCs/>
                <w:color w:val="000000"/>
                <w:lang w:val="en-GB" w:eastAsia="nl-NL"/>
              </w:rPr>
              <w:t>IEGUMILS meeting </w:t>
            </w:r>
          </w:p>
          <w:p w14:paraId="49FB0537" w14:textId="77777777" w:rsidR="00C50078" w:rsidRPr="00AD2821" w:rsidRDefault="00C50078" w:rsidP="00D45F54">
            <w:pPr>
              <w:rPr>
                <w:rFonts w:eastAsia="Times New Roman" w:cstheme="minorHAnsi"/>
                <w:lang w:val="en-GB" w:eastAsia="nl-NL"/>
              </w:rPr>
            </w:pPr>
          </w:p>
        </w:tc>
      </w:tr>
      <w:tr w:rsidR="00C50078" w:rsidRPr="00AD2821" w14:paraId="01EFB1AE"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5A9731" w14:textId="77777777" w:rsidR="00C50078" w:rsidRPr="00AD2821" w:rsidRDefault="00C50078" w:rsidP="00D45F54">
            <w:pPr>
              <w:numPr>
                <w:ilvl w:val="0"/>
                <w:numId w:val="21"/>
              </w:numPr>
              <w:spacing w:after="1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How would you rate the scientific level of today</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67031F"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424036A7" wp14:editId="243F9C8A">
                  <wp:extent cx="3018790" cy="313055"/>
                  <wp:effectExtent l="0" t="0" r="0" b="0"/>
                  <wp:docPr id="3182125" name="Afbeelding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3A40DBBB"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800586" w14:textId="77777777" w:rsidR="00C50078" w:rsidRPr="00AD2821" w:rsidRDefault="00C50078" w:rsidP="00D45F54">
            <w:pPr>
              <w:numPr>
                <w:ilvl w:val="0"/>
                <w:numId w:val="22"/>
              </w:numPr>
              <w:spacing w:after="160"/>
              <w:ind w:left="360" w:hanging="3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How would you rate the presentations of today</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0D10E"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4FE93630" wp14:editId="1AE026DD">
                  <wp:extent cx="3018790" cy="313055"/>
                  <wp:effectExtent l="0" t="0" r="0" b="0"/>
                  <wp:docPr id="1772975045" name="Afbeelding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1C0837E0"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3A6003" w14:textId="77777777" w:rsidR="00C50078" w:rsidRPr="00AD2821" w:rsidRDefault="00C50078" w:rsidP="00D45F54">
            <w:pPr>
              <w:numPr>
                <w:ilvl w:val="0"/>
                <w:numId w:val="23"/>
              </w:numPr>
              <w:spacing w:after="160"/>
              <w:ind w:left="720" w:hanging="3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How would you rate the scientific program of today </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822D15"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20C9D128" wp14:editId="1FEB2466">
                  <wp:extent cx="3018790" cy="313055"/>
                  <wp:effectExtent l="0" t="0" r="0" b="0"/>
                  <wp:docPr id="1810633630" name="Afbeelding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57B06DBE"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545D87" w14:textId="77777777" w:rsidR="00C50078" w:rsidRPr="00AD2821" w:rsidRDefault="00C50078" w:rsidP="00D45F54">
            <w:pPr>
              <w:numPr>
                <w:ilvl w:val="0"/>
                <w:numId w:val="24"/>
              </w:numPr>
              <w:spacing w:after="160"/>
              <w:ind w:left="357" w:hanging="357"/>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How would you rate the clinical impact of today</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94ACA7"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657B9096" wp14:editId="0795FBD7">
                  <wp:extent cx="3018790" cy="313055"/>
                  <wp:effectExtent l="0" t="0" r="0" b="0"/>
                  <wp:docPr id="70211947" name="Afbeelding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610BA535"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6EF229" w14:textId="77777777" w:rsidR="00C50078" w:rsidRPr="00AD2821" w:rsidRDefault="00C50078" w:rsidP="00D45F54">
            <w:pPr>
              <w:numPr>
                <w:ilvl w:val="0"/>
                <w:numId w:val="25"/>
              </w:numPr>
              <w:spacing w:after="160"/>
              <w:ind w:left="357" w:hanging="357"/>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There was enough time for discussion after each statement  </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4CC419"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0CDDA101" wp14:editId="42F68D42">
                  <wp:extent cx="3018790" cy="313055"/>
                  <wp:effectExtent l="0" t="0" r="0" b="0"/>
                  <wp:docPr id="1262802677" name="Afbeelding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r w:rsidR="00C50078" w:rsidRPr="00AD2821" w14:paraId="160690BF" w14:textId="77777777" w:rsidTr="00D45F5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CDCFF4" w14:textId="77777777" w:rsidR="00C50078" w:rsidRPr="00AD2821" w:rsidRDefault="00C50078" w:rsidP="00D45F54">
            <w:pPr>
              <w:numPr>
                <w:ilvl w:val="0"/>
                <w:numId w:val="26"/>
              </w:numPr>
              <w:spacing w:after="160"/>
              <w:ind w:left="720" w:hanging="360"/>
              <w:textAlignment w:val="baseline"/>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The discussions before/after the vote were democratic and not influential </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AF741E" w14:textId="77777777" w:rsidR="00C50078" w:rsidRPr="00AD2821" w:rsidRDefault="00C50078" w:rsidP="00D45F54">
            <w:pPr>
              <w:rPr>
                <w:rFonts w:eastAsia="Times New Roman" w:cstheme="minorHAnsi"/>
                <w:lang w:val="en-GB" w:eastAsia="nl-NL"/>
              </w:rPr>
            </w:pPr>
            <w:r w:rsidRPr="00AD2821">
              <w:rPr>
                <w:rFonts w:eastAsia="Times New Roman" w:cstheme="minorHAnsi"/>
                <w:lang w:val="en-GB" w:eastAsia="nl-NL"/>
              </w:rPr>
              <w:br/>
            </w:r>
            <w:r w:rsidRPr="00AD2821">
              <w:rPr>
                <w:rFonts w:eastAsia="Times New Roman" w:cstheme="minorHAnsi"/>
                <w:noProof/>
                <w:bdr w:val="none" w:sz="0" w:space="0" w:color="auto" w:frame="1"/>
                <w:lang w:val="en-GB" w:eastAsia="en-GB"/>
              </w:rPr>
              <w:drawing>
                <wp:inline distT="0" distB="0" distL="0" distR="0" wp14:anchorId="2E339BB2" wp14:editId="016CB8B4">
                  <wp:extent cx="3018790" cy="313055"/>
                  <wp:effectExtent l="0" t="0" r="0" b="0"/>
                  <wp:docPr id="415538875" name="Afbeelding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18790" cy="313055"/>
                          </a:xfrm>
                          <a:prstGeom prst="rect">
                            <a:avLst/>
                          </a:prstGeom>
                          <a:noFill/>
                          <a:ln>
                            <a:noFill/>
                          </a:ln>
                        </pic:spPr>
                      </pic:pic>
                    </a:graphicData>
                  </a:graphic>
                </wp:inline>
              </w:drawing>
            </w:r>
          </w:p>
        </w:tc>
      </w:tr>
    </w:tbl>
    <w:p w14:paraId="5E150FB3" w14:textId="734A21EB" w:rsidR="00303F17" w:rsidRPr="00AD2821" w:rsidRDefault="00C50078">
      <w:pPr>
        <w:rPr>
          <w:rFonts w:cstheme="minorHAnsi"/>
          <w:b/>
          <w:bCs/>
          <w:sz w:val="22"/>
          <w:szCs w:val="22"/>
          <w:lang w:val="en-US"/>
        </w:rPr>
      </w:pPr>
      <w:r w:rsidRPr="00AD2821">
        <w:rPr>
          <w:rFonts w:cstheme="minorHAnsi"/>
          <w:b/>
          <w:bCs/>
          <w:sz w:val="22"/>
          <w:szCs w:val="22"/>
          <w:lang w:val="en-US"/>
        </w:rPr>
        <w:br w:type="page"/>
      </w:r>
    </w:p>
    <w:p w14:paraId="0B7F25B3" w14:textId="7C3645B7" w:rsidR="00BA67BD" w:rsidRPr="00AD2821" w:rsidRDefault="00BA67BD" w:rsidP="002D6814">
      <w:pPr>
        <w:jc w:val="both"/>
        <w:rPr>
          <w:rFonts w:cstheme="minorHAnsi"/>
          <w:b/>
          <w:bCs/>
          <w:sz w:val="22"/>
          <w:szCs w:val="22"/>
          <w:lang w:val="en-US"/>
        </w:rPr>
      </w:pPr>
      <w:r w:rsidRPr="00AD2821">
        <w:rPr>
          <w:rFonts w:cstheme="minorHAnsi"/>
          <w:b/>
          <w:bCs/>
          <w:sz w:val="22"/>
          <w:szCs w:val="22"/>
          <w:lang w:val="en-US"/>
        </w:rPr>
        <w:lastRenderedPageBreak/>
        <w:t>Supplementary Figures and Tables</w:t>
      </w:r>
    </w:p>
    <w:p w14:paraId="005974A3" w14:textId="77777777" w:rsidR="00C50078" w:rsidRPr="00AD2821" w:rsidRDefault="00C50078" w:rsidP="002D6814">
      <w:pPr>
        <w:jc w:val="both"/>
        <w:rPr>
          <w:rFonts w:cstheme="minorHAnsi"/>
          <w:sz w:val="22"/>
          <w:szCs w:val="22"/>
          <w:lang w:val="en-US"/>
        </w:rPr>
      </w:pPr>
    </w:p>
    <w:p w14:paraId="02DC3CE7" w14:textId="77777777" w:rsidR="00C50078" w:rsidRPr="00AD2821" w:rsidRDefault="00303F17" w:rsidP="00C50078">
      <w:pPr>
        <w:keepNext/>
        <w:keepLines/>
        <w:spacing w:before="160" w:after="80" w:line="278" w:lineRule="auto"/>
        <w:outlineLvl w:val="1"/>
        <w:rPr>
          <w:rFonts w:eastAsia="Times New Roman" w:cstheme="minorHAnsi"/>
          <w:color w:val="000000" w:themeColor="text1"/>
          <w:sz w:val="22"/>
          <w:szCs w:val="22"/>
          <w:lang w:val="en-GB"/>
        </w:rPr>
      </w:pPr>
      <w:r w:rsidRPr="00AD2821">
        <w:rPr>
          <w:rFonts w:cstheme="minorHAnsi"/>
          <w:color w:val="000000" w:themeColor="text1"/>
          <w:sz w:val="22"/>
          <w:szCs w:val="22"/>
          <w:lang w:val="en-US"/>
        </w:rPr>
        <w:t xml:space="preserve">Supplementary Table 1. </w:t>
      </w:r>
      <w:r w:rsidR="00C50078" w:rsidRPr="00AD2821">
        <w:rPr>
          <w:rFonts w:eastAsia="Times New Roman" w:cstheme="minorHAnsi"/>
          <w:color w:val="000000" w:themeColor="text1"/>
          <w:sz w:val="22"/>
          <w:szCs w:val="22"/>
          <w:lang w:val="en-GB"/>
        </w:rPr>
        <w:t>Domain 1 MILS Terminology</w:t>
      </w:r>
    </w:p>
    <w:p w14:paraId="5619196C" w14:textId="77777777" w:rsidR="00C50078" w:rsidRPr="00AD2821" w:rsidRDefault="00C50078" w:rsidP="00C50078">
      <w:pPr>
        <w:spacing w:after="160" w:line="278" w:lineRule="auto"/>
        <w:rPr>
          <w:rFonts w:eastAsia="Aptos" w:cstheme="minorHAnsi"/>
          <w:lang w:val="en-GB"/>
        </w:rPr>
      </w:pPr>
      <w:r w:rsidRPr="00AD2821">
        <w:rPr>
          <w:rFonts w:eastAsia="Aptos" w:cstheme="minorHAnsi"/>
          <w:lang w:val="en-GB"/>
        </w:rPr>
        <w:t xml:space="preserve"> </w:t>
      </w:r>
    </w:p>
    <w:tbl>
      <w:tblPr>
        <w:tblW w:w="5000" w:type="pct"/>
        <w:tblCellMar>
          <w:left w:w="70" w:type="dxa"/>
          <w:right w:w="70" w:type="dxa"/>
        </w:tblCellMar>
        <w:tblLook w:val="04A0" w:firstRow="1" w:lastRow="0" w:firstColumn="1" w:lastColumn="0" w:noHBand="0" w:noVBand="1"/>
      </w:tblPr>
      <w:tblGrid>
        <w:gridCol w:w="364"/>
        <w:gridCol w:w="3509"/>
        <w:gridCol w:w="364"/>
        <w:gridCol w:w="2923"/>
        <w:gridCol w:w="650"/>
        <w:gridCol w:w="1632"/>
      </w:tblGrid>
      <w:tr w:rsidR="00C50078" w:rsidRPr="00AD2821" w14:paraId="31B7E509" w14:textId="77777777" w:rsidTr="00D45F54">
        <w:trPr>
          <w:trHeight w:val="375"/>
        </w:trPr>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1BF13298" w14:textId="77777777" w:rsidR="00C50078" w:rsidRPr="00AD2821" w:rsidRDefault="00C50078"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Q</w:t>
            </w:r>
          </w:p>
        </w:tc>
        <w:tc>
          <w:tcPr>
            <w:tcW w:w="1858" w:type="pct"/>
            <w:tcBorders>
              <w:top w:val="single" w:sz="4" w:space="0" w:color="auto"/>
              <w:left w:val="single" w:sz="4" w:space="0" w:color="auto"/>
              <w:bottom w:val="single" w:sz="4" w:space="0" w:color="auto"/>
              <w:right w:val="single" w:sz="4" w:space="0" w:color="auto"/>
            </w:tcBorders>
            <w:shd w:val="clear" w:color="auto" w:fill="auto"/>
            <w:hideMark/>
          </w:tcPr>
          <w:p w14:paraId="0F2EBA21" w14:textId="77777777" w:rsidR="00C50078" w:rsidRPr="00AD2821" w:rsidRDefault="00C50078"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Clinical Question</w:t>
            </w:r>
          </w:p>
        </w:tc>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0EA72D5A" w14:textId="77777777" w:rsidR="00C50078" w:rsidRPr="00AD2821" w:rsidRDefault="00C50078"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R</w:t>
            </w:r>
          </w:p>
        </w:tc>
        <w:tc>
          <w:tcPr>
            <w:tcW w:w="1548" w:type="pct"/>
            <w:tcBorders>
              <w:top w:val="single" w:sz="4" w:space="0" w:color="auto"/>
              <w:left w:val="single" w:sz="4" w:space="0" w:color="auto"/>
              <w:bottom w:val="single" w:sz="4" w:space="0" w:color="auto"/>
              <w:right w:val="single" w:sz="4" w:space="0" w:color="auto"/>
            </w:tcBorders>
            <w:shd w:val="clear" w:color="auto" w:fill="auto"/>
            <w:hideMark/>
          </w:tcPr>
          <w:p w14:paraId="3E83935D" w14:textId="77777777" w:rsidR="00C50078" w:rsidRPr="00AD2821" w:rsidRDefault="00C50078"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Recommendation</w:t>
            </w:r>
          </w:p>
        </w:tc>
        <w:tc>
          <w:tcPr>
            <w:tcW w:w="344" w:type="pct"/>
            <w:tcBorders>
              <w:top w:val="single" w:sz="4" w:space="0" w:color="auto"/>
              <w:left w:val="single" w:sz="4" w:space="0" w:color="auto"/>
              <w:bottom w:val="single" w:sz="4" w:space="0" w:color="auto"/>
              <w:right w:val="single" w:sz="4" w:space="0" w:color="auto"/>
            </w:tcBorders>
            <w:shd w:val="clear" w:color="auto" w:fill="auto"/>
            <w:hideMark/>
          </w:tcPr>
          <w:p w14:paraId="58B91D11" w14:textId="77777777" w:rsidR="00C50078" w:rsidRPr="00AD2821" w:rsidRDefault="00C50078"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Code</w:t>
            </w:r>
          </w:p>
        </w:tc>
        <w:tc>
          <w:tcPr>
            <w:tcW w:w="864" w:type="pct"/>
            <w:tcBorders>
              <w:top w:val="single" w:sz="4" w:space="0" w:color="auto"/>
              <w:left w:val="single" w:sz="4" w:space="0" w:color="auto"/>
              <w:bottom w:val="single" w:sz="4" w:space="0" w:color="auto"/>
              <w:right w:val="single" w:sz="4" w:space="0" w:color="auto"/>
            </w:tcBorders>
            <w:shd w:val="clear" w:color="auto" w:fill="auto"/>
            <w:hideMark/>
          </w:tcPr>
          <w:p w14:paraId="509CFD8D" w14:textId="77777777" w:rsidR="00C50078" w:rsidRPr="00AD2821" w:rsidRDefault="00C50078"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Comment</w:t>
            </w:r>
          </w:p>
        </w:tc>
      </w:tr>
      <w:tr w:rsidR="00C50078" w:rsidRPr="00AD2821" w14:paraId="22744975" w14:textId="77777777" w:rsidTr="00D45F54">
        <w:trPr>
          <w:trHeight w:val="1125"/>
        </w:trPr>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76DA69CD" w14:textId="77777777" w:rsidR="00C50078" w:rsidRPr="00AD2821" w:rsidRDefault="00C50078" w:rsidP="00D45F54">
            <w:pPr>
              <w:jc w:val="right"/>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1</w:t>
            </w:r>
          </w:p>
        </w:tc>
        <w:tc>
          <w:tcPr>
            <w:tcW w:w="1858" w:type="pct"/>
            <w:tcBorders>
              <w:top w:val="single" w:sz="4" w:space="0" w:color="auto"/>
              <w:left w:val="single" w:sz="4" w:space="0" w:color="auto"/>
              <w:bottom w:val="single" w:sz="4" w:space="0" w:color="auto"/>
              <w:right w:val="single" w:sz="4" w:space="0" w:color="auto"/>
            </w:tcBorders>
            <w:shd w:val="clear" w:color="D9D9D9" w:fill="D9D9D9"/>
            <w:hideMark/>
          </w:tcPr>
          <w:p w14:paraId="3419CE04"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 Are the laparoscopic, the robotic and the open approach the only defined approaches that should be considered in data collection, registries and research?</w:t>
            </w:r>
          </w:p>
        </w:tc>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5D0142B2"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1</w:t>
            </w:r>
          </w:p>
        </w:tc>
        <w:tc>
          <w:tcPr>
            <w:tcW w:w="1548" w:type="pct"/>
            <w:tcBorders>
              <w:top w:val="single" w:sz="4" w:space="0" w:color="auto"/>
              <w:left w:val="single" w:sz="4" w:space="0" w:color="auto"/>
              <w:bottom w:val="single" w:sz="4" w:space="0" w:color="auto"/>
              <w:right w:val="single" w:sz="4" w:space="0" w:color="auto"/>
            </w:tcBorders>
            <w:shd w:val="clear" w:color="D9D9D9" w:fill="D9D9D9"/>
            <w:hideMark/>
          </w:tcPr>
          <w:p w14:paraId="14689F4D"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xml:space="preserve">Besides the laparoscopic, robotic, and open approaches, also robot-assisted, hand-assisted, single incision and combined approaches should be reported in surgical series as defined in table 9. </w:t>
            </w:r>
          </w:p>
        </w:tc>
        <w:tc>
          <w:tcPr>
            <w:tcW w:w="344" w:type="pct"/>
            <w:tcBorders>
              <w:top w:val="single" w:sz="4" w:space="0" w:color="auto"/>
              <w:left w:val="single" w:sz="4" w:space="0" w:color="auto"/>
              <w:bottom w:val="single" w:sz="4" w:space="0" w:color="auto"/>
              <w:right w:val="single" w:sz="4" w:space="0" w:color="auto"/>
            </w:tcBorders>
            <w:shd w:val="clear" w:color="D9D9D9" w:fill="D9D9D9"/>
            <w:noWrap/>
            <w:hideMark/>
          </w:tcPr>
          <w:p w14:paraId="0CB41163"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c>
          <w:tcPr>
            <w:tcW w:w="864" w:type="pct"/>
            <w:tcBorders>
              <w:top w:val="single" w:sz="4" w:space="0" w:color="auto"/>
              <w:left w:val="single" w:sz="4" w:space="0" w:color="auto"/>
              <w:bottom w:val="single" w:sz="4" w:space="0" w:color="auto"/>
              <w:right w:val="single" w:sz="4" w:space="0" w:color="auto"/>
            </w:tcBorders>
            <w:shd w:val="clear" w:color="D9D9D9" w:fill="D9D9D9"/>
            <w:hideMark/>
          </w:tcPr>
          <w:p w14:paraId="730BB038"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xml:space="preserve">Comments added to table 9. </w:t>
            </w:r>
          </w:p>
        </w:tc>
      </w:tr>
      <w:tr w:rsidR="00C50078" w:rsidRPr="00AD2821" w14:paraId="5B97186D" w14:textId="77777777" w:rsidTr="00D45F54">
        <w:trPr>
          <w:trHeight w:val="1125"/>
        </w:trPr>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6232E3BF" w14:textId="77777777" w:rsidR="00C50078" w:rsidRPr="00AD2821" w:rsidRDefault="00C50078" w:rsidP="00D45F54">
            <w:pPr>
              <w:jc w:val="right"/>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2</w:t>
            </w:r>
          </w:p>
        </w:tc>
        <w:tc>
          <w:tcPr>
            <w:tcW w:w="1858" w:type="pct"/>
            <w:tcBorders>
              <w:top w:val="single" w:sz="4" w:space="0" w:color="auto"/>
              <w:left w:val="single" w:sz="4" w:space="0" w:color="auto"/>
              <w:bottom w:val="single" w:sz="4" w:space="0" w:color="auto"/>
              <w:right w:val="single" w:sz="4" w:space="0" w:color="auto"/>
            </w:tcBorders>
            <w:shd w:val="clear" w:color="auto" w:fill="auto"/>
            <w:hideMark/>
          </w:tcPr>
          <w:p w14:paraId="5557F2D9"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 How should we define a procedure in which both the laparoscopic and robotic approaches were adopted?</w:t>
            </w:r>
          </w:p>
        </w:tc>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2A0C4E38"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2</w:t>
            </w:r>
          </w:p>
        </w:tc>
        <w:tc>
          <w:tcPr>
            <w:tcW w:w="1548" w:type="pct"/>
            <w:tcBorders>
              <w:top w:val="single" w:sz="4" w:space="0" w:color="auto"/>
              <w:left w:val="single" w:sz="4" w:space="0" w:color="auto"/>
              <w:bottom w:val="single" w:sz="4" w:space="0" w:color="auto"/>
              <w:right w:val="single" w:sz="4" w:space="0" w:color="auto"/>
            </w:tcBorders>
            <w:shd w:val="clear" w:color="auto" w:fill="auto"/>
            <w:hideMark/>
          </w:tcPr>
          <w:p w14:paraId="35217696"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If the assistant performs a significant part of the surgery laparoscopically, beyond simply assisting the surgeon on the robotic console, it should be called ‘</w:t>
            </w:r>
            <w:r w:rsidRPr="00AD2821">
              <w:rPr>
                <w:rFonts w:eastAsia="Times New Roman" w:cstheme="minorHAnsi"/>
                <w:color w:val="000000"/>
                <w:sz w:val="22"/>
                <w:szCs w:val="22"/>
                <w:lang w:val="en-GB" w:eastAsia="nl-NL"/>
              </w:rPr>
              <w:t>COMBINED ROBOTIC LAPAROSCOPIC SURGERY (CRLS)’.</w:t>
            </w:r>
            <w:r w:rsidRPr="00AD2821">
              <w:rPr>
                <w:rFonts w:eastAsia="Times New Roman" w:cstheme="minorHAnsi"/>
                <w:b/>
                <w:bCs/>
                <w:color w:val="000000"/>
                <w:sz w:val="22"/>
                <w:szCs w:val="22"/>
                <w:lang w:val="en-GB" w:eastAsia="nl-NL"/>
              </w:rPr>
              <w:t xml:space="preserve"> </w:t>
            </w:r>
          </w:p>
        </w:tc>
        <w:tc>
          <w:tcPr>
            <w:tcW w:w="344" w:type="pct"/>
            <w:tcBorders>
              <w:top w:val="single" w:sz="4" w:space="0" w:color="auto"/>
              <w:left w:val="single" w:sz="4" w:space="0" w:color="auto"/>
              <w:bottom w:val="single" w:sz="4" w:space="0" w:color="auto"/>
              <w:right w:val="single" w:sz="4" w:space="0" w:color="auto"/>
            </w:tcBorders>
            <w:shd w:val="clear" w:color="auto" w:fill="auto"/>
            <w:noWrap/>
            <w:hideMark/>
          </w:tcPr>
          <w:p w14:paraId="5FCF33D4"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c>
          <w:tcPr>
            <w:tcW w:w="864" w:type="pct"/>
            <w:tcBorders>
              <w:top w:val="single" w:sz="4" w:space="0" w:color="auto"/>
              <w:left w:val="single" w:sz="4" w:space="0" w:color="auto"/>
              <w:bottom w:val="single" w:sz="4" w:space="0" w:color="auto"/>
              <w:right w:val="single" w:sz="4" w:space="0" w:color="auto"/>
            </w:tcBorders>
            <w:shd w:val="clear" w:color="auto" w:fill="auto"/>
            <w:hideMark/>
          </w:tcPr>
          <w:p w14:paraId="2B0435F7"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C50078" w:rsidRPr="00AD2821" w14:paraId="1FBF59B1" w14:textId="77777777" w:rsidTr="00D45F54">
        <w:trPr>
          <w:trHeight w:val="2250"/>
        </w:trPr>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4E90E351" w14:textId="77777777" w:rsidR="00C50078" w:rsidRPr="00AD2821" w:rsidRDefault="00C50078" w:rsidP="00D45F54">
            <w:pPr>
              <w:jc w:val="right"/>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3</w:t>
            </w:r>
          </w:p>
        </w:tc>
        <w:tc>
          <w:tcPr>
            <w:tcW w:w="1858" w:type="pct"/>
            <w:tcBorders>
              <w:top w:val="single" w:sz="4" w:space="0" w:color="auto"/>
              <w:left w:val="single" w:sz="4" w:space="0" w:color="auto"/>
              <w:bottom w:val="single" w:sz="4" w:space="0" w:color="auto"/>
              <w:right w:val="single" w:sz="4" w:space="0" w:color="auto"/>
            </w:tcBorders>
            <w:shd w:val="clear" w:color="D9D9D9" w:fill="D9D9D9"/>
            <w:hideMark/>
          </w:tcPr>
          <w:p w14:paraId="276D6C79"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 How should we define a procedure in which the open and laparoscopic/robotic approach were adopted?</w:t>
            </w:r>
          </w:p>
        </w:tc>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2BE733D4"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3</w:t>
            </w:r>
          </w:p>
        </w:tc>
        <w:tc>
          <w:tcPr>
            <w:tcW w:w="1548" w:type="pct"/>
            <w:tcBorders>
              <w:top w:val="single" w:sz="4" w:space="0" w:color="auto"/>
              <w:left w:val="single" w:sz="4" w:space="0" w:color="auto"/>
              <w:bottom w:val="single" w:sz="4" w:space="0" w:color="auto"/>
              <w:right w:val="single" w:sz="4" w:space="0" w:color="auto"/>
            </w:tcBorders>
            <w:shd w:val="clear" w:color="D9D9D9" w:fill="D9D9D9"/>
            <w:hideMark/>
          </w:tcPr>
          <w:p w14:paraId="5FBC05A2"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 combination of laparoscopic/robotic and open approaches should be defined: COMBINED LAPAROSCOPIC/ROBOTIC and OPEN SURGERY (CLOS/CROS). This is a combined laparoscopic/robotic and open procedure, including a planned mini laparotomy, that is performed for reasons different from specimen extraction. Prior studies may have referred to this as a hybrid procedure.</w:t>
            </w:r>
          </w:p>
        </w:tc>
        <w:tc>
          <w:tcPr>
            <w:tcW w:w="344" w:type="pct"/>
            <w:tcBorders>
              <w:top w:val="single" w:sz="4" w:space="0" w:color="auto"/>
              <w:left w:val="single" w:sz="4" w:space="0" w:color="auto"/>
              <w:bottom w:val="single" w:sz="4" w:space="0" w:color="auto"/>
              <w:right w:val="single" w:sz="4" w:space="0" w:color="auto"/>
            </w:tcBorders>
            <w:shd w:val="clear" w:color="D9D9D9" w:fill="D9D9D9"/>
            <w:noWrap/>
            <w:hideMark/>
          </w:tcPr>
          <w:p w14:paraId="4B310BD7"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c>
          <w:tcPr>
            <w:tcW w:w="864" w:type="pct"/>
            <w:tcBorders>
              <w:top w:val="single" w:sz="4" w:space="0" w:color="auto"/>
              <w:left w:val="single" w:sz="4" w:space="0" w:color="auto"/>
              <w:bottom w:val="single" w:sz="4" w:space="0" w:color="auto"/>
              <w:right w:val="single" w:sz="4" w:space="0" w:color="auto"/>
            </w:tcBorders>
            <w:shd w:val="clear" w:color="D9D9D9" w:fill="D9D9D9"/>
            <w:hideMark/>
          </w:tcPr>
          <w:p w14:paraId="33A017D7"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C50078" w:rsidRPr="00AD2821" w14:paraId="67863205" w14:textId="77777777" w:rsidTr="00D45F54">
        <w:trPr>
          <w:trHeight w:val="1500"/>
        </w:trPr>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0AE092D4" w14:textId="77777777" w:rsidR="00C50078" w:rsidRPr="00AD2821" w:rsidRDefault="00C50078" w:rsidP="00D45F54">
            <w:pPr>
              <w:jc w:val="right"/>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4</w:t>
            </w:r>
          </w:p>
        </w:tc>
        <w:tc>
          <w:tcPr>
            <w:tcW w:w="1858" w:type="pct"/>
            <w:tcBorders>
              <w:top w:val="single" w:sz="4" w:space="0" w:color="auto"/>
              <w:left w:val="single" w:sz="4" w:space="0" w:color="auto"/>
              <w:bottom w:val="single" w:sz="4" w:space="0" w:color="auto"/>
              <w:right w:val="single" w:sz="4" w:space="0" w:color="auto"/>
            </w:tcBorders>
            <w:shd w:val="clear" w:color="auto" w:fill="auto"/>
            <w:hideMark/>
          </w:tcPr>
          <w:p w14:paraId="646D72FB"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 How should we define an approach where another approach was used to perform a small part of the procedure?</w:t>
            </w:r>
          </w:p>
        </w:tc>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55E0E837"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4</w:t>
            </w:r>
          </w:p>
        </w:tc>
        <w:tc>
          <w:tcPr>
            <w:tcW w:w="1548" w:type="pct"/>
            <w:tcBorders>
              <w:top w:val="single" w:sz="4" w:space="0" w:color="auto"/>
              <w:left w:val="single" w:sz="4" w:space="0" w:color="auto"/>
              <w:bottom w:val="single" w:sz="4" w:space="0" w:color="auto"/>
              <w:right w:val="single" w:sz="4" w:space="0" w:color="auto"/>
            </w:tcBorders>
            <w:shd w:val="clear" w:color="auto" w:fill="auto"/>
            <w:hideMark/>
          </w:tcPr>
          <w:p w14:paraId="30396870"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When two approaches are used to perform a procedure but one of the two is clearly predominant, the procedure should be defined according to the main approach while applying the specific definitions provided by these guidelines.</w:t>
            </w:r>
          </w:p>
        </w:tc>
        <w:tc>
          <w:tcPr>
            <w:tcW w:w="344" w:type="pct"/>
            <w:tcBorders>
              <w:top w:val="single" w:sz="4" w:space="0" w:color="auto"/>
              <w:left w:val="single" w:sz="4" w:space="0" w:color="auto"/>
              <w:bottom w:val="single" w:sz="4" w:space="0" w:color="auto"/>
              <w:right w:val="single" w:sz="4" w:space="0" w:color="auto"/>
            </w:tcBorders>
            <w:shd w:val="clear" w:color="auto" w:fill="auto"/>
            <w:noWrap/>
            <w:hideMark/>
          </w:tcPr>
          <w:p w14:paraId="25685E17"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c>
          <w:tcPr>
            <w:tcW w:w="864" w:type="pct"/>
            <w:tcBorders>
              <w:top w:val="single" w:sz="4" w:space="0" w:color="auto"/>
              <w:left w:val="single" w:sz="4" w:space="0" w:color="auto"/>
              <w:bottom w:val="single" w:sz="4" w:space="0" w:color="auto"/>
              <w:right w:val="single" w:sz="4" w:space="0" w:color="auto"/>
            </w:tcBorders>
            <w:shd w:val="clear" w:color="auto" w:fill="auto"/>
            <w:hideMark/>
          </w:tcPr>
          <w:p w14:paraId="2FEE642F"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C50078" w:rsidRPr="00AD2821" w14:paraId="38E0E9AD" w14:textId="77777777" w:rsidTr="00D45F54">
        <w:trPr>
          <w:trHeight w:val="1500"/>
        </w:trPr>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2239C694" w14:textId="77777777" w:rsidR="00C50078" w:rsidRPr="00AD2821" w:rsidRDefault="00C50078" w:rsidP="00D45F54">
            <w:pPr>
              <w:jc w:val="right"/>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lastRenderedPageBreak/>
              <w:t>5</w:t>
            </w:r>
          </w:p>
        </w:tc>
        <w:tc>
          <w:tcPr>
            <w:tcW w:w="1858" w:type="pct"/>
            <w:tcBorders>
              <w:top w:val="single" w:sz="4" w:space="0" w:color="auto"/>
              <w:left w:val="single" w:sz="4" w:space="0" w:color="auto"/>
              <w:bottom w:val="single" w:sz="4" w:space="0" w:color="auto"/>
              <w:right w:val="single" w:sz="4" w:space="0" w:color="auto"/>
            </w:tcBorders>
            <w:shd w:val="clear" w:color="D9D9D9" w:fill="D9D9D9"/>
            <w:hideMark/>
          </w:tcPr>
          <w:p w14:paraId="1D83F0A9"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 What is the role of the transthoracic and/or transdiaphragmatic approach in MILS?</w:t>
            </w:r>
          </w:p>
        </w:tc>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69B45584"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5</w:t>
            </w:r>
          </w:p>
        </w:tc>
        <w:tc>
          <w:tcPr>
            <w:tcW w:w="1548" w:type="pct"/>
            <w:tcBorders>
              <w:top w:val="single" w:sz="4" w:space="0" w:color="auto"/>
              <w:left w:val="single" w:sz="4" w:space="0" w:color="auto"/>
              <w:bottom w:val="single" w:sz="4" w:space="0" w:color="auto"/>
              <w:right w:val="single" w:sz="4" w:space="0" w:color="auto"/>
            </w:tcBorders>
            <w:shd w:val="clear" w:color="D9D9D9" w:fill="D9D9D9"/>
            <w:hideMark/>
          </w:tcPr>
          <w:p w14:paraId="464185CA"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 transthoracic route can be considered in patients with a history of multiple upper abdominal surgeries, or in posterosuperior resections. It allows only limited hepatic resections. The superiority of this approach versus an abdominal approach has not been demonstrated.</w:t>
            </w:r>
          </w:p>
        </w:tc>
        <w:tc>
          <w:tcPr>
            <w:tcW w:w="344" w:type="pct"/>
            <w:tcBorders>
              <w:top w:val="single" w:sz="4" w:space="0" w:color="auto"/>
              <w:left w:val="single" w:sz="4" w:space="0" w:color="auto"/>
              <w:bottom w:val="single" w:sz="4" w:space="0" w:color="auto"/>
              <w:right w:val="single" w:sz="4" w:space="0" w:color="auto"/>
            </w:tcBorders>
            <w:shd w:val="clear" w:color="D9D9D9" w:fill="D9D9D9"/>
            <w:noWrap/>
            <w:hideMark/>
          </w:tcPr>
          <w:p w14:paraId="5AB6723E"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2C</w:t>
            </w:r>
          </w:p>
        </w:tc>
        <w:tc>
          <w:tcPr>
            <w:tcW w:w="864" w:type="pct"/>
            <w:tcBorders>
              <w:top w:val="single" w:sz="4" w:space="0" w:color="auto"/>
              <w:left w:val="single" w:sz="4" w:space="0" w:color="auto"/>
              <w:bottom w:val="single" w:sz="4" w:space="0" w:color="auto"/>
              <w:right w:val="single" w:sz="4" w:space="0" w:color="auto"/>
            </w:tcBorders>
            <w:shd w:val="clear" w:color="D9D9D9" w:fill="D9D9D9"/>
            <w:hideMark/>
          </w:tcPr>
          <w:p w14:paraId="2449A8E4"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C50078" w:rsidRPr="00AD2821" w14:paraId="42396937" w14:textId="77777777" w:rsidTr="00D45F54">
        <w:trPr>
          <w:trHeight w:val="750"/>
        </w:trPr>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27716A31" w14:textId="77777777" w:rsidR="00C50078" w:rsidRPr="00AD2821" w:rsidRDefault="00C50078" w:rsidP="00D45F54">
            <w:pPr>
              <w:jc w:val="right"/>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6</w:t>
            </w:r>
          </w:p>
        </w:tc>
        <w:tc>
          <w:tcPr>
            <w:tcW w:w="1858" w:type="pct"/>
            <w:tcBorders>
              <w:top w:val="single" w:sz="4" w:space="0" w:color="auto"/>
              <w:left w:val="single" w:sz="4" w:space="0" w:color="auto"/>
              <w:bottom w:val="single" w:sz="4" w:space="0" w:color="auto"/>
              <w:right w:val="single" w:sz="4" w:space="0" w:color="auto"/>
            </w:tcBorders>
            <w:shd w:val="clear" w:color="auto" w:fill="auto"/>
            <w:hideMark/>
          </w:tcPr>
          <w:p w14:paraId="45039332"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 How should we define minor hepatectomies in the posterosuperior segments?</w:t>
            </w:r>
          </w:p>
        </w:tc>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3532C440"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6</w:t>
            </w:r>
          </w:p>
        </w:tc>
        <w:tc>
          <w:tcPr>
            <w:tcW w:w="1548" w:type="pct"/>
            <w:tcBorders>
              <w:top w:val="single" w:sz="4" w:space="0" w:color="auto"/>
              <w:left w:val="single" w:sz="4" w:space="0" w:color="auto"/>
              <w:bottom w:val="single" w:sz="4" w:space="0" w:color="auto"/>
              <w:right w:val="single" w:sz="4" w:space="0" w:color="auto"/>
            </w:tcBorders>
            <w:shd w:val="clear" w:color="auto" w:fill="auto"/>
            <w:hideMark/>
          </w:tcPr>
          <w:p w14:paraId="779F91FB"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When performed laparoscopically or robotically, resections in the posterosuperior segments are technically complex resections.</w:t>
            </w:r>
          </w:p>
        </w:tc>
        <w:tc>
          <w:tcPr>
            <w:tcW w:w="344" w:type="pct"/>
            <w:tcBorders>
              <w:top w:val="single" w:sz="4" w:space="0" w:color="auto"/>
              <w:left w:val="single" w:sz="4" w:space="0" w:color="auto"/>
              <w:bottom w:val="single" w:sz="4" w:space="0" w:color="auto"/>
              <w:right w:val="single" w:sz="4" w:space="0" w:color="auto"/>
            </w:tcBorders>
            <w:shd w:val="clear" w:color="auto" w:fill="auto"/>
            <w:noWrap/>
            <w:hideMark/>
          </w:tcPr>
          <w:p w14:paraId="3FB03601"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c>
          <w:tcPr>
            <w:tcW w:w="864" w:type="pct"/>
            <w:tcBorders>
              <w:top w:val="single" w:sz="4" w:space="0" w:color="auto"/>
              <w:left w:val="single" w:sz="4" w:space="0" w:color="auto"/>
              <w:bottom w:val="single" w:sz="4" w:space="0" w:color="auto"/>
              <w:right w:val="single" w:sz="4" w:space="0" w:color="auto"/>
            </w:tcBorders>
            <w:shd w:val="clear" w:color="auto" w:fill="auto"/>
            <w:hideMark/>
          </w:tcPr>
          <w:p w14:paraId="6614ACE3"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C50078" w:rsidRPr="00AD2821" w14:paraId="79B21380" w14:textId="77777777" w:rsidTr="00D45F54">
        <w:trPr>
          <w:trHeight w:val="1500"/>
        </w:trPr>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2F863A46" w14:textId="77777777" w:rsidR="00C50078" w:rsidRPr="00AD2821" w:rsidRDefault="00C50078" w:rsidP="00D45F54">
            <w:pPr>
              <w:jc w:val="right"/>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7</w:t>
            </w:r>
          </w:p>
        </w:tc>
        <w:tc>
          <w:tcPr>
            <w:tcW w:w="1858" w:type="pct"/>
            <w:tcBorders>
              <w:top w:val="single" w:sz="4" w:space="0" w:color="auto"/>
              <w:left w:val="single" w:sz="4" w:space="0" w:color="auto"/>
              <w:bottom w:val="single" w:sz="4" w:space="0" w:color="auto"/>
              <w:right w:val="single" w:sz="4" w:space="0" w:color="auto"/>
            </w:tcBorders>
            <w:shd w:val="clear" w:color="D9D9D9" w:fill="D9D9D9"/>
            <w:hideMark/>
          </w:tcPr>
          <w:p w14:paraId="4B765A5C"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 How should we define the passage from laparoscopic to robotic or vice versa if this was not intended?</w:t>
            </w:r>
          </w:p>
        </w:tc>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1675477A"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7</w:t>
            </w:r>
          </w:p>
        </w:tc>
        <w:tc>
          <w:tcPr>
            <w:tcW w:w="1548" w:type="pct"/>
            <w:tcBorders>
              <w:top w:val="single" w:sz="4" w:space="0" w:color="auto"/>
              <w:left w:val="single" w:sz="4" w:space="0" w:color="auto"/>
              <w:bottom w:val="single" w:sz="4" w:space="0" w:color="auto"/>
              <w:right w:val="single" w:sz="4" w:space="0" w:color="auto"/>
            </w:tcBorders>
            <w:shd w:val="clear" w:color="D9D9D9" w:fill="D9D9D9"/>
            <w:hideMark/>
          </w:tcPr>
          <w:p w14:paraId="2C43D4CF"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The primary approach, which is identified on the intention-to-treat purpose, should be used in both elective and emergency situations, and disclosed accordingly when switching from laparoscopic to robotic or vice versa. </w:t>
            </w:r>
          </w:p>
        </w:tc>
        <w:tc>
          <w:tcPr>
            <w:tcW w:w="344" w:type="pct"/>
            <w:tcBorders>
              <w:top w:val="single" w:sz="4" w:space="0" w:color="auto"/>
              <w:left w:val="single" w:sz="4" w:space="0" w:color="auto"/>
              <w:bottom w:val="single" w:sz="4" w:space="0" w:color="auto"/>
              <w:right w:val="single" w:sz="4" w:space="0" w:color="auto"/>
            </w:tcBorders>
            <w:shd w:val="clear" w:color="D9D9D9" w:fill="D9D9D9"/>
            <w:noWrap/>
            <w:hideMark/>
          </w:tcPr>
          <w:p w14:paraId="4147D999"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c>
          <w:tcPr>
            <w:tcW w:w="864" w:type="pct"/>
            <w:tcBorders>
              <w:top w:val="single" w:sz="4" w:space="0" w:color="auto"/>
              <w:left w:val="single" w:sz="4" w:space="0" w:color="auto"/>
              <w:bottom w:val="single" w:sz="4" w:space="0" w:color="auto"/>
              <w:right w:val="single" w:sz="4" w:space="0" w:color="auto"/>
            </w:tcBorders>
            <w:shd w:val="clear" w:color="D9D9D9" w:fill="D9D9D9"/>
            <w:hideMark/>
          </w:tcPr>
          <w:p w14:paraId="7C739899"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C50078" w:rsidRPr="00AD2821" w14:paraId="23D92020" w14:textId="77777777" w:rsidTr="00D45F54">
        <w:trPr>
          <w:trHeight w:val="1125"/>
        </w:trPr>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3FA30152" w14:textId="77777777" w:rsidR="00C50078" w:rsidRPr="00AD2821" w:rsidRDefault="00C50078" w:rsidP="00D45F54">
            <w:pPr>
              <w:jc w:val="right"/>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8</w:t>
            </w:r>
          </w:p>
        </w:tc>
        <w:tc>
          <w:tcPr>
            <w:tcW w:w="1858" w:type="pct"/>
            <w:tcBorders>
              <w:top w:val="single" w:sz="4" w:space="0" w:color="auto"/>
              <w:left w:val="single" w:sz="4" w:space="0" w:color="auto"/>
              <w:bottom w:val="single" w:sz="4" w:space="0" w:color="auto"/>
              <w:right w:val="single" w:sz="4" w:space="0" w:color="auto"/>
            </w:tcBorders>
            <w:shd w:val="clear" w:color="auto" w:fill="auto"/>
            <w:hideMark/>
          </w:tcPr>
          <w:p w14:paraId="6B768F50"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 Do all conversions in laparoscopic liver resection (LLR) and robotic liver resection (RLR) have the same impact on patient’s outcome?</w:t>
            </w:r>
          </w:p>
        </w:tc>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3E64D8D0"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8</w:t>
            </w:r>
          </w:p>
        </w:tc>
        <w:tc>
          <w:tcPr>
            <w:tcW w:w="1548" w:type="pct"/>
            <w:tcBorders>
              <w:top w:val="single" w:sz="4" w:space="0" w:color="auto"/>
              <w:left w:val="single" w:sz="4" w:space="0" w:color="auto"/>
              <w:bottom w:val="single" w:sz="4" w:space="0" w:color="auto"/>
              <w:right w:val="single" w:sz="4" w:space="0" w:color="auto"/>
            </w:tcBorders>
            <w:shd w:val="clear" w:color="auto" w:fill="auto"/>
            <w:hideMark/>
          </w:tcPr>
          <w:p w14:paraId="3DDE7B01"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Emergency conversions in LLR or RLR are associated with worse outcomes. Conversion to open surgery should ideally be pre-emptive when surgical difficulties are anticipated.</w:t>
            </w:r>
          </w:p>
        </w:tc>
        <w:tc>
          <w:tcPr>
            <w:tcW w:w="344" w:type="pct"/>
            <w:tcBorders>
              <w:top w:val="single" w:sz="4" w:space="0" w:color="auto"/>
              <w:left w:val="single" w:sz="4" w:space="0" w:color="auto"/>
              <w:bottom w:val="single" w:sz="4" w:space="0" w:color="auto"/>
              <w:right w:val="single" w:sz="4" w:space="0" w:color="auto"/>
            </w:tcBorders>
            <w:shd w:val="clear" w:color="auto" w:fill="auto"/>
            <w:noWrap/>
            <w:hideMark/>
          </w:tcPr>
          <w:p w14:paraId="1B21AE3B"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c>
          <w:tcPr>
            <w:tcW w:w="864" w:type="pct"/>
            <w:tcBorders>
              <w:top w:val="single" w:sz="4" w:space="0" w:color="auto"/>
              <w:left w:val="single" w:sz="4" w:space="0" w:color="auto"/>
              <w:bottom w:val="single" w:sz="4" w:space="0" w:color="auto"/>
              <w:right w:val="single" w:sz="4" w:space="0" w:color="auto"/>
            </w:tcBorders>
            <w:shd w:val="clear" w:color="auto" w:fill="auto"/>
            <w:hideMark/>
          </w:tcPr>
          <w:p w14:paraId="7625D13E"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C50078" w:rsidRPr="00AD2821" w14:paraId="1DAA5EE3" w14:textId="77777777" w:rsidTr="00D45F54">
        <w:trPr>
          <w:trHeight w:val="1500"/>
        </w:trPr>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5BB234FA" w14:textId="77777777" w:rsidR="00C50078" w:rsidRPr="00AD2821" w:rsidRDefault="00C50078" w:rsidP="00D45F54">
            <w:pPr>
              <w:jc w:val="right"/>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9</w:t>
            </w:r>
          </w:p>
        </w:tc>
        <w:tc>
          <w:tcPr>
            <w:tcW w:w="1858" w:type="pct"/>
            <w:tcBorders>
              <w:top w:val="single" w:sz="4" w:space="0" w:color="auto"/>
              <w:left w:val="single" w:sz="4" w:space="0" w:color="auto"/>
              <w:bottom w:val="single" w:sz="4" w:space="0" w:color="auto"/>
              <w:right w:val="single" w:sz="4" w:space="0" w:color="auto"/>
            </w:tcBorders>
            <w:shd w:val="clear" w:color="D9D9D9" w:fill="D9D9D9"/>
            <w:hideMark/>
          </w:tcPr>
          <w:p w14:paraId="5EA7545A"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 How should we define an elective conversion in LLR and RLR?</w:t>
            </w:r>
          </w:p>
        </w:tc>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545BF25C"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9</w:t>
            </w:r>
          </w:p>
        </w:tc>
        <w:tc>
          <w:tcPr>
            <w:tcW w:w="1548" w:type="pct"/>
            <w:tcBorders>
              <w:top w:val="single" w:sz="4" w:space="0" w:color="auto"/>
              <w:left w:val="single" w:sz="4" w:space="0" w:color="auto"/>
              <w:bottom w:val="single" w:sz="4" w:space="0" w:color="auto"/>
              <w:right w:val="single" w:sz="4" w:space="0" w:color="auto"/>
            </w:tcBorders>
            <w:shd w:val="clear" w:color="D9D9D9" w:fill="D9D9D9"/>
            <w:hideMark/>
          </w:tcPr>
          <w:p w14:paraId="666DA250"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An elective conversion in LLR or RLR occurs in hemodynamically stable patients because of unanticipated conditions (e.g. concerns about resection margins, failure to progress, technology failure, etc) that require a switch to a different surgical approach.</w:t>
            </w:r>
          </w:p>
        </w:tc>
        <w:tc>
          <w:tcPr>
            <w:tcW w:w="344" w:type="pct"/>
            <w:tcBorders>
              <w:top w:val="single" w:sz="4" w:space="0" w:color="auto"/>
              <w:left w:val="single" w:sz="4" w:space="0" w:color="auto"/>
              <w:bottom w:val="single" w:sz="4" w:space="0" w:color="auto"/>
              <w:right w:val="single" w:sz="4" w:space="0" w:color="auto"/>
            </w:tcBorders>
            <w:shd w:val="clear" w:color="D9D9D9" w:fill="D9D9D9"/>
            <w:noWrap/>
            <w:hideMark/>
          </w:tcPr>
          <w:p w14:paraId="16F8D0AD"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c>
          <w:tcPr>
            <w:tcW w:w="864" w:type="pct"/>
            <w:tcBorders>
              <w:top w:val="single" w:sz="4" w:space="0" w:color="auto"/>
              <w:left w:val="single" w:sz="4" w:space="0" w:color="auto"/>
              <w:bottom w:val="single" w:sz="4" w:space="0" w:color="auto"/>
              <w:right w:val="single" w:sz="4" w:space="0" w:color="auto"/>
            </w:tcBorders>
            <w:shd w:val="clear" w:color="D9D9D9" w:fill="D9D9D9"/>
            <w:hideMark/>
          </w:tcPr>
          <w:p w14:paraId="626A28C1"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C50078" w:rsidRPr="00AD2821" w14:paraId="28CD870B" w14:textId="77777777" w:rsidTr="00D45F54">
        <w:trPr>
          <w:trHeight w:val="1500"/>
        </w:trPr>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2C06FE16" w14:textId="77777777" w:rsidR="00C50078" w:rsidRPr="00AD2821" w:rsidRDefault="00C50078" w:rsidP="00D45F54">
            <w:pPr>
              <w:jc w:val="right"/>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10</w:t>
            </w:r>
          </w:p>
        </w:tc>
        <w:tc>
          <w:tcPr>
            <w:tcW w:w="1858" w:type="pct"/>
            <w:tcBorders>
              <w:top w:val="single" w:sz="4" w:space="0" w:color="auto"/>
              <w:left w:val="single" w:sz="4" w:space="0" w:color="auto"/>
              <w:bottom w:val="single" w:sz="4" w:space="0" w:color="auto"/>
              <w:right w:val="single" w:sz="4" w:space="0" w:color="auto"/>
            </w:tcBorders>
            <w:shd w:val="clear" w:color="auto" w:fill="auto"/>
            <w:hideMark/>
          </w:tcPr>
          <w:p w14:paraId="234E60BE"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 How should we define an emergency conversion in LLR and RLR? </w:t>
            </w:r>
          </w:p>
        </w:tc>
        <w:tc>
          <w:tcPr>
            <w:tcW w:w="193" w:type="pct"/>
            <w:tcBorders>
              <w:top w:val="single" w:sz="4" w:space="0" w:color="auto"/>
              <w:left w:val="single" w:sz="4" w:space="0" w:color="auto"/>
              <w:bottom w:val="single" w:sz="4" w:space="0" w:color="auto"/>
              <w:right w:val="single" w:sz="4" w:space="0" w:color="auto"/>
            </w:tcBorders>
            <w:shd w:val="clear" w:color="auto" w:fill="auto"/>
            <w:hideMark/>
          </w:tcPr>
          <w:p w14:paraId="10E22F32"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10</w:t>
            </w:r>
          </w:p>
        </w:tc>
        <w:tc>
          <w:tcPr>
            <w:tcW w:w="1548" w:type="pct"/>
            <w:tcBorders>
              <w:top w:val="single" w:sz="4" w:space="0" w:color="auto"/>
              <w:left w:val="single" w:sz="4" w:space="0" w:color="auto"/>
              <w:bottom w:val="single" w:sz="4" w:space="0" w:color="auto"/>
              <w:right w:val="single" w:sz="4" w:space="0" w:color="auto"/>
            </w:tcBorders>
            <w:shd w:val="clear" w:color="auto" w:fill="auto"/>
            <w:hideMark/>
          </w:tcPr>
          <w:p w14:paraId="5039404B"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In LLR and RLR, "emergency conversion" refers to a necessary decision required to fix potentially life-threatening conditions or serious intraoperative complications, that cannot be properly handled while maintaining the laparoscopic or robotic approach. </w:t>
            </w:r>
          </w:p>
        </w:tc>
        <w:tc>
          <w:tcPr>
            <w:tcW w:w="344" w:type="pct"/>
            <w:tcBorders>
              <w:top w:val="single" w:sz="4" w:space="0" w:color="auto"/>
              <w:left w:val="single" w:sz="4" w:space="0" w:color="auto"/>
              <w:bottom w:val="single" w:sz="4" w:space="0" w:color="auto"/>
              <w:right w:val="single" w:sz="4" w:space="0" w:color="auto"/>
            </w:tcBorders>
            <w:shd w:val="clear" w:color="auto" w:fill="auto"/>
            <w:noWrap/>
            <w:hideMark/>
          </w:tcPr>
          <w:p w14:paraId="3F6460C0"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c>
          <w:tcPr>
            <w:tcW w:w="864" w:type="pct"/>
            <w:tcBorders>
              <w:top w:val="single" w:sz="4" w:space="0" w:color="auto"/>
              <w:left w:val="single" w:sz="4" w:space="0" w:color="auto"/>
              <w:bottom w:val="single" w:sz="4" w:space="0" w:color="auto"/>
              <w:right w:val="single" w:sz="4" w:space="0" w:color="auto"/>
            </w:tcBorders>
            <w:shd w:val="clear" w:color="auto" w:fill="auto"/>
            <w:hideMark/>
          </w:tcPr>
          <w:p w14:paraId="08E087FC"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Unplanned, Emergent, urgent, and reactive are synonyms that were used interchangeably in prior literature.</w:t>
            </w:r>
          </w:p>
        </w:tc>
      </w:tr>
      <w:tr w:rsidR="00C50078" w:rsidRPr="00AD2821" w14:paraId="1892C788" w14:textId="77777777" w:rsidTr="00D45F54">
        <w:trPr>
          <w:trHeight w:val="1875"/>
        </w:trPr>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6FC2892F" w14:textId="77777777" w:rsidR="00C50078" w:rsidRPr="00AD2821" w:rsidRDefault="00C50078" w:rsidP="00D45F54">
            <w:pPr>
              <w:jc w:val="right"/>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lastRenderedPageBreak/>
              <w:t>11</w:t>
            </w:r>
          </w:p>
        </w:tc>
        <w:tc>
          <w:tcPr>
            <w:tcW w:w="1858" w:type="pct"/>
            <w:tcBorders>
              <w:top w:val="single" w:sz="4" w:space="0" w:color="auto"/>
              <w:left w:val="single" w:sz="4" w:space="0" w:color="auto"/>
              <w:bottom w:val="single" w:sz="4" w:space="0" w:color="auto"/>
              <w:right w:val="single" w:sz="4" w:space="0" w:color="auto"/>
            </w:tcBorders>
            <w:shd w:val="clear" w:color="D9D9D9" w:fill="D9D9D9"/>
            <w:hideMark/>
          </w:tcPr>
          <w:p w14:paraId="1515C843"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 How should we define an unintended conversion in LLR and RLR? </w:t>
            </w:r>
          </w:p>
        </w:tc>
        <w:tc>
          <w:tcPr>
            <w:tcW w:w="193" w:type="pct"/>
            <w:tcBorders>
              <w:top w:val="single" w:sz="4" w:space="0" w:color="auto"/>
              <w:left w:val="single" w:sz="4" w:space="0" w:color="auto"/>
              <w:bottom w:val="single" w:sz="4" w:space="0" w:color="auto"/>
              <w:right w:val="single" w:sz="4" w:space="0" w:color="auto"/>
            </w:tcBorders>
            <w:shd w:val="clear" w:color="D9D9D9" w:fill="D9D9D9"/>
            <w:hideMark/>
          </w:tcPr>
          <w:p w14:paraId="7FB0734D"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11</w:t>
            </w:r>
          </w:p>
        </w:tc>
        <w:tc>
          <w:tcPr>
            <w:tcW w:w="1548" w:type="pct"/>
            <w:tcBorders>
              <w:top w:val="single" w:sz="4" w:space="0" w:color="auto"/>
              <w:left w:val="single" w:sz="4" w:space="0" w:color="auto"/>
              <w:bottom w:val="single" w:sz="4" w:space="0" w:color="auto"/>
              <w:right w:val="single" w:sz="4" w:space="0" w:color="auto"/>
            </w:tcBorders>
            <w:shd w:val="clear" w:color="D9D9D9" w:fill="D9D9D9"/>
            <w:hideMark/>
          </w:tcPr>
          <w:p w14:paraId="2F443D52" w14:textId="77777777" w:rsidR="00C50078" w:rsidRPr="00AD2821" w:rsidRDefault="00C50078"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In LLR and RLR, the unplanned (emergent or non-emergent) use of a laparotomy to complete the procedure should be classified as unintended conversion. However, planned (elective or proactive) conversion would fall under ‘Combined Laparoscopic-Open Surgery’  or “combined robotic-open surgery” as defined above.</w:t>
            </w:r>
          </w:p>
        </w:tc>
        <w:tc>
          <w:tcPr>
            <w:tcW w:w="344" w:type="pct"/>
            <w:tcBorders>
              <w:top w:val="single" w:sz="4" w:space="0" w:color="auto"/>
              <w:left w:val="single" w:sz="4" w:space="0" w:color="auto"/>
              <w:bottom w:val="single" w:sz="4" w:space="0" w:color="auto"/>
              <w:right w:val="single" w:sz="4" w:space="0" w:color="auto"/>
            </w:tcBorders>
            <w:shd w:val="clear" w:color="D9D9D9" w:fill="D9D9D9"/>
            <w:noWrap/>
            <w:hideMark/>
          </w:tcPr>
          <w:p w14:paraId="67F13F70"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c>
          <w:tcPr>
            <w:tcW w:w="864" w:type="pct"/>
            <w:tcBorders>
              <w:top w:val="single" w:sz="4" w:space="0" w:color="auto"/>
              <w:left w:val="single" w:sz="4" w:space="0" w:color="auto"/>
              <w:bottom w:val="single" w:sz="4" w:space="0" w:color="auto"/>
              <w:right w:val="single" w:sz="4" w:space="0" w:color="auto"/>
            </w:tcBorders>
            <w:shd w:val="clear" w:color="D9D9D9" w:fill="D9D9D9"/>
            <w:hideMark/>
          </w:tcPr>
          <w:p w14:paraId="2D1BA4EC" w14:textId="77777777" w:rsidR="00C50078" w:rsidRPr="00AD2821" w:rsidRDefault="00C50078"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bl>
    <w:p w14:paraId="0C264BD8" w14:textId="51FD5F0F" w:rsidR="00303F17" w:rsidRPr="00AD2821" w:rsidRDefault="00303F17" w:rsidP="002D6814">
      <w:pPr>
        <w:jc w:val="both"/>
        <w:rPr>
          <w:rFonts w:cstheme="minorHAnsi"/>
          <w:sz w:val="22"/>
          <w:szCs w:val="22"/>
          <w:lang w:val="en-US"/>
        </w:rPr>
      </w:pPr>
    </w:p>
    <w:p w14:paraId="2B69242D" w14:textId="7B9DABF5" w:rsidR="00303F17" w:rsidRPr="00AD2821" w:rsidRDefault="00303F17">
      <w:pPr>
        <w:rPr>
          <w:rFonts w:cstheme="minorHAnsi"/>
          <w:sz w:val="22"/>
          <w:szCs w:val="22"/>
          <w:lang w:val="en-US"/>
        </w:rPr>
      </w:pPr>
      <w:r w:rsidRPr="00AD2821">
        <w:rPr>
          <w:rFonts w:cstheme="minorHAnsi"/>
          <w:sz w:val="22"/>
          <w:szCs w:val="22"/>
          <w:lang w:val="en-US"/>
        </w:rPr>
        <w:br w:type="page"/>
      </w:r>
    </w:p>
    <w:p w14:paraId="7039D0CD" w14:textId="77777777" w:rsidR="00023C91" w:rsidRPr="00AD2821" w:rsidRDefault="00303F17" w:rsidP="00023C91">
      <w:pPr>
        <w:keepNext/>
        <w:keepLines/>
        <w:spacing w:before="160" w:after="80"/>
        <w:outlineLvl w:val="1"/>
        <w:rPr>
          <w:rFonts w:eastAsiaTheme="majorEastAsia" w:cstheme="minorHAnsi"/>
          <w:color w:val="000000" w:themeColor="text1"/>
          <w:sz w:val="22"/>
          <w:szCs w:val="22"/>
          <w:lang w:val="en-GB"/>
        </w:rPr>
      </w:pPr>
      <w:r w:rsidRPr="00AD2821">
        <w:rPr>
          <w:rFonts w:cstheme="minorHAnsi"/>
          <w:color w:val="000000" w:themeColor="text1"/>
          <w:sz w:val="22"/>
          <w:szCs w:val="22"/>
          <w:lang w:val="en-US"/>
        </w:rPr>
        <w:lastRenderedPageBreak/>
        <w:t>Supplementary Table 2.</w:t>
      </w:r>
      <w:r w:rsidR="00023C91" w:rsidRPr="00AD2821">
        <w:rPr>
          <w:rFonts w:cstheme="minorHAnsi"/>
          <w:color w:val="000000" w:themeColor="text1"/>
          <w:sz w:val="22"/>
          <w:szCs w:val="22"/>
          <w:lang w:val="en-US"/>
        </w:rPr>
        <w:t xml:space="preserve"> </w:t>
      </w:r>
      <w:r w:rsidR="00023C91" w:rsidRPr="00AD2821">
        <w:rPr>
          <w:rFonts w:eastAsiaTheme="majorEastAsia" w:cstheme="minorHAnsi"/>
          <w:color w:val="000000" w:themeColor="text1"/>
          <w:sz w:val="22"/>
          <w:szCs w:val="22"/>
          <w:lang w:val="en-GB"/>
        </w:rPr>
        <w:t>Domain 2 Clinical Questions and Recommendations</w:t>
      </w:r>
    </w:p>
    <w:p w14:paraId="69D9865C" w14:textId="77777777" w:rsidR="00023C91" w:rsidRPr="00AD2821" w:rsidRDefault="00023C91" w:rsidP="00023C91">
      <w:pPr>
        <w:keepNext/>
        <w:keepLines/>
        <w:spacing w:before="160" w:after="80"/>
        <w:outlineLvl w:val="1"/>
        <w:rPr>
          <w:rFonts w:eastAsiaTheme="majorEastAsia" w:cstheme="minorHAnsi"/>
          <w:color w:val="000000" w:themeColor="text1"/>
          <w:sz w:val="22"/>
          <w:szCs w:val="22"/>
          <w:lang w:val="en-GB"/>
        </w:rPr>
      </w:pPr>
    </w:p>
    <w:tbl>
      <w:tblPr>
        <w:tblW w:w="5000" w:type="pct"/>
        <w:tblCellMar>
          <w:left w:w="70" w:type="dxa"/>
          <w:right w:w="70" w:type="dxa"/>
        </w:tblCellMar>
        <w:tblLook w:val="04A0" w:firstRow="1" w:lastRow="0" w:firstColumn="1" w:lastColumn="0" w:noHBand="0" w:noVBand="1"/>
      </w:tblPr>
      <w:tblGrid>
        <w:gridCol w:w="384"/>
        <w:gridCol w:w="3005"/>
        <w:gridCol w:w="565"/>
        <w:gridCol w:w="4793"/>
        <w:gridCol w:w="695"/>
      </w:tblGrid>
      <w:tr w:rsidR="00023C91" w:rsidRPr="00AD2821" w14:paraId="495CEA90" w14:textId="77777777" w:rsidTr="00D45F54">
        <w:trPr>
          <w:trHeight w:val="375"/>
        </w:trPr>
        <w:tc>
          <w:tcPr>
            <w:tcW w:w="198" w:type="pct"/>
            <w:tcBorders>
              <w:top w:val="single" w:sz="4" w:space="0" w:color="auto"/>
              <w:left w:val="single" w:sz="4" w:space="0" w:color="auto"/>
              <w:bottom w:val="single" w:sz="4" w:space="0" w:color="auto"/>
              <w:right w:val="single" w:sz="4" w:space="0" w:color="auto"/>
            </w:tcBorders>
            <w:shd w:val="clear" w:color="auto" w:fill="auto"/>
            <w:hideMark/>
          </w:tcPr>
          <w:p w14:paraId="750C2E86"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Q</w:t>
            </w:r>
          </w:p>
        </w:tc>
        <w:tc>
          <w:tcPr>
            <w:tcW w:w="1593" w:type="pct"/>
            <w:tcBorders>
              <w:top w:val="single" w:sz="4" w:space="0" w:color="auto"/>
              <w:left w:val="single" w:sz="4" w:space="0" w:color="auto"/>
              <w:bottom w:val="single" w:sz="4" w:space="0" w:color="auto"/>
              <w:right w:val="single" w:sz="4" w:space="0" w:color="auto"/>
            </w:tcBorders>
            <w:shd w:val="clear" w:color="auto" w:fill="auto"/>
            <w:hideMark/>
          </w:tcPr>
          <w:p w14:paraId="6F61CABB"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Clinical Question</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15AB521C"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R</w:t>
            </w:r>
          </w:p>
        </w:tc>
        <w:tc>
          <w:tcPr>
            <w:tcW w:w="2539" w:type="pct"/>
            <w:tcBorders>
              <w:top w:val="single" w:sz="4" w:space="0" w:color="auto"/>
              <w:left w:val="single" w:sz="4" w:space="0" w:color="auto"/>
              <w:bottom w:val="single" w:sz="4" w:space="0" w:color="auto"/>
              <w:right w:val="single" w:sz="4" w:space="0" w:color="auto"/>
            </w:tcBorders>
            <w:shd w:val="clear" w:color="auto" w:fill="auto"/>
            <w:hideMark/>
          </w:tcPr>
          <w:p w14:paraId="6879BE7B"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Recommendation</w:t>
            </w:r>
          </w:p>
        </w:tc>
        <w:tc>
          <w:tcPr>
            <w:tcW w:w="369" w:type="pct"/>
            <w:tcBorders>
              <w:top w:val="single" w:sz="4" w:space="0" w:color="auto"/>
              <w:left w:val="single" w:sz="4" w:space="0" w:color="auto"/>
              <w:bottom w:val="single" w:sz="4" w:space="0" w:color="auto"/>
              <w:right w:val="single" w:sz="4" w:space="0" w:color="auto"/>
            </w:tcBorders>
            <w:shd w:val="clear" w:color="auto" w:fill="auto"/>
            <w:hideMark/>
          </w:tcPr>
          <w:p w14:paraId="218D6B5F"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Code</w:t>
            </w:r>
          </w:p>
        </w:tc>
      </w:tr>
      <w:tr w:rsidR="00023C91" w:rsidRPr="00AD2821" w14:paraId="5158E7BD" w14:textId="77777777" w:rsidTr="00D45F54">
        <w:trPr>
          <w:trHeight w:val="1500"/>
        </w:trPr>
        <w:tc>
          <w:tcPr>
            <w:tcW w:w="198" w:type="pct"/>
            <w:tcBorders>
              <w:top w:val="single" w:sz="4" w:space="0" w:color="auto"/>
              <w:left w:val="single" w:sz="4" w:space="0" w:color="auto"/>
              <w:bottom w:val="single" w:sz="4" w:space="0" w:color="auto"/>
              <w:right w:val="single" w:sz="4" w:space="0" w:color="auto"/>
            </w:tcBorders>
            <w:shd w:val="clear" w:color="D9D9D9" w:fill="D9D9D9"/>
            <w:hideMark/>
          </w:tcPr>
          <w:p w14:paraId="0C9F61F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12</w:t>
            </w:r>
          </w:p>
        </w:tc>
        <w:tc>
          <w:tcPr>
            <w:tcW w:w="1593" w:type="pct"/>
            <w:tcBorders>
              <w:top w:val="single" w:sz="4" w:space="0" w:color="auto"/>
              <w:left w:val="single" w:sz="4" w:space="0" w:color="auto"/>
              <w:bottom w:val="single" w:sz="4" w:space="0" w:color="auto"/>
              <w:right w:val="single" w:sz="4" w:space="0" w:color="auto"/>
            </w:tcBorders>
            <w:shd w:val="clear" w:color="D9D9D9" w:fill="D9D9D9"/>
            <w:hideMark/>
          </w:tcPr>
          <w:p w14:paraId="597F1248"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laparoscopic liver resection (LLR) in the management of CRLM?</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7AED3928"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12</w:t>
            </w:r>
          </w:p>
        </w:tc>
        <w:tc>
          <w:tcPr>
            <w:tcW w:w="2539" w:type="pct"/>
            <w:tcBorders>
              <w:top w:val="single" w:sz="4" w:space="0" w:color="auto"/>
              <w:left w:val="single" w:sz="4" w:space="0" w:color="auto"/>
              <w:bottom w:val="single" w:sz="4" w:space="0" w:color="auto"/>
              <w:right w:val="single" w:sz="4" w:space="0" w:color="auto"/>
            </w:tcBorders>
            <w:shd w:val="clear" w:color="D9D9D9" w:fill="D9D9D9"/>
            <w:hideMark/>
          </w:tcPr>
          <w:p w14:paraId="79B6AE0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should be considered as a valid alternative approach to open surgery in the management of CRLM. It seems to be associated with improved short-term and at least similar long-term outcomes compared with open surgery in patients with CRLM, when performed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703F8ED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1A</w:t>
            </w:r>
          </w:p>
        </w:tc>
      </w:tr>
      <w:tr w:rsidR="00023C91" w:rsidRPr="00AD2821" w14:paraId="23314EE7" w14:textId="77777777" w:rsidTr="00D45F54">
        <w:trPr>
          <w:trHeight w:val="750"/>
        </w:trPr>
        <w:tc>
          <w:tcPr>
            <w:tcW w:w="198" w:type="pct"/>
            <w:tcBorders>
              <w:top w:val="single" w:sz="4" w:space="0" w:color="auto"/>
              <w:left w:val="single" w:sz="4" w:space="0" w:color="auto"/>
              <w:bottom w:val="single" w:sz="4" w:space="0" w:color="auto"/>
              <w:right w:val="single" w:sz="4" w:space="0" w:color="auto"/>
            </w:tcBorders>
            <w:shd w:val="clear" w:color="auto" w:fill="auto"/>
            <w:hideMark/>
          </w:tcPr>
          <w:p w14:paraId="5ABF18B2"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13</w:t>
            </w:r>
          </w:p>
        </w:tc>
        <w:tc>
          <w:tcPr>
            <w:tcW w:w="1593" w:type="pct"/>
            <w:tcBorders>
              <w:top w:val="single" w:sz="4" w:space="0" w:color="auto"/>
              <w:left w:val="single" w:sz="4" w:space="0" w:color="auto"/>
              <w:bottom w:val="single" w:sz="4" w:space="0" w:color="auto"/>
              <w:right w:val="single" w:sz="4" w:space="0" w:color="auto"/>
            </w:tcBorders>
            <w:shd w:val="clear" w:color="auto" w:fill="auto"/>
            <w:hideMark/>
          </w:tcPr>
          <w:p w14:paraId="7023591A"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robotic liver resection (RLR) in the management of CRLM?</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171E1EA1"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13</w:t>
            </w:r>
          </w:p>
        </w:tc>
        <w:tc>
          <w:tcPr>
            <w:tcW w:w="2539" w:type="pct"/>
            <w:tcBorders>
              <w:top w:val="single" w:sz="4" w:space="0" w:color="auto"/>
              <w:left w:val="single" w:sz="4" w:space="0" w:color="auto"/>
              <w:bottom w:val="single" w:sz="4" w:space="0" w:color="auto"/>
              <w:right w:val="single" w:sz="4" w:space="0" w:color="auto"/>
            </w:tcBorders>
            <w:shd w:val="clear" w:color="auto" w:fill="auto"/>
            <w:hideMark/>
          </w:tcPr>
          <w:p w14:paraId="7989B46B"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RLR offers similar short- and long-term results to LLR in the management of CRLM when performed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32DB53F9"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2B</w:t>
            </w:r>
          </w:p>
        </w:tc>
      </w:tr>
      <w:tr w:rsidR="00023C91" w:rsidRPr="00AD2821" w14:paraId="1795B3BA" w14:textId="77777777" w:rsidTr="00D45F54">
        <w:trPr>
          <w:trHeight w:val="1500"/>
        </w:trPr>
        <w:tc>
          <w:tcPr>
            <w:tcW w:w="198" w:type="pct"/>
            <w:tcBorders>
              <w:top w:val="single" w:sz="4" w:space="0" w:color="auto"/>
              <w:left w:val="single" w:sz="4" w:space="0" w:color="auto"/>
              <w:bottom w:val="single" w:sz="4" w:space="0" w:color="auto"/>
              <w:right w:val="single" w:sz="4" w:space="0" w:color="auto"/>
            </w:tcBorders>
            <w:shd w:val="clear" w:color="D9D9D9" w:fill="D9D9D9"/>
            <w:hideMark/>
          </w:tcPr>
          <w:p w14:paraId="35ACA66C"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14</w:t>
            </w:r>
          </w:p>
        </w:tc>
        <w:tc>
          <w:tcPr>
            <w:tcW w:w="1593" w:type="pct"/>
            <w:tcBorders>
              <w:top w:val="single" w:sz="4" w:space="0" w:color="auto"/>
              <w:left w:val="single" w:sz="4" w:space="0" w:color="auto"/>
              <w:bottom w:val="single" w:sz="4" w:space="0" w:color="auto"/>
              <w:right w:val="single" w:sz="4" w:space="0" w:color="auto"/>
            </w:tcBorders>
            <w:shd w:val="clear" w:color="D9D9D9" w:fill="D9D9D9"/>
            <w:hideMark/>
          </w:tcPr>
          <w:p w14:paraId="3B79410C"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LLR in the management of synchronous CRLM when simultaneous resection is indicated?</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35C12B9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14</w:t>
            </w:r>
          </w:p>
        </w:tc>
        <w:tc>
          <w:tcPr>
            <w:tcW w:w="2539" w:type="pct"/>
            <w:tcBorders>
              <w:top w:val="single" w:sz="4" w:space="0" w:color="auto"/>
              <w:left w:val="single" w:sz="4" w:space="0" w:color="auto"/>
              <w:bottom w:val="single" w:sz="4" w:space="0" w:color="auto"/>
              <w:right w:val="single" w:sz="4" w:space="0" w:color="auto"/>
            </w:tcBorders>
            <w:shd w:val="clear" w:color="D9D9D9" w:fill="D9D9D9"/>
            <w:hideMark/>
          </w:tcPr>
          <w:p w14:paraId="4EB255F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When simultaneous resection is indicated for synchronous CRLM the laparoscopic approach should be considered as an alternative to open surgery. It seems to be associated with improved short-term and with similar long-term outcomes compared with open surgery when performed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2A97AB5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2B</w:t>
            </w:r>
          </w:p>
        </w:tc>
      </w:tr>
      <w:tr w:rsidR="00023C91" w:rsidRPr="00AD2821" w14:paraId="325ED2D3" w14:textId="77777777" w:rsidTr="00D45F54">
        <w:trPr>
          <w:trHeight w:val="750"/>
        </w:trPr>
        <w:tc>
          <w:tcPr>
            <w:tcW w:w="198" w:type="pct"/>
            <w:tcBorders>
              <w:top w:val="single" w:sz="4" w:space="0" w:color="auto"/>
              <w:left w:val="single" w:sz="4" w:space="0" w:color="auto"/>
              <w:bottom w:val="nil"/>
              <w:right w:val="single" w:sz="4" w:space="0" w:color="auto"/>
            </w:tcBorders>
            <w:shd w:val="clear" w:color="auto" w:fill="auto"/>
            <w:hideMark/>
          </w:tcPr>
          <w:p w14:paraId="651CAF1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15</w:t>
            </w:r>
          </w:p>
        </w:tc>
        <w:tc>
          <w:tcPr>
            <w:tcW w:w="1593" w:type="pct"/>
            <w:tcBorders>
              <w:top w:val="single" w:sz="4" w:space="0" w:color="auto"/>
              <w:left w:val="single" w:sz="4" w:space="0" w:color="auto"/>
              <w:bottom w:val="nil"/>
              <w:right w:val="single" w:sz="4" w:space="0" w:color="auto"/>
            </w:tcBorders>
            <w:shd w:val="clear" w:color="auto" w:fill="auto"/>
            <w:hideMark/>
          </w:tcPr>
          <w:p w14:paraId="18764BB2"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RLR in the management of synchronous CRLM when simultaneous resection is indicated?</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0D429793"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15,1</w:t>
            </w:r>
          </w:p>
        </w:tc>
        <w:tc>
          <w:tcPr>
            <w:tcW w:w="2539" w:type="pct"/>
            <w:tcBorders>
              <w:top w:val="single" w:sz="4" w:space="0" w:color="auto"/>
              <w:left w:val="single" w:sz="4" w:space="0" w:color="auto"/>
              <w:bottom w:val="single" w:sz="4" w:space="0" w:color="auto"/>
              <w:right w:val="single" w:sz="4" w:space="0" w:color="auto"/>
            </w:tcBorders>
            <w:shd w:val="clear" w:color="auto" w:fill="auto"/>
            <w:hideMark/>
          </w:tcPr>
          <w:p w14:paraId="4EBDA6D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RLR is a safe and feasible alternative option for simultaneous resection of colon cancer and synchronous CRLM for selected patients in experienced hands. </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5CB54D2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49440D71" w14:textId="77777777" w:rsidTr="00D45F54">
        <w:trPr>
          <w:trHeight w:val="750"/>
        </w:trPr>
        <w:tc>
          <w:tcPr>
            <w:tcW w:w="198" w:type="pct"/>
            <w:tcBorders>
              <w:top w:val="nil"/>
              <w:left w:val="single" w:sz="4" w:space="0" w:color="auto"/>
              <w:bottom w:val="single" w:sz="4" w:space="0" w:color="auto"/>
              <w:right w:val="single" w:sz="4" w:space="0" w:color="auto"/>
            </w:tcBorders>
            <w:shd w:val="clear" w:color="D9D9D9" w:fill="D9D9D9"/>
            <w:hideMark/>
          </w:tcPr>
          <w:p w14:paraId="7ACABED1"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593" w:type="pct"/>
            <w:tcBorders>
              <w:top w:val="nil"/>
              <w:left w:val="single" w:sz="4" w:space="0" w:color="auto"/>
              <w:bottom w:val="single" w:sz="4" w:space="0" w:color="auto"/>
              <w:right w:val="single" w:sz="4" w:space="0" w:color="auto"/>
            </w:tcBorders>
            <w:shd w:val="clear" w:color="D9D9D9" w:fill="D9D9D9"/>
            <w:hideMark/>
          </w:tcPr>
          <w:p w14:paraId="4F0753C8"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6726033C"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15,2</w:t>
            </w:r>
          </w:p>
        </w:tc>
        <w:tc>
          <w:tcPr>
            <w:tcW w:w="2539" w:type="pct"/>
            <w:tcBorders>
              <w:top w:val="single" w:sz="4" w:space="0" w:color="auto"/>
              <w:left w:val="single" w:sz="4" w:space="0" w:color="auto"/>
              <w:bottom w:val="single" w:sz="4" w:space="0" w:color="auto"/>
              <w:right w:val="single" w:sz="4" w:space="0" w:color="auto"/>
            </w:tcBorders>
            <w:shd w:val="clear" w:color="D9D9D9" w:fill="D9D9D9"/>
            <w:hideMark/>
          </w:tcPr>
          <w:p w14:paraId="3856FDF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Defining the role of RLR is important. Further studies to assess this are recommended.</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7C5AFA5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7CEBEB4D" w14:textId="77777777" w:rsidTr="00D45F54">
        <w:trPr>
          <w:trHeight w:val="1500"/>
        </w:trPr>
        <w:tc>
          <w:tcPr>
            <w:tcW w:w="198" w:type="pct"/>
            <w:tcBorders>
              <w:top w:val="single" w:sz="4" w:space="0" w:color="auto"/>
              <w:left w:val="single" w:sz="4" w:space="0" w:color="auto"/>
              <w:bottom w:val="single" w:sz="4" w:space="0" w:color="auto"/>
              <w:right w:val="single" w:sz="4" w:space="0" w:color="auto"/>
            </w:tcBorders>
            <w:shd w:val="clear" w:color="auto" w:fill="auto"/>
            <w:hideMark/>
          </w:tcPr>
          <w:p w14:paraId="52C47680"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16</w:t>
            </w:r>
          </w:p>
        </w:tc>
        <w:tc>
          <w:tcPr>
            <w:tcW w:w="1593" w:type="pct"/>
            <w:tcBorders>
              <w:top w:val="single" w:sz="4" w:space="0" w:color="auto"/>
              <w:left w:val="single" w:sz="4" w:space="0" w:color="auto"/>
              <w:bottom w:val="single" w:sz="4" w:space="0" w:color="auto"/>
              <w:right w:val="single" w:sz="4" w:space="0" w:color="auto"/>
            </w:tcBorders>
            <w:shd w:val="clear" w:color="auto" w:fill="auto"/>
            <w:hideMark/>
          </w:tcPr>
          <w:p w14:paraId="5602ED28"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LLR in the management of noncolorectal liver metastases (NCRLM)?</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4950FD82"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16</w:t>
            </w:r>
          </w:p>
        </w:tc>
        <w:tc>
          <w:tcPr>
            <w:tcW w:w="2539" w:type="pct"/>
            <w:tcBorders>
              <w:top w:val="single" w:sz="4" w:space="0" w:color="auto"/>
              <w:left w:val="single" w:sz="4" w:space="0" w:color="auto"/>
              <w:bottom w:val="single" w:sz="4" w:space="0" w:color="auto"/>
              <w:right w:val="single" w:sz="4" w:space="0" w:color="auto"/>
            </w:tcBorders>
            <w:shd w:val="clear" w:color="auto" w:fill="auto"/>
            <w:hideMark/>
          </w:tcPr>
          <w:p w14:paraId="431A463C"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should be considered an alternative to open surgery in the management of NCRLM. It seems to be associated with improved short-term and with similar long-term outcomes compared with open surgery, when performed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620535C0"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0D72D0E3" w14:textId="77777777" w:rsidTr="00D45F54">
        <w:trPr>
          <w:trHeight w:val="750"/>
        </w:trPr>
        <w:tc>
          <w:tcPr>
            <w:tcW w:w="198" w:type="pct"/>
            <w:tcBorders>
              <w:top w:val="single" w:sz="4" w:space="0" w:color="auto"/>
              <w:left w:val="single" w:sz="4" w:space="0" w:color="auto"/>
              <w:bottom w:val="single" w:sz="4" w:space="0" w:color="auto"/>
              <w:right w:val="single" w:sz="4" w:space="0" w:color="auto"/>
            </w:tcBorders>
            <w:shd w:val="clear" w:color="D9D9D9" w:fill="D9D9D9"/>
            <w:hideMark/>
          </w:tcPr>
          <w:p w14:paraId="01AEE00A"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17</w:t>
            </w:r>
          </w:p>
        </w:tc>
        <w:tc>
          <w:tcPr>
            <w:tcW w:w="1593" w:type="pct"/>
            <w:tcBorders>
              <w:top w:val="single" w:sz="4" w:space="0" w:color="auto"/>
              <w:left w:val="single" w:sz="4" w:space="0" w:color="auto"/>
              <w:bottom w:val="single" w:sz="4" w:space="0" w:color="auto"/>
              <w:right w:val="single" w:sz="4" w:space="0" w:color="auto"/>
            </w:tcBorders>
            <w:shd w:val="clear" w:color="D9D9D9" w:fill="D9D9D9"/>
            <w:hideMark/>
          </w:tcPr>
          <w:p w14:paraId="2CD584E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RLR in the management of NCRLM?</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1657436C"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17</w:t>
            </w:r>
          </w:p>
        </w:tc>
        <w:tc>
          <w:tcPr>
            <w:tcW w:w="2539" w:type="pct"/>
            <w:tcBorders>
              <w:top w:val="single" w:sz="4" w:space="0" w:color="auto"/>
              <w:left w:val="single" w:sz="4" w:space="0" w:color="auto"/>
              <w:bottom w:val="single" w:sz="4" w:space="0" w:color="auto"/>
              <w:right w:val="single" w:sz="4" w:space="0" w:color="auto"/>
            </w:tcBorders>
            <w:shd w:val="clear" w:color="D9D9D9" w:fill="D9D9D9"/>
            <w:hideMark/>
          </w:tcPr>
          <w:p w14:paraId="2CC239A3"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RLR should be considered an alternative to open surgery in the management of NCRLM. Further studies are required.</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3229ECEB"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651223FA" w14:textId="77777777" w:rsidTr="00D45F54">
        <w:trPr>
          <w:trHeight w:val="1125"/>
        </w:trPr>
        <w:tc>
          <w:tcPr>
            <w:tcW w:w="198" w:type="pct"/>
            <w:tcBorders>
              <w:top w:val="single" w:sz="4" w:space="0" w:color="auto"/>
              <w:left w:val="single" w:sz="4" w:space="0" w:color="auto"/>
              <w:bottom w:val="single" w:sz="4" w:space="0" w:color="auto"/>
              <w:right w:val="single" w:sz="4" w:space="0" w:color="auto"/>
            </w:tcBorders>
            <w:shd w:val="clear" w:color="auto" w:fill="auto"/>
            <w:hideMark/>
          </w:tcPr>
          <w:p w14:paraId="08C43BF5"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18</w:t>
            </w:r>
          </w:p>
        </w:tc>
        <w:tc>
          <w:tcPr>
            <w:tcW w:w="1593" w:type="pct"/>
            <w:tcBorders>
              <w:top w:val="single" w:sz="4" w:space="0" w:color="auto"/>
              <w:left w:val="single" w:sz="4" w:space="0" w:color="auto"/>
              <w:bottom w:val="single" w:sz="4" w:space="0" w:color="auto"/>
              <w:right w:val="single" w:sz="4" w:space="0" w:color="auto"/>
            </w:tcBorders>
            <w:shd w:val="clear" w:color="auto" w:fill="auto"/>
            <w:hideMark/>
          </w:tcPr>
          <w:p w14:paraId="6B3CCEEA"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LLR in the management of hepatocellular carcinoma (HCC)?</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16DAC798"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18</w:t>
            </w:r>
          </w:p>
        </w:tc>
        <w:tc>
          <w:tcPr>
            <w:tcW w:w="2539" w:type="pct"/>
            <w:tcBorders>
              <w:top w:val="single" w:sz="4" w:space="0" w:color="auto"/>
              <w:left w:val="single" w:sz="4" w:space="0" w:color="auto"/>
              <w:bottom w:val="single" w:sz="4" w:space="0" w:color="auto"/>
              <w:right w:val="single" w:sz="4" w:space="0" w:color="auto"/>
            </w:tcBorders>
            <w:shd w:val="clear" w:color="auto" w:fill="auto"/>
            <w:hideMark/>
          </w:tcPr>
          <w:p w14:paraId="6227CAF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When feasible, LS should be preferred to open surgery in the management of HCC. It is associated with improved short-term and with similar long-term outcomes compared to open </w:t>
            </w:r>
            <w:r w:rsidRPr="00AD2821">
              <w:rPr>
                <w:rFonts w:eastAsia="Times New Roman" w:cstheme="minorHAnsi"/>
                <w:color w:val="333333"/>
                <w:lang w:val="en-GB" w:eastAsia="nl-NL"/>
              </w:rPr>
              <w:lastRenderedPageBreak/>
              <w:t>surgery, when performed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2BA14649"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1B</w:t>
            </w:r>
          </w:p>
        </w:tc>
      </w:tr>
      <w:tr w:rsidR="00023C91" w:rsidRPr="00AD2821" w14:paraId="2A251F38" w14:textId="77777777" w:rsidTr="00D45F54">
        <w:trPr>
          <w:trHeight w:val="1125"/>
        </w:trPr>
        <w:tc>
          <w:tcPr>
            <w:tcW w:w="198" w:type="pct"/>
            <w:tcBorders>
              <w:top w:val="single" w:sz="4" w:space="0" w:color="auto"/>
              <w:left w:val="single" w:sz="4" w:space="0" w:color="auto"/>
              <w:bottom w:val="nil"/>
              <w:right w:val="single" w:sz="4" w:space="0" w:color="auto"/>
            </w:tcBorders>
            <w:shd w:val="clear" w:color="D9D9D9" w:fill="D9D9D9"/>
            <w:hideMark/>
          </w:tcPr>
          <w:p w14:paraId="03FB1646"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19</w:t>
            </w:r>
          </w:p>
        </w:tc>
        <w:tc>
          <w:tcPr>
            <w:tcW w:w="1593" w:type="pct"/>
            <w:tcBorders>
              <w:top w:val="single" w:sz="4" w:space="0" w:color="auto"/>
              <w:left w:val="single" w:sz="4" w:space="0" w:color="auto"/>
              <w:bottom w:val="nil"/>
              <w:right w:val="single" w:sz="4" w:space="0" w:color="auto"/>
            </w:tcBorders>
            <w:shd w:val="clear" w:color="D9D9D9" w:fill="D9D9D9"/>
            <w:hideMark/>
          </w:tcPr>
          <w:p w14:paraId="529236D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RLR in the management of HCC?</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4E4EFE3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19,1</w:t>
            </w:r>
          </w:p>
        </w:tc>
        <w:tc>
          <w:tcPr>
            <w:tcW w:w="2539" w:type="pct"/>
            <w:tcBorders>
              <w:top w:val="single" w:sz="4" w:space="0" w:color="auto"/>
              <w:left w:val="single" w:sz="4" w:space="0" w:color="auto"/>
              <w:bottom w:val="single" w:sz="4" w:space="0" w:color="auto"/>
              <w:right w:val="single" w:sz="4" w:space="0" w:color="auto"/>
            </w:tcBorders>
            <w:shd w:val="clear" w:color="D9D9D9" w:fill="D9D9D9"/>
            <w:hideMark/>
          </w:tcPr>
          <w:p w14:paraId="477C817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RLR for HCC is as safe and feasible as conventional open and laparoscopic approaches, offering comparable surgical and oncological outcomes in selected patients when performed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0E7E9BA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2B</w:t>
            </w:r>
          </w:p>
        </w:tc>
      </w:tr>
      <w:tr w:rsidR="00023C91" w:rsidRPr="00AD2821" w14:paraId="6D73AA96"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6D2B75D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593" w:type="pct"/>
            <w:tcBorders>
              <w:top w:val="nil"/>
              <w:left w:val="single" w:sz="4" w:space="0" w:color="auto"/>
              <w:bottom w:val="single" w:sz="4" w:space="0" w:color="auto"/>
              <w:right w:val="single" w:sz="4" w:space="0" w:color="auto"/>
            </w:tcBorders>
            <w:shd w:val="clear" w:color="auto" w:fill="auto"/>
            <w:hideMark/>
          </w:tcPr>
          <w:p w14:paraId="3755AD46"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6CE5385C"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19,2</w:t>
            </w:r>
          </w:p>
        </w:tc>
        <w:tc>
          <w:tcPr>
            <w:tcW w:w="2539" w:type="pct"/>
            <w:tcBorders>
              <w:top w:val="single" w:sz="4" w:space="0" w:color="auto"/>
              <w:left w:val="single" w:sz="4" w:space="0" w:color="auto"/>
              <w:bottom w:val="single" w:sz="4" w:space="0" w:color="auto"/>
              <w:right w:val="single" w:sz="4" w:space="0" w:color="auto"/>
            </w:tcBorders>
            <w:shd w:val="clear" w:color="auto" w:fill="auto"/>
            <w:hideMark/>
          </w:tcPr>
          <w:p w14:paraId="30B00AC6"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Difficulty scores are crucial for proper case selection, warranting investigation in randomized controlled trials.</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6C9A1064"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60B0B89C" w14:textId="77777777" w:rsidTr="00D45F54">
        <w:trPr>
          <w:trHeight w:val="750"/>
        </w:trPr>
        <w:tc>
          <w:tcPr>
            <w:tcW w:w="198" w:type="pct"/>
            <w:tcBorders>
              <w:top w:val="single" w:sz="4" w:space="0" w:color="auto"/>
              <w:left w:val="single" w:sz="4" w:space="0" w:color="auto"/>
              <w:bottom w:val="single" w:sz="4" w:space="0" w:color="auto"/>
              <w:right w:val="single" w:sz="4" w:space="0" w:color="auto"/>
            </w:tcBorders>
            <w:shd w:val="clear" w:color="D9D9D9" w:fill="D9D9D9"/>
            <w:hideMark/>
          </w:tcPr>
          <w:p w14:paraId="096429D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20</w:t>
            </w:r>
          </w:p>
        </w:tc>
        <w:tc>
          <w:tcPr>
            <w:tcW w:w="1593" w:type="pct"/>
            <w:tcBorders>
              <w:top w:val="single" w:sz="4" w:space="0" w:color="auto"/>
              <w:left w:val="single" w:sz="4" w:space="0" w:color="auto"/>
              <w:bottom w:val="single" w:sz="4" w:space="0" w:color="auto"/>
              <w:right w:val="single" w:sz="4" w:space="0" w:color="auto"/>
            </w:tcBorders>
            <w:shd w:val="clear" w:color="D9D9D9" w:fill="D9D9D9"/>
            <w:hideMark/>
          </w:tcPr>
          <w:p w14:paraId="62A4EB0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LLR in the management of intrahepatic cholangiocarcinoma (iCCA)?</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6BD8420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20</w:t>
            </w:r>
          </w:p>
        </w:tc>
        <w:tc>
          <w:tcPr>
            <w:tcW w:w="2539" w:type="pct"/>
            <w:tcBorders>
              <w:top w:val="single" w:sz="4" w:space="0" w:color="auto"/>
              <w:left w:val="single" w:sz="4" w:space="0" w:color="auto"/>
              <w:bottom w:val="single" w:sz="4" w:space="0" w:color="auto"/>
              <w:right w:val="single" w:sz="4" w:space="0" w:color="auto"/>
            </w:tcBorders>
            <w:shd w:val="clear" w:color="D9D9D9" w:fill="D9D9D9"/>
            <w:hideMark/>
          </w:tcPr>
          <w:p w14:paraId="626AF1D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should be considered a valid alternative approach to open surgery in the management of iCCA.</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3BCDC94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36324976" w14:textId="77777777" w:rsidTr="00D45F54">
        <w:trPr>
          <w:trHeight w:val="750"/>
        </w:trPr>
        <w:tc>
          <w:tcPr>
            <w:tcW w:w="198" w:type="pct"/>
            <w:tcBorders>
              <w:top w:val="single" w:sz="4" w:space="0" w:color="auto"/>
              <w:left w:val="single" w:sz="4" w:space="0" w:color="auto"/>
              <w:bottom w:val="single" w:sz="4" w:space="0" w:color="auto"/>
              <w:right w:val="single" w:sz="4" w:space="0" w:color="auto"/>
            </w:tcBorders>
            <w:shd w:val="clear" w:color="auto" w:fill="auto"/>
            <w:hideMark/>
          </w:tcPr>
          <w:p w14:paraId="76A71B8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21</w:t>
            </w:r>
          </w:p>
        </w:tc>
        <w:tc>
          <w:tcPr>
            <w:tcW w:w="1593" w:type="pct"/>
            <w:tcBorders>
              <w:top w:val="single" w:sz="4" w:space="0" w:color="auto"/>
              <w:left w:val="single" w:sz="4" w:space="0" w:color="auto"/>
              <w:bottom w:val="single" w:sz="4" w:space="0" w:color="auto"/>
              <w:right w:val="single" w:sz="4" w:space="0" w:color="auto"/>
            </w:tcBorders>
            <w:shd w:val="clear" w:color="auto" w:fill="auto"/>
            <w:hideMark/>
          </w:tcPr>
          <w:p w14:paraId="03D6EDBF"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RLR in the management of intrahepatic iCCA?</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676B6FC2"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21</w:t>
            </w:r>
          </w:p>
        </w:tc>
        <w:tc>
          <w:tcPr>
            <w:tcW w:w="2539" w:type="pct"/>
            <w:tcBorders>
              <w:top w:val="single" w:sz="4" w:space="0" w:color="auto"/>
              <w:left w:val="single" w:sz="4" w:space="0" w:color="auto"/>
              <w:bottom w:val="single" w:sz="4" w:space="0" w:color="auto"/>
              <w:right w:val="single" w:sz="4" w:space="0" w:color="auto"/>
            </w:tcBorders>
            <w:shd w:val="clear" w:color="auto" w:fill="auto"/>
            <w:hideMark/>
          </w:tcPr>
          <w:p w14:paraId="1FAB483C"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Little evidence is available in the literature regarding RLR for iCCA. Further studies are required in this area.</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08FEE8B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7B81C04E" w14:textId="77777777" w:rsidTr="00D45F54">
        <w:trPr>
          <w:trHeight w:val="750"/>
        </w:trPr>
        <w:tc>
          <w:tcPr>
            <w:tcW w:w="198" w:type="pct"/>
            <w:tcBorders>
              <w:top w:val="single" w:sz="4" w:space="0" w:color="auto"/>
              <w:left w:val="single" w:sz="4" w:space="0" w:color="auto"/>
              <w:bottom w:val="single" w:sz="4" w:space="0" w:color="auto"/>
              <w:right w:val="single" w:sz="4" w:space="0" w:color="auto"/>
            </w:tcBorders>
            <w:shd w:val="clear" w:color="D9D9D9" w:fill="D9D9D9"/>
            <w:hideMark/>
          </w:tcPr>
          <w:p w14:paraId="42390850"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22</w:t>
            </w:r>
          </w:p>
        </w:tc>
        <w:tc>
          <w:tcPr>
            <w:tcW w:w="1593" w:type="pct"/>
            <w:tcBorders>
              <w:top w:val="single" w:sz="4" w:space="0" w:color="auto"/>
              <w:left w:val="single" w:sz="4" w:space="0" w:color="auto"/>
              <w:bottom w:val="single" w:sz="4" w:space="0" w:color="auto"/>
              <w:right w:val="single" w:sz="4" w:space="0" w:color="auto"/>
            </w:tcBorders>
            <w:shd w:val="clear" w:color="D9D9D9" w:fill="D9D9D9"/>
            <w:hideMark/>
          </w:tcPr>
          <w:p w14:paraId="2100B3BD"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LLR and RLR in the management of hilar CCA?</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32FC28D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22</w:t>
            </w:r>
          </w:p>
        </w:tc>
        <w:tc>
          <w:tcPr>
            <w:tcW w:w="2539" w:type="pct"/>
            <w:tcBorders>
              <w:top w:val="single" w:sz="4" w:space="0" w:color="auto"/>
              <w:left w:val="single" w:sz="4" w:space="0" w:color="auto"/>
              <w:bottom w:val="single" w:sz="4" w:space="0" w:color="auto"/>
              <w:right w:val="single" w:sz="4" w:space="0" w:color="auto"/>
            </w:tcBorders>
            <w:shd w:val="clear" w:color="D9D9D9" w:fill="D9D9D9"/>
            <w:hideMark/>
          </w:tcPr>
          <w:p w14:paraId="0EB8598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xml:space="preserve">LLR and RLR have been reported for hilar cholangiocarcinoma but there are little data to recommend their routine use. </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514FBFE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4B0CE609" w14:textId="77777777" w:rsidTr="00D45F54">
        <w:trPr>
          <w:trHeight w:val="1500"/>
        </w:trPr>
        <w:tc>
          <w:tcPr>
            <w:tcW w:w="198" w:type="pct"/>
            <w:tcBorders>
              <w:top w:val="single" w:sz="4" w:space="0" w:color="auto"/>
              <w:left w:val="single" w:sz="4" w:space="0" w:color="auto"/>
              <w:bottom w:val="single" w:sz="4" w:space="0" w:color="auto"/>
              <w:right w:val="single" w:sz="4" w:space="0" w:color="auto"/>
            </w:tcBorders>
            <w:shd w:val="clear" w:color="auto" w:fill="auto"/>
            <w:hideMark/>
          </w:tcPr>
          <w:p w14:paraId="3BBB63CD"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23</w:t>
            </w:r>
          </w:p>
        </w:tc>
        <w:tc>
          <w:tcPr>
            <w:tcW w:w="1593" w:type="pct"/>
            <w:tcBorders>
              <w:top w:val="single" w:sz="4" w:space="0" w:color="auto"/>
              <w:left w:val="single" w:sz="4" w:space="0" w:color="auto"/>
              <w:bottom w:val="single" w:sz="4" w:space="0" w:color="auto"/>
              <w:right w:val="single" w:sz="4" w:space="0" w:color="auto"/>
            </w:tcBorders>
            <w:shd w:val="clear" w:color="auto" w:fill="auto"/>
            <w:hideMark/>
          </w:tcPr>
          <w:p w14:paraId="1EF085D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LLR and RLR in the management of benign liver disease?</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0C4C59B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23</w:t>
            </w:r>
          </w:p>
        </w:tc>
        <w:tc>
          <w:tcPr>
            <w:tcW w:w="2539" w:type="pct"/>
            <w:tcBorders>
              <w:top w:val="single" w:sz="4" w:space="0" w:color="auto"/>
              <w:left w:val="single" w:sz="4" w:space="0" w:color="auto"/>
              <w:bottom w:val="single" w:sz="4" w:space="0" w:color="auto"/>
              <w:right w:val="single" w:sz="4" w:space="0" w:color="auto"/>
            </w:tcBorders>
            <w:shd w:val="clear" w:color="auto" w:fill="auto"/>
            <w:hideMark/>
          </w:tcPr>
          <w:p w14:paraId="681965B7"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and RLR should be considered a valid alternative approach to open surgery in the management of benign liver disease. It is associated with improved short-term outcomes compared with open surgery, when performed in centres with adequate experience and expertise. However, this should not extend or change the indications for surgery.</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316000D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0BE88E5F" w14:textId="77777777" w:rsidTr="00D45F54">
        <w:trPr>
          <w:trHeight w:val="1125"/>
        </w:trPr>
        <w:tc>
          <w:tcPr>
            <w:tcW w:w="198" w:type="pct"/>
            <w:tcBorders>
              <w:top w:val="single" w:sz="4" w:space="0" w:color="auto"/>
              <w:left w:val="single" w:sz="4" w:space="0" w:color="auto"/>
              <w:bottom w:val="nil"/>
              <w:right w:val="single" w:sz="4" w:space="0" w:color="auto"/>
            </w:tcBorders>
            <w:shd w:val="clear" w:color="D9D9D9" w:fill="D9D9D9"/>
            <w:hideMark/>
          </w:tcPr>
          <w:p w14:paraId="48E1CE5F"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24</w:t>
            </w:r>
          </w:p>
        </w:tc>
        <w:tc>
          <w:tcPr>
            <w:tcW w:w="1593" w:type="pct"/>
            <w:tcBorders>
              <w:top w:val="single" w:sz="4" w:space="0" w:color="auto"/>
              <w:left w:val="single" w:sz="4" w:space="0" w:color="auto"/>
              <w:bottom w:val="nil"/>
              <w:right w:val="single" w:sz="4" w:space="0" w:color="auto"/>
            </w:tcBorders>
            <w:shd w:val="clear" w:color="D9D9D9" w:fill="D9D9D9"/>
            <w:hideMark/>
          </w:tcPr>
          <w:p w14:paraId="19B6E9F5"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LLR and RLR in the setting of living donor?</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193A0E82"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24,1</w:t>
            </w:r>
          </w:p>
        </w:tc>
        <w:tc>
          <w:tcPr>
            <w:tcW w:w="2539" w:type="pct"/>
            <w:tcBorders>
              <w:top w:val="single" w:sz="4" w:space="0" w:color="auto"/>
              <w:left w:val="single" w:sz="4" w:space="0" w:color="auto"/>
              <w:bottom w:val="single" w:sz="4" w:space="0" w:color="auto"/>
              <w:right w:val="single" w:sz="4" w:space="0" w:color="auto"/>
            </w:tcBorders>
            <w:shd w:val="clear" w:color="D9D9D9" w:fill="D9D9D9"/>
            <w:hideMark/>
          </w:tcPr>
          <w:p w14:paraId="634B550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and RLR for living donor major hepatectomy for adult transplantation have been reported and may be a valid alternative to open surgery, when performed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5C0A22D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419B43A6" w14:textId="77777777" w:rsidTr="00D45F54">
        <w:trPr>
          <w:trHeight w:val="1125"/>
        </w:trPr>
        <w:tc>
          <w:tcPr>
            <w:tcW w:w="198" w:type="pct"/>
            <w:tcBorders>
              <w:top w:val="nil"/>
              <w:left w:val="single" w:sz="4" w:space="0" w:color="auto"/>
              <w:bottom w:val="single" w:sz="4" w:space="0" w:color="auto"/>
              <w:right w:val="single" w:sz="4" w:space="0" w:color="auto"/>
            </w:tcBorders>
            <w:shd w:val="clear" w:color="auto" w:fill="auto"/>
            <w:hideMark/>
          </w:tcPr>
          <w:p w14:paraId="73AA7F51"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593" w:type="pct"/>
            <w:tcBorders>
              <w:top w:val="nil"/>
              <w:left w:val="single" w:sz="4" w:space="0" w:color="auto"/>
              <w:bottom w:val="single" w:sz="4" w:space="0" w:color="auto"/>
              <w:right w:val="single" w:sz="4" w:space="0" w:color="auto"/>
            </w:tcBorders>
            <w:shd w:val="clear" w:color="auto" w:fill="auto"/>
            <w:hideMark/>
          </w:tcPr>
          <w:p w14:paraId="6EE33817"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1DEBB954"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24,2</w:t>
            </w:r>
          </w:p>
        </w:tc>
        <w:tc>
          <w:tcPr>
            <w:tcW w:w="2539" w:type="pct"/>
            <w:tcBorders>
              <w:top w:val="single" w:sz="4" w:space="0" w:color="auto"/>
              <w:left w:val="single" w:sz="4" w:space="0" w:color="auto"/>
              <w:bottom w:val="single" w:sz="4" w:space="0" w:color="auto"/>
              <w:right w:val="single" w:sz="4" w:space="0" w:color="auto"/>
            </w:tcBorders>
            <w:shd w:val="clear" w:color="auto" w:fill="auto"/>
            <w:hideMark/>
          </w:tcPr>
          <w:p w14:paraId="77317F7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For paediatric transplantation, LLR should be considered as standard practice similar to the open technique, whereby pure laparoscopic left lateral sectionectomy offers a reduction in blood loss, morbidity, and hospital stay.</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40F2E72B"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2519A528" w14:textId="77777777" w:rsidTr="00D45F54">
        <w:trPr>
          <w:trHeight w:val="750"/>
        </w:trPr>
        <w:tc>
          <w:tcPr>
            <w:tcW w:w="198" w:type="pct"/>
            <w:tcBorders>
              <w:top w:val="single" w:sz="4" w:space="0" w:color="auto"/>
              <w:left w:val="single" w:sz="4" w:space="0" w:color="auto"/>
              <w:bottom w:val="nil"/>
              <w:right w:val="single" w:sz="4" w:space="0" w:color="auto"/>
            </w:tcBorders>
            <w:shd w:val="clear" w:color="D9D9D9" w:fill="D9D9D9"/>
            <w:hideMark/>
          </w:tcPr>
          <w:p w14:paraId="7C7F07C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25</w:t>
            </w:r>
          </w:p>
        </w:tc>
        <w:tc>
          <w:tcPr>
            <w:tcW w:w="1593" w:type="pct"/>
            <w:tcBorders>
              <w:top w:val="single" w:sz="4" w:space="0" w:color="auto"/>
              <w:left w:val="single" w:sz="4" w:space="0" w:color="auto"/>
              <w:bottom w:val="nil"/>
              <w:right w:val="single" w:sz="4" w:space="0" w:color="auto"/>
            </w:tcBorders>
            <w:shd w:val="clear" w:color="D9D9D9" w:fill="D9D9D9"/>
            <w:hideMark/>
          </w:tcPr>
          <w:p w14:paraId="305A3A48"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LLR and RLR in the setting of liver resection requiring combined biliary reconstruction?</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107A9FAB"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25,1</w:t>
            </w:r>
          </w:p>
        </w:tc>
        <w:tc>
          <w:tcPr>
            <w:tcW w:w="2539" w:type="pct"/>
            <w:tcBorders>
              <w:top w:val="single" w:sz="4" w:space="0" w:color="auto"/>
              <w:left w:val="single" w:sz="4" w:space="0" w:color="auto"/>
              <w:bottom w:val="single" w:sz="4" w:space="0" w:color="auto"/>
              <w:right w:val="single" w:sz="4" w:space="0" w:color="auto"/>
            </w:tcBorders>
            <w:shd w:val="clear" w:color="D9D9D9" w:fill="D9D9D9"/>
            <w:hideMark/>
          </w:tcPr>
          <w:p w14:paraId="4B4C2FD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and RLR have been reported in the setting of liver resection requiring biliary reconstruction. The technical difficulty and conversion rate should be acknowledged.</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44D471A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70775441"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63E1C8EB"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 </w:t>
            </w:r>
          </w:p>
        </w:tc>
        <w:tc>
          <w:tcPr>
            <w:tcW w:w="1593" w:type="pct"/>
            <w:tcBorders>
              <w:top w:val="nil"/>
              <w:left w:val="single" w:sz="4" w:space="0" w:color="auto"/>
              <w:bottom w:val="single" w:sz="4" w:space="0" w:color="auto"/>
              <w:right w:val="single" w:sz="4" w:space="0" w:color="auto"/>
            </w:tcBorders>
            <w:shd w:val="clear" w:color="auto" w:fill="auto"/>
            <w:hideMark/>
          </w:tcPr>
          <w:p w14:paraId="67E5D3F5"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7701501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25,2</w:t>
            </w:r>
          </w:p>
        </w:tc>
        <w:tc>
          <w:tcPr>
            <w:tcW w:w="2539" w:type="pct"/>
            <w:tcBorders>
              <w:top w:val="single" w:sz="4" w:space="0" w:color="auto"/>
              <w:left w:val="single" w:sz="4" w:space="0" w:color="auto"/>
              <w:bottom w:val="single" w:sz="4" w:space="0" w:color="auto"/>
              <w:right w:val="single" w:sz="4" w:space="0" w:color="auto"/>
            </w:tcBorders>
            <w:shd w:val="clear" w:color="auto" w:fill="auto"/>
            <w:hideMark/>
          </w:tcPr>
          <w:p w14:paraId="086B813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RLR facilitates fine suturing for bilioenteric anastomosis.</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1F49E232"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6215D464" w14:textId="77777777" w:rsidTr="00D45F54">
        <w:trPr>
          <w:trHeight w:val="750"/>
        </w:trPr>
        <w:tc>
          <w:tcPr>
            <w:tcW w:w="198" w:type="pct"/>
            <w:tcBorders>
              <w:top w:val="single" w:sz="4" w:space="0" w:color="auto"/>
              <w:left w:val="single" w:sz="4" w:space="0" w:color="auto"/>
              <w:bottom w:val="nil"/>
              <w:right w:val="single" w:sz="4" w:space="0" w:color="auto"/>
            </w:tcBorders>
            <w:shd w:val="clear" w:color="D9D9D9" w:fill="D9D9D9"/>
            <w:hideMark/>
          </w:tcPr>
          <w:p w14:paraId="2CE8356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26</w:t>
            </w:r>
          </w:p>
        </w:tc>
        <w:tc>
          <w:tcPr>
            <w:tcW w:w="1593" w:type="pct"/>
            <w:tcBorders>
              <w:top w:val="single" w:sz="4" w:space="0" w:color="auto"/>
              <w:left w:val="single" w:sz="4" w:space="0" w:color="auto"/>
              <w:bottom w:val="nil"/>
              <w:right w:val="single" w:sz="4" w:space="0" w:color="auto"/>
            </w:tcBorders>
            <w:shd w:val="clear" w:color="D9D9D9" w:fill="D9D9D9"/>
            <w:hideMark/>
          </w:tcPr>
          <w:p w14:paraId="63549624"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What is the role of LLR and RLR in the setting of liver resection requiring combined vascular (venous/arterial) reconstruction?</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3F10BCF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26,1</w:t>
            </w:r>
          </w:p>
        </w:tc>
        <w:tc>
          <w:tcPr>
            <w:tcW w:w="2539" w:type="pct"/>
            <w:tcBorders>
              <w:top w:val="single" w:sz="4" w:space="0" w:color="auto"/>
              <w:left w:val="single" w:sz="4" w:space="0" w:color="auto"/>
              <w:bottom w:val="single" w:sz="4" w:space="0" w:color="auto"/>
              <w:right w:val="single" w:sz="4" w:space="0" w:color="auto"/>
            </w:tcBorders>
            <w:shd w:val="clear" w:color="D9D9D9" w:fill="D9D9D9"/>
            <w:hideMark/>
          </w:tcPr>
          <w:p w14:paraId="002F34EB"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and RLR have been reported in the setting of liver resection requiring combined vascular reconstruction. The technical difficulty should be acknowledged.</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2E0DCA47"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7EA96622"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7A81FD4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3" w:type="pct"/>
            <w:tcBorders>
              <w:top w:val="nil"/>
              <w:left w:val="single" w:sz="4" w:space="0" w:color="auto"/>
              <w:bottom w:val="single" w:sz="4" w:space="0" w:color="auto"/>
              <w:right w:val="single" w:sz="4" w:space="0" w:color="auto"/>
            </w:tcBorders>
            <w:shd w:val="clear" w:color="auto" w:fill="auto"/>
            <w:hideMark/>
          </w:tcPr>
          <w:p w14:paraId="67DF98A3"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07EF966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26,2</w:t>
            </w:r>
          </w:p>
        </w:tc>
        <w:tc>
          <w:tcPr>
            <w:tcW w:w="2539" w:type="pct"/>
            <w:tcBorders>
              <w:top w:val="single" w:sz="4" w:space="0" w:color="auto"/>
              <w:left w:val="single" w:sz="4" w:space="0" w:color="auto"/>
              <w:bottom w:val="single" w:sz="4" w:space="0" w:color="auto"/>
              <w:right w:val="single" w:sz="4" w:space="0" w:color="auto"/>
            </w:tcBorders>
            <w:shd w:val="clear" w:color="auto" w:fill="auto"/>
            <w:hideMark/>
          </w:tcPr>
          <w:p w14:paraId="0D6AE56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The robotic approach facilitates intracorporeal suturing.</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58EFB2C0"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bl>
    <w:p w14:paraId="3BB3D999" w14:textId="43C02641" w:rsidR="00303F17" w:rsidRPr="00AD2821" w:rsidRDefault="00303F17" w:rsidP="00303F17">
      <w:pPr>
        <w:jc w:val="both"/>
        <w:rPr>
          <w:rFonts w:cstheme="minorHAnsi"/>
          <w:sz w:val="22"/>
          <w:szCs w:val="22"/>
          <w:lang w:val="en-US"/>
        </w:rPr>
      </w:pPr>
    </w:p>
    <w:p w14:paraId="51EEB0FD" w14:textId="77777777" w:rsidR="00303F17" w:rsidRPr="00AD2821" w:rsidRDefault="00303F17">
      <w:pPr>
        <w:rPr>
          <w:rFonts w:cstheme="minorHAnsi"/>
          <w:sz w:val="22"/>
          <w:szCs w:val="22"/>
          <w:lang w:val="en-US"/>
        </w:rPr>
      </w:pPr>
      <w:r w:rsidRPr="00AD2821">
        <w:rPr>
          <w:rFonts w:cstheme="minorHAnsi"/>
          <w:sz w:val="22"/>
          <w:szCs w:val="22"/>
          <w:lang w:val="en-US"/>
        </w:rPr>
        <w:br w:type="page"/>
      </w:r>
    </w:p>
    <w:p w14:paraId="6F1DB50F" w14:textId="77777777" w:rsidR="00023C91" w:rsidRPr="00AD2821" w:rsidRDefault="00303F17" w:rsidP="00023C91">
      <w:pPr>
        <w:keepNext/>
        <w:keepLines/>
        <w:spacing w:before="160" w:after="80"/>
        <w:outlineLvl w:val="1"/>
        <w:rPr>
          <w:rFonts w:eastAsiaTheme="majorEastAsia" w:cstheme="minorHAnsi"/>
          <w:color w:val="000000" w:themeColor="text1"/>
          <w:sz w:val="22"/>
          <w:szCs w:val="22"/>
          <w:lang w:val="en-GB"/>
        </w:rPr>
      </w:pPr>
      <w:r w:rsidRPr="00AD2821">
        <w:rPr>
          <w:rFonts w:cstheme="minorHAnsi"/>
          <w:color w:val="000000" w:themeColor="text1"/>
          <w:sz w:val="22"/>
          <w:szCs w:val="22"/>
          <w:lang w:val="en-US"/>
        </w:rPr>
        <w:lastRenderedPageBreak/>
        <w:t>Supplementary Table 3.</w:t>
      </w:r>
      <w:r w:rsidR="00023C91" w:rsidRPr="00AD2821">
        <w:rPr>
          <w:rFonts w:cstheme="minorHAnsi"/>
          <w:color w:val="000000" w:themeColor="text1"/>
          <w:sz w:val="22"/>
          <w:szCs w:val="22"/>
          <w:lang w:val="en-US"/>
        </w:rPr>
        <w:t xml:space="preserve"> </w:t>
      </w:r>
      <w:r w:rsidR="00023C91" w:rsidRPr="00AD2821">
        <w:rPr>
          <w:rFonts w:eastAsiaTheme="majorEastAsia" w:cstheme="minorHAnsi"/>
          <w:color w:val="000000" w:themeColor="text1"/>
          <w:sz w:val="22"/>
          <w:szCs w:val="22"/>
          <w:lang w:val="en-GB"/>
        </w:rPr>
        <w:t xml:space="preserve">Domain 3 Clinical Questions and Recommendations </w:t>
      </w:r>
    </w:p>
    <w:p w14:paraId="4610EB06" w14:textId="77777777" w:rsidR="00023C91" w:rsidRPr="00AD2821" w:rsidRDefault="00023C91" w:rsidP="00023C91">
      <w:pPr>
        <w:keepNext/>
        <w:keepLines/>
        <w:spacing w:before="160" w:after="80"/>
        <w:outlineLvl w:val="1"/>
        <w:rPr>
          <w:rFonts w:eastAsiaTheme="majorEastAsia" w:cstheme="minorHAnsi"/>
          <w:color w:val="000000" w:themeColor="text1"/>
          <w:sz w:val="22"/>
          <w:szCs w:val="22"/>
          <w:lang w:val="en-GB"/>
        </w:rPr>
      </w:pPr>
    </w:p>
    <w:tbl>
      <w:tblPr>
        <w:tblW w:w="5000" w:type="pct"/>
        <w:tblCellMar>
          <w:left w:w="70" w:type="dxa"/>
          <w:right w:w="70" w:type="dxa"/>
        </w:tblCellMar>
        <w:tblLook w:val="04A0" w:firstRow="1" w:lastRow="0" w:firstColumn="1" w:lastColumn="0" w:noHBand="0" w:noVBand="1"/>
      </w:tblPr>
      <w:tblGrid>
        <w:gridCol w:w="384"/>
        <w:gridCol w:w="3491"/>
        <w:gridCol w:w="566"/>
        <w:gridCol w:w="4306"/>
        <w:gridCol w:w="695"/>
      </w:tblGrid>
      <w:tr w:rsidR="00023C91" w:rsidRPr="00AD2821" w14:paraId="4DE2C305" w14:textId="77777777" w:rsidTr="00D45F54">
        <w:trPr>
          <w:trHeight w:val="375"/>
        </w:trPr>
        <w:tc>
          <w:tcPr>
            <w:tcW w:w="198" w:type="pct"/>
            <w:tcBorders>
              <w:top w:val="single" w:sz="4" w:space="0" w:color="auto"/>
              <w:left w:val="single" w:sz="4" w:space="0" w:color="auto"/>
              <w:bottom w:val="single" w:sz="4" w:space="0" w:color="auto"/>
              <w:right w:val="single" w:sz="4" w:space="0" w:color="auto"/>
            </w:tcBorders>
            <w:shd w:val="clear" w:color="auto" w:fill="auto"/>
            <w:hideMark/>
          </w:tcPr>
          <w:p w14:paraId="61B7EDB1" w14:textId="77777777" w:rsidR="00023C91" w:rsidRPr="00AD2821" w:rsidRDefault="00023C91" w:rsidP="00D45F54">
            <w:pPr>
              <w:rPr>
                <w:rFonts w:eastAsia="Times New Roman" w:cstheme="minorHAnsi"/>
                <w:b/>
                <w:bCs/>
                <w:color w:val="000000"/>
                <w:lang w:val="en-GB" w:eastAsia="nl-NL"/>
              </w:rPr>
            </w:pPr>
            <w:bookmarkStart w:id="1" w:name="RANGE!A1:G26"/>
            <w:r w:rsidRPr="00AD2821">
              <w:rPr>
                <w:rFonts w:eastAsia="Times New Roman" w:cstheme="minorHAnsi"/>
                <w:b/>
                <w:bCs/>
                <w:color w:val="000000"/>
                <w:lang w:val="en-GB" w:eastAsia="nl-NL"/>
              </w:rPr>
              <w:t>Q</w:t>
            </w:r>
            <w:bookmarkEnd w:id="1"/>
          </w:p>
        </w:tc>
        <w:tc>
          <w:tcPr>
            <w:tcW w:w="1850" w:type="pct"/>
            <w:tcBorders>
              <w:top w:val="single" w:sz="4" w:space="0" w:color="auto"/>
              <w:left w:val="nil"/>
              <w:bottom w:val="single" w:sz="4" w:space="0" w:color="auto"/>
              <w:right w:val="single" w:sz="4" w:space="0" w:color="auto"/>
            </w:tcBorders>
            <w:shd w:val="clear" w:color="auto" w:fill="auto"/>
            <w:hideMark/>
          </w:tcPr>
          <w:p w14:paraId="68269935"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Clinical Question</w:t>
            </w:r>
          </w:p>
        </w:tc>
        <w:tc>
          <w:tcPr>
            <w:tcW w:w="301" w:type="pct"/>
            <w:tcBorders>
              <w:top w:val="single" w:sz="4" w:space="0" w:color="auto"/>
              <w:left w:val="nil"/>
              <w:bottom w:val="single" w:sz="4" w:space="0" w:color="auto"/>
              <w:right w:val="single" w:sz="4" w:space="0" w:color="auto"/>
            </w:tcBorders>
            <w:shd w:val="clear" w:color="auto" w:fill="auto"/>
            <w:hideMark/>
          </w:tcPr>
          <w:p w14:paraId="2BD07466"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R</w:t>
            </w:r>
          </w:p>
        </w:tc>
        <w:tc>
          <w:tcPr>
            <w:tcW w:w="2282" w:type="pct"/>
            <w:tcBorders>
              <w:top w:val="single" w:sz="4" w:space="0" w:color="auto"/>
              <w:left w:val="nil"/>
              <w:bottom w:val="single" w:sz="4" w:space="0" w:color="auto"/>
              <w:right w:val="single" w:sz="4" w:space="0" w:color="auto"/>
            </w:tcBorders>
            <w:shd w:val="clear" w:color="auto" w:fill="auto"/>
            <w:hideMark/>
          </w:tcPr>
          <w:p w14:paraId="770E4757"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Recommendation</w:t>
            </w:r>
          </w:p>
        </w:tc>
        <w:tc>
          <w:tcPr>
            <w:tcW w:w="369" w:type="pct"/>
            <w:tcBorders>
              <w:top w:val="single" w:sz="4" w:space="0" w:color="auto"/>
              <w:left w:val="single" w:sz="4" w:space="0" w:color="auto"/>
              <w:bottom w:val="single" w:sz="4" w:space="0" w:color="auto"/>
              <w:right w:val="single" w:sz="4" w:space="0" w:color="auto"/>
            </w:tcBorders>
            <w:shd w:val="clear" w:color="auto" w:fill="auto"/>
            <w:hideMark/>
          </w:tcPr>
          <w:p w14:paraId="79D3D016"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Code</w:t>
            </w:r>
          </w:p>
        </w:tc>
      </w:tr>
      <w:tr w:rsidR="00023C91" w:rsidRPr="00AD2821" w14:paraId="16C0744A" w14:textId="77777777" w:rsidTr="00D45F54">
        <w:trPr>
          <w:trHeight w:val="750"/>
        </w:trPr>
        <w:tc>
          <w:tcPr>
            <w:tcW w:w="198" w:type="pct"/>
            <w:tcBorders>
              <w:top w:val="nil"/>
              <w:left w:val="single" w:sz="4" w:space="0" w:color="auto"/>
              <w:bottom w:val="single" w:sz="4" w:space="0" w:color="auto"/>
              <w:right w:val="single" w:sz="4" w:space="0" w:color="auto"/>
            </w:tcBorders>
            <w:shd w:val="clear" w:color="D9D9D9" w:fill="D9D9D9"/>
            <w:hideMark/>
          </w:tcPr>
          <w:p w14:paraId="0F60675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27</w:t>
            </w:r>
          </w:p>
        </w:tc>
        <w:tc>
          <w:tcPr>
            <w:tcW w:w="1850" w:type="pct"/>
            <w:tcBorders>
              <w:top w:val="nil"/>
              <w:left w:val="nil"/>
              <w:bottom w:val="single" w:sz="4" w:space="0" w:color="auto"/>
              <w:right w:val="single" w:sz="4" w:space="0" w:color="auto"/>
            </w:tcBorders>
            <w:shd w:val="clear" w:color="D9D9D9" w:fill="D9D9D9"/>
            <w:hideMark/>
          </w:tcPr>
          <w:p w14:paraId="006A3EB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Are there contraindications for laparoscopic liver resection (LLR), related to patient age?</w:t>
            </w:r>
          </w:p>
        </w:tc>
        <w:tc>
          <w:tcPr>
            <w:tcW w:w="301" w:type="pct"/>
            <w:tcBorders>
              <w:top w:val="nil"/>
              <w:left w:val="nil"/>
              <w:bottom w:val="single" w:sz="4" w:space="0" w:color="auto"/>
              <w:right w:val="single" w:sz="4" w:space="0" w:color="auto"/>
            </w:tcBorders>
            <w:shd w:val="clear" w:color="D9D9D9" w:fill="D9D9D9"/>
            <w:hideMark/>
          </w:tcPr>
          <w:p w14:paraId="06F5BE57"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27</w:t>
            </w:r>
          </w:p>
        </w:tc>
        <w:tc>
          <w:tcPr>
            <w:tcW w:w="2282" w:type="pct"/>
            <w:tcBorders>
              <w:top w:val="nil"/>
              <w:left w:val="nil"/>
              <w:bottom w:val="single" w:sz="4" w:space="0" w:color="auto"/>
              <w:right w:val="single" w:sz="4" w:space="0" w:color="auto"/>
            </w:tcBorders>
            <w:shd w:val="clear" w:color="D9D9D9" w:fill="D9D9D9"/>
            <w:hideMark/>
          </w:tcPr>
          <w:p w14:paraId="1C93D5B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Patient age should not be considered a contraindication for LLR.</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6E7B9999"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7E330BE2"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7039F3C0"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28</w:t>
            </w:r>
          </w:p>
        </w:tc>
        <w:tc>
          <w:tcPr>
            <w:tcW w:w="1850" w:type="pct"/>
            <w:tcBorders>
              <w:top w:val="nil"/>
              <w:left w:val="nil"/>
              <w:bottom w:val="single" w:sz="4" w:space="0" w:color="auto"/>
              <w:right w:val="single" w:sz="4" w:space="0" w:color="auto"/>
            </w:tcBorders>
            <w:shd w:val="clear" w:color="auto" w:fill="auto"/>
            <w:hideMark/>
          </w:tcPr>
          <w:p w14:paraId="7A4907C7"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Are there contraindications for robotic liver resection (RLR), related to patient age?</w:t>
            </w:r>
          </w:p>
        </w:tc>
        <w:tc>
          <w:tcPr>
            <w:tcW w:w="301" w:type="pct"/>
            <w:tcBorders>
              <w:top w:val="nil"/>
              <w:left w:val="nil"/>
              <w:bottom w:val="single" w:sz="4" w:space="0" w:color="auto"/>
              <w:right w:val="single" w:sz="4" w:space="0" w:color="auto"/>
            </w:tcBorders>
            <w:shd w:val="clear" w:color="auto" w:fill="auto"/>
            <w:hideMark/>
          </w:tcPr>
          <w:p w14:paraId="5EBC6762"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28</w:t>
            </w:r>
          </w:p>
        </w:tc>
        <w:tc>
          <w:tcPr>
            <w:tcW w:w="2282" w:type="pct"/>
            <w:tcBorders>
              <w:top w:val="nil"/>
              <w:left w:val="nil"/>
              <w:bottom w:val="single" w:sz="4" w:space="0" w:color="auto"/>
              <w:right w:val="single" w:sz="4" w:space="0" w:color="auto"/>
            </w:tcBorders>
            <w:shd w:val="clear" w:color="auto" w:fill="auto"/>
            <w:hideMark/>
          </w:tcPr>
          <w:p w14:paraId="7CD711CF"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Patient age should not be considered a contraindication for RLR.</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61D3320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4B6DE749" w14:textId="77777777" w:rsidTr="00D45F54">
        <w:trPr>
          <w:trHeight w:val="750"/>
        </w:trPr>
        <w:tc>
          <w:tcPr>
            <w:tcW w:w="198" w:type="pct"/>
            <w:tcBorders>
              <w:top w:val="nil"/>
              <w:left w:val="single" w:sz="4" w:space="0" w:color="auto"/>
              <w:bottom w:val="single" w:sz="4" w:space="0" w:color="auto"/>
              <w:right w:val="single" w:sz="4" w:space="0" w:color="auto"/>
            </w:tcBorders>
            <w:shd w:val="clear" w:color="D9D9D9" w:fill="D9D9D9"/>
            <w:hideMark/>
          </w:tcPr>
          <w:p w14:paraId="075BD909"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29</w:t>
            </w:r>
          </w:p>
        </w:tc>
        <w:tc>
          <w:tcPr>
            <w:tcW w:w="1850" w:type="pct"/>
            <w:tcBorders>
              <w:top w:val="nil"/>
              <w:left w:val="nil"/>
              <w:bottom w:val="single" w:sz="4" w:space="0" w:color="auto"/>
              <w:right w:val="single" w:sz="4" w:space="0" w:color="auto"/>
            </w:tcBorders>
            <w:shd w:val="clear" w:color="D9D9D9" w:fill="D9D9D9"/>
            <w:hideMark/>
          </w:tcPr>
          <w:p w14:paraId="69A1F287"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Are there contraindications for laparoscopic liver resection (LLR), related to obesity?</w:t>
            </w:r>
          </w:p>
        </w:tc>
        <w:tc>
          <w:tcPr>
            <w:tcW w:w="301" w:type="pct"/>
            <w:tcBorders>
              <w:top w:val="nil"/>
              <w:left w:val="nil"/>
              <w:bottom w:val="single" w:sz="4" w:space="0" w:color="auto"/>
              <w:right w:val="single" w:sz="4" w:space="0" w:color="auto"/>
            </w:tcBorders>
            <w:shd w:val="clear" w:color="D9D9D9" w:fill="D9D9D9"/>
            <w:hideMark/>
          </w:tcPr>
          <w:p w14:paraId="04E21118"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29</w:t>
            </w:r>
          </w:p>
        </w:tc>
        <w:tc>
          <w:tcPr>
            <w:tcW w:w="2282" w:type="pct"/>
            <w:tcBorders>
              <w:top w:val="nil"/>
              <w:left w:val="nil"/>
              <w:bottom w:val="single" w:sz="4" w:space="0" w:color="auto"/>
              <w:right w:val="single" w:sz="4" w:space="0" w:color="auto"/>
            </w:tcBorders>
            <w:shd w:val="clear" w:color="D9D9D9" w:fill="D9D9D9"/>
            <w:hideMark/>
          </w:tcPr>
          <w:p w14:paraId="6FB67658"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Obesity should not be considered a contraindication for LLR.</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45E709C0"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38A7108E"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524EC1D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30</w:t>
            </w:r>
          </w:p>
        </w:tc>
        <w:tc>
          <w:tcPr>
            <w:tcW w:w="1850" w:type="pct"/>
            <w:tcBorders>
              <w:top w:val="nil"/>
              <w:left w:val="nil"/>
              <w:bottom w:val="single" w:sz="4" w:space="0" w:color="auto"/>
              <w:right w:val="single" w:sz="4" w:space="0" w:color="auto"/>
            </w:tcBorders>
            <w:shd w:val="clear" w:color="auto" w:fill="auto"/>
            <w:hideMark/>
          </w:tcPr>
          <w:p w14:paraId="3270667F"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Are there contraindications for robotic liver resection (RLR), related to obesity?</w:t>
            </w:r>
          </w:p>
        </w:tc>
        <w:tc>
          <w:tcPr>
            <w:tcW w:w="301" w:type="pct"/>
            <w:tcBorders>
              <w:top w:val="nil"/>
              <w:left w:val="nil"/>
              <w:bottom w:val="single" w:sz="4" w:space="0" w:color="auto"/>
              <w:right w:val="single" w:sz="4" w:space="0" w:color="auto"/>
            </w:tcBorders>
            <w:shd w:val="clear" w:color="auto" w:fill="auto"/>
            <w:hideMark/>
          </w:tcPr>
          <w:p w14:paraId="1D18F1D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30</w:t>
            </w:r>
          </w:p>
        </w:tc>
        <w:tc>
          <w:tcPr>
            <w:tcW w:w="2282" w:type="pct"/>
            <w:tcBorders>
              <w:top w:val="nil"/>
              <w:left w:val="nil"/>
              <w:bottom w:val="single" w:sz="4" w:space="0" w:color="auto"/>
              <w:right w:val="single" w:sz="4" w:space="0" w:color="auto"/>
            </w:tcBorders>
            <w:shd w:val="clear" w:color="auto" w:fill="auto"/>
            <w:hideMark/>
          </w:tcPr>
          <w:p w14:paraId="6102F842"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There is limited evidence specifically addressing the impact of obesity on outcomes following RLR for different indications. Further studies are encouraged.</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49FAE16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2AC939D6" w14:textId="77777777" w:rsidTr="00D45F54">
        <w:trPr>
          <w:trHeight w:val="750"/>
        </w:trPr>
        <w:tc>
          <w:tcPr>
            <w:tcW w:w="198" w:type="pct"/>
            <w:tcBorders>
              <w:top w:val="nil"/>
              <w:left w:val="single" w:sz="4" w:space="0" w:color="auto"/>
              <w:bottom w:val="single" w:sz="4" w:space="0" w:color="auto"/>
              <w:right w:val="single" w:sz="4" w:space="0" w:color="auto"/>
            </w:tcBorders>
            <w:shd w:val="clear" w:color="D9D9D9" w:fill="D9D9D9"/>
            <w:hideMark/>
          </w:tcPr>
          <w:p w14:paraId="7C32D805"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31</w:t>
            </w:r>
          </w:p>
        </w:tc>
        <w:tc>
          <w:tcPr>
            <w:tcW w:w="1850" w:type="pct"/>
            <w:tcBorders>
              <w:top w:val="nil"/>
              <w:left w:val="nil"/>
              <w:bottom w:val="single" w:sz="4" w:space="0" w:color="auto"/>
              <w:right w:val="single" w:sz="4" w:space="0" w:color="auto"/>
            </w:tcBorders>
            <w:shd w:val="clear" w:color="D9D9D9" w:fill="D9D9D9"/>
            <w:hideMark/>
          </w:tcPr>
          <w:p w14:paraId="4596401C"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Are there contraindications for laparoscopic liver resection (LLR), related to complex previous abdominal operations?</w:t>
            </w:r>
          </w:p>
        </w:tc>
        <w:tc>
          <w:tcPr>
            <w:tcW w:w="301" w:type="pct"/>
            <w:tcBorders>
              <w:top w:val="nil"/>
              <w:left w:val="nil"/>
              <w:bottom w:val="single" w:sz="4" w:space="0" w:color="auto"/>
              <w:right w:val="single" w:sz="4" w:space="0" w:color="auto"/>
            </w:tcBorders>
            <w:shd w:val="clear" w:color="D9D9D9" w:fill="D9D9D9"/>
            <w:hideMark/>
          </w:tcPr>
          <w:p w14:paraId="30265B99"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31</w:t>
            </w:r>
          </w:p>
        </w:tc>
        <w:tc>
          <w:tcPr>
            <w:tcW w:w="2282" w:type="pct"/>
            <w:tcBorders>
              <w:top w:val="nil"/>
              <w:left w:val="nil"/>
              <w:bottom w:val="single" w:sz="4" w:space="0" w:color="auto"/>
              <w:right w:val="single" w:sz="4" w:space="0" w:color="auto"/>
            </w:tcBorders>
            <w:shd w:val="clear" w:color="D9D9D9" w:fill="D9D9D9"/>
            <w:hideMark/>
          </w:tcPr>
          <w:p w14:paraId="4A94C5DD"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Previous abdominal surgery should not be considered a contraindication for LLR.</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48777B7D"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01EA5D08"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04BC8EE7"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32</w:t>
            </w:r>
          </w:p>
        </w:tc>
        <w:tc>
          <w:tcPr>
            <w:tcW w:w="1850" w:type="pct"/>
            <w:tcBorders>
              <w:top w:val="nil"/>
              <w:left w:val="nil"/>
              <w:bottom w:val="single" w:sz="4" w:space="0" w:color="auto"/>
              <w:right w:val="single" w:sz="4" w:space="0" w:color="auto"/>
            </w:tcBorders>
            <w:shd w:val="clear" w:color="auto" w:fill="auto"/>
            <w:hideMark/>
          </w:tcPr>
          <w:p w14:paraId="50C2E452"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Are there contraindications for robotic liver resection (RLR), related to complex previous abdominal operations?</w:t>
            </w:r>
          </w:p>
        </w:tc>
        <w:tc>
          <w:tcPr>
            <w:tcW w:w="301" w:type="pct"/>
            <w:tcBorders>
              <w:top w:val="nil"/>
              <w:left w:val="nil"/>
              <w:bottom w:val="single" w:sz="4" w:space="0" w:color="auto"/>
              <w:right w:val="single" w:sz="4" w:space="0" w:color="auto"/>
            </w:tcBorders>
            <w:shd w:val="clear" w:color="auto" w:fill="auto"/>
            <w:hideMark/>
          </w:tcPr>
          <w:p w14:paraId="5FBE04A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32</w:t>
            </w:r>
          </w:p>
        </w:tc>
        <w:tc>
          <w:tcPr>
            <w:tcW w:w="2282" w:type="pct"/>
            <w:tcBorders>
              <w:top w:val="nil"/>
              <w:left w:val="nil"/>
              <w:bottom w:val="single" w:sz="4" w:space="0" w:color="auto"/>
              <w:right w:val="single" w:sz="4" w:space="0" w:color="auto"/>
            </w:tcBorders>
            <w:shd w:val="clear" w:color="auto" w:fill="auto"/>
            <w:hideMark/>
          </w:tcPr>
          <w:p w14:paraId="17C5D6A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Previous abdominal surgery should not be considered a contraindication for RLR.</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1BC8D043"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427EDF35" w14:textId="77777777" w:rsidTr="00D45F54">
        <w:trPr>
          <w:trHeight w:val="750"/>
        </w:trPr>
        <w:tc>
          <w:tcPr>
            <w:tcW w:w="198" w:type="pct"/>
            <w:tcBorders>
              <w:top w:val="nil"/>
              <w:left w:val="single" w:sz="4" w:space="0" w:color="auto"/>
              <w:bottom w:val="single" w:sz="4" w:space="0" w:color="auto"/>
              <w:right w:val="single" w:sz="4" w:space="0" w:color="auto"/>
            </w:tcBorders>
            <w:shd w:val="clear" w:color="D9D9D9" w:fill="D9D9D9"/>
            <w:hideMark/>
          </w:tcPr>
          <w:p w14:paraId="16FFA259"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33</w:t>
            </w:r>
          </w:p>
        </w:tc>
        <w:tc>
          <w:tcPr>
            <w:tcW w:w="1850" w:type="pct"/>
            <w:tcBorders>
              <w:top w:val="nil"/>
              <w:left w:val="nil"/>
              <w:bottom w:val="single" w:sz="4" w:space="0" w:color="auto"/>
              <w:right w:val="single" w:sz="4" w:space="0" w:color="auto"/>
            </w:tcBorders>
            <w:shd w:val="clear" w:color="D9D9D9" w:fill="D9D9D9"/>
            <w:hideMark/>
          </w:tcPr>
          <w:p w14:paraId="6803EAC7"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LLR feasible in patients with large lesions?</w:t>
            </w:r>
          </w:p>
        </w:tc>
        <w:tc>
          <w:tcPr>
            <w:tcW w:w="301" w:type="pct"/>
            <w:tcBorders>
              <w:top w:val="nil"/>
              <w:left w:val="nil"/>
              <w:bottom w:val="single" w:sz="4" w:space="0" w:color="auto"/>
              <w:right w:val="single" w:sz="4" w:space="0" w:color="auto"/>
            </w:tcBorders>
            <w:shd w:val="clear" w:color="D9D9D9" w:fill="D9D9D9"/>
            <w:hideMark/>
          </w:tcPr>
          <w:p w14:paraId="7952B8D8"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33</w:t>
            </w:r>
          </w:p>
        </w:tc>
        <w:tc>
          <w:tcPr>
            <w:tcW w:w="2282" w:type="pct"/>
            <w:tcBorders>
              <w:top w:val="nil"/>
              <w:left w:val="nil"/>
              <w:bottom w:val="single" w:sz="4" w:space="0" w:color="auto"/>
              <w:right w:val="single" w:sz="4" w:space="0" w:color="auto"/>
            </w:tcBorders>
            <w:shd w:val="clear" w:color="D9D9D9" w:fill="D9D9D9"/>
            <w:hideMark/>
          </w:tcPr>
          <w:p w14:paraId="758A2D87"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is feasible in patients with large lesions, when performed in centres with adequate experience and expertise. However, its technical complexity should be acknowledged.</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51018602"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2B</w:t>
            </w:r>
          </w:p>
        </w:tc>
      </w:tr>
      <w:tr w:rsidR="00023C91" w:rsidRPr="00AD2821" w14:paraId="77C33056"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1845BDF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34</w:t>
            </w:r>
          </w:p>
        </w:tc>
        <w:tc>
          <w:tcPr>
            <w:tcW w:w="1850" w:type="pct"/>
            <w:tcBorders>
              <w:top w:val="nil"/>
              <w:left w:val="nil"/>
              <w:bottom w:val="single" w:sz="4" w:space="0" w:color="auto"/>
              <w:right w:val="single" w:sz="4" w:space="0" w:color="auto"/>
            </w:tcBorders>
            <w:shd w:val="clear" w:color="auto" w:fill="auto"/>
            <w:hideMark/>
          </w:tcPr>
          <w:p w14:paraId="46963C32"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RLR feasible in patients with large lesions?</w:t>
            </w:r>
          </w:p>
        </w:tc>
        <w:tc>
          <w:tcPr>
            <w:tcW w:w="301" w:type="pct"/>
            <w:tcBorders>
              <w:top w:val="nil"/>
              <w:left w:val="nil"/>
              <w:bottom w:val="single" w:sz="4" w:space="0" w:color="auto"/>
              <w:right w:val="single" w:sz="4" w:space="0" w:color="auto"/>
            </w:tcBorders>
            <w:shd w:val="clear" w:color="auto" w:fill="auto"/>
            <w:hideMark/>
          </w:tcPr>
          <w:p w14:paraId="0C90273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34</w:t>
            </w:r>
          </w:p>
        </w:tc>
        <w:tc>
          <w:tcPr>
            <w:tcW w:w="2282" w:type="pct"/>
            <w:tcBorders>
              <w:top w:val="nil"/>
              <w:left w:val="nil"/>
              <w:bottom w:val="single" w:sz="4" w:space="0" w:color="auto"/>
              <w:right w:val="single" w:sz="4" w:space="0" w:color="auto"/>
            </w:tcBorders>
            <w:shd w:val="clear" w:color="auto" w:fill="auto"/>
            <w:hideMark/>
          </w:tcPr>
          <w:p w14:paraId="113DA67A"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RLR is feasible in patients with large lesions, when performed in centres with adequate experience and expertise. However, its technical complexity should be acknowledged.</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052857F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2B</w:t>
            </w:r>
          </w:p>
        </w:tc>
      </w:tr>
      <w:tr w:rsidR="00023C91" w:rsidRPr="00AD2821" w14:paraId="3ED88858" w14:textId="77777777" w:rsidTr="00D45F54">
        <w:trPr>
          <w:trHeight w:val="750"/>
        </w:trPr>
        <w:tc>
          <w:tcPr>
            <w:tcW w:w="198" w:type="pct"/>
            <w:tcBorders>
              <w:top w:val="nil"/>
              <w:left w:val="single" w:sz="4" w:space="0" w:color="auto"/>
              <w:bottom w:val="single" w:sz="4" w:space="0" w:color="auto"/>
              <w:right w:val="single" w:sz="4" w:space="0" w:color="auto"/>
            </w:tcBorders>
            <w:shd w:val="clear" w:color="D9D9D9" w:fill="D9D9D9"/>
            <w:hideMark/>
          </w:tcPr>
          <w:p w14:paraId="16224762"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35</w:t>
            </w:r>
          </w:p>
        </w:tc>
        <w:tc>
          <w:tcPr>
            <w:tcW w:w="1850" w:type="pct"/>
            <w:tcBorders>
              <w:top w:val="nil"/>
              <w:left w:val="nil"/>
              <w:bottom w:val="single" w:sz="4" w:space="0" w:color="auto"/>
              <w:right w:val="single" w:sz="4" w:space="0" w:color="auto"/>
            </w:tcBorders>
            <w:shd w:val="clear" w:color="D9D9D9" w:fill="D9D9D9"/>
            <w:hideMark/>
          </w:tcPr>
          <w:p w14:paraId="3C19430F"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Are LLR and RLR indicated for the treatment of (non-)colorectal liver metastases (CRLM/NCRLM) after neoadjuvant therapy?</w:t>
            </w:r>
          </w:p>
        </w:tc>
        <w:tc>
          <w:tcPr>
            <w:tcW w:w="301" w:type="pct"/>
            <w:tcBorders>
              <w:top w:val="nil"/>
              <w:left w:val="nil"/>
              <w:bottom w:val="single" w:sz="4" w:space="0" w:color="auto"/>
              <w:right w:val="single" w:sz="4" w:space="0" w:color="auto"/>
            </w:tcBorders>
            <w:shd w:val="clear" w:color="D9D9D9" w:fill="D9D9D9"/>
            <w:hideMark/>
          </w:tcPr>
          <w:p w14:paraId="302E62B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35</w:t>
            </w:r>
          </w:p>
        </w:tc>
        <w:tc>
          <w:tcPr>
            <w:tcW w:w="2282" w:type="pct"/>
            <w:tcBorders>
              <w:top w:val="nil"/>
              <w:left w:val="nil"/>
              <w:bottom w:val="single" w:sz="4" w:space="0" w:color="auto"/>
              <w:right w:val="single" w:sz="4" w:space="0" w:color="auto"/>
            </w:tcBorders>
            <w:shd w:val="clear" w:color="D9D9D9" w:fill="D9D9D9"/>
            <w:hideMark/>
          </w:tcPr>
          <w:p w14:paraId="7E8E4FF6"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Neoadjuvant therapy is not a contraindication for LLR or RLR in patients with CRLM/NCRLM.</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349E7AC4"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71BD86C2" w14:textId="77777777" w:rsidTr="00D45F54">
        <w:trPr>
          <w:trHeight w:val="1125"/>
        </w:trPr>
        <w:tc>
          <w:tcPr>
            <w:tcW w:w="198" w:type="pct"/>
            <w:tcBorders>
              <w:top w:val="nil"/>
              <w:left w:val="single" w:sz="4" w:space="0" w:color="auto"/>
              <w:bottom w:val="single" w:sz="4" w:space="0" w:color="auto"/>
              <w:right w:val="single" w:sz="4" w:space="0" w:color="auto"/>
            </w:tcBorders>
            <w:shd w:val="clear" w:color="auto" w:fill="auto"/>
            <w:hideMark/>
          </w:tcPr>
          <w:p w14:paraId="13F37B54"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36</w:t>
            </w:r>
          </w:p>
        </w:tc>
        <w:tc>
          <w:tcPr>
            <w:tcW w:w="1850" w:type="pct"/>
            <w:tcBorders>
              <w:top w:val="nil"/>
              <w:left w:val="nil"/>
              <w:bottom w:val="single" w:sz="4" w:space="0" w:color="auto"/>
              <w:right w:val="single" w:sz="4" w:space="0" w:color="auto"/>
            </w:tcBorders>
            <w:shd w:val="clear" w:color="auto" w:fill="auto"/>
            <w:hideMark/>
          </w:tcPr>
          <w:p w14:paraId="7ECEF371"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LLR indicated for the treatment of patients with cirrhosis?</w:t>
            </w:r>
          </w:p>
        </w:tc>
        <w:tc>
          <w:tcPr>
            <w:tcW w:w="301" w:type="pct"/>
            <w:tcBorders>
              <w:top w:val="nil"/>
              <w:left w:val="nil"/>
              <w:bottom w:val="single" w:sz="4" w:space="0" w:color="auto"/>
              <w:right w:val="single" w:sz="4" w:space="0" w:color="auto"/>
            </w:tcBorders>
            <w:shd w:val="clear" w:color="auto" w:fill="auto"/>
            <w:hideMark/>
          </w:tcPr>
          <w:p w14:paraId="645E4383"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36</w:t>
            </w:r>
          </w:p>
        </w:tc>
        <w:tc>
          <w:tcPr>
            <w:tcW w:w="2282" w:type="pct"/>
            <w:tcBorders>
              <w:top w:val="nil"/>
              <w:left w:val="nil"/>
              <w:bottom w:val="single" w:sz="4" w:space="0" w:color="auto"/>
              <w:right w:val="single" w:sz="4" w:space="0" w:color="auto"/>
            </w:tcBorders>
            <w:shd w:val="clear" w:color="auto" w:fill="auto"/>
            <w:hideMark/>
          </w:tcPr>
          <w:p w14:paraId="0F50F666"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LLR is indicated in patients with Child-Pugh A and is associated with some advantages compared to open resection, including less liver-specific complications. Pushing boundaries beyond Child-Pugh A still needs further evidence. </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3009598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1A</w:t>
            </w:r>
          </w:p>
        </w:tc>
      </w:tr>
      <w:tr w:rsidR="00023C91" w:rsidRPr="00AD2821" w14:paraId="69D8CA8F" w14:textId="77777777" w:rsidTr="00D45F54">
        <w:trPr>
          <w:trHeight w:val="1125"/>
        </w:trPr>
        <w:tc>
          <w:tcPr>
            <w:tcW w:w="198" w:type="pct"/>
            <w:tcBorders>
              <w:top w:val="nil"/>
              <w:left w:val="single" w:sz="4" w:space="0" w:color="auto"/>
              <w:bottom w:val="single" w:sz="4" w:space="0" w:color="auto"/>
              <w:right w:val="single" w:sz="4" w:space="0" w:color="auto"/>
            </w:tcBorders>
            <w:shd w:val="clear" w:color="D9D9D9" w:fill="D9D9D9"/>
            <w:hideMark/>
          </w:tcPr>
          <w:p w14:paraId="0EE7A914"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37</w:t>
            </w:r>
          </w:p>
        </w:tc>
        <w:tc>
          <w:tcPr>
            <w:tcW w:w="1850" w:type="pct"/>
            <w:tcBorders>
              <w:top w:val="nil"/>
              <w:left w:val="nil"/>
              <w:bottom w:val="single" w:sz="4" w:space="0" w:color="auto"/>
              <w:right w:val="single" w:sz="4" w:space="0" w:color="auto"/>
            </w:tcBorders>
            <w:shd w:val="clear" w:color="D9D9D9" w:fill="D9D9D9"/>
            <w:hideMark/>
          </w:tcPr>
          <w:p w14:paraId="684E2D9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RLR indicated for the treatment of patients with cirrhosis</w:t>
            </w:r>
          </w:p>
        </w:tc>
        <w:tc>
          <w:tcPr>
            <w:tcW w:w="301" w:type="pct"/>
            <w:tcBorders>
              <w:top w:val="nil"/>
              <w:left w:val="nil"/>
              <w:bottom w:val="single" w:sz="4" w:space="0" w:color="auto"/>
              <w:right w:val="single" w:sz="4" w:space="0" w:color="auto"/>
            </w:tcBorders>
            <w:shd w:val="clear" w:color="D9D9D9" w:fill="D9D9D9"/>
            <w:hideMark/>
          </w:tcPr>
          <w:p w14:paraId="1A38FFE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37</w:t>
            </w:r>
          </w:p>
        </w:tc>
        <w:tc>
          <w:tcPr>
            <w:tcW w:w="2282" w:type="pct"/>
            <w:tcBorders>
              <w:top w:val="nil"/>
              <w:left w:val="nil"/>
              <w:bottom w:val="single" w:sz="4" w:space="0" w:color="auto"/>
              <w:right w:val="single" w:sz="4" w:space="0" w:color="auto"/>
            </w:tcBorders>
            <w:shd w:val="clear" w:color="D9D9D9" w:fill="D9D9D9"/>
            <w:hideMark/>
          </w:tcPr>
          <w:p w14:paraId="17BF3F21"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RLR is indicated in patients with Child-Pugh A and is associated with some advantages compared to open resection, including less liver-specific complications. Pushing boundaries beyond Child-Pugh A still needs further evidence. </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1EE59D85"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6698C781" w14:textId="77777777" w:rsidTr="00D45F54">
        <w:trPr>
          <w:trHeight w:val="375"/>
        </w:trPr>
        <w:tc>
          <w:tcPr>
            <w:tcW w:w="198" w:type="pct"/>
            <w:tcBorders>
              <w:top w:val="single" w:sz="4" w:space="0" w:color="auto"/>
              <w:left w:val="single" w:sz="4" w:space="0" w:color="auto"/>
              <w:bottom w:val="nil"/>
              <w:right w:val="single" w:sz="4" w:space="0" w:color="auto"/>
            </w:tcBorders>
            <w:shd w:val="clear" w:color="auto" w:fill="auto"/>
            <w:hideMark/>
          </w:tcPr>
          <w:p w14:paraId="3CDFC89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38</w:t>
            </w:r>
          </w:p>
        </w:tc>
        <w:tc>
          <w:tcPr>
            <w:tcW w:w="1850" w:type="pct"/>
            <w:tcBorders>
              <w:top w:val="single" w:sz="4" w:space="0" w:color="auto"/>
              <w:left w:val="single" w:sz="4" w:space="0" w:color="auto"/>
              <w:bottom w:val="nil"/>
              <w:right w:val="single" w:sz="4" w:space="0" w:color="auto"/>
            </w:tcBorders>
            <w:shd w:val="clear" w:color="auto" w:fill="auto"/>
            <w:hideMark/>
          </w:tcPr>
          <w:p w14:paraId="701EE6E6"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there a role for LLR in patients requiring 2-stage hepatectomy?</w:t>
            </w:r>
          </w:p>
        </w:tc>
        <w:tc>
          <w:tcPr>
            <w:tcW w:w="301" w:type="pct"/>
            <w:tcBorders>
              <w:top w:val="nil"/>
              <w:left w:val="nil"/>
              <w:bottom w:val="single" w:sz="4" w:space="0" w:color="auto"/>
              <w:right w:val="single" w:sz="4" w:space="0" w:color="auto"/>
            </w:tcBorders>
            <w:shd w:val="clear" w:color="auto" w:fill="auto"/>
            <w:hideMark/>
          </w:tcPr>
          <w:p w14:paraId="6C8CFF89"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38.1</w:t>
            </w:r>
          </w:p>
        </w:tc>
        <w:tc>
          <w:tcPr>
            <w:tcW w:w="2282" w:type="pct"/>
            <w:tcBorders>
              <w:top w:val="nil"/>
              <w:left w:val="nil"/>
              <w:bottom w:val="single" w:sz="4" w:space="0" w:color="auto"/>
              <w:right w:val="single" w:sz="4" w:space="0" w:color="auto"/>
            </w:tcBorders>
            <w:shd w:val="clear" w:color="auto" w:fill="auto"/>
            <w:hideMark/>
          </w:tcPr>
          <w:p w14:paraId="78341FE1"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could be considered in patients requiring a 2-stage hepatectomy, especially during the first stage.</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02B7F759"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45FEBC61" w14:textId="77777777" w:rsidTr="00D45F54">
        <w:trPr>
          <w:trHeight w:val="750"/>
        </w:trPr>
        <w:tc>
          <w:tcPr>
            <w:tcW w:w="198" w:type="pct"/>
            <w:tcBorders>
              <w:top w:val="nil"/>
              <w:left w:val="single" w:sz="4" w:space="0" w:color="auto"/>
              <w:bottom w:val="single" w:sz="4" w:space="0" w:color="auto"/>
              <w:right w:val="single" w:sz="4" w:space="0" w:color="auto"/>
            </w:tcBorders>
            <w:shd w:val="clear" w:color="D9D9D9" w:fill="D9D9D9"/>
            <w:hideMark/>
          </w:tcPr>
          <w:p w14:paraId="0E2A8639"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850" w:type="pct"/>
            <w:tcBorders>
              <w:top w:val="nil"/>
              <w:left w:val="single" w:sz="4" w:space="0" w:color="auto"/>
              <w:bottom w:val="single" w:sz="4" w:space="0" w:color="auto"/>
              <w:right w:val="single" w:sz="4" w:space="0" w:color="auto"/>
            </w:tcBorders>
            <w:shd w:val="clear" w:color="D9D9D9" w:fill="D9D9D9"/>
            <w:hideMark/>
          </w:tcPr>
          <w:p w14:paraId="106BE17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nil"/>
              <w:left w:val="nil"/>
              <w:bottom w:val="single" w:sz="4" w:space="0" w:color="auto"/>
              <w:right w:val="single" w:sz="4" w:space="0" w:color="auto"/>
            </w:tcBorders>
            <w:shd w:val="clear" w:color="D9D9D9" w:fill="D9D9D9"/>
            <w:hideMark/>
          </w:tcPr>
          <w:p w14:paraId="15B58B3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38.2</w:t>
            </w:r>
          </w:p>
        </w:tc>
        <w:tc>
          <w:tcPr>
            <w:tcW w:w="2282" w:type="pct"/>
            <w:tcBorders>
              <w:top w:val="nil"/>
              <w:left w:val="nil"/>
              <w:bottom w:val="single" w:sz="4" w:space="0" w:color="auto"/>
              <w:right w:val="single" w:sz="4" w:space="0" w:color="auto"/>
            </w:tcBorders>
            <w:shd w:val="clear" w:color="D9D9D9" w:fill="D9D9D9"/>
            <w:hideMark/>
          </w:tcPr>
          <w:p w14:paraId="70AB8A6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in second stage hepatectomy could be considered when performed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7FE9C385"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3CCC124C"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588DA0D7"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39</w:t>
            </w:r>
          </w:p>
        </w:tc>
        <w:tc>
          <w:tcPr>
            <w:tcW w:w="1850" w:type="pct"/>
            <w:tcBorders>
              <w:top w:val="nil"/>
              <w:left w:val="nil"/>
              <w:bottom w:val="single" w:sz="4" w:space="0" w:color="auto"/>
              <w:right w:val="single" w:sz="4" w:space="0" w:color="auto"/>
            </w:tcBorders>
            <w:shd w:val="clear" w:color="auto" w:fill="auto"/>
            <w:hideMark/>
          </w:tcPr>
          <w:p w14:paraId="4C603C82"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there a role for RLR in patients requiring 2-stage hepatectomy?</w:t>
            </w:r>
          </w:p>
        </w:tc>
        <w:tc>
          <w:tcPr>
            <w:tcW w:w="301" w:type="pct"/>
            <w:tcBorders>
              <w:top w:val="nil"/>
              <w:left w:val="nil"/>
              <w:bottom w:val="single" w:sz="4" w:space="0" w:color="auto"/>
              <w:right w:val="single" w:sz="4" w:space="0" w:color="auto"/>
            </w:tcBorders>
            <w:shd w:val="clear" w:color="auto" w:fill="auto"/>
            <w:hideMark/>
          </w:tcPr>
          <w:p w14:paraId="22FE305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39</w:t>
            </w:r>
          </w:p>
        </w:tc>
        <w:tc>
          <w:tcPr>
            <w:tcW w:w="2282" w:type="pct"/>
            <w:tcBorders>
              <w:top w:val="nil"/>
              <w:left w:val="nil"/>
              <w:bottom w:val="single" w:sz="4" w:space="0" w:color="auto"/>
              <w:right w:val="single" w:sz="4" w:space="0" w:color="auto"/>
            </w:tcBorders>
            <w:shd w:val="clear" w:color="auto" w:fill="auto"/>
            <w:hideMark/>
          </w:tcPr>
          <w:p w14:paraId="0C91C078"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Although high-quality evidence is still lacking, RLR in 2-stage hepatectomy appears to be feasible in highly selected patients, when performed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4E9171EB"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4311235E" w14:textId="77777777" w:rsidTr="00D45F54">
        <w:trPr>
          <w:trHeight w:val="1125"/>
        </w:trPr>
        <w:tc>
          <w:tcPr>
            <w:tcW w:w="198" w:type="pct"/>
            <w:tcBorders>
              <w:top w:val="nil"/>
              <w:left w:val="single" w:sz="4" w:space="0" w:color="auto"/>
              <w:bottom w:val="single" w:sz="4" w:space="0" w:color="auto"/>
              <w:right w:val="single" w:sz="4" w:space="0" w:color="auto"/>
            </w:tcBorders>
            <w:shd w:val="clear" w:color="D9D9D9" w:fill="D9D9D9"/>
            <w:hideMark/>
          </w:tcPr>
          <w:p w14:paraId="7BE6C3D9"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40</w:t>
            </w:r>
          </w:p>
        </w:tc>
        <w:tc>
          <w:tcPr>
            <w:tcW w:w="1850" w:type="pct"/>
            <w:tcBorders>
              <w:top w:val="nil"/>
              <w:left w:val="nil"/>
              <w:bottom w:val="single" w:sz="4" w:space="0" w:color="auto"/>
              <w:right w:val="single" w:sz="4" w:space="0" w:color="auto"/>
            </w:tcBorders>
            <w:shd w:val="clear" w:color="D9D9D9" w:fill="D9D9D9"/>
            <w:hideMark/>
          </w:tcPr>
          <w:p w14:paraId="5EF45EA8"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there a role for LLR in patients requiring Portal Vein Embolization/Occlusion/Ligation (PVE/PVO/PVL)?</w:t>
            </w:r>
          </w:p>
        </w:tc>
        <w:tc>
          <w:tcPr>
            <w:tcW w:w="301" w:type="pct"/>
            <w:tcBorders>
              <w:top w:val="nil"/>
              <w:left w:val="nil"/>
              <w:bottom w:val="single" w:sz="4" w:space="0" w:color="auto"/>
              <w:right w:val="single" w:sz="4" w:space="0" w:color="auto"/>
            </w:tcBorders>
            <w:shd w:val="clear" w:color="D9D9D9" w:fill="D9D9D9"/>
            <w:hideMark/>
          </w:tcPr>
          <w:p w14:paraId="5FE03290"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40</w:t>
            </w:r>
          </w:p>
        </w:tc>
        <w:tc>
          <w:tcPr>
            <w:tcW w:w="2282" w:type="pct"/>
            <w:tcBorders>
              <w:top w:val="nil"/>
              <w:left w:val="nil"/>
              <w:bottom w:val="single" w:sz="4" w:space="0" w:color="auto"/>
              <w:right w:val="single" w:sz="4" w:space="0" w:color="auto"/>
            </w:tcBorders>
            <w:shd w:val="clear" w:color="D9D9D9" w:fill="D9D9D9"/>
            <w:hideMark/>
          </w:tcPr>
          <w:p w14:paraId="3700AEDB"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In selected patients, laparoscopic hepatectomy after portal vein embolization/occlusion/ligation is feasible and may be a valid alternative to the traditional open approach when performed in centres with adequate experience and expertise. </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3040DAA8"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7A4E59B1"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038699C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41</w:t>
            </w:r>
          </w:p>
        </w:tc>
        <w:tc>
          <w:tcPr>
            <w:tcW w:w="1850" w:type="pct"/>
            <w:tcBorders>
              <w:top w:val="nil"/>
              <w:left w:val="nil"/>
              <w:bottom w:val="single" w:sz="4" w:space="0" w:color="auto"/>
              <w:right w:val="single" w:sz="4" w:space="0" w:color="auto"/>
            </w:tcBorders>
            <w:shd w:val="clear" w:color="auto" w:fill="auto"/>
            <w:hideMark/>
          </w:tcPr>
          <w:p w14:paraId="5DC72058"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there a role for RLR in patients requiring Portal Vein Embolization/Occlusion/Ligation (PVE/PVO/PVL)?</w:t>
            </w:r>
          </w:p>
        </w:tc>
        <w:tc>
          <w:tcPr>
            <w:tcW w:w="301" w:type="pct"/>
            <w:tcBorders>
              <w:top w:val="nil"/>
              <w:left w:val="nil"/>
              <w:bottom w:val="single" w:sz="4" w:space="0" w:color="auto"/>
              <w:right w:val="single" w:sz="4" w:space="0" w:color="auto"/>
            </w:tcBorders>
            <w:shd w:val="clear" w:color="auto" w:fill="auto"/>
            <w:hideMark/>
          </w:tcPr>
          <w:p w14:paraId="3B30A5C3"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41</w:t>
            </w:r>
          </w:p>
        </w:tc>
        <w:tc>
          <w:tcPr>
            <w:tcW w:w="2282" w:type="pct"/>
            <w:tcBorders>
              <w:top w:val="nil"/>
              <w:left w:val="nil"/>
              <w:bottom w:val="single" w:sz="4" w:space="0" w:color="auto"/>
              <w:right w:val="single" w:sz="4" w:space="0" w:color="auto"/>
            </w:tcBorders>
            <w:shd w:val="clear" w:color="auto" w:fill="auto"/>
            <w:hideMark/>
          </w:tcPr>
          <w:p w14:paraId="545402DB"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Although no published evidence is currently available supporting the role of RLR after PVE/PVO/PVL, the robotic approach may achieve comparable outcomes to LLR.</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35FE5D4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2E1CDC73" w14:textId="77777777" w:rsidTr="00D45F54">
        <w:trPr>
          <w:trHeight w:val="750"/>
        </w:trPr>
        <w:tc>
          <w:tcPr>
            <w:tcW w:w="198" w:type="pct"/>
            <w:tcBorders>
              <w:top w:val="nil"/>
              <w:left w:val="single" w:sz="4" w:space="0" w:color="auto"/>
              <w:bottom w:val="single" w:sz="4" w:space="0" w:color="auto"/>
              <w:right w:val="single" w:sz="4" w:space="0" w:color="auto"/>
            </w:tcBorders>
            <w:shd w:val="clear" w:color="D9D9D9" w:fill="D9D9D9"/>
            <w:hideMark/>
          </w:tcPr>
          <w:p w14:paraId="2AD3CBC5"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42</w:t>
            </w:r>
          </w:p>
        </w:tc>
        <w:tc>
          <w:tcPr>
            <w:tcW w:w="1850" w:type="pct"/>
            <w:tcBorders>
              <w:top w:val="nil"/>
              <w:left w:val="nil"/>
              <w:bottom w:val="single" w:sz="4" w:space="0" w:color="auto"/>
              <w:right w:val="single" w:sz="4" w:space="0" w:color="auto"/>
            </w:tcBorders>
            <w:shd w:val="clear" w:color="D9D9D9" w:fill="D9D9D9"/>
            <w:hideMark/>
          </w:tcPr>
          <w:p w14:paraId="1A3D10C5"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there a role for LLR and RLR in patients requiring Liver Venous Deprivation (LVD)?</w:t>
            </w:r>
          </w:p>
        </w:tc>
        <w:tc>
          <w:tcPr>
            <w:tcW w:w="301" w:type="pct"/>
            <w:tcBorders>
              <w:top w:val="nil"/>
              <w:left w:val="nil"/>
              <w:bottom w:val="single" w:sz="4" w:space="0" w:color="auto"/>
              <w:right w:val="single" w:sz="4" w:space="0" w:color="auto"/>
            </w:tcBorders>
            <w:shd w:val="clear" w:color="D9D9D9" w:fill="D9D9D9"/>
            <w:hideMark/>
          </w:tcPr>
          <w:p w14:paraId="33B924F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42</w:t>
            </w:r>
          </w:p>
        </w:tc>
        <w:tc>
          <w:tcPr>
            <w:tcW w:w="2282" w:type="pct"/>
            <w:tcBorders>
              <w:top w:val="nil"/>
              <w:left w:val="nil"/>
              <w:bottom w:val="single" w:sz="4" w:space="0" w:color="auto"/>
              <w:right w:val="single" w:sz="4" w:space="0" w:color="auto"/>
            </w:tcBorders>
            <w:shd w:val="clear" w:color="D9D9D9" w:fill="D9D9D9"/>
            <w:hideMark/>
          </w:tcPr>
          <w:p w14:paraId="60CCEC6D"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There is insufficient evidence to provide clear recommendations on the role of LLR and RLR in patients requiring LVD. Further research in this field should be promoted.</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30970EBB"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2AD03460" w14:textId="77777777" w:rsidTr="00D45F54">
        <w:trPr>
          <w:trHeight w:val="750"/>
        </w:trPr>
        <w:tc>
          <w:tcPr>
            <w:tcW w:w="198" w:type="pct"/>
            <w:tcBorders>
              <w:top w:val="single" w:sz="4" w:space="0" w:color="auto"/>
              <w:left w:val="single" w:sz="4" w:space="0" w:color="auto"/>
              <w:bottom w:val="nil"/>
              <w:right w:val="single" w:sz="4" w:space="0" w:color="auto"/>
            </w:tcBorders>
            <w:shd w:val="clear" w:color="auto" w:fill="auto"/>
            <w:hideMark/>
          </w:tcPr>
          <w:p w14:paraId="2441EA5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43</w:t>
            </w:r>
          </w:p>
        </w:tc>
        <w:tc>
          <w:tcPr>
            <w:tcW w:w="1850" w:type="pct"/>
            <w:tcBorders>
              <w:top w:val="single" w:sz="4" w:space="0" w:color="auto"/>
              <w:left w:val="single" w:sz="4" w:space="0" w:color="auto"/>
              <w:bottom w:val="nil"/>
              <w:right w:val="single" w:sz="4" w:space="0" w:color="auto"/>
            </w:tcBorders>
            <w:shd w:val="clear" w:color="auto" w:fill="auto"/>
            <w:hideMark/>
          </w:tcPr>
          <w:p w14:paraId="0FC6E44B"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there a role for LLR in patients requiring ALPPS?</w:t>
            </w:r>
          </w:p>
        </w:tc>
        <w:tc>
          <w:tcPr>
            <w:tcW w:w="301" w:type="pct"/>
            <w:tcBorders>
              <w:top w:val="nil"/>
              <w:left w:val="nil"/>
              <w:bottom w:val="single" w:sz="4" w:space="0" w:color="auto"/>
              <w:right w:val="single" w:sz="4" w:space="0" w:color="auto"/>
            </w:tcBorders>
            <w:shd w:val="clear" w:color="auto" w:fill="auto"/>
            <w:hideMark/>
          </w:tcPr>
          <w:p w14:paraId="5C30D3E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43.1</w:t>
            </w:r>
          </w:p>
        </w:tc>
        <w:tc>
          <w:tcPr>
            <w:tcW w:w="2282" w:type="pct"/>
            <w:tcBorders>
              <w:top w:val="nil"/>
              <w:left w:val="nil"/>
              <w:bottom w:val="single" w:sz="4" w:space="0" w:color="auto"/>
              <w:right w:val="single" w:sz="4" w:space="0" w:color="auto"/>
            </w:tcBorders>
            <w:shd w:val="clear" w:color="auto" w:fill="auto"/>
            <w:hideMark/>
          </w:tcPr>
          <w:p w14:paraId="583F44A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Laparoscopic ALPPS appears to be a feasible and safe procedure in highly selected cases and in experienced centres, even if its real advantages still need to be determined.</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0E388EF0"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45BA5FAA" w14:textId="77777777" w:rsidTr="00D45F54">
        <w:trPr>
          <w:trHeight w:val="750"/>
        </w:trPr>
        <w:tc>
          <w:tcPr>
            <w:tcW w:w="198" w:type="pct"/>
            <w:tcBorders>
              <w:top w:val="nil"/>
              <w:left w:val="single" w:sz="4" w:space="0" w:color="auto"/>
              <w:bottom w:val="nil"/>
              <w:right w:val="single" w:sz="4" w:space="0" w:color="auto"/>
            </w:tcBorders>
            <w:shd w:val="clear" w:color="D9D9D9" w:fill="D9D9D9"/>
            <w:hideMark/>
          </w:tcPr>
          <w:p w14:paraId="107620A4"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850" w:type="pct"/>
            <w:tcBorders>
              <w:top w:val="nil"/>
              <w:left w:val="single" w:sz="4" w:space="0" w:color="auto"/>
              <w:bottom w:val="nil"/>
              <w:right w:val="single" w:sz="4" w:space="0" w:color="auto"/>
            </w:tcBorders>
            <w:shd w:val="clear" w:color="D9D9D9" w:fill="D9D9D9"/>
            <w:hideMark/>
          </w:tcPr>
          <w:p w14:paraId="1ECEFE4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nil"/>
              <w:left w:val="nil"/>
              <w:bottom w:val="single" w:sz="4" w:space="0" w:color="auto"/>
              <w:right w:val="single" w:sz="4" w:space="0" w:color="auto"/>
            </w:tcBorders>
            <w:shd w:val="clear" w:color="D9D9D9" w:fill="D9D9D9"/>
            <w:hideMark/>
          </w:tcPr>
          <w:p w14:paraId="05FDEDA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43.2</w:t>
            </w:r>
          </w:p>
        </w:tc>
        <w:tc>
          <w:tcPr>
            <w:tcW w:w="2282" w:type="pct"/>
            <w:tcBorders>
              <w:top w:val="nil"/>
              <w:left w:val="nil"/>
              <w:bottom w:val="single" w:sz="4" w:space="0" w:color="auto"/>
              <w:right w:val="single" w:sz="4" w:space="0" w:color="auto"/>
            </w:tcBorders>
            <w:shd w:val="clear" w:color="D9D9D9" w:fill="D9D9D9"/>
            <w:hideMark/>
          </w:tcPr>
          <w:p w14:paraId="799386F8"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In the first stage of ALPPS the well-known benefits of laparoscopy could play an important role in improving patient outcomes.</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2BADCDB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057C81BE"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19F4E9B5"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850" w:type="pct"/>
            <w:tcBorders>
              <w:top w:val="nil"/>
              <w:left w:val="single" w:sz="4" w:space="0" w:color="auto"/>
              <w:bottom w:val="single" w:sz="4" w:space="0" w:color="auto"/>
              <w:right w:val="single" w:sz="4" w:space="0" w:color="auto"/>
            </w:tcBorders>
            <w:shd w:val="clear" w:color="auto" w:fill="auto"/>
            <w:hideMark/>
          </w:tcPr>
          <w:p w14:paraId="63B67C46"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nil"/>
              <w:left w:val="nil"/>
              <w:bottom w:val="single" w:sz="4" w:space="0" w:color="auto"/>
              <w:right w:val="single" w:sz="4" w:space="0" w:color="auto"/>
            </w:tcBorders>
            <w:shd w:val="clear" w:color="auto" w:fill="auto"/>
            <w:hideMark/>
          </w:tcPr>
          <w:p w14:paraId="6ACA7A1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43.3</w:t>
            </w:r>
          </w:p>
        </w:tc>
        <w:tc>
          <w:tcPr>
            <w:tcW w:w="2282" w:type="pct"/>
            <w:tcBorders>
              <w:top w:val="nil"/>
              <w:left w:val="nil"/>
              <w:bottom w:val="single" w:sz="4" w:space="0" w:color="auto"/>
              <w:right w:val="single" w:sz="4" w:space="0" w:color="auto"/>
            </w:tcBorders>
            <w:shd w:val="clear" w:color="auto" w:fill="auto"/>
            <w:hideMark/>
          </w:tcPr>
          <w:p w14:paraId="74BBD84A"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Few data are available regarding the second stage of laparoscopic ALPPS, which appears feasible and safe in experienced hands, but should be limited to selected cases.</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656597C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119BCF99" w14:textId="77777777" w:rsidTr="00D45F54">
        <w:trPr>
          <w:trHeight w:val="750"/>
        </w:trPr>
        <w:tc>
          <w:tcPr>
            <w:tcW w:w="198" w:type="pct"/>
            <w:tcBorders>
              <w:top w:val="nil"/>
              <w:left w:val="single" w:sz="4" w:space="0" w:color="auto"/>
              <w:bottom w:val="single" w:sz="4" w:space="0" w:color="auto"/>
              <w:right w:val="single" w:sz="4" w:space="0" w:color="auto"/>
            </w:tcBorders>
            <w:shd w:val="clear" w:color="D9D9D9" w:fill="D9D9D9"/>
            <w:hideMark/>
          </w:tcPr>
          <w:p w14:paraId="1489FE5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44</w:t>
            </w:r>
          </w:p>
        </w:tc>
        <w:tc>
          <w:tcPr>
            <w:tcW w:w="1850" w:type="pct"/>
            <w:tcBorders>
              <w:top w:val="nil"/>
              <w:left w:val="nil"/>
              <w:bottom w:val="single" w:sz="4" w:space="0" w:color="auto"/>
              <w:right w:val="single" w:sz="4" w:space="0" w:color="auto"/>
            </w:tcBorders>
            <w:shd w:val="clear" w:color="D9D9D9" w:fill="D9D9D9"/>
            <w:hideMark/>
          </w:tcPr>
          <w:p w14:paraId="0CEEF872"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there a role for RLR in patients requiring ALPPS?</w:t>
            </w:r>
          </w:p>
        </w:tc>
        <w:tc>
          <w:tcPr>
            <w:tcW w:w="301" w:type="pct"/>
            <w:tcBorders>
              <w:top w:val="nil"/>
              <w:left w:val="nil"/>
              <w:bottom w:val="single" w:sz="4" w:space="0" w:color="auto"/>
              <w:right w:val="single" w:sz="4" w:space="0" w:color="auto"/>
            </w:tcBorders>
            <w:shd w:val="clear" w:color="D9D9D9" w:fill="D9D9D9"/>
            <w:hideMark/>
          </w:tcPr>
          <w:p w14:paraId="46BDE0A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44</w:t>
            </w:r>
          </w:p>
        </w:tc>
        <w:tc>
          <w:tcPr>
            <w:tcW w:w="2282" w:type="pct"/>
            <w:tcBorders>
              <w:top w:val="nil"/>
              <w:left w:val="nil"/>
              <w:bottom w:val="single" w:sz="4" w:space="0" w:color="auto"/>
              <w:right w:val="single" w:sz="4" w:space="0" w:color="auto"/>
            </w:tcBorders>
            <w:shd w:val="clear" w:color="D9D9D9" w:fill="D9D9D9"/>
            <w:hideMark/>
          </w:tcPr>
          <w:p w14:paraId="7D60BCE2"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Robotic ALPPS represents a safe and feasible procedure, preserving the same advantages of the laparoscopic approach, when performed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033B3639"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0CA6A4EA"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2177DE7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45</w:t>
            </w:r>
          </w:p>
        </w:tc>
        <w:tc>
          <w:tcPr>
            <w:tcW w:w="1850" w:type="pct"/>
            <w:tcBorders>
              <w:top w:val="nil"/>
              <w:left w:val="nil"/>
              <w:bottom w:val="single" w:sz="4" w:space="0" w:color="auto"/>
              <w:right w:val="single" w:sz="4" w:space="0" w:color="auto"/>
            </w:tcBorders>
            <w:shd w:val="clear" w:color="auto" w:fill="auto"/>
            <w:hideMark/>
          </w:tcPr>
          <w:p w14:paraId="0E9EBA27"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LLR Feasible in patients with lesions in close proximity to major vessels?</w:t>
            </w:r>
          </w:p>
        </w:tc>
        <w:tc>
          <w:tcPr>
            <w:tcW w:w="301" w:type="pct"/>
            <w:tcBorders>
              <w:top w:val="nil"/>
              <w:left w:val="nil"/>
              <w:bottom w:val="single" w:sz="4" w:space="0" w:color="auto"/>
              <w:right w:val="single" w:sz="4" w:space="0" w:color="auto"/>
            </w:tcBorders>
            <w:shd w:val="clear" w:color="auto" w:fill="auto"/>
            <w:hideMark/>
          </w:tcPr>
          <w:p w14:paraId="7A5816B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45</w:t>
            </w:r>
          </w:p>
        </w:tc>
        <w:tc>
          <w:tcPr>
            <w:tcW w:w="2282" w:type="pct"/>
            <w:tcBorders>
              <w:top w:val="nil"/>
              <w:left w:val="nil"/>
              <w:bottom w:val="single" w:sz="4" w:space="0" w:color="auto"/>
              <w:right w:val="single" w:sz="4" w:space="0" w:color="auto"/>
            </w:tcBorders>
            <w:shd w:val="clear" w:color="auto" w:fill="auto"/>
            <w:hideMark/>
          </w:tcPr>
          <w:p w14:paraId="206DA083"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for lesions in proximity to major vessels is feasible, however its safety is dependent on the experience of the surgeon and the centre.</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28B396A3"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2EBD642B" w14:textId="77777777" w:rsidTr="00D45F54">
        <w:trPr>
          <w:trHeight w:val="750"/>
        </w:trPr>
        <w:tc>
          <w:tcPr>
            <w:tcW w:w="198" w:type="pct"/>
            <w:tcBorders>
              <w:top w:val="nil"/>
              <w:left w:val="single" w:sz="4" w:space="0" w:color="auto"/>
              <w:bottom w:val="single" w:sz="4" w:space="0" w:color="auto"/>
              <w:right w:val="single" w:sz="4" w:space="0" w:color="auto"/>
            </w:tcBorders>
            <w:shd w:val="clear" w:color="D9D9D9" w:fill="D9D9D9"/>
            <w:hideMark/>
          </w:tcPr>
          <w:p w14:paraId="7011533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46</w:t>
            </w:r>
          </w:p>
        </w:tc>
        <w:tc>
          <w:tcPr>
            <w:tcW w:w="1850" w:type="pct"/>
            <w:tcBorders>
              <w:top w:val="nil"/>
              <w:left w:val="nil"/>
              <w:bottom w:val="single" w:sz="4" w:space="0" w:color="auto"/>
              <w:right w:val="single" w:sz="4" w:space="0" w:color="auto"/>
            </w:tcBorders>
            <w:shd w:val="clear" w:color="D9D9D9" w:fill="D9D9D9"/>
            <w:hideMark/>
          </w:tcPr>
          <w:p w14:paraId="63B327C5"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RLR Feasible in patients with lesions in close proximity to major vessels?</w:t>
            </w:r>
          </w:p>
        </w:tc>
        <w:tc>
          <w:tcPr>
            <w:tcW w:w="301" w:type="pct"/>
            <w:tcBorders>
              <w:top w:val="nil"/>
              <w:left w:val="nil"/>
              <w:bottom w:val="single" w:sz="4" w:space="0" w:color="auto"/>
              <w:right w:val="single" w:sz="4" w:space="0" w:color="auto"/>
            </w:tcBorders>
            <w:shd w:val="clear" w:color="D9D9D9" w:fill="D9D9D9"/>
            <w:hideMark/>
          </w:tcPr>
          <w:p w14:paraId="6B099DE2"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46</w:t>
            </w:r>
          </w:p>
        </w:tc>
        <w:tc>
          <w:tcPr>
            <w:tcW w:w="2282" w:type="pct"/>
            <w:tcBorders>
              <w:top w:val="nil"/>
              <w:left w:val="nil"/>
              <w:bottom w:val="single" w:sz="4" w:space="0" w:color="auto"/>
              <w:right w:val="single" w:sz="4" w:space="0" w:color="auto"/>
            </w:tcBorders>
            <w:shd w:val="clear" w:color="D9D9D9" w:fill="D9D9D9"/>
            <w:hideMark/>
          </w:tcPr>
          <w:p w14:paraId="6AFAE7D3"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RLR for lesions in proximity to major vessels is feasible, however its safety is dependent on the experience of the surgeon and the centre. </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369C8C4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00DC6F12" w14:textId="77777777" w:rsidTr="00D45F54">
        <w:trPr>
          <w:trHeight w:val="750"/>
        </w:trPr>
        <w:tc>
          <w:tcPr>
            <w:tcW w:w="198" w:type="pct"/>
            <w:tcBorders>
              <w:top w:val="nil"/>
              <w:left w:val="single" w:sz="4" w:space="0" w:color="auto"/>
              <w:bottom w:val="single" w:sz="4" w:space="0" w:color="auto"/>
              <w:right w:val="single" w:sz="4" w:space="0" w:color="auto"/>
            </w:tcBorders>
            <w:shd w:val="clear" w:color="auto" w:fill="auto"/>
            <w:hideMark/>
          </w:tcPr>
          <w:p w14:paraId="32B89532"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47</w:t>
            </w:r>
          </w:p>
        </w:tc>
        <w:tc>
          <w:tcPr>
            <w:tcW w:w="1850" w:type="pct"/>
            <w:tcBorders>
              <w:top w:val="nil"/>
              <w:left w:val="nil"/>
              <w:bottom w:val="single" w:sz="4" w:space="0" w:color="auto"/>
              <w:right w:val="single" w:sz="4" w:space="0" w:color="auto"/>
            </w:tcBorders>
            <w:shd w:val="clear" w:color="auto" w:fill="auto"/>
            <w:hideMark/>
          </w:tcPr>
          <w:p w14:paraId="6E407541"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LLR feasible in patients who underwent previous liver resection?</w:t>
            </w:r>
          </w:p>
        </w:tc>
        <w:tc>
          <w:tcPr>
            <w:tcW w:w="301" w:type="pct"/>
            <w:tcBorders>
              <w:top w:val="nil"/>
              <w:left w:val="nil"/>
              <w:bottom w:val="single" w:sz="4" w:space="0" w:color="auto"/>
              <w:right w:val="single" w:sz="4" w:space="0" w:color="auto"/>
            </w:tcBorders>
            <w:shd w:val="clear" w:color="auto" w:fill="auto"/>
            <w:hideMark/>
          </w:tcPr>
          <w:p w14:paraId="39DF338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47</w:t>
            </w:r>
          </w:p>
        </w:tc>
        <w:tc>
          <w:tcPr>
            <w:tcW w:w="2282" w:type="pct"/>
            <w:tcBorders>
              <w:top w:val="nil"/>
              <w:left w:val="nil"/>
              <w:bottom w:val="single" w:sz="4" w:space="0" w:color="auto"/>
              <w:right w:val="single" w:sz="4" w:space="0" w:color="auto"/>
            </w:tcBorders>
            <w:shd w:val="clear" w:color="auto" w:fill="auto"/>
            <w:hideMark/>
          </w:tcPr>
          <w:p w14:paraId="42C79D2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Laparoscopic repeated hepatectomy is feasible and safe with some short-term advantages in comparison to the traditional open approach.</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7EE3B67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579375CE" w14:textId="77777777" w:rsidTr="00D45F54">
        <w:trPr>
          <w:trHeight w:val="375"/>
        </w:trPr>
        <w:tc>
          <w:tcPr>
            <w:tcW w:w="198" w:type="pct"/>
            <w:tcBorders>
              <w:top w:val="nil"/>
              <w:left w:val="single" w:sz="4" w:space="0" w:color="auto"/>
              <w:bottom w:val="single" w:sz="4" w:space="0" w:color="auto"/>
              <w:right w:val="single" w:sz="4" w:space="0" w:color="auto"/>
            </w:tcBorders>
            <w:shd w:val="clear" w:color="D9D9D9" w:fill="D9D9D9"/>
            <w:hideMark/>
          </w:tcPr>
          <w:p w14:paraId="239DA5A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48</w:t>
            </w:r>
          </w:p>
        </w:tc>
        <w:tc>
          <w:tcPr>
            <w:tcW w:w="1850" w:type="pct"/>
            <w:tcBorders>
              <w:top w:val="nil"/>
              <w:left w:val="nil"/>
              <w:bottom w:val="single" w:sz="4" w:space="0" w:color="auto"/>
              <w:right w:val="single" w:sz="4" w:space="0" w:color="auto"/>
            </w:tcBorders>
            <w:shd w:val="clear" w:color="D9D9D9" w:fill="D9D9D9"/>
            <w:hideMark/>
          </w:tcPr>
          <w:p w14:paraId="71EA017D"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RLR feasible in patients who underwent previous liver resection?</w:t>
            </w:r>
          </w:p>
        </w:tc>
        <w:tc>
          <w:tcPr>
            <w:tcW w:w="301" w:type="pct"/>
            <w:tcBorders>
              <w:top w:val="nil"/>
              <w:left w:val="nil"/>
              <w:bottom w:val="single" w:sz="4" w:space="0" w:color="auto"/>
              <w:right w:val="single" w:sz="4" w:space="0" w:color="auto"/>
            </w:tcBorders>
            <w:shd w:val="clear" w:color="D9D9D9" w:fill="D9D9D9"/>
            <w:hideMark/>
          </w:tcPr>
          <w:p w14:paraId="394818B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48</w:t>
            </w:r>
          </w:p>
        </w:tc>
        <w:tc>
          <w:tcPr>
            <w:tcW w:w="2282" w:type="pct"/>
            <w:tcBorders>
              <w:top w:val="nil"/>
              <w:left w:val="nil"/>
              <w:bottom w:val="single" w:sz="4" w:space="0" w:color="auto"/>
              <w:right w:val="single" w:sz="4" w:space="0" w:color="auto"/>
            </w:tcBorders>
            <w:shd w:val="clear" w:color="D9D9D9" w:fill="D9D9D9"/>
            <w:hideMark/>
          </w:tcPr>
          <w:p w14:paraId="1DE960A1"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Robotic liver surgery appears feasible and safe in patients who have undergone previous hepatectomy.</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1D2CB7C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bl>
    <w:p w14:paraId="42EED068" w14:textId="4F1B4D3B" w:rsidR="00303F17" w:rsidRPr="00AD2821" w:rsidRDefault="00303F17" w:rsidP="00303F17">
      <w:pPr>
        <w:jc w:val="both"/>
        <w:rPr>
          <w:rFonts w:cstheme="minorHAnsi"/>
          <w:sz w:val="22"/>
          <w:szCs w:val="22"/>
          <w:lang w:val="en-US"/>
        </w:rPr>
      </w:pPr>
    </w:p>
    <w:p w14:paraId="3B5A590B" w14:textId="77777777" w:rsidR="00303F17" w:rsidRPr="00AD2821" w:rsidRDefault="00303F17" w:rsidP="00303F17">
      <w:pPr>
        <w:jc w:val="both"/>
        <w:rPr>
          <w:rFonts w:cstheme="minorHAnsi"/>
          <w:sz w:val="22"/>
          <w:szCs w:val="22"/>
          <w:lang w:val="en-US"/>
        </w:rPr>
      </w:pPr>
    </w:p>
    <w:p w14:paraId="2B6F156B" w14:textId="77777777" w:rsidR="00303F17" w:rsidRPr="00AD2821" w:rsidRDefault="00303F17">
      <w:pPr>
        <w:rPr>
          <w:rFonts w:cstheme="minorHAnsi"/>
          <w:sz w:val="22"/>
          <w:szCs w:val="22"/>
          <w:lang w:val="en-US"/>
        </w:rPr>
      </w:pPr>
      <w:r w:rsidRPr="00AD2821">
        <w:rPr>
          <w:rFonts w:cstheme="minorHAnsi"/>
          <w:sz w:val="22"/>
          <w:szCs w:val="22"/>
          <w:lang w:val="en-US"/>
        </w:rPr>
        <w:br w:type="page"/>
      </w:r>
    </w:p>
    <w:p w14:paraId="6F329335" w14:textId="445D1FC0" w:rsidR="00023C91" w:rsidRPr="00AD2821" w:rsidRDefault="00303F17" w:rsidP="00023C91">
      <w:pPr>
        <w:keepNext/>
        <w:keepLines/>
        <w:spacing w:before="160" w:after="80"/>
        <w:outlineLvl w:val="1"/>
        <w:rPr>
          <w:rFonts w:eastAsiaTheme="majorEastAsia" w:cstheme="minorHAnsi"/>
          <w:color w:val="000000" w:themeColor="text1"/>
          <w:sz w:val="22"/>
          <w:szCs w:val="22"/>
          <w:lang w:val="en-GB"/>
        </w:rPr>
      </w:pPr>
      <w:r w:rsidRPr="00AD2821">
        <w:rPr>
          <w:rFonts w:cstheme="minorHAnsi"/>
          <w:color w:val="000000" w:themeColor="text1"/>
          <w:sz w:val="22"/>
          <w:szCs w:val="22"/>
          <w:lang w:val="en-US"/>
        </w:rPr>
        <w:lastRenderedPageBreak/>
        <w:t>Supplementary Table 4.</w:t>
      </w:r>
      <w:r w:rsidR="00023C91" w:rsidRPr="00AD2821">
        <w:rPr>
          <w:rFonts w:cstheme="minorHAnsi"/>
          <w:color w:val="000000" w:themeColor="text1"/>
          <w:sz w:val="22"/>
          <w:szCs w:val="22"/>
          <w:lang w:val="en-US"/>
        </w:rPr>
        <w:t xml:space="preserve"> </w:t>
      </w:r>
      <w:r w:rsidR="00023C91" w:rsidRPr="00AD2821">
        <w:rPr>
          <w:rFonts w:eastAsiaTheme="majorEastAsia" w:cstheme="minorHAnsi"/>
          <w:color w:val="000000" w:themeColor="text1"/>
          <w:sz w:val="22"/>
          <w:szCs w:val="22"/>
          <w:lang w:val="en-GB"/>
        </w:rPr>
        <w:t xml:space="preserve">Domain 4 Clinical Questions and Recommendations </w:t>
      </w:r>
    </w:p>
    <w:p w14:paraId="17EBABC5" w14:textId="77777777" w:rsidR="00023C91" w:rsidRPr="00AD2821" w:rsidRDefault="00023C91" w:rsidP="00023C91">
      <w:pPr>
        <w:keepNext/>
        <w:keepLines/>
        <w:spacing w:before="160" w:after="80"/>
        <w:outlineLvl w:val="1"/>
        <w:rPr>
          <w:rFonts w:eastAsiaTheme="majorEastAsia" w:cstheme="minorHAnsi"/>
          <w:color w:val="000000" w:themeColor="text1"/>
          <w:sz w:val="22"/>
          <w:szCs w:val="22"/>
          <w:lang w:val="en-GB"/>
        </w:rPr>
      </w:pPr>
    </w:p>
    <w:tbl>
      <w:tblPr>
        <w:tblW w:w="5000" w:type="pct"/>
        <w:tblCellMar>
          <w:left w:w="70" w:type="dxa"/>
          <w:right w:w="70" w:type="dxa"/>
        </w:tblCellMar>
        <w:tblLook w:val="04A0" w:firstRow="1" w:lastRow="0" w:firstColumn="1" w:lastColumn="0" w:noHBand="0" w:noVBand="1"/>
      </w:tblPr>
      <w:tblGrid>
        <w:gridCol w:w="384"/>
        <w:gridCol w:w="3593"/>
        <w:gridCol w:w="566"/>
        <w:gridCol w:w="4204"/>
        <w:gridCol w:w="695"/>
      </w:tblGrid>
      <w:tr w:rsidR="00023C91" w:rsidRPr="00AD2821" w14:paraId="74F336BA" w14:textId="77777777" w:rsidTr="00D45F54">
        <w:trPr>
          <w:trHeight w:val="375"/>
        </w:trPr>
        <w:tc>
          <w:tcPr>
            <w:tcW w:w="198" w:type="pct"/>
            <w:tcBorders>
              <w:top w:val="single" w:sz="4" w:space="0" w:color="auto"/>
              <w:left w:val="single" w:sz="4" w:space="0" w:color="auto"/>
              <w:bottom w:val="single" w:sz="4" w:space="0" w:color="auto"/>
              <w:right w:val="single" w:sz="4" w:space="0" w:color="auto"/>
            </w:tcBorders>
            <w:shd w:val="clear" w:color="auto" w:fill="auto"/>
            <w:hideMark/>
          </w:tcPr>
          <w:p w14:paraId="3559F931" w14:textId="77777777" w:rsidR="00023C91" w:rsidRPr="00AD2821" w:rsidRDefault="00023C91" w:rsidP="00D45F54">
            <w:pPr>
              <w:rPr>
                <w:rFonts w:eastAsia="Times New Roman" w:cstheme="minorHAnsi"/>
                <w:b/>
                <w:bCs/>
                <w:color w:val="000000"/>
                <w:lang w:val="en-GB" w:eastAsia="nl-NL"/>
              </w:rPr>
            </w:pPr>
            <w:bookmarkStart w:id="2" w:name="RANGE!A1:G18"/>
            <w:r w:rsidRPr="00AD2821">
              <w:rPr>
                <w:rFonts w:eastAsia="Times New Roman" w:cstheme="minorHAnsi"/>
                <w:b/>
                <w:bCs/>
                <w:color w:val="000000"/>
                <w:lang w:val="en-GB" w:eastAsia="nl-NL"/>
              </w:rPr>
              <w:t>Q</w:t>
            </w:r>
            <w:bookmarkEnd w:id="2"/>
          </w:p>
        </w:tc>
        <w:tc>
          <w:tcPr>
            <w:tcW w:w="1904" w:type="pct"/>
            <w:tcBorders>
              <w:top w:val="single" w:sz="4" w:space="0" w:color="auto"/>
              <w:left w:val="single" w:sz="4" w:space="0" w:color="auto"/>
              <w:bottom w:val="single" w:sz="4" w:space="0" w:color="auto"/>
              <w:right w:val="single" w:sz="4" w:space="0" w:color="auto"/>
            </w:tcBorders>
            <w:shd w:val="clear" w:color="auto" w:fill="auto"/>
            <w:hideMark/>
          </w:tcPr>
          <w:p w14:paraId="57B9927C"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Clinical Question</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05358D0C"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R</w:t>
            </w:r>
          </w:p>
        </w:tc>
        <w:tc>
          <w:tcPr>
            <w:tcW w:w="2228" w:type="pct"/>
            <w:tcBorders>
              <w:top w:val="single" w:sz="4" w:space="0" w:color="auto"/>
              <w:left w:val="single" w:sz="4" w:space="0" w:color="auto"/>
              <w:bottom w:val="single" w:sz="4" w:space="0" w:color="auto"/>
              <w:right w:val="single" w:sz="4" w:space="0" w:color="auto"/>
            </w:tcBorders>
            <w:shd w:val="clear" w:color="auto" w:fill="auto"/>
            <w:hideMark/>
          </w:tcPr>
          <w:p w14:paraId="7270AB58"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Recommendation</w:t>
            </w:r>
          </w:p>
        </w:tc>
        <w:tc>
          <w:tcPr>
            <w:tcW w:w="369" w:type="pct"/>
            <w:tcBorders>
              <w:top w:val="single" w:sz="4" w:space="0" w:color="auto"/>
              <w:left w:val="single" w:sz="4" w:space="0" w:color="auto"/>
              <w:bottom w:val="single" w:sz="4" w:space="0" w:color="auto"/>
              <w:right w:val="single" w:sz="4" w:space="0" w:color="auto"/>
            </w:tcBorders>
            <w:shd w:val="clear" w:color="auto" w:fill="auto"/>
            <w:hideMark/>
          </w:tcPr>
          <w:p w14:paraId="676A52B1" w14:textId="77777777" w:rsidR="00023C91" w:rsidRPr="00AD2821" w:rsidRDefault="00023C91"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Code</w:t>
            </w:r>
          </w:p>
        </w:tc>
      </w:tr>
      <w:tr w:rsidR="00023C91" w:rsidRPr="00AD2821" w14:paraId="11632E73" w14:textId="77777777" w:rsidTr="00D45F54">
        <w:trPr>
          <w:trHeight w:val="1125"/>
        </w:trPr>
        <w:tc>
          <w:tcPr>
            <w:tcW w:w="198" w:type="pct"/>
            <w:tcBorders>
              <w:top w:val="single" w:sz="4" w:space="0" w:color="auto"/>
              <w:left w:val="single" w:sz="4" w:space="0" w:color="auto"/>
              <w:bottom w:val="nil"/>
              <w:right w:val="single" w:sz="4" w:space="0" w:color="auto"/>
            </w:tcBorders>
            <w:shd w:val="clear" w:color="D9D9D9" w:fill="D9D9D9"/>
            <w:hideMark/>
          </w:tcPr>
          <w:p w14:paraId="3187630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63</w:t>
            </w:r>
          </w:p>
        </w:tc>
        <w:tc>
          <w:tcPr>
            <w:tcW w:w="1904" w:type="pct"/>
            <w:tcBorders>
              <w:top w:val="single" w:sz="4" w:space="0" w:color="auto"/>
              <w:left w:val="single" w:sz="4" w:space="0" w:color="auto"/>
              <w:bottom w:val="nil"/>
              <w:right w:val="single" w:sz="4" w:space="0" w:color="auto"/>
            </w:tcBorders>
            <w:shd w:val="clear" w:color="D9D9D9" w:fill="D9D9D9"/>
            <w:hideMark/>
          </w:tcPr>
          <w:p w14:paraId="31EEB4EC"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laparoscopic liver resection (LLR) applicable for right and left hemihepatectomy?</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2D9F901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49.1</w:t>
            </w:r>
          </w:p>
        </w:tc>
        <w:tc>
          <w:tcPr>
            <w:tcW w:w="2228" w:type="pct"/>
            <w:tcBorders>
              <w:top w:val="single" w:sz="4" w:space="0" w:color="auto"/>
              <w:left w:val="single" w:sz="4" w:space="0" w:color="auto"/>
              <w:bottom w:val="single" w:sz="4" w:space="0" w:color="auto"/>
              <w:right w:val="single" w:sz="4" w:space="0" w:color="auto"/>
            </w:tcBorders>
            <w:shd w:val="clear" w:color="D9D9D9" w:fill="D9D9D9"/>
            <w:hideMark/>
          </w:tcPr>
          <w:p w14:paraId="5D685BDC"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LLR for RIGHT or LEFT hemihepatectomy is technically feasible and safe in terms of morbidity and oncological outcomes, with a shorter hospital stay and less blood loss but longer operative times compared with open surgery. </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0798F10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63A05EB7" w14:textId="77777777" w:rsidTr="00D45F54">
        <w:trPr>
          <w:trHeight w:val="1125"/>
        </w:trPr>
        <w:tc>
          <w:tcPr>
            <w:tcW w:w="198" w:type="pct"/>
            <w:tcBorders>
              <w:top w:val="nil"/>
              <w:left w:val="single" w:sz="4" w:space="0" w:color="auto"/>
              <w:bottom w:val="single" w:sz="4" w:space="0" w:color="auto"/>
              <w:right w:val="single" w:sz="4" w:space="0" w:color="auto"/>
            </w:tcBorders>
            <w:shd w:val="clear" w:color="auto" w:fill="auto"/>
            <w:hideMark/>
          </w:tcPr>
          <w:p w14:paraId="24F9BF4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904" w:type="pct"/>
            <w:tcBorders>
              <w:top w:val="nil"/>
              <w:left w:val="single" w:sz="4" w:space="0" w:color="auto"/>
              <w:bottom w:val="single" w:sz="4" w:space="0" w:color="auto"/>
              <w:right w:val="single" w:sz="4" w:space="0" w:color="auto"/>
            </w:tcBorders>
            <w:shd w:val="clear" w:color="auto" w:fill="auto"/>
            <w:hideMark/>
          </w:tcPr>
          <w:p w14:paraId="1C2AF36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36C8D1F8"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49.2</w:t>
            </w:r>
          </w:p>
        </w:tc>
        <w:tc>
          <w:tcPr>
            <w:tcW w:w="2228" w:type="pct"/>
            <w:tcBorders>
              <w:top w:val="single" w:sz="4" w:space="0" w:color="auto"/>
              <w:left w:val="single" w:sz="4" w:space="0" w:color="auto"/>
              <w:bottom w:val="single" w:sz="4" w:space="0" w:color="auto"/>
              <w:right w:val="single" w:sz="4" w:space="0" w:color="auto"/>
            </w:tcBorders>
            <w:shd w:val="clear" w:color="auto" w:fill="auto"/>
            <w:hideMark/>
          </w:tcPr>
          <w:p w14:paraId="512BF43B"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Laparoscopic surgery for right and extended right hemi hepatectomy remains a safe technique after modulation of the future liver remnant, although it is more complex and takes longer to perform than open surgery.</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1E454CC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720571D6" w14:textId="77777777" w:rsidTr="00D45F54">
        <w:trPr>
          <w:trHeight w:val="1875"/>
        </w:trPr>
        <w:tc>
          <w:tcPr>
            <w:tcW w:w="198" w:type="pct"/>
            <w:tcBorders>
              <w:top w:val="single" w:sz="4" w:space="0" w:color="auto"/>
              <w:left w:val="single" w:sz="4" w:space="0" w:color="auto"/>
              <w:bottom w:val="single" w:sz="4" w:space="0" w:color="auto"/>
              <w:right w:val="single" w:sz="4" w:space="0" w:color="auto"/>
            </w:tcBorders>
            <w:shd w:val="clear" w:color="D9D9D9" w:fill="D9D9D9"/>
            <w:hideMark/>
          </w:tcPr>
          <w:p w14:paraId="1A5E713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64</w:t>
            </w:r>
          </w:p>
        </w:tc>
        <w:tc>
          <w:tcPr>
            <w:tcW w:w="1904" w:type="pct"/>
            <w:tcBorders>
              <w:top w:val="single" w:sz="4" w:space="0" w:color="auto"/>
              <w:left w:val="single" w:sz="4" w:space="0" w:color="auto"/>
              <w:bottom w:val="single" w:sz="4" w:space="0" w:color="auto"/>
              <w:right w:val="single" w:sz="4" w:space="0" w:color="auto"/>
            </w:tcBorders>
            <w:shd w:val="clear" w:color="D9D9D9" w:fill="D9D9D9"/>
            <w:hideMark/>
          </w:tcPr>
          <w:p w14:paraId="34292F0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RLR applicable for RIGHT or LEFT hemihepatectomy?</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2AFF0627"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50</w:t>
            </w:r>
          </w:p>
        </w:tc>
        <w:tc>
          <w:tcPr>
            <w:tcW w:w="2228" w:type="pct"/>
            <w:tcBorders>
              <w:top w:val="single" w:sz="4" w:space="0" w:color="auto"/>
              <w:left w:val="single" w:sz="4" w:space="0" w:color="auto"/>
              <w:bottom w:val="single" w:sz="4" w:space="0" w:color="auto"/>
              <w:right w:val="single" w:sz="4" w:space="0" w:color="auto"/>
            </w:tcBorders>
            <w:shd w:val="clear" w:color="D9D9D9" w:fill="D9D9D9"/>
            <w:hideMark/>
          </w:tcPr>
          <w:p w14:paraId="149BC662"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Based on limited evidence, in centres with appropriate expertise, RLR for RIGHT or LEFT hemihepatectomy is technically feasible and safe in terms of morbidity and oncological outcomes, with a shorter hospital stay and less blood loss, but longer operative times compared with open surgery. Further studies are needed to confirm these findings.</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37166AA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0AAA9185" w14:textId="77777777" w:rsidTr="00D45F54">
        <w:trPr>
          <w:trHeight w:val="750"/>
        </w:trPr>
        <w:tc>
          <w:tcPr>
            <w:tcW w:w="198" w:type="pct"/>
            <w:tcBorders>
              <w:top w:val="single" w:sz="4" w:space="0" w:color="auto"/>
              <w:left w:val="single" w:sz="4" w:space="0" w:color="auto"/>
              <w:bottom w:val="single" w:sz="4" w:space="0" w:color="auto"/>
              <w:right w:val="single" w:sz="4" w:space="0" w:color="auto"/>
            </w:tcBorders>
            <w:shd w:val="clear" w:color="auto" w:fill="auto"/>
            <w:hideMark/>
          </w:tcPr>
          <w:p w14:paraId="55ED064B"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67</w:t>
            </w:r>
          </w:p>
        </w:tc>
        <w:tc>
          <w:tcPr>
            <w:tcW w:w="1904" w:type="pct"/>
            <w:tcBorders>
              <w:top w:val="single" w:sz="4" w:space="0" w:color="auto"/>
              <w:left w:val="single" w:sz="4" w:space="0" w:color="auto"/>
              <w:bottom w:val="single" w:sz="4" w:space="0" w:color="auto"/>
              <w:right w:val="single" w:sz="4" w:space="0" w:color="auto"/>
            </w:tcBorders>
            <w:shd w:val="clear" w:color="auto" w:fill="auto"/>
            <w:hideMark/>
          </w:tcPr>
          <w:p w14:paraId="0117464A"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LLR applicable for minor liver resections?</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74F02C98"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51</w:t>
            </w:r>
          </w:p>
        </w:tc>
        <w:tc>
          <w:tcPr>
            <w:tcW w:w="2228" w:type="pct"/>
            <w:tcBorders>
              <w:top w:val="single" w:sz="4" w:space="0" w:color="auto"/>
              <w:left w:val="single" w:sz="4" w:space="0" w:color="auto"/>
              <w:bottom w:val="single" w:sz="4" w:space="0" w:color="auto"/>
              <w:right w:val="single" w:sz="4" w:space="0" w:color="auto"/>
            </w:tcBorders>
            <w:shd w:val="clear" w:color="auto" w:fill="auto"/>
            <w:hideMark/>
          </w:tcPr>
          <w:p w14:paraId="3CEBA766"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LLR is safe for minor liver resections and a minimally invasive approach should be the preferred approach in the anterolateral segments.</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3781D3E4"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0A85C60B" w14:textId="77777777" w:rsidTr="00D45F54">
        <w:trPr>
          <w:trHeight w:val="1125"/>
        </w:trPr>
        <w:tc>
          <w:tcPr>
            <w:tcW w:w="198" w:type="pct"/>
            <w:tcBorders>
              <w:top w:val="single" w:sz="4" w:space="0" w:color="auto"/>
              <w:left w:val="single" w:sz="4" w:space="0" w:color="auto"/>
              <w:bottom w:val="single" w:sz="4" w:space="0" w:color="auto"/>
              <w:right w:val="single" w:sz="4" w:space="0" w:color="auto"/>
            </w:tcBorders>
            <w:shd w:val="clear" w:color="D9D9D9" w:fill="D9D9D9"/>
            <w:hideMark/>
          </w:tcPr>
          <w:p w14:paraId="4C9D5DED"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68</w:t>
            </w:r>
          </w:p>
        </w:tc>
        <w:tc>
          <w:tcPr>
            <w:tcW w:w="1904" w:type="pct"/>
            <w:tcBorders>
              <w:top w:val="single" w:sz="4" w:space="0" w:color="auto"/>
              <w:left w:val="single" w:sz="4" w:space="0" w:color="auto"/>
              <w:bottom w:val="single" w:sz="4" w:space="0" w:color="auto"/>
              <w:right w:val="single" w:sz="4" w:space="0" w:color="auto"/>
            </w:tcBorders>
            <w:shd w:val="clear" w:color="D9D9D9" w:fill="D9D9D9"/>
            <w:hideMark/>
          </w:tcPr>
          <w:p w14:paraId="4C29394B"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RLR applicable for minor liver resections?</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6487D72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52</w:t>
            </w:r>
          </w:p>
        </w:tc>
        <w:tc>
          <w:tcPr>
            <w:tcW w:w="2228" w:type="pct"/>
            <w:tcBorders>
              <w:top w:val="single" w:sz="4" w:space="0" w:color="auto"/>
              <w:left w:val="single" w:sz="4" w:space="0" w:color="auto"/>
              <w:bottom w:val="single" w:sz="4" w:space="0" w:color="auto"/>
              <w:right w:val="single" w:sz="4" w:space="0" w:color="auto"/>
            </w:tcBorders>
            <w:shd w:val="clear" w:color="D9D9D9" w:fill="D9D9D9"/>
            <w:hideMark/>
          </w:tcPr>
          <w:p w14:paraId="4A56A686"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Based on limited evidence, RLR appears feasible, safe and may be associated with lower conversion rates than LLR when adopted for minor liver resections in the anterolateral segments.</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793F3FF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5C1E41DA" w14:textId="77777777" w:rsidTr="00D45F54">
        <w:trPr>
          <w:trHeight w:val="1125"/>
        </w:trPr>
        <w:tc>
          <w:tcPr>
            <w:tcW w:w="198" w:type="pct"/>
            <w:tcBorders>
              <w:top w:val="single" w:sz="4" w:space="0" w:color="auto"/>
              <w:left w:val="single" w:sz="4" w:space="0" w:color="auto"/>
              <w:bottom w:val="single" w:sz="4" w:space="0" w:color="auto"/>
              <w:right w:val="single" w:sz="4" w:space="0" w:color="auto"/>
            </w:tcBorders>
            <w:shd w:val="clear" w:color="auto" w:fill="auto"/>
            <w:hideMark/>
          </w:tcPr>
          <w:p w14:paraId="490B4945"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69</w:t>
            </w:r>
          </w:p>
        </w:tc>
        <w:tc>
          <w:tcPr>
            <w:tcW w:w="1904" w:type="pct"/>
            <w:tcBorders>
              <w:top w:val="single" w:sz="4" w:space="0" w:color="auto"/>
              <w:left w:val="single" w:sz="4" w:space="0" w:color="auto"/>
              <w:bottom w:val="single" w:sz="4" w:space="0" w:color="auto"/>
              <w:right w:val="single" w:sz="4" w:space="0" w:color="auto"/>
            </w:tcBorders>
            <w:shd w:val="clear" w:color="auto" w:fill="auto"/>
            <w:hideMark/>
          </w:tcPr>
          <w:p w14:paraId="5106BB86"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laparoscopic surgery applicable for Liver Resections in the 'Difficult Segments (1, 4a, 7, and 8)'?</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0A54ED42"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53</w:t>
            </w:r>
          </w:p>
        </w:tc>
        <w:tc>
          <w:tcPr>
            <w:tcW w:w="2228" w:type="pct"/>
            <w:tcBorders>
              <w:top w:val="single" w:sz="4" w:space="0" w:color="auto"/>
              <w:left w:val="single" w:sz="4" w:space="0" w:color="auto"/>
              <w:bottom w:val="single" w:sz="4" w:space="0" w:color="auto"/>
              <w:right w:val="single" w:sz="4" w:space="0" w:color="auto"/>
            </w:tcBorders>
            <w:shd w:val="clear" w:color="auto" w:fill="auto"/>
            <w:hideMark/>
          </w:tcPr>
          <w:p w14:paraId="771EADD4"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LLR is technically feasible and safe for resections in the difficult segments and a minimally invasive approach is a valid alternative approach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6EFF885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10553584" w14:textId="77777777" w:rsidTr="00D45F54">
        <w:trPr>
          <w:trHeight w:val="1125"/>
        </w:trPr>
        <w:tc>
          <w:tcPr>
            <w:tcW w:w="198" w:type="pct"/>
            <w:tcBorders>
              <w:top w:val="single" w:sz="4" w:space="0" w:color="auto"/>
              <w:left w:val="single" w:sz="4" w:space="0" w:color="auto"/>
              <w:bottom w:val="single" w:sz="4" w:space="0" w:color="auto"/>
              <w:right w:val="single" w:sz="4" w:space="0" w:color="auto"/>
            </w:tcBorders>
            <w:shd w:val="clear" w:color="D9D9D9" w:fill="D9D9D9"/>
            <w:hideMark/>
          </w:tcPr>
          <w:p w14:paraId="0FD136B8"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70</w:t>
            </w:r>
          </w:p>
        </w:tc>
        <w:tc>
          <w:tcPr>
            <w:tcW w:w="1904" w:type="pct"/>
            <w:tcBorders>
              <w:top w:val="single" w:sz="4" w:space="0" w:color="auto"/>
              <w:left w:val="single" w:sz="4" w:space="0" w:color="auto"/>
              <w:bottom w:val="single" w:sz="4" w:space="0" w:color="auto"/>
              <w:right w:val="single" w:sz="4" w:space="0" w:color="auto"/>
            </w:tcBorders>
            <w:shd w:val="clear" w:color="D9D9D9" w:fill="D9D9D9"/>
            <w:hideMark/>
          </w:tcPr>
          <w:p w14:paraId="682CE13F"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RLR applicable for Liver Resections in the 'Difficult Segments (1, 4a, 7, and 8)'?</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1CCA14C4"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54</w:t>
            </w:r>
          </w:p>
        </w:tc>
        <w:tc>
          <w:tcPr>
            <w:tcW w:w="2228" w:type="pct"/>
            <w:tcBorders>
              <w:top w:val="single" w:sz="4" w:space="0" w:color="auto"/>
              <w:left w:val="single" w:sz="4" w:space="0" w:color="auto"/>
              <w:bottom w:val="single" w:sz="4" w:space="0" w:color="auto"/>
              <w:right w:val="single" w:sz="4" w:space="0" w:color="auto"/>
            </w:tcBorders>
            <w:shd w:val="clear" w:color="D9D9D9" w:fill="D9D9D9"/>
            <w:hideMark/>
          </w:tcPr>
          <w:p w14:paraId="0F8B65B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There is limited data on the feasibility and safety of RLR for liver resections in the difficult segments. Robotic articulation may facilitate surgery in this field. Future studies should focus on developing evidence in this specific field.</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71CAE8E3"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2C0A0B08" w14:textId="77777777" w:rsidTr="00D45F54">
        <w:trPr>
          <w:trHeight w:val="1500"/>
        </w:trPr>
        <w:tc>
          <w:tcPr>
            <w:tcW w:w="198" w:type="pct"/>
            <w:tcBorders>
              <w:top w:val="single" w:sz="4" w:space="0" w:color="auto"/>
              <w:left w:val="single" w:sz="4" w:space="0" w:color="auto"/>
              <w:bottom w:val="nil"/>
              <w:right w:val="single" w:sz="4" w:space="0" w:color="auto"/>
            </w:tcBorders>
            <w:shd w:val="clear" w:color="auto" w:fill="auto"/>
            <w:hideMark/>
          </w:tcPr>
          <w:p w14:paraId="2FF2D5E8"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71</w:t>
            </w:r>
          </w:p>
        </w:tc>
        <w:tc>
          <w:tcPr>
            <w:tcW w:w="1904" w:type="pct"/>
            <w:tcBorders>
              <w:top w:val="single" w:sz="4" w:space="0" w:color="auto"/>
              <w:left w:val="single" w:sz="4" w:space="0" w:color="auto"/>
              <w:bottom w:val="nil"/>
              <w:right w:val="single" w:sz="4" w:space="0" w:color="auto"/>
            </w:tcBorders>
            <w:shd w:val="clear" w:color="auto" w:fill="auto"/>
            <w:hideMark/>
          </w:tcPr>
          <w:p w14:paraId="1204EDAA"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LLR applicable for parenchyma-sparing procedures?</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621E581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55.1</w:t>
            </w:r>
          </w:p>
        </w:tc>
        <w:tc>
          <w:tcPr>
            <w:tcW w:w="2228" w:type="pct"/>
            <w:tcBorders>
              <w:top w:val="single" w:sz="4" w:space="0" w:color="auto"/>
              <w:left w:val="single" w:sz="4" w:space="0" w:color="auto"/>
              <w:bottom w:val="single" w:sz="4" w:space="0" w:color="auto"/>
              <w:right w:val="single" w:sz="4" w:space="0" w:color="auto"/>
            </w:tcBorders>
            <w:shd w:val="clear" w:color="auto" w:fill="auto"/>
            <w:hideMark/>
          </w:tcPr>
          <w:p w14:paraId="41255EB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When indicated, laparoscopic surgery for parenchyma-sparing procedures is technically feasible and safe in terms of short-term post-operative results and long-term oncological outcomes. This should be performed in centres with adequate experience and expertise. </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51AE6FF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7486591E" w14:textId="77777777" w:rsidTr="00D45F54">
        <w:trPr>
          <w:trHeight w:val="1125"/>
        </w:trPr>
        <w:tc>
          <w:tcPr>
            <w:tcW w:w="198" w:type="pct"/>
            <w:tcBorders>
              <w:top w:val="nil"/>
              <w:left w:val="single" w:sz="4" w:space="0" w:color="auto"/>
              <w:bottom w:val="single" w:sz="4" w:space="0" w:color="auto"/>
              <w:right w:val="single" w:sz="4" w:space="0" w:color="auto"/>
            </w:tcBorders>
            <w:shd w:val="clear" w:color="D9D9D9" w:fill="D9D9D9"/>
            <w:hideMark/>
          </w:tcPr>
          <w:p w14:paraId="18560382"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904" w:type="pct"/>
            <w:tcBorders>
              <w:top w:val="nil"/>
              <w:left w:val="single" w:sz="4" w:space="0" w:color="auto"/>
              <w:bottom w:val="single" w:sz="4" w:space="0" w:color="auto"/>
              <w:right w:val="single" w:sz="4" w:space="0" w:color="auto"/>
            </w:tcBorders>
            <w:shd w:val="clear" w:color="D9D9D9" w:fill="D9D9D9"/>
            <w:hideMark/>
          </w:tcPr>
          <w:p w14:paraId="36D13E4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144F48D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55.2</w:t>
            </w:r>
          </w:p>
        </w:tc>
        <w:tc>
          <w:tcPr>
            <w:tcW w:w="2228" w:type="pct"/>
            <w:tcBorders>
              <w:top w:val="single" w:sz="4" w:space="0" w:color="auto"/>
              <w:left w:val="single" w:sz="4" w:space="0" w:color="auto"/>
              <w:bottom w:val="single" w:sz="4" w:space="0" w:color="auto"/>
              <w:right w:val="single" w:sz="4" w:space="0" w:color="auto"/>
            </w:tcBorders>
            <w:shd w:val="clear" w:color="D9D9D9" w:fill="D9D9D9"/>
            <w:hideMark/>
          </w:tcPr>
          <w:p w14:paraId="40AB3807"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There is limited evidence on the feasibility and oncological safety of laparoscopic surgery for multiple concomitant parenchyma-sparing resections, laparoscopic surgery should thus cautiously be considered in this setting.</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0391340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6A48296C" w14:textId="77777777" w:rsidTr="00D45F54">
        <w:trPr>
          <w:trHeight w:val="750"/>
        </w:trPr>
        <w:tc>
          <w:tcPr>
            <w:tcW w:w="198" w:type="pct"/>
            <w:tcBorders>
              <w:top w:val="single" w:sz="4" w:space="0" w:color="auto"/>
              <w:left w:val="single" w:sz="4" w:space="0" w:color="auto"/>
              <w:bottom w:val="single" w:sz="4" w:space="0" w:color="auto"/>
              <w:right w:val="single" w:sz="4" w:space="0" w:color="auto"/>
            </w:tcBorders>
            <w:shd w:val="clear" w:color="auto" w:fill="auto"/>
            <w:hideMark/>
          </w:tcPr>
          <w:p w14:paraId="6115CCE8"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72</w:t>
            </w:r>
          </w:p>
        </w:tc>
        <w:tc>
          <w:tcPr>
            <w:tcW w:w="1904" w:type="pct"/>
            <w:tcBorders>
              <w:top w:val="single" w:sz="4" w:space="0" w:color="auto"/>
              <w:left w:val="single" w:sz="4" w:space="0" w:color="auto"/>
              <w:bottom w:val="single" w:sz="4" w:space="0" w:color="auto"/>
              <w:right w:val="single" w:sz="4" w:space="0" w:color="auto"/>
            </w:tcBorders>
            <w:shd w:val="clear" w:color="auto" w:fill="auto"/>
            <w:hideMark/>
          </w:tcPr>
          <w:p w14:paraId="1C62C79C"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RLR applicable for parenchyma-sparing procedures?</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149071A8"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56</w:t>
            </w:r>
          </w:p>
        </w:tc>
        <w:tc>
          <w:tcPr>
            <w:tcW w:w="2228" w:type="pct"/>
            <w:tcBorders>
              <w:top w:val="single" w:sz="4" w:space="0" w:color="auto"/>
              <w:left w:val="single" w:sz="4" w:space="0" w:color="auto"/>
              <w:bottom w:val="single" w:sz="4" w:space="0" w:color="auto"/>
              <w:right w:val="single" w:sz="4" w:space="0" w:color="auto"/>
            </w:tcBorders>
            <w:shd w:val="clear" w:color="auto" w:fill="auto"/>
            <w:hideMark/>
          </w:tcPr>
          <w:p w14:paraId="04650689"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RLR for parenchyma-sparing procedures seems to be comparable to LLR with potential intraoperative benefits, but further data is needed.</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32B87AB4"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023C91" w:rsidRPr="00AD2821" w14:paraId="769BF3DB" w14:textId="77777777" w:rsidTr="00D45F54">
        <w:trPr>
          <w:trHeight w:val="750"/>
        </w:trPr>
        <w:tc>
          <w:tcPr>
            <w:tcW w:w="198" w:type="pct"/>
            <w:tcBorders>
              <w:top w:val="single" w:sz="4" w:space="0" w:color="auto"/>
              <w:left w:val="single" w:sz="4" w:space="0" w:color="auto"/>
              <w:bottom w:val="nil"/>
              <w:right w:val="single" w:sz="4" w:space="0" w:color="auto"/>
            </w:tcBorders>
            <w:shd w:val="clear" w:color="D9D9D9" w:fill="D9D9D9"/>
            <w:hideMark/>
          </w:tcPr>
          <w:p w14:paraId="6D6A12D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73</w:t>
            </w:r>
          </w:p>
        </w:tc>
        <w:tc>
          <w:tcPr>
            <w:tcW w:w="1904" w:type="pct"/>
            <w:tcBorders>
              <w:top w:val="single" w:sz="4" w:space="0" w:color="auto"/>
              <w:left w:val="single" w:sz="4" w:space="0" w:color="auto"/>
              <w:bottom w:val="nil"/>
              <w:right w:val="single" w:sz="4" w:space="0" w:color="auto"/>
            </w:tcBorders>
            <w:shd w:val="clear" w:color="D9D9D9" w:fill="D9D9D9"/>
            <w:hideMark/>
          </w:tcPr>
          <w:p w14:paraId="19628114"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LLR applicable for anatomic segmentectomies?</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72FE992E"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57.1</w:t>
            </w:r>
          </w:p>
        </w:tc>
        <w:tc>
          <w:tcPr>
            <w:tcW w:w="2228" w:type="pct"/>
            <w:tcBorders>
              <w:top w:val="single" w:sz="4" w:space="0" w:color="auto"/>
              <w:left w:val="single" w:sz="4" w:space="0" w:color="auto"/>
              <w:bottom w:val="single" w:sz="4" w:space="0" w:color="auto"/>
              <w:right w:val="single" w:sz="4" w:space="0" w:color="auto"/>
            </w:tcBorders>
            <w:shd w:val="clear" w:color="D9D9D9" w:fill="D9D9D9"/>
            <w:hideMark/>
          </w:tcPr>
          <w:p w14:paraId="2C476D67"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Laparoscopic surgery for anatomical monosegmentectomy appears to be safe and feasible.</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4B3CCD47"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2B</w:t>
            </w:r>
          </w:p>
        </w:tc>
      </w:tr>
      <w:tr w:rsidR="00023C91" w:rsidRPr="00AD2821" w14:paraId="703CCFB8" w14:textId="77777777" w:rsidTr="00D45F54">
        <w:trPr>
          <w:trHeight w:val="1125"/>
        </w:trPr>
        <w:tc>
          <w:tcPr>
            <w:tcW w:w="198" w:type="pct"/>
            <w:tcBorders>
              <w:top w:val="nil"/>
              <w:left w:val="single" w:sz="4" w:space="0" w:color="auto"/>
              <w:bottom w:val="nil"/>
              <w:right w:val="single" w:sz="4" w:space="0" w:color="auto"/>
            </w:tcBorders>
            <w:shd w:val="clear" w:color="auto" w:fill="auto"/>
            <w:hideMark/>
          </w:tcPr>
          <w:p w14:paraId="57E71B4F"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904" w:type="pct"/>
            <w:tcBorders>
              <w:top w:val="nil"/>
              <w:left w:val="single" w:sz="4" w:space="0" w:color="auto"/>
              <w:bottom w:val="nil"/>
              <w:right w:val="single" w:sz="4" w:space="0" w:color="auto"/>
            </w:tcBorders>
            <w:shd w:val="clear" w:color="auto" w:fill="auto"/>
            <w:hideMark/>
          </w:tcPr>
          <w:p w14:paraId="580F7E3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6568E52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57.2</w:t>
            </w:r>
          </w:p>
        </w:tc>
        <w:tc>
          <w:tcPr>
            <w:tcW w:w="2228" w:type="pct"/>
            <w:tcBorders>
              <w:top w:val="single" w:sz="4" w:space="0" w:color="auto"/>
              <w:left w:val="single" w:sz="4" w:space="0" w:color="auto"/>
              <w:bottom w:val="single" w:sz="4" w:space="0" w:color="auto"/>
              <w:right w:val="single" w:sz="4" w:space="0" w:color="auto"/>
            </w:tcBorders>
            <w:shd w:val="clear" w:color="auto" w:fill="auto"/>
            <w:hideMark/>
          </w:tcPr>
          <w:p w14:paraId="042B2033"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Laparoscopic surgery for left lateral sectionectomy should be the preferred approach as it offers several perioperative benefits over open surgery, while perioperative costs and oncological outcomes are comparable.</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057EE5A6"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023C91" w:rsidRPr="00AD2821" w14:paraId="2BF209FB" w14:textId="77777777" w:rsidTr="00D45F54">
        <w:trPr>
          <w:trHeight w:val="1125"/>
        </w:trPr>
        <w:tc>
          <w:tcPr>
            <w:tcW w:w="198" w:type="pct"/>
            <w:tcBorders>
              <w:top w:val="nil"/>
              <w:left w:val="single" w:sz="4" w:space="0" w:color="auto"/>
              <w:bottom w:val="nil"/>
              <w:right w:val="single" w:sz="4" w:space="0" w:color="auto"/>
            </w:tcBorders>
            <w:shd w:val="clear" w:color="D9D9D9" w:fill="D9D9D9"/>
            <w:hideMark/>
          </w:tcPr>
          <w:p w14:paraId="67F9AB72"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904" w:type="pct"/>
            <w:tcBorders>
              <w:top w:val="nil"/>
              <w:left w:val="single" w:sz="4" w:space="0" w:color="auto"/>
              <w:bottom w:val="nil"/>
              <w:right w:val="single" w:sz="4" w:space="0" w:color="auto"/>
            </w:tcBorders>
            <w:shd w:val="clear" w:color="D9D9D9" w:fill="D9D9D9"/>
            <w:hideMark/>
          </w:tcPr>
          <w:p w14:paraId="703319F0"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7377111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57.3</w:t>
            </w:r>
          </w:p>
        </w:tc>
        <w:tc>
          <w:tcPr>
            <w:tcW w:w="2228" w:type="pct"/>
            <w:tcBorders>
              <w:top w:val="single" w:sz="4" w:space="0" w:color="auto"/>
              <w:left w:val="single" w:sz="4" w:space="0" w:color="auto"/>
              <w:bottom w:val="single" w:sz="4" w:space="0" w:color="auto"/>
              <w:right w:val="single" w:sz="4" w:space="0" w:color="auto"/>
            </w:tcBorders>
            <w:shd w:val="clear" w:color="D9D9D9" w:fill="D9D9D9"/>
            <w:hideMark/>
          </w:tcPr>
          <w:p w14:paraId="39D84201"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Laparoscopic surgery for right posterior sectionectomy remains technically challenging but can offer perioperative benefits over open surgery in centres with adequate experience and expertise.</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3868EA5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2B</w:t>
            </w:r>
          </w:p>
        </w:tc>
      </w:tr>
      <w:tr w:rsidR="00023C91" w:rsidRPr="00AD2821" w14:paraId="24C78C0D" w14:textId="77777777" w:rsidTr="00D45F54">
        <w:trPr>
          <w:trHeight w:val="1125"/>
        </w:trPr>
        <w:tc>
          <w:tcPr>
            <w:tcW w:w="198" w:type="pct"/>
            <w:tcBorders>
              <w:top w:val="nil"/>
              <w:left w:val="single" w:sz="4" w:space="0" w:color="auto"/>
              <w:bottom w:val="nil"/>
              <w:right w:val="single" w:sz="4" w:space="0" w:color="auto"/>
            </w:tcBorders>
            <w:shd w:val="clear" w:color="auto" w:fill="auto"/>
            <w:hideMark/>
          </w:tcPr>
          <w:p w14:paraId="7F75B2E1"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904" w:type="pct"/>
            <w:tcBorders>
              <w:top w:val="nil"/>
              <w:left w:val="single" w:sz="4" w:space="0" w:color="auto"/>
              <w:bottom w:val="nil"/>
              <w:right w:val="single" w:sz="4" w:space="0" w:color="auto"/>
            </w:tcBorders>
            <w:shd w:val="clear" w:color="auto" w:fill="auto"/>
            <w:hideMark/>
          </w:tcPr>
          <w:p w14:paraId="615C53A1"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2E0124ED"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57.4</w:t>
            </w:r>
          </w:p>
        </w:tc>
        <w:tc>
          <w:tcPr>
            <w:tcW w:w="2228" w:type="pct"/>
            <w:tcBorders>
              <w:top w:val="single" w:sz="4" w:space="0" w:color="auto"/>
              <w:left w:val="single" w:sz="4" w:space="0" w:color="auto"/>
              <w:bottom w:val="single" w:sz="4" w:space="0" w:color="auto"/>
              <w:right w:val="single" w:sz="4" w:space="0" w:color="auto"/>
            </w:tcBorders>
            <w:shd w:val="clear" w:color="auto" w:fill="auto"/>
            <w:hideMark/>
          </w:tcPr>
          <w:p w14:paraId="7CF25EFA"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Evidence on the safety and feasibility of laparoscopic surgery for right anterior sectionectomy, central hepatectomy and segment 4b/5 bisegmentectomy is scarce, but favourable outcomes compared to open surgery have been reported.</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79329693"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2B</w:t>
            </w:r>
          </w:p>
        </w:tc>
      </w:tr>
      <w:tr w:rsidR="00023C91" w:rsidRPr="00AD2821" w14:paraId="6EC2D492" w14:textId="77777777" w:rsidTr="00D45F54">
        <w:trPr>
          <w:trHeight w:val="1125"/>
        </w:trPr>
        <w:tc>
          <w:tcPr>
            <w:tcW w:w="198" w:type="pct"/>
            <w:tcBorders>
              <w:top w:val="nil"/>
              <w:left w:val="single" w:sz="4" w:space="0" w:color="auto"/>
              <w:bottom w:val="single" w:sz="4" w:space="0" w:color="auto"/>
              <w:right w:val="single" w:sz="4" w:space="0" w:color="auto"/>
            </w:tcBorders>
            <w:shd w:val="clear" w:color="D9D9D9" w:fill="D9D9D9"/>
            <w:hideMark/>
          </w:tcPr>
          <w:p w14:paraId="165491F0"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904" w:type="pct"/>
            <w:tcBorders>
              <w:top w:val="nil"/>
              <w:left w:val="single" w:sz="4" w:space="0" w:color="auto"/>
              <w:bottom w:val="single" w:sz="4" w:space="0" w:color="auto"/>
              <w:right w:val="single" w:sz="4" w:space="0" w:color="auto"/>
            </w:tcBorders>
            <w:shd w:val="clear" w:color="D9D9D9" w:fill="D9D9D9"/>
            <w:hideMark/>
          </w:tcPr>
          <w:p w14:paraId="456F550A"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5B1E4AF4"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57.5</w:t>
            </w:r>
          </w:p>
        </w:tc>
        <w:tc>
          <w:tcPr>
            <w:tcW w:w="2228" w:type="pct"/>
            <w:tcBorders>
              <w:top w:val="single" w:sz="4" w:space="0" w:color="auto"/>
              <w:left w:val="single" w:sz="4" w:space="0" w:color="auto"/>
              <w:bottom w:val="single" w:sz="4" w:space="0" w:color="auto"/>
              <w:right w:val="single" w:sz="4" w:space="0" w:color="auto"/>
            </w:tcBorders>
            <w:shd w:val="clear" w:color="D9D9D9" w:fill="D9D9D9"/>
            <w:hideMark/>
          </w:tcPr>
          <w:p w14:paraId="342E692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Laparoscopic anatomical minor liver resection for hepatocellular carcinoma in patients with compensated cirrhosis livers is associated with lower postoperative morbidity rates than open liver resection.</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7385CAD2"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2B</w:t>
            </w:r>
          </w:p>
        </w:tc>
      </w:tr>
      <w:tr w:rsidR="00023C91" w:rsidRPr="00AD2821" w14:paraId="451049B8" w14:textId="77777777" w:rsidTr="00D45F54">
        <w:trPr>
          <w:trHeight w:val="1125"/>
        </w:trPr>
        <w:tc>
          <w:tcPr>
            <w:tcW w:w="198" w:type="pct"/>
            <w:tcBorders>
              <w:top w:val="single" w:sz="4" w:space="0" w:color="auto"/>
              <w:left w:val="single" w:sz="4" w:space="0" w:color="auto"/>
              <w:bottom w:val="nil"/>
              <w:right w:val="single" w:sz="4" w:space="0" w:color="auto"/>
            </w:tcBorders>
            <w:shd w:val="clear" w:color="auto" w:fill="auto"/>
            <w:hideMark/>
          </w:tcPr>
          <w:p w14:paraId="4361CFA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74</w:t>
            </w:r>
          </w:p>
        </w:tc>
        <w:tc>
          <w:tcPr>
            <w:tcW w:w="1904" w:type="pct"/>
            <w:tcBorders>
              <w:top w:val="single" w:sz="4" w:space="0" w:color="auto"/>
              <w:left w:val="single" w:sz="4" w:space="0" w:color="auto"/>
              <w:bottom w:val="nil"/>
              <w:right w:val="single" w:sz="4" w:space="0" w:color="auto"/>
            </w:tcBorders>
            <w:shd w:val="clear" w:color="auto" w:fill="auto"/>
            <w:hideMark/>
          </w:tcPr>
          <w:p w14:paraId="1A687285"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Is RLR applicable for anatomic segmentectomies?</w:t>
            </w:r>
          </w:p>
        </w:tc>
        <w:tc>
          <w:tcPr>
            <w:tcW w:w="301" w:type="pct"/>
            <w:tcBorders>
              <w:top w:val="single" w:sz="4" w:space="0" w:color="auto"/>
              <w:left w:val="single" w:sz="4" w:space="0" w:color="auto"/>
              <w:bottom w:val="single" w:sz="4" w:space="0" w:color="auto"/>
              <w:right w:val="single" w:sz="4" w:space="0" w:color="auto"/>
            </w:tcBorders>
            <w:shd w:val="clear" w:color="auto" w:fill="auto"/>
            <w:hideMark/>
          </w:tcPr>
          <w:p w14:paraId="33FE0FE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58.1</w:t>
            </w:r>
          </w:p>
        </w:tc>
        <w:tc>
          <w:tcPr>
            <w:tcW w:w="2228" w:type="pct"/>
            <w:tcBorders>
              <w:top w:val="single" w:sz="4" w:space="0" w:color="auto"/>
              <w:left w:val="single" w:sz="4" w:space="0" w:color="auto"/>
              <w:bottom w:val="single" w:sz="4" w:space="0" w:color="auto"/>
              <w:right w:val="single" w:sz="4" w:space="0" w:color="auto"/>
            </w:tcBorders>
            <w:shd w:val="clear" w:color="auto" w:fill="auto"/>
            <w:hideMark/>
          </w:tcPr>
          <w:p w14:paraId="34B5554E"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To date, there is no specific evidence on robot-assisted surgery for anatomical monosegmentectomy. Future studies should focus on developing evidence in this specific field.</w:t>
            </w:r>
          </w:p>
        </w:tc>
        <w:tc>
          <w:tcPr>
            <w:tcW w:w="369" w:type="pct"/>
            <w:tcBorders>
              <w:top w:val="single" w:sz="4" w:space="0" w:color="auto"/>
              <w:left w:val="single" w:sz="4" w:space="0" w:color="auto"/>
              <w:bottom w:val="single" w:sz="4" w:space="0" w:color="auto"/>
              <w:right w:val="single" w:sz="4" w:space="0" w:color="auto"/>
            </w:tcBorders>
            <w:shd w:val="clear" w:color="auto" w:fill="auto"/>
            <w:noWrap/>
            <w:hideMark/>
          </w:tcPr>
          <w:p w14:paraId="2B966E40"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023C91" w:rsidRPr="00AD2821" w14:paraId="295F6CD1" w14:textId="77777777" w:rsidTr="00D45F54">
        <w:trPr>
          <w:trHeight w:val="750"/>
        </w:trPr>
        <w:tc>
          <w:tcPr>
            <w:tcW w:w="198" w:type="pct"/>
            <w:tcBorders>
              <w:top w:val="nil"/>
              <w:left w:val="single" w:sz="4" w:space="0" w:color="auto"/>
              <w:bottom w:val="single" w:sz="4" w:space="0" w:color="auto"/>
              <w:right w:val="single" w:sz="4" w:space="0" w:color="auto"/>
            </w:tcBorders>
            <w:shd w:val="clear" w:color="D9D9D9" w:fill="D9D9D9"/>
            <w:hideMark/>
          </w:tcPr>
          <w:p w14:paraId="1CE8E1BA"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904" w:type="pct"/>
            <w:tcBorders>
              <w:top w:val="nil"/>
              <w:left w:val="single" w:sz="4" w:space="0" w:color="auto"/>
              <w:bottom w:val="single" w:sz="4" w:space="0" w:color="auto"/>
              <w:right w:val="single" w:sz="4" w:space="0" w:color="auto"/>
            </w:tcBorders>
            <w:shd w:val="clear" w:color="D9D9D9" w:fill="D9D9D9"/>
            <w:hideMark/>
          </w:tcPr>
          <w:p w14:paraId="2D2853CB"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301" w:type="pct"/>
            <w:tcBorders>
              <w:top w:val="single" w:sz="4" w:space="0" w:color="auto"/>
              <w:left w:val="single" w:sz="4" w:space="0" w:color="auto"/>
              <w:bottom w:val="single" w:sz="4" w:space="0" w:color="auto"/>
              <w:right w:val="single" w:sz="4" w:space="0" w:color="auto"/>
            </w:tcBorders>
            <w:shd w:val="clear" w:color="D9D9D9" w:fill="D9D9D9"/>
            <w:hideMark/>
          </w:tcPr>
          <w:p w14:paraId="7F236790"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58.2</w:t>
            </w:r>
          </w:p>
        </w:tc>
        <w:tc>
          <w:tcPr>
            <w:tcW w:w="2228" w:type="pct"/>
            <w:tcBorders>
              <w:top w:val="single" w:sz="4" w:space="0" w:color="auto"/>
              <w:left w:val="single" w:sz="4" w:space="0" w:color="auto"/>
              <w:bottom w:val="single" w:sz="4" w:space="0" w:color="auto"/>
              <w:right w:val="single" w:sz="4" w:space="0" w:color="auto"/>
            </w:tcBorders>
            <w:shd w:val="clear" w:color="D9D9D9" w:fill="D9D9D9"/>
            <w:hideMark/>
          </w:tcPr>
          <w:p w14:paraId="0C48F0D5" w14:textId="77777777" w:rsidR="00023C91" w:rsidRPr="00AD2821" w:rsidRDefault="00023C91" w:rsidP="00D45F54">
            <w:pPr>
              <w:rPr>
                <w:rFonts w:eastAsia="Times New Roman" w:cstheme="minorHAnsi"/>
                <w:color w:val="333333"/>
                <w:lang w:val="en-GB" w:eastAsia="nl-NL"/>
              </w:rPr>
            </w:pPr>
            <w:r w:rsidRPr="00AD2821">
              <w:rPr>
                <w:rFonts w:eastAsia="Times New Roman" w:cstheme="minorHAnsi"/>
                <w:color w:val="333333"/>
                <w:lang w:val="en-GB" w:eastAsia="nl-NL"/>
              </w:rPr>
              <w:t>Evidence for robotic right anterior sectionectomy or 4b/5 bisegmentectomy is limited and further studies are required.</w:t>
            </w:r>
          </w:p>
        </w:tc>
        <w:tc>
          <w:tcPr>
            <w:tcW w:w="369" w:type="pct"/>
            <w:tcBorders>
              <w:top w:val="single" w:sz="4" w:space="0" w:color="auto"/>
              <w:left w:val="single" w:sz="4" w:space="0" w:color="auto"/>
              <w:bottom w:val="single" w:sz="4" w:space="0" w:color="auto"/>
              <w:right w:val="single" w:sz="4" w:space="0" w:color="auto"/>
            </w:tcBorders>
            <w:shd w:val="clear" w:color="D9D9D9" w:fill="D9D9D9"/>
            <w:noWrap/>
            <w:hideMark/>
          </w:tcPr>
          <w:p w14:paraId="654BD60C" w14:textId="77777777" w:rsidR="00023C91" w:rsidRPr="00AD2821" w:rsidRDefault="00023C91"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bl>
    <w:p w14:paraId="45AC815D" w14:textId="4CDE5B54" w:rsidR="00303F17" w:rsidRPr="00AD2821" w:rsidRDefault="00303F17" w:rsidP="00303F17">
      <w:pPr>
        <w:jc w:val="both"/>
        <w:rPr>
          <w:rFonts w:cstheme="minorHAnsi"/>
          <w:sz w:val="22"/>
          <w:szCs w:val="22"/>
          <w:lang w:val="en-US"/>
        </w:rPr>
      </w:pPr>
    </w:p>
    <w:p w14:paraId="3A812F86" w14:textId="77777777" w:rsidR="00303F17" w:rsidRPr="00AD2821" w:rsidRDefault="00303F17" w:rsidP="00303F17">
      <w:pPr>
        <w:jc w:val="both"/>
        <w:rPr>
          <w:rFonts w:cstheme="minorHAnsi"/>
          <w:sz w:val="22"/>
          <w:szCs w:val="22"/>
          <w:lang w:val="en-US"/>
        </w:rPr>
      </w:pPr>
    </w:p>
    <w:p w14:paraId="7599962A" w14:textId="77777777" w:rsidR="00303F17" w:rsidRPr="00AD2821" w:rsidRDefault="00303F17">
      <w:pPr>
        <w:rPr>
          <w:rFonts w:cstheme="minorHAnsi"/>
          <w:sz w:val="22"/>
          <w:szCs w:val="22"/>
          <w:lang w:val="en-US"/>
        </w:rPr>
      </w:pPr>
      <w:r w:rsidRPr="00AD2821">
        <w:rPr>
          <w:rFonts w:cstheme="minorHAnsi"/>
          <w:sz w:val="22"/>
          <w:szCs w:val="22"/>
          <w:lang w:val="en-US"/>
        </w:rPr>
        <w:br w:type="page"/>
      </w:r>
    </w:p>
    <w:p w14:paraId="5041DEEA" w14:textId="77777777" w:rsidR="002665D0" w:rsidRPr="00AD2821" w:rsidRDefault="00303F17" w:rsidP="002665D0">
      <w:pPr>
        <w:keepNext/>
        <w:keepLines/>
        <w:spacing w:before="160" w:after="80"/>
        <w:outlineLvl w:val="1"/>
        <w:rPr>
          <w:rFonts w:eastAsiaTheme="majorEastAsia" w:cstheme="minorHAnsi"/>
          <w:color w:val="000000" w:themeColor="text1"/>
          <w:sz w:val="22"/>
          <w:szCs w:val="22"/>
          <w:lang w:val="en-GB"/>
        </w:rPr>
      </w:pPr>
      <w:r w:rsidRPr="00AD2821">
        <w:rPr>
          <w:rFonts w:cstheme="minorHAnsi"/>
          <w:color w:val="000000" w:themeColor="text1"/>
          <w:sz w:val="22"/>
          <w:szCs w:val="22"/>
          <w:lang w:val="en-US"/>
        </w:rPr>
        <w:lastRenderedPageBreak/>
        <w:t xml:space="preserve">Supplementary Table 5. </w:t>
      </w:r>
      <w:r w:rsidR="002665D0" w:rsidRPr="00AD2821">
        <w:rPr>
          <w:rFonts w:eastAsiaTheme="majorEastAsia" w:cstheme="minorHAnsi"/>
          <w:color w:val="000000" w:themeColor="text1"/>
          <w:sz w:val="22"/>
          <w:szCs w:val="22"/>
          <w:lang w:val="en-GB"/>
        </w:rPr>
        <w:t xml:space="preserve">Domain 5 Clinical Questions and Recommendations </w:t>
      </w:r>
    </w:p>
    <w:p w14:paraId="47A3DF62" w14:textId="77777777" w:rsidR="002665D0" w:rsidRPr="00AD2821" w:rsidRDefault="002665D0" w:rsidP="002665D0">
      <w:pPr>
        <w:keepNext/>
        <w:keepLines/>
        <w:spacing w:before="160" w:after="80"/>
        <w:outlineLvl w:val="1"/>
        <w:rPr>
          <w:rFonts w:eastAsiaTheme="majorEastAsia" w:cstheme="minorHAnsi"/>
          <w:color w:val="000000" w:themeColor="text1"/>
          <w:sz w:val="22"/>
          <w:szCs w:val="22"/>
          <w:lang w:val="en-GB"/>
        </w:rPr>
      </w:pPr>
    </w:p>
    <w:tbl>
      <w:tblPr>
        <w:tblW w:w="5000" w:type="pct"/>
        <w:tblCellMar>
          <w:left w:w="70" w:type="dxa"/>
          <w:right w:w="70" w:type="dxa"/>
        </w:tblCellMar>
        <w:tblLook w:val="04A0" w:firstRow="1" w:lastRow="0" w:firstColumn="1" w:lastColumn="0" w:noHBand="0" w:noVBand="1"/>
      </w:tblPr>
      <w:tblGrid>
        <w:gridCol w:w="443"/>
        <w:gridCol w:w="3331"/>
        <w:gridCol w:w="672"/>
        <w:gridCol w:w="4175"/>
        <w:gridCol w:w="821"/>
      </w:tblGrid>
      <w:tr w:rsidR="002665D0" w:rsidRPr="00AD2821" w14:paraId="19B835B4" w14:textId="77777777" w:rsidTr="00D45F54">
        <w:trPr>
          <w:trHeight w:val="375"/>
        </w:trPr>
        <w:tc>
          <w:tcPr>
            <w:tcW w:w="234" w:type="pct"/>
            <w:tcBorders>
              <w:top w:val="single" w:sz="4" w:space="0" w:color="auto"/>
              <w:left w:val="single" w:sz="4" w:space="0" w:color="auto"/>
              <w:bottom w:val="single" w:sz="4" w:space="0" w:color="auto"/>
              <w:right w:val="single" w:sz="4" w:space="0" w:color="auto"/>
            </w:tcBorders>
            <w:shd w:val="clear" w:color="auto" w:fill="auto"/>
            <w:hideMark/>
          </w:tcPr>
          <w:p w14:paraId="0A118C34" w14:textId="77777777" w:rsidR="002665D0" w:rsidRPr="00AD2821" w:rsidRDefault="002665D0" w:rsidP="00D45F54">
            <w:pPr>
              <w:rPr>
                <w:rFonts w:eastAsia="Times New Roman" w:cstheme="minorHAnsi"/>
                <w:b/>
                <w:bCs/>
                <w:color w:val="000000"/>
                <w:sz w:val="22"/>
                <w:szCs w:val="22"/>
                <w:lang w:val="en-GB" w:eastAsia="nl-NL"/>
              </w:rPr>
            </w:pPr>
            <w:bookmarkStart w:id="3" w:name="RANGE!A1:E34"/>
            <w:r w:rsidRPr="00AD2821">
              <w:rPr>
                <w:rFonts w:eastAsia="Times New Roman" w:cstheme="minorHAnsi"/>
                <w:b/>
                <w:bCs/>
                <w:color w:val="000000"/>
                <w:sz w:val="22"/>
                <w:szCs w:val="22"/>
                <w:lang w:val="en-GB" w:eastAsia="nl-NL"/>
              </w:rPr>
              <w:t>Q</w:t>
            </w:r>
            <w:bookmarkEnd w:id="3"/>
          </w:p>
        </w:tc>
        <w:tc>
          <w:tcPr>
            <w:tcW w:w="1764" w:type="pct"/>
            <w:tcBorders>
              <w:top w:val="single" w:sz="4" w:space="0" w:color="auto"/>
              <w:left w:val="single" w:sz="4" w:space="0" w:color="auto"/>
              <w:bottom w:val="single" w:sz="4" w:space="0" w:color="auto"/>
              <w:right w:val="single" w:sz="4" w:space="0" w:color="auto"/>
            </w:tcBorders>
            <w:shd w:val="clear" w:color="auto" w:fill="auto"/>
            <w:hideMark/>
          </w:tcPr>
          <w:p w14:paraId="5E3C6E85" w14:textId="77777777" w:rsidR="002665D0" w:rsidRPr="00AD2821" w:rsidRDefault="002665D0"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Clinical Question</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4F68D708" w14:textId="77777777" w:rsidR="002665D0" w:rsidRPr="00AD2821" w:rsidRDefault="002665D0"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R</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040E2B45" w14:textId="77777777" w:rsidR="002665D0" w:rsidRPr="00AD2821" w:rsidRDefault="002665D0"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Recommendation</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2E9EB5FB" w14:textId="77777777" w:rsidR="002665D0" w:rsidRPr="00AD2821" w:rsidRDefault="002665D0"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Code</w:t>
            </w:r>
          </w:p>
        </w:tc>
      </w:tr>
      <w:tr w:rsidR="002665D0" w:rsidRPr="00AD2821" w14:paraId="57F01C0B" w14:textId="77777777" w:rsidTr="00D45F54">
        <w:trPr>
          <w:trHeight w:val="750"/>
        </w:trPr>
        <w:tc>
          <w:tcPr>
            <w:tcW w:w="234" w:type="pct"/>
            <w:tcBorders>
              <w:top w:val="single" w:sz="4" w:space="0" w:color="auto"/>
              <w:left w:val="single" w:sz="4" w:space="0" w:color="auto"/>
              <w:bottom w:val="single" w:sz="4" w:space="0" w:color="auto"/>
              <w:right w:val="single" w:sz="4" w:space="0" w:color="auto"/>
            </w:tcBorders>
            <w:shd w:val="clear" w:color="D9D9D9" w:fill="D9D9D9"/>
            <w:hideMark/>
          </w:tcPr>
          <w:p w14:paraId="4AF0F3DC"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59</w:t>
            </w:r>
          </w:p>
        </w:tc>
        <w:tc>
          <w:tcPr>
            <w:tcW w:w="1764" w:type="pct"/>
            <w:tcBorders>
              <w:top w:val="single" w:sz="4" w:space="0" w:color="auto"/>
              <w:left w:val="single" w:sz="4" w:space="0" w:color="auto"/>
              <w:bottom w:val="single" w:sz="4" w:space="0" w:color="auto"/>
              <w:right w:val="single" w:sz="4" w:space="0" w:color="auto"/>
            </w:tcBorders>
            <w:shd w:val="clear" w:color="D9D9D9" w:fill="D9D9D9"/>
            <w:hideMark/>
          </w:tcPr>
          <w:p w14:paraId="18C824FA"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type of energy devices and instruments should be used during the parenchymal dissection phase in Laparoscopic Liver Resection (LLR)?</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513F4D6E"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59</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048A6129"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There are various instruments used for laparoscopic parenchymal dissection.  There is not one instrument or device that appears to outperform others. </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4BBE2076"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04B037D2" w14:textId="77777777" w:rsidTr="00D45F54">
        <w:trPr>
          <w:trHeight w:val="750"/>
        </w:trPr>
        <w:tc>
          <w:tcPr>
            <w:tcW w:w="234" w:type="pct"/>
            <w:tcBorders>
              <w:top w:val="single" w:sz="4" w:space="0" w:color="auto"/>
              <w:left w:val="single" w:sz="4" w:space="0" w:color="auto"/>
              <w:bottom w:val="single" w:sz="4" w:space="0" w:color="auto"/>
              <w:right w:val="single" w:sz="4" w:space="0" w:color="auto"/>
            </w:tcBorders>
            <w:shd w:val="clear" w:color="auto" w:fill="auto"/>
            <w:hideMark/>
          </w:tcPr>
          <w:p w14:paraId="3170AF48"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60</w:t>
            </w:r>
          </w:p>
        </w:tc>
        <w:tc>
          <w:tcPr>
            <w:tcW w:w="1764" w:type="pct"/>
            <w:tcBorders>
              <w:top w:val="single" w:sz="4" w:space="0" w:color="auto"/>
              <w:left w:val="single" w:sz="4" w:space="0" w:color="auto"/>
              <w:bottom w:val="single" w:sz="4" w:space="0" w:color="auto"/>
              <w:right w:val="single" w:sz="4" w:space="0" w:color="auto"/>
            </w:tcBorders>
            <w:shd w:val="clear" w:color="auto" w:fill="auto"/>
            <w:hideMark/>
          </w:tcPr>
          <w:p w14:paraId="4B013C77"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type of energy devices and instruments should be used during the parenchymal dissection phase in Robotic Liver Resection (RLR)?</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09797CDF"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60</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14B8301C"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No agreement exists regarding the most valuable instrument to use for parenchymal transection during RLR. The development of such instruments is highly recommended.</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791A6561"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6BFBE847" w14:textId="77777777" w:rsidTr="00D45F54">
        <w:trPr>
          <w:trHeight w:val="750"/>
        </w:trPr>
        <w:tc>
          <w:tcPr>
            <w:tcW w:w="234" w:type="pct"/>
            <w:tcBorders>
              <w:top w:val="single" w:sz="4" w:space="0" w:color="auto"/>
              <w:left w:val="single" w:sz="4" w:space="0" w:color="auto"/>
              <w:bottom w:val="nil"/>
              <w:right w:val="single" w:sz="4" w:space="0" w:color="auto"/>
            </w:tcBorders>
            <w:shd w:val="clear" w:color="D9D9D9" w:fill="D9D9D9"/>
            <w:hideMark/>
          </w:tcPr>
          <w:p w14:paraId="775A373F"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61</w:t>
            </w:r>
          </w:p>
        </w:tc>
        <w:tc>
          <w:tcPr>
            <w:tcW w:w="1764" w:type="pct"/>
            <w:tcBorders>
              <w:top w:val="single" w:sz="4" w:space="0" w:color="auto"/>
              <w:left w:val="single" w:sz="4" w:space="0" w:color="auto"/>
              <w:bottom w:val="nil"/>
              <w:right w:val="single" w:sz="4" w:space="0" w:color="auto"/>
            </w:tcBorders>
            <w:shd w:val="clear" w:color="D9D9D9" w:fill="D9D9D9"/>
            <w:hideMark/>
          </w:tcPr>
          <w:p w14:paraId="5B06626C"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the available techniques for parenchymal transection in LLR and RLR?</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1EFAB0DD"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61.1</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125FC9C8"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There are various techniques used for laparoscopic parenchymal dissection. There is not one technique that appears superior. Further research, ideally involving prospective or randomized studies, is needed to provide stronger recommendations.</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7FCCB9AC"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77000BCB" w14:textId="77777777" w:rsidTr="00D45F54">
        <w:trPr>
          <w:trHeight w:val="750"/>
        </w:trPr>
        <w:tc>
          <w:tcPr>
            <w:tcW w:w="234" w:type="pct"/>
            <w:tcBorders>
              <w:top w:val="nil"/>
              <w:left w:val="single" w:sz="4" w:space="0" w:color="auto"/>
              <w:bottom w:val="single" w:sz="4" w:space="0" w:color="auto"/>
              <w:right w:val="single" w:sz="4" w:space="0" w:color="auto"/>
            </w:tcBorders>
            <w:shd w:val="clear" w:color="auto" w:fill="auto"/>
            <w:hideMark/>
          </w:tcPr>
          <w:p w14:paraId="3A0AE21B"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764" w:type="pct"/>
            <w:tcBorders>
              <w:top w:val="nil"/>
              <w:left w:val="single" w:sz="4" w:space="0" w:color="auto"/>
              <w:bottom w:val="single" w:sz="4" w:space="0" w:color="auto"/>
              <w:right w:val="single" w:sz="4" w:space="0" w:color="auto"/>
            </w:tcBorders>
            <w:shd w:val="clear" w:color="auto" w:fill="auto"/>
            <w:hideMark/>
          </w:tcPr>
          <w:p w14:paraId="4E90F874"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2A986165"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61.2</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32DD1EB5"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There are various techniques used for robotic parenchymal dissection. There is not one technique that appears superior. Further research, ideally involving prospective or randomized studies, is needed to provide stronger recommendations.</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67EFD660"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07570613" w14:textId="77777777" w:rsidTr="00D45F54">
        <w:trPr>
          <w:trHeight w:val="750"/>
        </w:trPr>
        <w:tc>
          <w:tcPr>
            <w:tcW w:w="234" w:type="pct"/>
            <w:tcBorders>
              <w:top w:val="single" w:sz="4" w:space="0" w:color="auto"/>
              <w:left w:val="single" w:sz="4" w:space="0" w:color="auto"/>
              <w:bottom w:val="single" w:sz="4" w:space="0" w:color="auto"/>
              <w:right w:val="single" w:sz="4" w:space="0" w:color="auto"/>
            </w:tcBorders>
            <w:shd w:val="clear" w:color="D9D9D9" w:fill="D9D9D9"/>
            <w:hideMark/>
          </w:tcPr>
          <w:p w14:paraId="57D172A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62</w:t>
            </w:r>
          </w:p>
        </w:tc>
        <w:tc>
          <w:tcPr>
            <w:tcW w:w="1764" w:type="pct"/>
            <w:tcBorders>
              <w:top w:val="single" w:sz="4" w:space="0" w:color="auto"/>
              <w:left w:val="single" w:sz="4" w:space="0" w:color="auto"/>
              <w:bottom w:val="single" w:sz="4" w:space="0" w:color="auto"/>
              <w:right w:val="single" w:sz="4" w:space="0" w:color="auto"/>
            </w:tcBorders>
            <w:shd w:val="clear" w:color="D9D9D9" w:fill="D9D9D9"/>
            <w:hideMark/>
          </w:tcPr>
          <w:p w14:paraId="1928D0C8"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Is there still a role for the hand-assisted technique and hybrid procedures for LLR?</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4DDE4725"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62</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635C430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Hand-assisted LLR or combined approaches are preferred to open surgeries with large incisions and can reduce conversion rates to open surgery in difficult resections, especially during the learning curve. </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6583AB7F"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7F824B4F" w14:textId="77777777" w:rsidTr="00D45F54">
        <w:trPr>
          <w:trHeight w:val="750"/>
        </w:trPr>
        <w:tc>
          <w:tcPr>
            <w:tcW w:w="234" w:type="pct"/>
            <w:tcBorders>
              <w:top w:val="single" w:sz="4" w:space="0" w:color="auto"/>
              <w:left w:val="single" w:sz="4" w:space="0" w:color="auto"/>
              <w:bottom w:val="nil"/>
              <w:right w:val="single" w:sz="4" w:space="0" w:color="auto"/>
            </w:tcBorders>
            <w:shd w:val="clear" w:color="auto" w:fill="auto"/>
            <w:hideMark/>
          </w:tcPr>
          <w:p w14:paraId="3090BFB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63</w:t>
            </w:r>
          </w:p>
        </w:tc>
        <w:tc>
          <w:tcPr>
            <w:tcW w:w="1764" w:type="pct"/>
            <w:tcBorders>
              <w:top w:val="single" w:sz="4" w:space="0" w:color="auto"/>
              <w:left w:val="single" w:sz="4" w:space="0" w:color="auto"/>
              <w:bottom w:val="nil"/>
              <w:right w:val="single" w:sz="4" w:space="0" w:color="auto"/>
            </w:tcBorders>
            <w:shd w:val="clear" w:color="auto" w:fill="auto"/>
            <w:hideMark/>
          </w:tcPr>
          <w:p w14:paraId="3C1703BB"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is the role of intraoperative ultrasound in LLR?</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59F6DE45"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63.1</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6EB9E5E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Laparoscopic ultrasound should be available and considered in every case of LLR. Surgeons should be experienced in performing, interpreting and determining when intra-operative ultrasound is needed.</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6CB53A16"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1A</w:t>
            </w:r>
          </w:p>
        </w:tc>
      </w:tr>
      <w:tr w:rsidR="002665D0" w:rsidRPr="00AD2821" w14:paraId="7AAACE7A" w14:textId="77777777" w:rsidTr="00D45F54">
        <w:trPr>
          <w:trHeight w:val="750"/>
        </w:trPr>
        <w:tc>
          <w:tcPr>
            <w:tcW w:w="234" w:type="pct"/>
            <w:tcBorders>
              <w:top w:val="nil"/>
              <w:left w:val="single" w:sz="4" w:space="0" w:color="auto"/>
              <w:bottom w:val="single" w:sz="4" w:space="0" w:color="auto"/>
              <w:right w:val="single" w:sz="4" w:space="0" w:color="auto"/>
            </w:tcBorders>
            <w:shd w:val="clear" w:color="D9D9D9" w:fill="D9D9D9"/>
            <w:hideMark/>
          </w:tcPr>
          <w:p w14:paraId="44901680"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764" w:type="pct"/>
            <w:tcBorders>
              <w:top w:val="nil"/>
              <w:left w:val="single" w:sz="4" w:space="0" w:color="auto"/>
              <w:bottom w:val="single" w:sz="4" w:space="0" w:color="auto"/>
              <w:right w:val="single" w:sz="4" w:space="0" w:color="auto"/>
            </w:tcBorders>
            <w:shd w:val="clear" w:color="D9D9D9" w:fill="D9D9D9"/>
            <w:hideMark/>
          </w:tcPr>
          <w:p w14:paraId="66BC0FA1"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57B0793D"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63.2</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28280CA0"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Laparoscopic ultrasound has been documented as a valuable tool for (1) confirming the diagnosis and staging of malignant lesions (2) assessing  liver anatomy and planning resection plane, and (3) guidance during parenchymal transection. </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23792C72"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r>
      <w:tr w:rsidR="002665D0" w:rsidRPr="00AD2821" w14:paraId="788F4504" w14:textId="77777777" w:rsidTr="00D45F54">
        <w:trPr>
          <w:trHeight w:val="750"/>
        </w:trPr>
        <w:tc>
          <w:tcPr>
            <w:tcW w:w="234" w:type="pct"/>
            <w:tcBorders>
              <w:top w:val="single" w:sz="4" w:space="0" w:color="auto"/>
              <w:left w:val="single" w:sz="4" w:space="0" w:color="auto"/>
              <w:bottom w:val="nil"/>
              <w:right w:val="single" w:sz="4" w:space="0" w:color="auto"/>
            </w:tcBorders>
            <w:shd w:val="clear" w:color="auto" w:fill="auto"/>
            <w:hideMark/>
          </w:tcPr>
          <w:p w14:paraId="05C01FF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64</w:t>
            </w:r>
          </w:p>
        </w:tc>
        <w:tc>
          <w:tcPr>
            <w:tcW w:w="1764" w:type="pct"/>
            <w:tcBorders>
              <w:top w:val="single" w:sz="4" w:space="0" w:color="auto"/>
              <w:left w:val="single" w:sz="4" w:space="0" w:color="auto"/>
              <w:bottom w:val="nil"/>
              <w:right w:val="single" w:sz="4" w:space="0" w:color="auto"/>
            </w:tcBorders>
            <w:shd w:val="clear" w:color="auto" w:fill="auto"/>
            <w:hideMark/>
          </w:tcPr>
          <w:p w14:paraId="36966A0C"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is the role of intraoperative ultrasound in RLR?</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436F0DC0"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64.1</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166F4BDB"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Intra-operative ultrasound should be available and considered in every case of RLR. Surgeons should be experienced in knowing the indications, performing and interpreting intra-operative ultrasound.</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46BDC08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71E0F87E" w14:textId="77777777" w:rsidTr="00D45F54">
        <w:trPr>
          <w:trHeight w:val="375"/>
        </w:trPr>
        <w:tc>
          <w:tcPr>
            <w:tcW w:w="234" w:type="pct"/>
            <w:tcBorders>
              <w:top w:val="nil"/>
              <w:left w:val="single" w:sz="4" w:space="0" w:color="auto"/>
              <w:bottom w:val="single" w:sz="4" w:space="0" w:color="auto"/>
              <w:right w:val="single" w:sz="4" w:space="0" w:color="auto"/>
            </w:tcBorders>
            <w:shd w:val="clear" w:color="D9D9D9" w:fill="D9D9D9"/>
            <w:hideMark/>
          </w:tcPr>
          <w:p w14:paraId="2B57AC15"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lastRenderedPageBreak/>
              <w:t> </w:t>
            </w:r>
          </w:p>
        </w:tc>
        <w:tc>
          <w:tcPr>
            <w:tcW w:w="1764" w:type="pct"/>
            <w:tcBorders>
              <w:top w:val="nil"/>
              <w:left w:val="single" w:sz="4" w:space="0" w:color="auto"/>
              <w:bottom w:val="single" w:sz="4" w:space="0" w:color="auto"/>
              <w:right w:val="single" w:sz="4" w:space="0" w:color="auto"/>
            </w:tcBorders>
            <w:shd w:val="clear" w:color="D9D9D9" w:fill="D9D9D9"/>
            <w:hideMark/>
          </w:tcPr>
          <w:p w14:paraId="5D715E65"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613F2E71"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64.2</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4FE59884"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Both integrated robotic ultrasound and laparoscopic ultrasonography in RLR can be used.</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3618D645"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23109F6A" w14:textId="77777777" w:rsidTr="00D45F54">
        <w:trPr>
          <w:trHeight w:val="750"/>
        </w:trPr>
        <w:tc>
          <w:tcPr>
            <w:tcW w:w="234" w:type="pct"/>
            <w:tcBorders>
              <w:top w:val="single" w:sz="4" w:space="0" w:color="auto"/>
              <w:left w:val="single" w:sz="4" w:space="0" w:color="auto"/>
              <w:bottom w:val="single" w:sz="4" w:space="0" w:color="auto"/>
              <w:right w:val="single" w:sz="4" w:space="0" w:color="auto"/>
            </w:tcBorders>
            <w:shd w:val="clear" w:color="auto" w:fill="auto"/>
            <w:hideMark/>
          </w:tcPr>
          <w:p w14:paraId="5EA9FB66"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65</w:t>
            </w:r>
          </w:p>
        </w:tc>
        <w:tc>
          <w:tcPr>
            <w:tcW w:w="1764" w:type="pct"/>
            <w:tcBorders>
              <w:top w:val="single" w:sz="4" w:space="0" w:color="auto"/>
              <w:left w:val="single" w:sz="4" w:space="0" w:color="auto"/>
              <w:bottom w:val="single" w:sz="4" w:space="0" w:color="auto"/>
              <w:right w:val="single" w:sz="4" w:space="0" w:color="auto"/>
            </w:tcBorders>
            <w:shd w:val="clear" w:color="auto" w:fill="auto"/>
            <w:hideMark/>
          </w:tcPr>
          <w:p w14:paraId="3A1E5B2F"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the available safe techniques for inflow control during major anatomical resections in LLR?</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399CFFD4"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65</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570F351E"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Either the extrahepatic (hilar) or the Glissonean approaches are feasible and efficient laparoscopically; the choice between these two techniques is a matter of the surgeon’s preference.</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7D759636"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r>
      <w:tr w:rsidR="002665D0" w:rsidRPr="00AD2821" w14:paraId="130CA06F" w14:textId="77777777" w:rsidTr="00D45F54">
        <w:trPr>
          <w:trHeight w:val="750"/>
        </w:trPr>
        <w:tc>
          <w:tcPr>
            <w:tcW w:w="234" w:type="pct"/>
            <w:tcBorders>
              <w:top w:val="single" w:sz="4" w:space="0" w:color="auto"/>
              <w:left w:val="single" w:sz="4" w:space="0" w:color="auto"/>
              <w:bottom w:val="single" w:sz="4" w:space="0" w:color="auto"/>
              <w:right w:val="single" w:sz="4" w:space="0" w:color="auto"/>
            </w:tcBorders>
            <w:shd w:val="clear" w:color="D9D9D9" w:fill="D9D9D9"/>
            <w:hideMark/>
          </w:tcPr>
          <w:p w14:paraId="4FC05A7B"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66</w:t>
            </w:r>
          </w:p>
        </w:tc>
        <w:tc>
          <w:tcPr>
            <w:tcW w:w="1764" w:type="pct"/>
            <w:tcBorders>
              <w:top w:val="single" w:sz="4" w:space="0" w:color="auto"/>
              <w:left w:val="single" w:sz="4" w:space="0" w:color="auto"/>
              <w:bottom w:val="single" w:sz="4" w:space="0" w:color="auto"/>
              <w:right w:val="single" w:sz="4" w:space="0" w:color="auto"/>
            </w:tcBorders>
            <w:shd w:val="clear" w:color="D9D9D9" w:fill="D9D9D9"/>
            <w:hideMark/>
          </w:tcPr>
          <w:p w14:paraId="215C0AA2"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the available safe techniques for inflow control during major anatomical resections in RLR?</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6310BC8B"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66</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141E1C95"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Robotic extrahepatic (hilar) or Glissonean approaches are feasible and efficient; the decision of which technique is used for robotic right hemihepatectomy should be made based on the personal preferences and experience of the surgeon. </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623B2BCF"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r>
      <w:tr w:rsidR="002665D0" w:rsidRPr="00AD2821" w14:paraId="3E206802" w14:textId="77777777" w:rsidTr="00D45F54">
        <w:trPr>
          <w:trHeight w:val="750"/>
        </w:trPr>
        <w:tc>
          <w:tcPr>
            <w:tcW w:w="234" w:type="pct"/>
            <w:tcBorders>
              <w:top w:val="single" w:sz="4" w:space="0" w:color="auto"/>
              <w:left w:val="single" w:sz="4" w:space="0" w:color="auto"/>
              <w:bottom w:val="nil"/>
              <w:right w:val="single" w:sz="4" w:space="0" w:color="auto"/>
            </w:tcBorders>
            <w:shd w:val="clear" w:color="auto" w:fill="auto"/>
            <w:hideMark/>
          </w:tcPr>
          <w:p w14:paraId="66737BF1"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67</w:t>
            </w:r>
          </w:p>
        </w:tc>
        <w:tc>
          <w:tcPr>
            <w:tcW w:w="1764" w:type="pct"/>
            <w:tcBorders>
              <w:top w:val="single" w:sz="4" w:space="0" w:color="auto"/>
              <w:left w:val="single" w:sz="4" w:space="0" w:color="auto"/>
              <w:bottom w:val="nil"/>
              <w:right w:val="single" w:sz="4" w:space="0" w:color="auto"/>
            </w:tcBorders>
            <w:shd w:val="clear" w:color="auto" w:fill="auto"/>
            <w:hideMark/>
          </w:tcPr>
          <w:p w14:paraId="7766C089"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the available safe techniques during right hemihepatectomy in LLR?</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3BF54EDE"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67.1</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4CDF614E"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Several surgical techniques are available in laparoscopic right hemihepatectomy, including different approaches (cranio-caudal/ventral-dorsal)and the additional use of the hanging manoeuvre. </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30A4D231"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r>
      <w:tr w:rsidR="002665D0" w:rsidRPr="00AD2821" w14:paraId="19B80300" w14:textId="77777777" w:rsidTr="00D45F54">
        <w:trPr>
          <w:trHeight w:val="750"/>
        </w:trPr>
        <w:tc>
          <w:tcPr>
            <w:tcW w:w="234" w:type="pct"/>
            <w:tcBorders>
              <w:top w:val="nil"/>
              <w:left w:val="single" w:sz="4" w:space="0" w:color="auto"/>
              <w:bottom w:val="single" w:sz="4" w:space="0" w:color="auto"/>
              <w:right w:val="single" w:sz="4" w:space="0" w:color="auto"/>
            </w:tcBorders>
            <w:shd w:val="clear" w:color="D9D9D9" w:fill="D9D9D9"/>
            <w:hideMark/>
          </w:tcPr>
          <w:p w14:paraId="7C42F621"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764" w:type="pct"/>
            <w:tcBorders>
              <w:top w:val="nil"/>
              <w:left w:val="single" w:sz="4" w:space="0" w:color="auto"/>
              <w:bottom w:val="single" w:sz="4" w:space="0" w:color="auto"/>
              <w:right w:val="single" w:sz="4" w:space="0" w:color="auto"/>
            </w:tcBorders>
            <w:shd w:val="clear" w:color="D9D9D9" w:fill="D9D9D9"/>
            <w:hideMark/>
          </w:tcPr>
          <w:p w14:paraId="2FE95549"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2579B0C1"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67.2</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487EB0C8"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 decision of which technique to use for laparoscopic right hemihepatectomy should be made based on the surgeon’s preferences and experience since none of these techniques have shown better outcomes.</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3F50CC3C"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r>
      <w:tr w:rsidR="002665D0" w:rsidRPr="00AD2821" w14:paraId="2C0B22E7" w14:textId="77777777" w:rsidTr="00D45F54">
        <w:trPr>
          <w:trHeight w:val="375"/>
        </w:trPr>
        <w:tc>
          <w:tcPr>
            <w:tcW w:w="234" w:type="pct"/>
            <w:tcBorders>
              <w:top w:val="single" w:sz="4" w:space="0" w:color="auto"/>
              <w:left w:val="single" w:sz="4" w:space="0" w:color="auto"/>
              <w:bottom w:val="nil"/>
              <w:right w:val="single" w:sz="4" w:space="0" w:color="auto"/>
            </w:tcBorders>
            <w:shd w:val="clear" w:color="auto" w:fill="auto"/>
            <w:hideMark/>
          </w:tcPr>
          <w:p w14:paraId="4357CB60"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68</w:t>
            </w:r>
          </w:p>
        </w:tc>
        <w:tc>
          <w:tcPr>
            <w:tcW w:w="1764" w:type="pct"/>
            <w:tcBorders>
              <w:top w:val="single" w:sz="4" w:space="0" w:color="auto"/>
              <w:left w:val="single" w:sz="4" w:space="0" w:color="auto"/>
              <w:bottom w:val="nil"/>
              <w:right w:val="single" w:sz="4" w:space="0" w:color="auto"/>
            </w:tcBorders>
            <w:shd w:val="clear" w:color="auto" w:fill="auto"/>
            <w:hideMark/>
          </w:tcPr>
          <w:p w14:paraId="1A21FA71"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the available safe techniques during right hemihepatectomy in RLR?</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24918F5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68.1</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7F35426A"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Several surgical techniques are available in robotic right hemihepatectomy, including different approaches (cranio-caudal/ventral-dorsal).  </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3941CAB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7CD614F1" w14:textId="77777777" w:rsidTr="00D45F54">
        <w:trPr>
          <w:trHeight w:val="750"/>
        </w:trPr>
        <w:tc>
          <w:tcPr>
            <w:tcW w:w="234" w:type="pct"/>
            <w:tcBorders>
              <w:top w:val="nil"/>
              <w:left w:val="single" w:sz="4" w:space="0" w:color="auto"/>
              <w:bottom w:val="single" w:sz="4" w:space="0" w:color="auto"/>
              <w:right w:val="single" w:sz="4" w:space="0" w:color="auto"/>
            </w:tcBorders>
            <w:shd w:val="clear" w:color="D9D9D9" w:fill="D9D9D9"/>
            <w:hideMark/>
          </w:tcPr>
          <w:p w14:paraId="4246CFE2"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764" w:type="pct"/>
            <w:tcBorders>
              <w:top w:val="nil"/>
              <w:left w:val="single" w:sz="4" w:space="0" w:color="auto"/>
              <w:bottom w:val="single" w:sz="4" w:space="0" w:color="auto"/>
              <w:right w:val="single" w:sz="4" w:space="0" w:color="auto"/>
            </w:tcBorders>
            <w:shd w:val="clear" w:color="D9D9D9" w:fill="D9D9D9"/>
            <w:hideMark/>
          </w:tcPr>
          <w:p w14:paraId="31A1F462"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2D2920EE"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68.2</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1DE10F5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The decision of which technique is used for robotic right hemihepatectomy should be made based on the personal preferences and experience of the surgeon. </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5E1593DB"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7B6D3974" w14:textId="77777777" w:rsidTr="00D45F54">
        <w:trPr>
          <w:trHeight w:val="750"/>
        </w:trPr>
        <w:tc>
          <w:tcPr>
            <w:tcW w:w="234" w:type="pct"/>
            <w:tcBorders>
              <w:top w:val="single" w:sz="4" w:space="0" w:color="auto"/>
              <w:left w:val="single" w:sz="4" w:space="0" w:color="auto"/>
              <w:bottom w:val="nil"/>
              <w:right w:val="single" w:sz="4" w:space="0" w:color="auto"/>
            </w:tcBorders>
            <w:shd w:val="clear" w:color="auto" w:fill="auto"/>
            <w:hideMark/>
          </w:tcPr>
          <w:p w14:paraId="3BEE6054"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69</w:t>
            </w:r>
          </w:p>
        </w:tc>
        <w:tc>
          <w:tcPr>
            <w:tcW w:w="1764" w:type="pct"/>
            <w:tcBorders>
              <w:top w:val="single" w:sz="4" w:space="0" w:color="auto"/>
              <w:left w:val="single" w:sz="4" w:space="0" w:color="auto"/>
              <w:bottom w:val="nil"/>
              <w:right w:val="single" w:sz="4" w:space="0" w:color="auto"/>
            </w:tcBorders>
            <w:shd w:val="clear" w:color="auto" w:fill="auto"/>
            <w:hideMark/>
          </w:tcPr>
          <w:p w14:paraId="42F25D3E"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the available safe techniques during resection of the posterosuperior segments (segment 1, 4a, 7, 8) in LLR?</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66EFEE7C"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69.1</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1D9CF885"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There are several techniques available during the resection of the posterosuperior segments in LLR, but the choice of any surgical technique should be made based on patient and tumour characteristics, as well as the surgeon’s preference and experience. </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29F6C841"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r>
      <w:tr w:rsidR="002665D0" w:rsidRPr="00AD2821" w14:paraId="7B161CF4" w14:textId="77777777" w:rsidTr="00D45F54">
        <w:trPr>
          <w:trHeight w:val="750"/>
        </w:trPr>
        <w:tc>
          <w:tcPr>
            <w:tcW w:w="234" w:type="pct"/>
            <w:tcBorders>
              <w:top w:val="nil"/>
              <w:left w:val="single" w:sz="4" w:space="0" w:color="auto"/>
              <w:bottom w:val="single" w:sz="4" w:space="0" w:color="auto"/>
              <w:right w:val="single" w:sz="4" w:space="0" w:color="auto"/>
            </w:tcBorders>
            <w:shd w:val="clear" w:color="D9D9D9" w:fill="D9D9D9"/>
            <w:hideMark/>
          </w:tcPr>
          <w:p w14:paraId="28422129"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764" w:type="pct"/>
            <w:tcBorders>
              <w:top w:val="nil"/>
              <w:left w:val="single" w:sz="4" w:space="0" w:color="auto"/>
              <w:bottom w:val="single" w:sz="4" w:space="0" w:color="auto"/>
              <w:right w:val="single" w:sz="4" w:space="0" w:color="auto"/>
            </w:tcBorders>
            <w:shd w:val="clear" w:color="D9D9D9" w:fill="D9D9D9"/>
            <w:hideMark/>
          </w:tcPr>
          <w:p w14:paraId="0BFEEBDA"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4DAAC86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69.2</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2BD64EAA"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Patient positioning, right liver complete mobilization, and port placement play a key role during resection of the posterosuperior segments in LLR. </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57949B49"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r>
      <w:tr w:rsidR="002665D0" w:rsidRPr="00AD2821" w14:paraId="4387F862" w14:textId="77777777" w:rsidTr="00D45F54">
        <w:trPr>
          <w:trHeight w:val="750"/>
        </w:trPr>
        <w:tc>
          <w:tcPr>
            <w:tcW w:w="234" w:type="pct"/>
            <w:tcBorders>
              <w:top w:val="single" w:sz="4" w:space="0" w:color="auto"/>
              <w:left w:val="single" w:sz="4" w:space="0" w:color="auto"/>
              <w:bottom w:val="single" w:sz="4" w:space="0" w:color="auto"/>
              <w:right w:val="single" w:sz="4" w:space="0" w:color="auto"/>
            </w:tcBorders>
            <w:shd w:val="clear" w:color="auto" w:fill="auto"/>
            <w:hideMark/>
          </w:tcPr>
          <w:p w14:paraId="1A61A9E4"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70</w:t>
            </w:r>
          </w:p>
        </w:tc>
        <w:tc>
          <w:tcPr>
            <w:tcW w:w="1764" w:type="pct"/>
            <w:tcBorders>
              <w:top w:val="single" w:sz="4" w:space="0" w:color="auto"/>
              <w:left w:val="single" w:sz="4" w:space="0" w:color="auto"/>
              <w:bottom w:val="single" w:sz="4" w:space="0" w:color="auto"/>
              <w:right w:val="single" w:sz="4" w:space="0" w:color="auto"/>
            </w:tcBorders>
            <w:shd w:val="clear" w:color="auto" w:fill="auto"/>
            <w:hideMark/>
          </w:tcPr>
          <w:p w14:paraId="2FBF3D0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the available safe techniques during resection of the posterosuperior segments (segment 1, 4a, 7, 8) in RLR?</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569463DF"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70</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15C83C4E"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 choice of surgical technique should be made based on patient and tumour characteristics, as well as based on the preference and experience of the surgeon.</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3DBE2B17"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5A6FBB50" w14:textId="77777777" w:rsidTr="00D45F54">
        <w:trPr>
          <w:trHeight w:val="750"/>
        </w:trPr>
        <w:tc>
          <w:tcPr>
            <w:tcW w:w="234" w:type="pct"/>
            <w:tcBorders>
              <w:top w:val="single" w:sz="4" w:space="0" w:color="auto"/>
              <w:left w:val="single" w:sz="4" w:space="0" w:color="auto"/>
              <w:bottom w:val="single" w:sz="4" w:space="0" w:color="auto"/>
              <w:right w:val="single" w:sz="4" w:space="0" w:color="auto"/>
            </w:tcBorders>
            <w:shd w:val="clear" w:color="D9D9D9" w:fill="D9D9D9"/>
            <w:hideMark/>
          </w:tcPr>
          <w:p w14:paraId="5250981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71</w:t>
            </w:r>
          </w:p>
        </w:tc>
        <w:tc>
          <w:tcPr>
            <w:tcW w:w="1764" w:type="pct"/>
            <w:tcBorders>
              <w:top w:val="single" w:sz="4" w:space="0" w:color="auto"/>
              <w:left w:val="single" w:sz="4" w:space="0" w:color="auto"/>
              <w:bottom w:val="single" w:sz="4" w:space="0" w:color="auto"/>
              <w:right w:val="single" w:sz="4" w:space="0" w:color="auto"/>
            </w:tcBorders>
            <w:shd w:val="clear" w:color="D9D9D9" w:fill="D9D9D9"/>
            <w:hideMark/>
          </w:tcPr>
          <w:p w14:paraId="78E6EDE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What are special techniques, tips and tricks to be adopted when performing a liver resection after future liver remnant modulation in LLR and RLR? </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4E41074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71</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2FC08176"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There are no standardized techniques during LLR and RLR after FLR modulation. Injection of ICG for the identification of the proper transection plane could be used.</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073369D5"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2C</w:t>
            </w:r>
          </w:p>
        </w:tc>
      </w:tr>
      <w:tr w:rsidR="002665D0" w:rsidRPr="00AD2821" w14:paraId="45688706" w14:textId="77777777" w:rsidTr="00D45F54">
        <w:trPr>
          <w:trHeight w:val="1125"/>
        </w:trPr>
        <w:tc>
          <w:tcPr>
            <w:tcW w:w="234" w:type="pct"/>
            <w:tcBorders>
              <w:top w:val="single" w:sz="4" w:space="0" w:color="auto"/>
              <w:left w:val="single" w:sz="4" w:space="0" w:color="auto"/>
              <w:bottom w:val="nil"/>
              <w:right w:val="single" w:sz="4" w:space="0" w:color="auto"/>
            </w:tcBorders>
            <w:shd w:val="clear" w:color="auto" w:fill="auto"/>
            <w:hideMark/>
          </w:tcPr>
          <w:p w14:paraId="0B71C8F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lastRenderedPageBreak/>
              <w:t>72</w:t>
            </w:r>
          </w:p>
        </w:tc>
        <w:tc>
          <w:tcPr>
            <w:tcW w:w="1764" w:type="pct"/>
            <w:tcBorders>
              <w:top w:val="single" w:sz="4" w:space="0" w:color="auto"/>
              <w:left w:val="single" w:sz="4" w:space="0" w:color="auto"/>
              <w:bottom w:val="nil"/>
              <w:right w:val="single" w:sz="4" w:space="0" w:color="auto"/>
            </w:tcBorders>
            <w:shd w:val="clear" w:color="auto" w:fill="auto"/>
            <w:hideMark/>
          </w:tcPr>
          <w:p w14:paraId="2737DB4A"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special techniques, tips and tricks to be adopted when resecting lesions adherent to major vascular structures at critical distance (&lt;1cm) from the hepatic hilum or IVC in LLR?</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24E46FC4"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72.1</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6AA0696C"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 use of energy device in proximity to major vessels, in particular close to the Glissonean pedicles should be used cautiously. Ultrasonic Surgical Aspiration System, crush-clamping technique and  bipolar techniques are considered to be associated with lower risks.</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26F94F6B"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005868E6" w14:textId="77777777" w:rsidTr="00D45F54">
        <w:trPr>
          <w:trHeight w:val="750"/>
        </w:trPr>
        <w:tc>
          <w:tcPr>
            <w:tcW w:w="234" w:type="pct"/>
            <w:tcBorders>
              <w:top w:val="nil"/>
              <w:left w:val="single" w:sz="4" w:space="0" w:color="auto"/>
              <w:bottom w:val="single" w:sz="4" w:space="0" w:color="auto"/>
              <w:right w:val="single" w:sz="4" w:space="0" w:color="auto"/>
            </w:tcBorders>
            <w:shd w:val="clear" w:color="D9D9D9" w:fill="D9D9D9"/>
            <w:hideMark/>
          </w:tcPr>
          <w:p w14:paraId="5610D22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764" w:type="pct"/>
            <w:tcBorders>
              <w:top w:val="nil"/>
              <w:left w:val="single" w:sz="4" w:space="0" w:color="auto"/>
              <w:bottom w:val="single" w:sz="4" w:space="0" w:color="auto"/>
              <w:right w:val="single" w:sz="4" w:space="0" w:color="auto"/>
            </w:tcBorders>
            <w:shd w:val="clear" w:color="D9D9D9" w:fill="D9D9D9"/>
            <w:hideMark/>
          </w:tcPr>
          <w:p w14:paraId="5E5A643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4CC2F06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72.2</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6D8DDDF5"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The use of Pringle manoeuvre as well as the identification and isolation of Glissonean pedicles can be advantageous to minimize bleeding when resecting lesions close to the hepatic hilum. </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7688FCD5"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77C8115B" w14:textId="77777777" w:rsidTr="00D45F54">
        <w:trPr>
          <w:trHeight w:val="375"/>
        </w:trPr>
        <w:tc>
          <w:tcPr>
            <w:tcW w:w="234" w:type="pct"/>
            <w:tcBorders>
              <w:top w:val="single" w:sz="4" w:space="0" w:color="auto"/>
              <w:left w:val="single" w:sz="4" w:space="0" w:color="auto"/>
              <w:bottom w:val="nil"/>
              <w:right w:val="single" w:sz="4" w:space="0" w:color="auto"/>
            </w:tcBorders>
            <w:shd w:val="clear" w:color="auto" w:fill="auto"/>
            <w:hideMark/>
          </w:tcPr>
          <w:p w14:paraId="5ABCFA39"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73</w:t>
            </w:r>
          </w:p>
        </w:tc>
        <w:tc>
          <w:tcPr>
            <w:tcW w:w="1764" w:type="pct"/>
            <w:tcBorders>
              <w:top w:val="single" w:sz="4" w:space="0" w:color="auto"/>
              <w:left w:val="single" w:sz="4" w:space="0" w:color="auto"/>
              <w:bottom w:val="nil"/>
              <w:right w:val="single" w:sz="4" w:space="0" w:color="auto"/>
            </w:tcBorders>
            <w:shd w:val="clear" w:color="auto" w:fill="auto"/>
            <w:hideMark/>
          </w:tcPr>
          <w:p w14:paraId="1ED83F2B"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When and How Should Conversions to Open Surgery Be Considered in LLR and RLR? </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68FC0A0B"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73.1</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281A3565"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Consideration for early pre-emptive conversion to open surgery should be planned when intraoperative difficulties are expected. </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107F1EA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3DC3BC9D" w14:textId="77777777" w:rsidTr="00D45F54">
        <w:trPr>
          <w:trHeight w:val="750"/>
        </w:trPr>
        <w:tc>
          <w:tcPr>
            <w:tcW w:w="234" w:type="pct"/>
            <w:tcBorders>
              <w:top w:val="nil"/>
              <w:left w:val="single" w:sz="4" w:space="0" w:color="auto"/>
              <w:bottom w:val="nil"/>
              <w:right w:val="single" w:sz="4" w:space="0" w:color="auto"/>
            </w:tcBorders>
            <w:shd w:val="clear" w:color="D9D9D9" w:fill="D9D9D9"/>
            <w:hideMark/>
          </w:tcPr>
          <w:p w14:paraId="514ED9B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764" w:type="pct"/>
            <w:tcBorders>
              <w:top w:val="nil"/>
              <w:left w:val="single" w:sz="4" w:space="0" w:color="auto"/>
              <w:bottom w:val="nil"/>
              <w:right w:val="single" w:sz="4" w:space="0" w:color="auto"/>
            </w:tcBorders>
            <w:shd w:val="clear" w:color="D9D9D9" w:fill="D9D9D9"/>
            <w:hideMark/>
          </w:tcPr>
          <w:p w14:paraId="59029BCA"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541F869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73.2</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587A8859"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In scenarios of uncontrolled bleeding, conversion is mandated. Specific institutional protocols for conversion should be developed when performing LLR/RLR.</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6FCD9B17"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518CD7FF" w14:textId="77777777" w:rsidTr="00D45F54">
        <w:trPr>
          <w:trHeight w:val="750"/>
        </w:trPr>
        <w:tc>
          <w:tcPr>
            <w:tcW w:w="234" w:type="pct"/>
            <w:tcBorders>
              <w:top w:val="nil"/>
              <w:left w:val="single" w:sz="4" w:space="0" w:color="auto"/>
              <w:bottom w:val="nil"/>
              <w:right w:val="single" w:sz="4" w:space="0" w:color="auto"/>
            </w:tcBorders>
            <w:shd w:val="clear" w:color="auto" w:fill="auto"/>
            <w:hideMark/>
          </w:tcPr>
          <w:p w14:paraId="1927A53C"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764" w:type="pct"/>
            <w:tcBorders>
              <w:top w:val="nil"/>
              <w:left w:val="single" w:sz="4" w:space="0" w:color="auto"/>
              <w:bottom w:val="nil"/>
              <w:right w:val="single" w:sz="4" w:space="0" w:color="auto"/>
            </w:tcBorders>
            <w:shd w:val="clear" w:color="auto" w:fill="auto"/>
            <w:hideMark/>
          </w:tcPr>
          <w:p w14:paraId="20FAAC3E"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4BAE77E7"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73.3</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7F3AA74A"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Prompt decision-making for conversion, especially in situations of significant vascular injury, is crucial to reduce complications and enhance patient outcomes. </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0830C1F0"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2C</w:t>
            </w:r>
          </w:p>
        </w:tc>
      </w:tr>
      <w:tr w:rsidR="002665D0" w:rsidRPr="00AD2821" w14:paraId="64571D4C" w14:textId="77777777" w:rsidTr="00D45F54">
        <w:trPr>
          <w:trHeight w:val="750"/>
        </w:trPr>
        <w:tc>
          <w:tcPr>
            <w:tcW w:w="234" w:type="pct"/>
            <w:tcBorders>
              <w:top w:val="nil"/>
              <w:left w:val="single" w:sz="4" w:space="0" w:color="auto"/>
              <w:bottom w:val="nil"/>
              <w:right w:val="single" w:sz="4" w:space="0" w:color="auto"/>
            </w:tcBorders>
            <w:shd w:val="clear" w:color="D9D9D9" w:fill="D9D9D9"/>
            <w:hideMark/>
          </w:tcPr>
          <w:p w14:paraId="23473A3D"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764" w:type="pct"/>
            <w:tcBorders>
              <w:top w:val="nil"/>
              <w:left w:val="single" w:sz="4" w:space="0" w:color="auto"/>
              <w:bottom w:val="nil"/>
              <w:right w:val="single" w:sz="4" w:space="0" w:color="auto"/>
            </w:tcBorders>
            <w:shd w:val="clear" w:color="D9D9D9" w:fill="D9D9D9"/>
            <w:hideMark/>
          </w:tcPr>
          <w:p w14:paraId="7E91FF8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42043E20"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73.4</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37D01D14"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Before conversion it is important to try to gain temporary control of any active bleeding to avoid uncontrolled massive bleeding and gas embolism.</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45F85EBC"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6FA17948" w14:textId="77777777" w:rsidTr="00D45F54">
        <w:trPr>
          <w:trHeight w:val="750"/>
        </w:trPr>
        <w:tc>
          <w:tcPr>
            <w:tcW w:w="234" w:type="pct"/>
            <w:tcBorders>
              <w:top w:val="nil"/>
              <w:left w:val="single" w:sz="4" w:space="0" w:color="auto"/>
              <w:bottom w:val="single" w:sz="4" w:space="0" w:color="auto"/>
              <w:right w:val="single" w:sz="4" w:space="0" w:color="auto"/>
            </w:tcBorders>
            <w:shd w:val="clear" w:color="auto" w:fill="auto"/>
            <w:hideMark/>
          </w:tcPr>
          <w:p w14:paraId="7D0BE5FD"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764" w:type="pct"/>
            <w:tcBorders>
              <w:top w:val="nil"/>
              <w:left w:val="single" w:sz="4" w:space="0" w:color="auto"/>
              <w:bottom w:val="single" w:sz="4" w:space="0" w:color="auto"/>
              <w:right w:val="single" w:sz="4" w:space="0" w:color="auto"/>
            </w:tcBorders>
            <w:shd w:val="clear" w:color="auto" w:fill="auto"/>
            <w:hideMark/>
          </w:tcPr>
          <w:p w14:paraId="4C832501"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5E2F6836"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73.5</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5BBDB915"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The decision-making process should be guided by individual patient factors, the extent of hepatic disease, tumour characteristics (in cancer surgery), and the surgeon’s experience, ensuring a tailored approach to each case.  </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18722FD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66575941" w14:textId="77777777" w:rsidTr="00D45F54">
        <w:trPr>
          <w:trHeight w:val="375"/>
        </w:trPr>
        <w:tc>
          <w:tcPr>
            <w:tcW w:w="234" w:type="pct"/>
            <w:tcBorders>
              <w:top w:val="single" w:sz="4" w:space="0" w:color="auto"/>
              <w:left w:val="single" w:sz="4" w:space="0" w:color="auto"/>
              <w:bottom w:val="single" w:sz="4" w:space="0" w:color="auto"/>
              <w:right w:val="single" w:sz="4" w:space="0" w:color="auto"/>
            </w:tcBorders>
            <w:shd w:val="clear" w:color="D9D9D9" w:fill="D9D9D9"/>
            <w:hideMark/>
          </w:tcPr>
          <w:p w14:paraId="20B6B1E0"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74</w:t>
            </w:r>
          </w:p>
        </w:tc>
        <w:tc>
          <w:tcPr>
            <w:tcW w:w="1764" w:type="pct"/>
            <w:tcBorders>
              <w:top w:val="single" w:sz="4" w:space="0" w:color="auto"/>
              <w:left w:val="single" w:sz="4" w:space="0" w:color="auto"/>
              <w:bottom w:val="single" w:sz="4" w:space="0" w:color="auto"/>
              <w:right w:val="single" w:sz="4" w:space="0" w:color="auto"/>
            </w:tcBorders>
            <w:shd w:val="clear" w:color="D9D9D9" w:fill="D9D9D9"/>
            <w:hideMark/>
          </w:tcPr>
          <w:p w14:paraId="1BD2957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is the role of haemostatic products in minimally invasive liver surgery (MILS)?</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78BC23A8"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74</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64B0DDCA"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In MILS the application of haemostatic products to the liver resection surface can be considered.</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70396EA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3A936878" w14:textId="77777777" w:rsidTr="00D45F54">
        <w:trPr>
          <w:trHeight w:val="750"/>
        </w:trPr>
        <w:tc>
          <w:tcPr>
            <w:tcW w:w="234" w:type="pct"/>
            <w:tcBorders>
              <w:top w:val="single" w:sz="4" w:space="0" w:color="auto"/>
              <w:left w:val="single" w:sz="4" w:space="0" w:color="auto"/>
              <w:bottom w:val="nil"/>
              <w:right w:val="single" w:sz="4" w:space="0" w:color="auto"/>
            </w:tcBorders>
            <w:shd w:val="clear" w:color="auto" w:fill="auto"/>
            <w:hideMark/>
          </w:tcPr>
          <w:p w14:paraId="4008093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75</w:t>
            </w:r>
          </w:p>
        </w:tc>
        <w:tc>
          <w:tcPr>
            <w:tcW w:w="1764" w:type="pct"/>
            <w:tcBorders>
              <w:top w:val="single" w:sz="4" w:space="0" w:color="auto"/>
              <w:left w:val="single" w:sz="4" w:space="0" w:color="auto"/>
              <w:bottom w:val="nil"/>
              <w:right w:val="single" w:sz="4" w:space="0" w:color="auto"/>
            </w:tcBorders>
            <w:shd w:val="clear" w:color="auto" w:fill="auto"/>
            <w:hideMark/>
          </w:tcPr>
          <w:p w14:paraId="0F56BE28"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the optimal techniques for control of haemorrhage during LLR?</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0DC9ADF8"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75.1</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0D23C7BB"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 use of Total or selective Hepatic Inflow Occlusion (TIO), Controlled Low Central Venous Pressure (CVP), stroke volume variation (SVV), and Mechanical Ventilation with Low Tidal Volume, are strongly recommended.</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30B21319"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r>
      <w:tr w:rsidR="002665D0" w:rsidRPr="00AD2821" w14:paraId="33ADBFD7" w14:textId="77777777" w:rsidTr="00D45F54">
        <w:trPr>
          <w:trHeight w:val="750"/>
        </w:trPr>
        <w:tc>
          <w:tcPr>
            <w:tcW w:w="234" w:type="pct"/>
            <w:tcBorders>
              <w:top w:val="nil"/>
              <w:left w:val="single" w:sz="4" w:space="0" w:color="auto"/>
              <w:bottom w:val="single" w:sz="4" w:space="0" w:color="auto"/>
              <w:right w:val="single" w:sz="4" w:space="0" w:color="auto"/>
            </w:tcBorders>
            <w:shd w:val="clear" w:color="D9D9D9" w:fill="D9D9D9"/>
            <w:hideMark/>
          </w:tcPr>
          <w:p w14:paraId="441B9AE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764" w:type="pct"/>
            <w:tcBorders>
              <w:top w:val="nil"/>
              <w:left w:val="single" w:sz="4" w:space="0" w:color="auto"/>
              <w:bottom w:val="single" w:sz="4" w:space="0" w:color="auto"/>
              <w:right w:val="single" w:sz="4" w:space="0" w:color="auto"/>
            </w:tcBorders>
            <w:shd w:val="clear" w:color="D9D9D9" w:fill="D9D9D9"/>
            <w:hideMark/>
          </w:tcPr>
          <w:p w14:paraId="7211C164"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2E350BBF"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75.2</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44105FF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Intermittent Pringle manoeuvre is widely used, and it should be considered in case of inflow-related or transection-surface haemorrhage during LLR. </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433DC4A5"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r>
      <w:tr w:rsidR="002665D0" w:rsidRPr="00AD2821" w14:paraId="21E0F2B4" w14:textId="77777777" w:rsidTr="00D45F54">
        <w:trPr>
          <w:trHeight w:val="375"/>
        </w:trPr>
        <w:tc>
          <w:tcPr>
            <w:tcW w:w="234" w:type="pct"/>
            <w:tcBorders>
              <w:top w:val="single" w:sz="4" w:space="0" w:color="auto"/>
              <w:left w:val="single" w:sz="4" w:space="0" w:color="auto"/>
              <w:bottom w:val="single" w:sz="4" w:space="0" w:color="auto"/>
              <w:right w:val="single" w:sz="4" w:space="0" w:color="auto"/>
            </w:tcBorders>
            <w:shd w:val="clear" w:color="auto" w:fill="auto"/>
            <w:hideMark/>
          </w:tcPr>
          <w:p w14:paraId="2BA5630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76</w:t>
            </w:r>
          </w:p>
        </w:tc>
        <w:tc>
          <w:tcPr>
            <w:tcW w:w="1764" w:type="pct"/>
            <w:tcBorders>
              <w:top w:val="single" w:sz="4" w:space="0" w:color="auto"/>
              <w:left w:val="single" w:sz="4" w:space="0" w:color="auto"/>
              <w:bottom w:val="single" w:sz="4" w:space="0" w:color="auto"/>
              <w:right w:val="single" w:sz="4" w:space="0" w:color="auto"/>
            </w:tcBorders>
            <w:shd w:val="clear" w:color="auto" w:fill="auto"/>
            <w:hideMark/>
          </w:tcPr>
          <w:p w14:paraId="02D53880"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the optimal techniques for control of haemorrhage during RLR?</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48E52D0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76</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1AFCB3DF"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No strong recommendation are available due to the limited and low quality of available data.</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6B8D2C14"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2C</w:t>
            </w:r>
          </w:p>
        </w:tc>
      </w:tr>
      <w:tr w:rsidR="002665D0" w:rsidRPr="00AD2821" w14:paraId="5CC5E1B5" w14:textId="77777777" w:rsidTr="00D45F54">
        <w:trPr>
          <w:trHeight w:val="750"/>
        </w:trPr>
        <w:tc>
          <w:tcPr>
            <w:tcW w:w="234" w:type="pct"/>
            <w:tcBorders>
              <w:top w:val="single" w:sz="4" w:space="0" w:color="auto"/>
              <w:left w:val="single" w:sz="4" w:space="0" w:color="auto"/>
              <w:bottom w:val="single" w:sz="4" w:space="0" w:color="auto"/>
              <w:right w:val="single" w:sz="4" w:space="0" w:color="auto"/>
            </w:tcBorders>
            <w:shd w:val="clear" w:color="D9D9D9" w:fill="D9D9D9"/>
            <w:hideMark/>
          </w:tcPr>
          <w:p w14:paraId="4DCBAB8C"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lastRenderedPageBreak/>
              <w:t>77</w:t>
            </w:r>
          </w:p>
        </w:tc>
        <w:tc>
          <w:tcPr>
            <w:tcW w:w="1764" w:type="pct"/>
            <w:tcBorders>
              <w:top w:val="single" w:sz="4" w:space="0" w:color="auto"/>
              <w:left w:val="single" w:sz="4" w:space="0" w:color="auto"/>
              <w:bottom w:val="single" w:sz="4" w:space="0" w:color="auto"/>
              <w:right w:val="single" w:sz="4" w:space="0" w:color="auto"/>
            </w:tcBorders>
            <w:shd w:val="clear" w:color="D9D9D9" w:fill="D9D9D9"/>
            <w:hideMark/>
          </w:tcPr>
          <w:p w14:paraId="1980F0A1"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Are there any specific recommendations on the use and positioning of drains in LLR and RLR, other than those known in the traditional open approach?</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029C1101"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77</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384515E7"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Routine prophylactic intra-abdominal drainage after LLR and RLR may not be necessary and may not affect postoperative outcomes. A case-by-case policy based on patient, procedure and specific factors may be adopted. </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4D65FDC9"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r>
      <w:tr w:rsidR="002665D0" w:rsidRPr="00AD2821" w14:paraId="33CB566C" w14:textId="77777777" w:rsidTr="00D45F54">
        <w:trPr>
          <w:trHeight w:val="1125"/>
        </w:trPr>
        <w:tc>
          <w:tcPr>
            <w:tcW w:w="234" w:type="pct"/>
            <w:tcBorders>
              <w:top w:val="single" w:sz="4" w:space="0" w:color="auto"/>
              <w:left w:val="single" w:sz="4" w:space="0" w:color="auto"/>
              <w:bottom w:val="single" w:sz="4" w:space="0" w:color="auto"/>
              <w:right w:val="single" w:sz="4" w:space="0" w:color="auto"/>
            </w:tcBorders>
            <w:shd w:val="clear" w:color="auto" w:fill="auto"/>
            <w:hideMark/>
          </w:tcPr>
          <w:p w14:paraId="2E70C6DB"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78</w:t>
            </w:r>
          </w:p>
        </w:tc>
        <w:tc>
          <w:tcPr>
            <w:tcW w:w="1764" w:type="pct"/>
            <w:tcBorders>
              <w:top w:val="single" w:sz="4" w:space="0" w:color="auto"/>
              <w:left w:val="single" w:sz="4" w:space="0" w:color="auto"/>
              <w:bottom w:val="single" w:sz="4" w:space="0" w:color="auto"/>
              <w:right w:val="single" w:sz="4" w:space="0" w:color="auto"/>
            </w:tcBorders>
            <w:shd w:val="clear" w:color="auto" w:fill="auto"/>
            <w:hideMark/>
          </w:tcPr>
          <w:p w14:paraId="37897AD4"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the recommended surgical techniques in LLR and RLR when performing a simultaneous colon and liver resection?</w:t>
            </w:r>
          </w:p>
        </w:tc>
        <w:tc>
          <w:tcPr>
            <w:tcW w:w="356" w:type="pct"/>
            <w:tcBorders>
              <w:top w:val="single" w:sz="4" w:space="0" w:color="auto"/>
              <w:left w:val="single" w:sz="4" w:space="0" w:color="auto"/>
              <w:bottom w:val="single" w:sz="4" w:space="0" w:color="auto"/>
              <w:right w:val="single" w:sz="4" w:space="0" w:color="auto"/>
            </w:tcBorders>
            <w:shd w:val="clear" w:color="auto" w:fill="auto"/>
            <w:hideMark/>
          </w:tcPr>
          <w:p w14:paraId="3039E47E"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78</w:t>
            </w:r>
          </w:p>
        </w:tc>
        <w:tc>
          <w:tcPr>
            <w:tcW w:w="2211" w:type="pct"/>
            <w:tcBorders>
              <w:top w:val="single" w:sz="4" w:space="0" w:color="auto"/>
              <w:left w:val="single" w:sz="4" w:space="0" w:color="auto"/>
              <w:bottom w:val="single" w:sz="4" w:space="0" w:color="auto"/>
              <w:right w:val="single" w:sz="4" w:space="0" w:color="auto"/>
            </w:tcBorders>
            <w:shd w:val="clear" w:color="auto" w:fill="auto"/>
            <w:hideMark/>
          </w:tcPr>
          <w:p w14:paraId="37FF8892"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There are no specific recommendations regarding surgical techniques in LLR or RLR when performing a simultaneous colon and liver resection, hence the choice of surgical technique should be based on patient and tumour characteristics, as well as the surgeon’s preference and experience.</w:t>
            </w:r>
          </w:p>
        </w:tc>
        <w:tc>
          <w:tcPr>
            <w:tcW w:w="436" w:type="pct"/>
            <w:tcBorders>
              <w:top w:val="single" w:sz="4" w:space="0" w:color="auto"/>
              <w:left w:val="single" w:sz="4" w:space="0" w:color="auto"/>
              <w:bottom w:val="single" w:sz="4" w:space="0" w:color="auto"/>
              <w:right w:val="single" w:sz="4" w:space="0" w:color="auto"/>
            </w:tcBorders>
            <w:shd w:val="clear" w:color="auto" w:fill="auto"/>
            <w:noWrap/>
            <w:hideMark/>
          </w:tcPr>
          <w:p w14:paraId="612717DD"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r w:rsidR="002665D0" w:rsidRPr="00AD2821" w14:paraId="45692D2B" w14:textId="77777777" w:rsidTr="00D45F54">
        <w:trPr>
          <w:trHeight w:val="1125"/>
        </w:trPr>
        <w:tc>
          <w:tcPr>
            <w:tcW w:w="234" w:type="pct"/>
            <w:tcBorders>
              <w:top w:val="single" w:sz="4" w:space="0" w:color="auto"/>
              <w:left w:val="single" w:sz="4" w:space="0" w:color="auto"/>
              <w:bottom w:val="single" w:sz="4" w:space="0" w:color="auto"/>
              <w:right w:val="single" w:sz="4" w:space="0" w:color="auto"/>
            </w:tcBorders>
            <w:shd w:val="clear" w:color="D9D9D9" w:fill="D9D9D9"/>
            <w:hideMark/>
          </w:tcPr>
          <w:p w14:paraId="1ABF3E9C"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79</w:t>
            </w:r>
          </w:p>
        </w:tc>
        <w:tc>
          <w:tcPr>
            <w:tcW w:w="1764" w:type="pct"/>
            <w:tcBorders>
              <w:top w:val="single" w:sz="4" w:space="0" w:color="auto"/>
              <w:left w:val="single" w:sz="4" w:space="0" w:color="auto"/>
              <w:bottom w:val="single" w:sz="4" w:space="0" w:color="auto"/>
              <w:right w:val="single" w:sz="4" w:space="0" w:color="auto"/>
            </w:tcBorders>
            <w:shd w:val="clear" w:color="D9D9D9" w:fill="D9D9D9"/>
            <w:hideMark/>
          </w:tcPr>
          <w:p w14:paraId="35D1A430"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are the recommended surgical techniques in LLR and RLR when performing a simultaneous rectal and liver resection?</w:t>
            </w:r>
          </w:p>
        </w:tc>
        <w:tc>
          <w:tcPr>
            <w:tcW w:w="356" w:type="pct"/>
            <w:tcBorders>
              <w:top w:val="single" w:sz="4" w:space="0" w:color="auto"/>
              <w:left w:val="single" w:sz="4" w:space="0" w:color="auto"/>
              <w:bottom w:val="single" w:sz="4" w:space="0" w:color="auto"/>
              <w:right w:val="single" w:sz="4" w:space="0" w:color="auto"/>
            </w:tcBorders>
            <w:shd w:val="clear" w:color="D9D9D9" w:fill="D9D9D9"/>
            <w:hideMark/>
          </w:tcPr>
          <w:p w14:paraId="4694A426"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79</w:t>
            </w:r>
          </w:p>
        </w:tc>
        <w:tc>
          <w:tcPr>
            <w:tcW w:w="2211" w:type="pct"/>
            <w:tcBorders>
              <w:top w:val="single" w:sz="4" w:space="0" w:color="auto"/>
              <w:left w:val="single" w:sz="4" w:space="0" w:color="auto"/>
              <w:bottom w:val="single" w:sz="4" w:space="0" w:color="auto"/>
              <w:right w:val="single" w:sz="4" w:space="0" w:color="auto"/>
            </w:tcBorders>
            <w:shd w:val="clear" w:color="D9D9D9" w:fill="D9D9D9"/>
            <w:hideMark/>
          </w:tcPr>
          <w:p w14:paraId="4F6A100F"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There are no specific recommendations regarding surgical techniques in LLR or RLR when performing a simultaneous rectal and liver resection, hence the choice of surgical technique should be based on patient and tumour characteristics, as well as the surgeon’s preference and experience.</w:t>
            </w:r>
          </w:p>
        </w:tc>
        <w:tc>
          <w:tcPr>
            <w:tcW w:w="436" w:type="pct"/>
            <w:tcBorders>
              <w:top w:val="single" w:sz="4" w:space="0" w:color="auto"/>
              <w:left w:val="single" w:sz="4" w:space="0" w:color="auto"/>
              <w:bottom w:val="single" w:sz="4" w:space="0" w:color="auto"/>
              <w:right w:val="single" w:sz="4" w:space="0" w:color="auto"/>
            </w:tcBorders>
            <w:shd w:val="clear" w:color="D9D9D9" w:fill="D9D9D9"/>
            <w:noWrap/>
            <w:hideMark/>
          </w:tcPr>
          <w:p w14:paraId="32F6E984"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r>
    </w:tbl>
    <w:p w14:paraId="090902DF" w14:textId="6EF697A5" w:rsidR="00303F17" w:rsidRPr="00AD2821" w:rsidRDefault="00303F17" w:rsidP="00303F17">
      <w:pPr>
        <w:jc w:val="both"/>
        <w:rPr>
          <w:rFonts w:cstheme="minorHAnsi"/>
          <w:sz w:val="22"/>
          <w:szCs w:val="22"/>
          <w:lang w:val="en-US"/>
        </w:rPr>
      </w:pPr>
    </w:p>
    <w:p w14:paraId="10346156" w14:textId="77777777" w:rsidR="00303F17" w:rsidRPr="00AD2821" w:rsidRDefault="00303F17" w:rsidP="00303F17">
      <w:pPr>
        <w:jc w:val="both"/>
        <w:rPr>
          <w:rFonts w:cstheme="minorHAnsi"/>
          <w:sz w:val="22"/>
          <w:szCs w:val="22"/>
          <w:lang w:val="en-US"/>
        </w:rPr>
      </w:pPr>
    </w:p>
    <w:p w14:paraId="02BA33ED" w14:textId="77777777" w:rsidR="00303F17" w:rsidRPr="00AD2821" w:rsidRDefault="00303F17" w:rsidP="00303F17">
      <w:pPr>
        <w:jc w:val="both"/>
        <w:rPr>
          <w:rFonts w:cstheme="minorHAnsi"/>
          <w:sz w:val="22"/>
          <w:szCs w:val="22"/>
          <w:lang w:val="en-US"/>
        </w:rPr>
      </w:pPr>
    </w:p>
    <w:p w14:paraId="7175072A" w14:textId="77777777" w:rsidR="00303F17" w:rsidRPr="00AD2821" w:rsidRDefault="00303F17">
      <w:pPr>
        <w:rPr>
          <w:rFonts w:cstheme="minorHAnsi"/>
          <w:sz w:val="22"/>
          <w:szCs w:val="22"/>
          <w:lang w:val="en-US"/>
        </w:rPr>
      </w:pPr>
      <w:r w:rsidRPr="00AD2821">
        <w:rPr>
          <w:rFonts w:cstheme="minorHAnsi"/>
          <w:sz w:val="22"/>
          <w:szCs w:val="22"/>
          <w:lang w:val="en-US"/>
        </w:rPr>
        <w:br w:type="page"/>
      </w:r>
    </w:p>
    <w:p w14:paraId="1A9BBEE5" w14:textId="77777777" w:rsidR="002665D0" w:rsidRPr="00AD2821" w:rsidRDefault="00303F17" w:rsidP="002665D0">
      <w:pPr>
        <w:keepNext/>
        <w:keepLines/>
        <w:spacing w:before="160" w:after="80"/>
        <w:outlineLvl w:val="1"/>
        <w:rPr>
          <w:rFonts w:eastAsiaTheme="majorEastAsia" w:cstheme="minorHAnsi"/>
          <w:color w:val="000000" w:themeColor="text1"/>
          <w:sz w:val="22"/>
          <w:szCs w:val="22"/>
          <w:lang w:val="en-GB"/>
        </w:rPr>
      </w:pPr>
      <w:r w:rsidRPr="00AD2821">
        <w:rPr>
          <w:rFonts w:cstheme="minorHAnsi"/>
          <w:color w:val="000000" w:themeColor="text1"/>
          <w:sz w:val="22"/>
          <w:szCs w:val="22"/>
          <w:lang w:val="en-US"/>
        </w:rPr>
        <w:lastRenderedPageBreak/>
        <w:t xml:space="preserve">Supplementary Table 6. </w:t>
      </w:r>
      <w:r w:rsidR="002665D0" w:rsidRPr="00AD2821">
        <w:rPr>
          <w:rFonts w:eastAsiaTheme="majorEastAsia" w:cstheme="minorHAnsi"/>
          <w:color w:val="000000" w:themeColor="text1"/>
          <w:sz w:val="22"/>
          <w:szCs w:val="22"/>
          <w:lang w:val="en-GB"/>
        </w:rPr>
        <w:t xml:space="preserve">Domain 6 Clinical Questions and Recommendations </w:t>
      </w:r>
    </w:p>
    <w:p w14:paraId="1541BAB2" w14:textId="77777777" w:rsidR="002665D0" w:rsidRPr="00AD2821" w:rsidRDefault="002665D0" w:rsidP="002665D0">
      <w:pPr>
        <w:keepNext/>
        <w:keepLines/>
        <w:spacing w:before="160" w:after="80"/>
        <w:outlineLvl w:val="1"/>
        <w:rPr>
          <w:rFonts w:eastAsiaTheme="majorEastAsia" w:cstheme="minorHAnsi"/>
          <w:color w:val="000000" w:themeColor="text1"/>
          <w:sz w:val="22"/>
          <w:szCs w:val="22"/>
          <w:lang w:val="en-GB"/>
        </w:rPr>
      </w:pPr>
    </w:p>
    <w:tbl>
      <w:tblPr>
        <w:tblW w:w="5000" w:type="pct"/>
        <w:tblCellMar>
          <w:left w:w="70" w:type="dxa"/>
          <w:right w:w="70" w:type="dxa"/>
        </w:tblCellMar>
        <w:tblLook w:val="04A0" w:firstRow="1" w:lastRow="0" w:firstColumn="1" w:lastColumn="0" w:noHBand="0" w:noVBand="1"/>
      </w:tblPr>
      <w:tblGrid>
        <w:gridCol w:w="442"/>
        <w:gridCol w:w="2742"/>
        <w:gridCol w:w="531"/>
        <w:gridCol w:w="2867"/>
        <w:gridCol w:w="604"/>
        <w:gridCol w:w="2256"/>
      </w:tblGrid>
      <w:tr w:rsidR="002665D0" w:rsidRPr="00AD2821" w14:paraId="0612E29D" w14:textId="77777777" w:rsidTr="00D45F54">
        <w:trPr>
          <w:trHeight w:val="375"/>
        </w:trPr>
        <w:tc>
          <w:tcPr>
            <w:tcW w:w="252" w:type="pct"/>
            <w:tcBorders>
              <w:top w:val="single" w:sz="4" w:space="0" w:color="auto"/>
              <w:left w:val="single" w:sz="4" w:space="0" w:color="auto"/>
              <w:bottom w:val="single" w:sz="4" w:space="0" w:color="auto"/>
              <w:right w:val="single" w:sz="4" w:space="0" w:color="auto"/>
            </w:tcBorders>
            <w:shd w:val="clear" w:color="auto" w:fill="auto"/>
            <w:hideMark/>
          </w:tcPr>
          <w:p w14:paraId="63F71A07" w14:textId="77777777" w:rsidR="002665D0" w:rsidRPr="00AD2821" w:rsidRDefault="002665D0" w:rsidP="00D45F54">
            <w:pPr>
              <w:rPr>
                <w:rFonts w:eastAsia="Times New Roman" w:cstheme="minorHAnsi"/>
                <w:b/>
                <w:bCs/>
                <w:color w:val="000000"/>
                <w:sz w:val="22"/>
                <w:szCs w:val="22"/>
                <w:lang w:val="en-GB" w:eastAsia="nl-NL"/>
              </w:rPr>
            </w:pPr>
            <w:bookmarkStart w:id="4" w:name="RANGE!A1:F10"/>
            <w:r w:rsidRPr="00AD2821">
              <w:rPr>
                <w:rFonts w:eastAsia="Times New Roman" w:cstheme="minorHAnsi"/>
                <w:b/>
                <w:bCs/>
                <w:color w:val="000000"/>
                <w:sz w:val="22"/>
                <w:szCs w:val="22"/>
                <w:lang w:val="en-GB" w:eastAsia="nl-NL"/>
              </w:rPr>
              <w:t>Q</w:t>
            </w:r>
            <w:bookmarkEnd w:id="4"/>
          </w:p>
        </w:tc>
        <w:tc>
          <w:tcPr>
            <w:tcW w:w="1470" w:type="pct"/>
            <w:tcBorders>
              <w:top w:val="single" w:sz="4" w:space="0" w:color="auto"/>
              <w:left w:val="single" w:sz="4" w:space="0" w:color="auto"/>
              <w:bottom w:val="single" w:sz="4" w:space="0" w:color="auto"/>
              <w:right w:val="single" w:sz="4" w:space="0" w:color="auto"/>
            </w:tcBorders>
            <w:shd w:val="clear" w:color="auto" w:fill="auto"/>
            <w:hideMark/>
          </w:tcPr>
          <w:p w14:paraId="19AE5949" w14:textId="77777777" w:rsidR="002665D0" w:rsidRPr="00AD2821" w:rsidRDefault="002665D0"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Clinical Question</w:t>
            </w:r>
          </w:p>
        </w:tc>
        <w:tc>
          <w:tcPr>
            <w:tcW w:w="274" w:type="pct"/>
            <w:tcBorders>
              <w:top w:val="single" w:sz="4" w:space="0" w:color="auto"/>
              <w:left w:val="single" w:sz="4" w:space="0" w:color="auto"/>
              <w:bottom w:val="single" w:sz="4" w:space="0" w:color="auto"/>
              <w:right w:val="single" w:sz="4" w:space="0" w:color="auto"/>
            </w:tcBorders>
            <w:shd w:val="clear" w:color="auto" w:fill="auto"/>
            <w:hideMark/>
          </w:tcPr>
          <w:p w14:paraId="50A3F7B9" w14:textId="77777777" w:rsidR="002665D0" w:rsidRPr="00AD2821" w:rsidRDefault="002665D0"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R</w:t>
            </w:r>
          </w:p>
        </w:tc>
        <w:tc>
          <w:tcPr>
            <w:tcW w:w="1536" w:type="pct"/>
            <w:tcBorders>
              <w:top w:val="single" w:sz="4" w:space="0" w:color="auto"/>
              <w:left w:val="single" w:sz="4" w:space="0" w:color="auto"/>
              <w:bottom w:val="single" w:sz="4" w:space="0" w:color="auto"/>
              <w:right w:val="single" w:sz="4" w:space="0" w:color="auto"/>
            </w:tcBorders>
            <w:shd w:val="clear" w:color="auto" w:fill="auto"/>
            <w:hideMark/>
          </w:tcPr>
          <w:p w14:paraId="3D634282" w14:textId="77777777" w:rsidR="002665D0" w:rsidRPr="00AD2821" w:rsidRDefault="002665D0"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Recommendation</w:t>
            </w:r>
          </w:p>
        </w:tc>
        <w:tc>
          <w:tcPr>
            <w:tcW w:w="256" w:type="pct"/>
            <w:tcBorders>
              <w:top w:val="single" w:sz="4" w:space="0" w:color="auto"/>
              <w:left w:val="single" w:sz="4" w:space="0" w:color="auto"/>
              <w:bottom w:val="single" w:sz="4" w:space="0" w:color="auto"/>
              <w:right w:val="single" w:sz="4" w:space="0" w:color="auto"/>
            </w:tcBorders>
            <w:shd w:val="clear" w:color="auto" w:fill="auto"/>
            <w:hideMark/>
          </w:tcPr>
          <w:p w14:paraId="23FB47F3" w14:textId="77777777" w:rsidR="002665D0" w:rsidRPr="00AD2821" w:rsidRDefault="002665D0"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Code</w:t>
            </w:r>
          </w:p>
        </w:tc>
        <w:tc>
          <w:tcPr>
            <w:tcW w:w="1214" w:type="pct"/>
            <w:tcBorders>
              <w:top w:val="single" w:sz="4" w:space="0" w:color="auto"/>
              <w:left w:val="single" w:sz="4" w:space="0" w:color="auto"/>
              <w:bottom w:val="single" w:sz="4" w:space="0" w:color="auto"/>
              <w:right w:val="single" w:sz="4" w:space="0" w:color="auto"/>
            </w:tcBorders>
            <w:shd w:val="clear" w:color="auto" w:fill="auto"/>
            <w:hideMark/>
          </w:tcPr>
          <w:p w14:paraId="7A03FD21" w14:textId="77777777" w:rsidR="002665D0" w:rsidRPr="00AD2821" w:rsidRDefault="002665D0" w:rsidP="00D45F54">
            <w:pPr>
              <w:rPr>
                <w:rFonts w:eastAsia="Times New Roman" w:cstheme="minorHAnsi"/>
                <w:b/>
                <w:bCs/>
                <w:color w:val="000000"/>
                <w:sz w:val="22"/>
                <w:szCs w:val="22"/>
                <w:lang w:val="en-GB" w:eastAsia="nl-NL"/>
              </w:rPr>
            </w:pPr>
            <w:r w:rsidRPr="00AD2821">
              <w:rPr>
                <w:rFonts w:eastAsia="Times New Roman" w:cstheme="minorHAnsi"/>
                <w:b/>
                <w:bCs/>
                <w:color w:val="000000"/>
                <w:sz w:val="22"/>
                <w:szCs w:val="22"/>
                <w:lang w:val="en-GB" w:eastAsia="nl-NL"/>
              </w:rPr>
              <w:t>Comment</w:t>
            </w:r>
          </w:p>
        </w:tc>
      </w:tr>
      <w:tr w:rsidR="002665D0" w:rsidRPr="00AD2821" w14:paraId="19D9A720" w14:textId="77777777" w:rsidTr="00D45F54">
        <w:trPr>
          <w:trHeight w:val="3375"/>
        </w:trPr>
        <w:tc>
          <w:tcPr>
            <w:tcW w:w="252" w:type="pct"/>
            <w:tcBorders>
              <w:top w:val="single" w:sz="4" w:space="0" w:color="auto"/>
              <w:left w:val="single" w:sz="4" w:space="0" w:color="auto"/>
              <w:bottom w:val="single" w:sz="4" w:space="0" w:color="auto"/>
              <w:right w:val="single" w:sz="4" w:space="0" w:color="auto"/>
            </w:tcBorders>
            <w:shd w:val="clear" w:color="D9D9D9" w:fill="D9D9D9"/>
            <w:hideMark/>
          </w:tcPr>
          <w:p w14:paraId="1D8C4BD2"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80</w:t>
            </w:r>
          </w:p>
        </w:tc>
        <w:tc>
          <w:tcPr>
            <w:tcW w:w="1470" w:type="pct"/>
            <w:tcBorders>
              <w:top w:val="single" w:sz="4" w:space="0" w:color="auto"/>
              <w:left w:val="single" w:sz="4" w:space="0" w:color="auto"/>
              <w:bottom w:val="single" w:sz="4" w:space="0" w:color="auto"/>
              <w:right w:val="single" w:sz="4" w:space="0" w:color="auto"/>
            </w:tcBorders>
            <w:shd w:val="clear" w:color="D9D9D9" w:fill="D9D9D9"/>
            <w:hideMark/>
          </w:tcPr>
          <w:p w14:paraId="2A458644"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Which parameters should be defined as core in the assessment of laparoscopic liver resection (LLR)?</w:t>
            </w:r>
          </w:p>
        </w:tc>
        <w:tc>
          <w:tcPr>
            <w:tcW w:w="274" w:type="pct"/>
            <w:tcBorders>
              <w:top w:val="single" w:sz="4" w:space="0" w:color="auto"/>
              <w:left w:val="single" w:sz="4" w:space="0" w:color="auto"/>
              <w:bottom w:val="single" w:sz="4" w:space="0" w:color="auto"/>
              <w:right w:val="single" w:sz="4" w:space="0" w:color="auto"/>
            </w:tcBorders>
            <w:shd w:val="clear" w:color="D9D9D9" w:fill="D9D9D9"/>
            <w:hideMark/>
          </w:tcPr>
          <w:p w14:paraId="483CA36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80</w:t>
            </w:r>
          </w:p>
        </w:tc>
        <w:tc>
          <w:tcPr>
            <w:tcW w:w="1536" w:type="pct"/>
            <w:tcBorders>
              <w:top w:val="single" w:sz="4" w:space="0" w:color="auto"/>
              <w:left w:val="single" w:sz="4" w:space="0" w:color="auto"/>
              <w:bottom w:val="single" w:sz="4" w:space="0" w:color="auto"/>
              <w:right w:val="single" w:sz="4" w:space="0" w:color="auto"/>
            </w:tcBorders>
            <w:shd w:val="clear" w:color="D9D9D9" w:fill="D9D9D9"/>
            <w:hideMark/>
          </w:tcPr>
          <w:p w14:paraId="5955E2A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intraoperative blood loss, operative time and hospital stay (days), conversion rate, R0/R1 resection rates and short-term clinical outcomes (mortality, overall complication rate, major complication rate (&gt;grade 2 according to the Clavien-Dindo Classification), the Comprehensive Complication Index (CCI), failure to rescue rate each for 30 and 90 days after surgery) should be the core parameters in the assessment of LLR.</w:t>
            </w:r>
          </w:p>
        </w:tc>
        <w:tc>
          <w:tcPr>
            <w:tcW w:w="256" w:type="pct"/>
            <w:tcBorders>
              <w:top w:val="single" w:sz="4" w:space="0" w:color="auto"/>
              <w:left w:val="single" w:sz="4" w:space="0" w:color="auto"/>
              <w:bottom w:val="single" w:sz="4" w:space="0" w:color="auto"/>
              <w:right w:val="single" w:sz="4" w:space="0" w:color="auto"/>
            </w:tcBorders>
            <w:shd w:val="clear" w:color="D9D9D9" w:fill="D9D9D9"/>
            <w:noWrap/>
            <w:hideMark/>
          </w:tcPr>
          <w:p w14:paraId="4EE46BD8"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c>
          <w:tcPr>
            <w:tcW w:w="1214" w:type="pct"/>
            <w:tcBorders>
              <w:top w:val="single" w:sz="4" w:space="0" w:color="auto"/>
              <w:left w:val="single" w:sz="4" w:space="0" w:color="auto"/>
              <w:bottom w:val="single" w:sz="4" w:space="0" w:color="auto"/>
              <w:right w:val="single" w:sz="4" w:space="0" w:color="auto"/>
            </w:tcBorders>
            <w:shd w:val="clear" w:color="D9D9D9" w:fill="D9D9D9"/>
            <w:hideMark/>
          </w:tcPr>
          <w:p w14:paraId="2C0A1523"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2665D0" w:rsidRPr="00AD2821" w14:paraId="0CFF0CF9" w14:textId="77777777" w:rsidTr="00D45F54">
        <w:trPr>
          <w:trHeight w:val="3375"/>
        </w:trPr>
        <w:tc>
          <w:tcPr>
            <w:tcW w:w="252" w:type="pct"/>
            <w:tcBorders>
              <w:top w:val="single" w:sz="4" w:space="0" w:color="auto"/>
              <w:left w:val="single" w:sz="4" w:space="0" w:color="auto"/>
              <w:bottom w:val="nil"/>
              <w:right w:val="single" w:sz="4" w:space="0" w:color="auto"/>
            </w:tcBorders>
            <w:shd w:val="clear" w:color="auto" w:fill="auto"/>
            <w:hideMark/>
          </w:tcPr>
          <w:p w14:paraId="4DED2E12"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81</w:t>
            </w:r>
          </w:p>
        </w:tc>
        <w:tc>
          <w:tcPr>
            <w:tcW w:w="1470" w:type="pct"/>
            <w:tcBorders>
              <w:top w:val="single" w:sz="4" w:space="0" w:color="auto"/>
              <w:left w:val="single" w:sz="4" w:space="0" w:color="auto"/>
              <w:bottom w:val="nil"/>
              <w:right w:val="single" w:sz="4" w:space="0" w:color="auto"/>
            </w:tcBorders>
            <w:shd w:val="clear" w:color="auto" w:fill="auto"/>
            <w:hideMark/>
          </w:tcPr>
          <w:p w14:paraId="1F0D5244"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Which parameters should be defined as core in the assessment of robotic liver resection (RLR)?</w:t>
            </w:r>
          </w:p>
        </w:tc>
        <w:tc>
          <w:tcPr>
            <w:tcW w:w="274" w:type="pct"/>
            <w:tcBorders>
              <w:top w:val="single" w:sz="4" w:space="0" w:color="auto"/>
              <w:left w:val="single" w:sz="4" w:space="0" w:color="auto"/>
              <w:bottom w:val="single" w:sz="4" w:space="0" w:color="auto"/>
              <w:right w:val="single" w:sz="4" w:space="0" w:color="auto"/>
            </w:tcBorders>
            <w:shd w:val="clear" w:color="auto" w:fill="auto"/>
            <w:hideMark/>
          </w:tcPr>
          <w:p w14:paraId="5D19B97E"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81.1</w:t>
            </w:r>
          </w:p>
        </w:tc>
        <w:tc>
          <w:tcPr>
            <w:tcW w:w="1536" w:type="pct"/>
            <w:tcBorders>
              <w:top w:val="single" w:sz="4" w:space="0" w:color="auto"/>
              <w:left w:val="single" w:sz="4" w:space="0" w:color="auto"/>
              <w:bottom w:val="single" w:sz="4" w:space="0" w:color="auto"/>
              <w:right w:val="single" w:sz="4" w:space="0" w:color="auto"/>
            </w:tcBorders>
            <w:shd w:val="clear" w:color="auto" w:fill="auto"/>
            <w:hideMark/>
          </w:tcPr>
          <w:p w14:paraId="3EEDF8DB"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xml:space="preserve">Intraoperative blood loss, operative time and hospital stay (days), conversion rate, R0/R1 resection rates and short-term clinical outcomes (mortality, overall complication rate, major complication rate (&gt;grade 2 according to the Clavien-Dindo Classification), the Comprehensive Complication Index (CCI), failure to rescue rate each for 30 and 90 days after surgery) should be the core parameters in the assessment of RLR. </w:t>
            </w:r>
          </w:p>
        </w:tc>
        <w:tc>
          <w:tcPr>
            <w:tcW w:w="256" w:type="pct"/>
            <w:tcBorders>
              <w:top w:val="single" w:sz="4" w:space="0" w:color="auto"/>
              <w:left w:val="single" w:sz="4" w:space="0" w:color="auto"/>
              <w:bottom w:val="single" w:sz="4" w:space="0" w:color="auto"/>
              <w:right w:val="single" w:sz="4" w:space="0" w:color="auto"/>
            </w:tcBorders>
            <w:shd w:val="clear" w:color="auto" w:fill="auto"/>
            <w:noWrap/>
            <w:hideMark/>
          </w:tcPr>
          <w:p w14:paraId="4A70BA7B"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c>
          <w:tcPr>
            <w:tcW w:w="1214" w:type="pct"/>
            <w:tcBorders>
              <w:top w:val="single" w:sz="4" w:space="0" w:color="auto"/>
              <w:left w:val="single" w:sz="4" w:space="0" w:color="auto"/>
              <w:bottom w:val="single" w:sz="4" w:space="0" w:color="auto"/>
              <w:right w:val="single" w:sz="4" w:space="0" w:color="auto"/>
            </w:tcBorders>
            <w:shd w:val="clear" w:color="auto" w:fill="auto"/>
            <w:hideMark/>
          </w:tcPr>
          <w:p w14:paraId="61AEE11D"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2665D0" w:rsidRPr="00AD2821" w14:paraId="77E840E7" w14:textId="77777777" w:rsidTr="00D45F54">
        <w:trPr>
          <w:trHeight w:val="1500"/>
        </w:trPr>
        <w:tc>
          <w:tcPr>
            <w:tcW w:w="252" w:type="pct"/>
            <w:tcBorders>
              <w:top w:val="nil"/>
              <w:left w:val="single" w:sz="4" w:space="0" w:color="auto"/>
              <w:bottom w:val="single" w:sz="4" w:space="0" w:color="auto"/>
              <w:right w:val="single" w:sz="4" w:space="0" w:color="auto"/>
            </w:tcBorders>
            <w:shd w:val="clear" w:color="D9D9D9" w:fill="D9D9D9"/>
            <w:hideMark/>
          </w:tcPr>
          <w:p w14:paraId="2FA17477"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470" w:type="pct"/>
            <w:tcBorders>
              <w:top w:val="nil"/>
              <w:left w:val="single" w:sz="4" w:space="0" w:color="auto"/>
              <w:bottom w:val="single" w:sz="4" w:space="0" w:color="auto"/>
              <w:right w:val="single" w:sz="4" w:space="0" w:color="auto"/>
            </w:tcBorders>
            <w:shd w:val="clear" w:color="D9D9D9" w:fill="D9D9D9"/>
            <w:hideMark/>
          </w:tcPr>
          <w:p w14:paraId="5FFDC20F"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274" w:type="pct"/>
            <w:tcBorders>
              <w:top w:val="single" w:sz="4" w:space="0" w:color="auto"/>
              <w:left w:val="single" w:sz="4" w:space="0" w:color="auto"/>
              <w:bottom w:val="single" w:sz="4" w:space="0" w:color="auto"/>
              <w:right w:val="single" w:sz="4" w:space="0" w:color="auto"/>
            </w:tcBorders>
            <w:shd w:val="clear" w:color="D9D9D9" w:fill="D9D9D9"/>
            <w:hideMark/>
          </w:tcPr>
          <w:p w14:paraId="250AA892"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81.2</w:t>
            </w:r>
          </w:p>
        </w:tc>
        <w:tc>
          <w:tcPr>
            <w:tcW w:w="1536" w:type="pct"/>
            <w:tcBorders>
              <w:top w:val="single" w:sz="4" w:space="0" w:color="auto"/>
              <w:left w:val="single" w:sz="4" w:space="0" w:color="auto"/>
              <w:bottom w:val="single" w:sz="4" w:space="0" w:color="auto"/>
              <w:right w:val="single" w:sz="4" w:space="0" w:color="auto"/>
            </w:tcBorders>
            <w:shd w:val="clear" w:color="D9D9D9" w:fill="D9D9D9"/>
            <w:hideMark/>
          </w:tcPr>
          <w:p w14:paraId="24F1AAD4"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Total costs should be defined as core in the assessment of RLR.</w:t>
            </w:r>
          </w:p>
        </w:tc>
        <w:tc>
          <w:tcPr>
            <w:tcW w:w="256" w:type="pct"/>
            <w:tcBorders>
              <w:top w:val="single" w:sz="4" w:space="0" w:color="auto"/>
              <w:left w:val="single" w:sz="4" w:space="0" w:color="auto"/>
              <w:bottom w:val="single" w:sz="4" w:space="0" w:color="auto"/>
              <w:right w:val="single" w:sz="4" w:space="0" w:color="auto"/>
            </w:tcBorders>
            <w:shd w:val="clear" w:color="D9D9D9" w:fill="D9D9D9"/>
            <w:noWrap/>
            <w:hideMark/>
          </w:tcPr>
          <w:p w14:paraId="66334CEC"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c>
          <w:tcPr>
            <w:tcW w:w="1214" w:type="pct"/>
            <w:tcBorders>
              <w:top w:val="single" w:sz="4" w:space="0" w:color="auto"/>
              <w:left w:val="single" w:sz="4" w:space="0" w:color="auto"/>
              <w:bottom w:val="single" w:sz="4" w:space="0" w:color="auto"/>
              <w:right w:val="single" w:sz="4" w:space="0" w:color="auto"/>
            </w:tcBorders>
            <w:shd w:val="clear" w:color="D9D9D9" w:fill="D9D9D9"/>
            <w:hideMark/>
          </w:tcPr>
          <w:p w14:paraId="591AE5A1"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 validation committee strongly feels that total cost should be included, recognizing there are both direct and indirect costs involved with RLR</w:t>
            </w:r>
          </w:p>
        </w:tc>
      </w:tr>
      <w:tr w:rsidR="002665D0" w:rsidRPr="00AD2821" w14:paraId="641020DA" w14:textId="77777777" w:rsidTr="00D45F54">
        <w:trPr>
          <w:trHeight w:val="1125"/>
        </w:trPr>
        <w:tc>
          <w:tcPr>
            <w:tcW w:w="252" w:type="pct"/>
            <w:tcBorders>
              <w:top w:val="single" w:sz="4" w:space="0" w:color="auto"/>
              <w:left w:val="single" w:sz="4" w:space="0" w:color="auto"/>
              <w:bottom w:val="nil"/>
              <w:right w:val="single" w:sz="4" w:space="0" w:color="auto"/>
            </w:tcBorders>
            <w:shd w:val="clear" w:color="auto" w:fill="auto"/>
            <w:hideMark/>
          </w:tcPr>
          <w:p w14:paraId="240EE1F2"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82</w:t>
            </w:r>
          </w:p>
        </w:tc>
        <w:tc>
          <w:tcPr>
            <w:tcW w:w="1470" w:type="pct"/>
            <w:tcBorders>
              <w:top w:val="single" w:sz="4" w:space="0" w:color="auto"/>
              <w:left w:val="single" w:sz="4" w:space="0" w:color="auto"/>
              <w:bottom w:val="nil"/>
              <w:right w:val="single" w:sz="4" w:space="0" w:color="auto"/>
            </w:tcBorders>
            <w:shd w:val="clear" w:color="auto" w:fill="auto"/>
            <w:hideMark/>
          </w:tcPr>
          <w:p w14:paraId="69FEB67C"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Which are the most suitable outcome measurements that can be used to assess the validity of LLR?</w:t>
            </w:r>
          </w:p>
        </w:tc>
        <w:tc>
          <w:tcPr>
            <w:tcW w:w="274" w:type="pct"/>
            <w:tcBorders>
              <w:top w:val="single" w:sz="4" w:space="0" w:color="auto"/>
              <w:left w:val="single" w:sz="4" w:space="0" w:color="auto"/>
              <w:bottom w:val="single" w:sz="4" w:space="0" w:color="auto"/>
              <w:right w:val="single" w:sz="4" w:space="0" w:color="auto"/>
            </w:tcBorders>
            <w:shd w:val="clear" w:color="auto" w:fill="auto"/>
            <w:hideMark/>
          </w:tcPr>
          <w:p w14:paraId="6BABAE60"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82.1</w:t>
            </w:r>
          </w:p>
        </w:tc>
        <w:tc>
          <w:tcPr>
            <w:tcW w:w="1536" w:type="pct"/>
            <w:tcBorders>
              <w:top w:val="single" w:sz="4" w:space="0" w:color="auto"/>
              <w:left w:val="single" w:sz="4" w:space="0" w:color="auto"/>
              <w:bottom w:val="single" w:sz="4" w:space="0" w:color="auto"/>
              <w:right w:val="single" w:sz="4" w:space="0" w:color="auto"/>
            </w:tcBorders>
            <w:shd w:val="clear" w:color="auto" w:fill="auto"/>
            <w:hideMark/>
          </w:tcPr>
          <w:p w14:paraId="344D9854"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xml:space="preserve">Composite outcome measures and benchmark values should be used to allow adequate comparison of the results. </w:t>
            </w:r>
          </w:p>
        </w:tc>
        <w:tc>
          <w:tcPr>
            <w:tcW w:w="256" w:type="pct"/>
            <w:tcBorders>
              <w:top w:val="single" w:sz="4" w:space="0" w:color="auto"/>
              <w:left w:val="single" w:sz="4" w:space="0" w:color="auto"/>
              <w:bottom w:val="single" w:sz="4" w:space="0" w:color="auto"/>
              <w:right w:val="single" w:sz="4" w:space="0" w:color="auto"/>
            </w:tcBorders>
            <w:shd w:val="clear" w:color="auto" w:fill="auto"/>
            <w:noWrap/>
            <w:hideMark/>
          </w:tcPr>
          <w:p w14:paraId="1FD9A74F"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c>
          <w:tcPr>
            <w:tcW w:w="1214" w:type="pct"/>
            <w:tcBorders>
              <w:top w:val="single" w:sz="4" w:space="0" w:color="auto"/>
              <w:left w:val="single" w:sz="4" w:space="0" w:color="auto"/>
              <w:bottom w:val="single" w:sz="4" w:space="0" w:color="auto"/>
              <w:right w:val="single" w:sz="4" w:space="0" w:color="auto"/>
            </w:tcBorders>
            <w:shd w:val="clear" w:color="auto" w:fill="auto"/>
            <w:hideMark/>
          </w:tcPr>
          <w:p w14:paraId="7BF43E8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2665D0" w:rsidRPr="00AD2821" w14:paraId="3F94229C" w14:textId="77777777" w:rsidTr="00D45F54">
        <w:trPr>
          <w:trHeight w:val="750"/>
        </w:trPr>
        <w:tc>
          <w:tcPr>
            <w:tcW w:w="252" w:type="pct"/>
            <w:tcBorders>
              <w:top w:val="nil"/>
              <w:left w:val="single" w:sz="4" w:space="0" w:color="auto"/>
              <w:bottom w:val="single" w:sz="4" w:space="0" w:color="auto"/>
              <w:right w:val="single" w:sz="4" w:space="0" w:color="auto"/>
            </w:tcBorders>
            <w:shd w:val="clear" w:color="D9D9D9" w:fill="D9D9D9"/>
            <w:hideMark/>
          </w:tcPr>
          <w:p w14:paraId="59C93A9D"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470" w:type="pct"/>
            <w:tcBorders>
              <w:top w:val="nil"/>
              <w:left w:val="single" w:sz="4" w:space="0" w:color="auto"/>
              <w:bottom w:val="single" w:sz="4" w:space="0" w:color="auto"/>
              <w:right w:val="single" w:sz="4" w:space="0" w:color="auto"/>
            </w:tcBorders>
            <w:shd w:val="clear" w:color="D9D9D9" w:fill="D9D9D9"/>
            <w:hideMark/>
          </w:tcPr>
          <w:p w14:paraId="17DA76B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274" w:type="pct"/>
            <w:tcBorders>
              <w:top w:val="single" w:sz="4" w:space="0" w:color="auto"/>
              <w:left w:val="single" w:sz="4" w:space="0" w:color="auto"/>
              <w:bottom w:val="single" w:sz="4" w:space="0" w:color="auto"/>
              <w:right w:val="single" w:sz="4" w:space="0" w:color="auto"/>
            </w:tcBorders>
            <w:shd w:val="clear" w:color="D9D9D9" w:fill="D9D9D9"/>
            <w:hideMark/>
          </w:tcPr>
          <w:p w14:paraId="33086674"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82.2</w:t>
            </w:r>
          </w:p>
        </w:tc>
        <w:tc>
          <w:tcPr>
            <w:tcW w:w="1536" w:type="pct"/>
            <w:tcBorders>
              <w:top w:val="single" w:sz="4" w:space="0" w:color="auto"/>
              <w:left w:val="single" w:sz="4" w:space="0" w:color="auto"/>
              <w:bottom w:val="single" w:sz="4" w:space="0" w:color="auto"/>
              <w:right w:val="single" w:sz="4" w:space="0" w:color="auto"/>
            </w:tcBorders>
            <w:shd w:val="clear" w:color="D9D9D9" w:fill="D9D9D9"/>
            <w:hideMark/>
          </w:tcPr>
          <w:p w14:paraId="644F372C"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A standardization of definitions for composite outcome measures specific to LLR is needed.</w:t>
            </w:r>
          </w:p>
        </w:tc>
        <w:tc>
          <w:tcPr>
            <w:tcW w:w="256" w:type="pct"/>
            <w:tcBorders>
              <w:top w:val="single" w:sz="4" w:space="0" w:color="auto"/>
              <w:left w:val="single" w:sz="4" w:space="0" w:color="auto"/>
              <w:bottom w:val="single" w:sz="4" w:space="0" w:color="auto"/>
              <w:right w:val="single" w:sz="4" w:space="0" w:color="auto"/>
            </w:tcBorders>
            <w:shd w:val="clear" w:color="D9D9D9" w:fill="D9D9D9"/>
            <w:noWrap/>
            <w:hideMark/>
          </w:tcPr>
          <w:p w14:paraId="4E047451"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1B</w:t>
            </w:r>
          </w:p>
        </w:tc>
        <w:tc>
          <w:tcPr>
            <w:tcW w:w="1214" w:type="pct"/>
            <w:tcBorders>
              <w:top w:val="single" w:sz="4" w:space="0" w:color="auto"/>
              <w:left w:val="single" w:sz="4" w:space="0" w:color="auto"/>
              <w:bottom w:val="single" w:sz="4" w:space="0" w:color="auto"/>
              <w:right w:val="single" w:sz="4" w:space="0" w:color="auto"/>
            </w:tcBorders>
            <w:shd w:val="clear" w:color="D9D9D9" w:fill="D9D9D9"/>
            <w:hideMark/>
          </w:tcPr>
          <w:p w14:paraId="1BEF1F65"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2665D0" w:rsidRPr="00AD2821" w14:paraId="35AA3FA7" w14:textId="77777777" w:rsidTr="00D45F54">
        <w:trPr>
          <w:trHeight w:val="1125"/>
        </w:trPr>
        <w:tc>
          <w:tcPr>
            <w:tcW w:w="252" w:type="pct"/>
            <w:tcBorders>
              <w:top w:val="single" w:sz="4" w:space="0" w:color="auto"/>
              <w:left w:val="single" w:sz="4" w:space="0" w:color="auto"/>
              <w:bottom w:val="single" w:sz="4" w:space="0" w:color="auto"/>
              <w:right w:val="single" w:sz="4" w:space="0" w:color="auto"/>
            </w:tcBorders>
            <w:shd w:val="clear" w:color="auto" w:fill="auto"/>
            <w:hideMark/>
          </w:tcPr>
          <w:p w14:paraId="31008800"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lastRenderedPageBreak/>
              <w:t>83</w:t>
            </w:r>
          </w:p>
        </w:tc>
        <w:tc>
          <w:tcPr>
            <w:tcW w:w="1470" w:type="pct"/>
            <w:tcBorders>
              <w:top w:val="single" w:sz="4" w:space="0" w:color="auto"/>
              <w:left w:val="single" w:sz="4" w:space="0" w:color="auto"/>
              <w:bottom w:val="single" w:sz="4" w:space="0" w:color="auto"/>
              <w:right w:val="single" w:sz="4" w:space="0" w:color="auto"/>
            </w:tcBorders>
            <w:shd w:val="clear" w:color="auto" w:fill="auto"/>
            <w:hideMark/>
          </w:tcPr>
          <w:p w14:paraId="7C6E2CDB"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Which are the most suitable outcome measurements that can be used to assess the validity of RLR?</w:t>
            </w:r>
          </w:p>
        </w:tc>
        <w:tc>
          <w:tcPr>
            <w:tcW w:w="274" w:type="pct"/>
            <w:tcBorders>
              <w:top w:val="single" w:sz="4" w:space="0" w:color="auto"/>
              <w:left w:val="single" w:sz="4" w:space="0" w:color="auto"/>
              <w:bottom w:val="single" w:sz="4" w:space="0" w:color="auto"/>
              <w:right w:val="single" w:sz="4" w:space="0" w:color="auto"/>
            </w:tcBorders>
            <w:shd w:val="clear" w:color="auto" w:fill="auto"/>
            <w:hideMark/>
          </w:tcPr>
          <w:p w14:paraId="29BBCAFE"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83</w:t>
            </w:r>
          </w:p>
        </w:tc>
        <w:tc>
          <w:tcPr>
            <w:tcW w:w="1536" w:type="pct"/>
            <w:tcBorders>
              <w:top w:val="single" w:sz="4" w:space="0" w:color="auto"/>
              <w:left w:val="single" w:sz="4" w:space="0" w:color="auto"/>
              <w:bottom w:val="single" w:sz="4" w:space="0" w:color="auto"/>
              <w:right w:val="single" w:sz="4" w:space="0" w:color="auto"/>
            </w:tcBorders>
            <w:shd w:val="clear" w:color="auto" w:fill="auto"/>
            <w:hideMark/>
          </w:tcPr>
          <w:p w14:paraId="2467287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The parameters to assess validity of RLR should be the same as for LLR and open surgery.</w:t>
            </w:r>
          </w:p>
        </w:tc>
        <w:tc>
          <w:tcPr>
            <w:tcW w:w="256" w:type="pct"/>
            <w:tcBorders>
              <w:top w:val="single" w:sz="4" w:space="0" w:color="auto"/>
              <w:left w:val="single" w:sz="4" w:space="0" w:color="auto"/>
              <w:bottom w:val="single" w:sz="4" w:space="0" w:color="auto"/>
              <w:right w:val="single" w:sz="4" w:space="0" w:color="auto"/>
            </w:tcBorders>
            <w:shd w:val="clear" w:color="auto" w:fill="auto"/>
            <w:noWrap/>
            <w:hideMark/>
          </w:tcPr>
          <w:p w14:paraId="248783C5"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c>
          <w:tcPr>
            <w:tcW w:w="1214" w:type="pct"/>
            <w:tcBorders>
              <w:top w:val="single" w:sz="4" w:space="0" w:color="auto"/>
              <w:left w:val="single" w:sz="4" w:space="0" w:color="auto"/>
              <w:bottom w:val="single" w:sz="4" w:space="0" w:color="auto"/>
              <w:right w:val="single" w:sz="4" w:space="0" w:color="auto"/>
            </w:tcBorders>
            <w:shd w:val="clear" w:color="auto" w:fill="auto"/>
            <w:hideMark/>
          </w:tcPr>
          <w:p w14:paraId="7DD6D4AF"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2665D0" w:rsidRPr="00AD2821" w14:paraId="60FF8ACE" w14:textId="77777777" w:rsidTr="00D45F54">
        <w:trPr>
          <w:trHeight w:val="1500"/>
        </w:trPr>
        <w:tc>
          <w:tcPr>
            <w:tcW w:w="252" w:type="pct"/>
            <w:tcBorders>
              <w:top w:val="single" w:sz="4" w:space="0" w:color="auto"/>
              <w:left w:val="single" w:sz="4" w:space="0" w:color="auto"/>
              <w:bottom w:val="nil"/>
              <w:right w:val="single" w:sz="4" w:space="0" w:color="auto"/>
            </w:tcBorders>
            <w:shd w:val="clear" w:color="D9D9D9" w:fill="D9D9D9"/>
            <w:hideMark/>
          </w:tcPr>
          <w:p w14:paraId="5F58A9BB"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84</w:t>
            </w:r>
          </w:p>
        </w:tc>
        <w:tc>
          <w:tcPr>
            <w:tcW w:w="1470" w:type="pct"/>
            <w:tcBorders>
              <w:top w:val="single" w:sz="4" w:space="0" w:color="auto"/>
              <w:left w:val="single" w:sz="4" w:space="0" w:color="auto"/>
              <w:bottom w:val="nil"/>
              <w:right w:val="single" w:sz="4" w:space="0" w:color="auto"/>
            </w:tcBorders>
            <w:shd w:val="clear" w:color="D9D9D9" w:fill="D9D9D9"/>
            <w:hideMark/>
          </w:tcPr>
          <w:p w14:paraId="67745062"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What is the optimal outcome measurement we need to develop for future assessments in LLR and RLR?</w:t>
            </w:r>
          </w:p>
        </w:tc>
        <w:tc>
          <w:tcPr>
            <w:tcW w:w="274" w:type="pct"/>
            <w:tcBorders>
              <w:top w:val="single" w:sz="4" w:space="0" w:color="auto"/>
              <w:left w:val="single" w:sz="4" w:space="0" w:color="auto"/>
              <w:bottom w:val="single" w:sz="4" w:space="0" w:color="auto"/>
              <w:right w:val="single" w:sz="4" w:space="0" w:color="auto"/>
            </w:tcBorders>
            <w:shd w:val="clear" w:color="D9D9D9" w:fill="D9D9D9"/>
            <w:hideMark/>
          </w:tcPr>
          <w:p w14:paraId="743CBD8E"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84.1</w:t>
            </w:r>
          </w:p>
        </w:tc>
        <w:tc>
          <w:tcPr>
            <w:tcW w:w="1536" w:type="pct"/>
            <w:tcBorders>
              <w:top w:val="single" w:sz="4" w:space="0" w:color="auto"/>
              <w:left w:val="single" w:sz="4" w:space="0" w:color="auto"/>
              <w:bottom w:val="single" w:sz="4" w:space="0" w:color="auto"/>
              <w:right w:val="single" w:sz="4" w:space="0" w:color="auto"/>
            </w:tcBorders>
            <w:shd w:val="clear" w:color="D9D9D9" w:fill="D9D9D9"/>
            <w:hideMark/>
          </w:tcPr>
          <w:p w14:paraId="5940D763"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Future assessments of LLR and RLR should integrate Patient-Reported Outcomes (PROs) using a minimal core set of Patient-Reported Outcome Measurements (PROMs).</w:t>
            </w:r>
          </w:p>
        </w:tc>
        <w:tc>
          <w:tcPr>
            <w:tcW w:w="256" w:type="pct"/>
            <w:tcBorders>
              <w:top w:val="single" w:sz="4" w:space="0" w:color="auto"/>
              <w:left w:val="single" w:sz="4" w:space="0" w:color="auto"/>
              <w:bottom w:val="single" w:sz="4" w:space="0" w:color="auto"/>
              <w:right w:val="single" w:sz="4" w:space="0" w:color="auto"/>
            </w:tcBorders>
            <w:shd w:val="clear" w:color="D9D9D9" w:fill="D9D9D9"/>
            <w:noWrap/>
            <w:hideMark/>
          </w:tcPr>
          <w:p w14:paraId="2793D2E6"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c>
          <w:tcPr>
            <w:tcW w:w="1214" w:type="pct"/>
            <w:tcBorders>
              <w:top w:val="single" w:sz="4" w:space="0" w:color="auto"/>
              <w:left w:val="single" w:sz="4" w:space="0" w:color="auto"/>
              <w:bottom w:val="single" w:sz="4" w:space="0" w:color="auto"/>
              <w:right w:val="single" w:sz="4" w:space="0" w:color="auto"/>
            </w:tcBorders>
            <w:shd w:val="clear" w:color="D9D9D9" w:fill="D9D9D9"/>
            <w:hideMark/>
          </w:tcPr>
          <w:p w14:paraId="6D0E848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2665D0" w:rsidRPr="00AD2821" w14:paraId="0CDBAEC4" w14:textId="77777777" w:rsidTr="00D45F54">
        <w:trPr>
          <w:trHeight w:val="750"/>
        </w:trPr>
        <w:tc>
          <w:tcPr>
            <w:tcW w:w="252" w:type="pct"/>
            <w:tcBorders>
              <w:top w:val="nil"/>
              <w:left w:val="single" w:sz="4" w:space="0" w:color="auto"/>
              <w:bottom w:val="nil"/>
              <w:right w:val="single" w:sz="4" w:space="0" w:color="auto"/>
            </w:tcBorders>
            <w:shd w:val="clear" w:color="auto" w:fill="auto"/>
            <w:hideMark/>
          </w:tcPr>
          <w:p w14:paraId="467CF799"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470" w:type="pct"/>
            <w:tcBorders>
              <w:top w:val="nil"/>
              <w:left w:val="single" w:sz="4" w:space="0" w:color="auto"/>
              <w:bottom w:val="nil"/>
              <w:right w:val="single" w:sz="4" w:space="0" w:color="auto"/>
            </w:tcBorders>
            <w:shd w:val="clear" w:color="auto" w:fill="auto"/>
            <w:hideMark/>
          </w:tcPr>
          <w:p w14:paraId="43337E9A"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274" w:type="pct"/>
            <w:tcBorders>
              <w:top w:val="single" w:sz="4" w:space="0" w:color="auto"/>
              <w:left w:val="single" w:sz="4" w:space="0" w:color="auto"/>
              <w:bottom w:val="single" w:sz="4" w:space="0" w:color="auto"/>
              <w:right w:val="single" w:sz="4" w:space="0" w:color="auto"/>
            </w:tcBorders>
            <w:shd w:val="clear" w:color="auto" w:fill="auto"/>
            <w:hideMark/>
          </w:tcPr>
          <w:p w14:paraId="298CA181"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84.2</w:t>
            </w:r>
          </w:p>
        </w:tc>
        <w:tc>
          <w:tcPr>
            <w:tcW w:w="1536" w:type="pct"/>
            <w:tcBorders>
              <w:top w:val="single" w:sz="4" w:space="0" w:color="auto"/>
              <w:left w:val="single" w:sz="4" w:space="0" w:color="auto"/>
              <w:bottom w:val="single" w:sz="4" w:space="0" w:color="auto"/>
              <w:right w:val="single" w:sz="4" w:space="0" w:color="auto"/>
            </w:tcBorders>
            <w:shd w:val="clear" w:color="auto" w:fill="auto"/>
            <w:hideMark/>
          </w:tcPr>
          <w:p w14:paraId="131C9740"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This core set of PROMs needs to be defined in future research.</w:t>
            </w:r>
          </w:p>
        </w:tc>
        <w:tc>
          <w:tcPr>
            <w:tcW w:w="256" w:type="pct"/>
            <w:tcBorders>
              <w:top w:val="single" w:sz="4" w:space="0" w:color="auto"/>
              <w:left w:val="single" w:sz="4" w:space="0" w:color="auto"/>
              <w:bottom w:val="single" w:sz="4" w:space="0" w:color="auto"/>
              <w:right w:val="single" w:sz="4" w:space="0" w:color="auto"/>
            </w:tcBorders>
            <w:shd w:val="clear" w:color="auto" w:fill="auto"/>
            <w:noWrap/>
            <w:hideMark/>
          </w:tcPr>
          <w:p w14:paraId="4AE32D5E"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1C</w:t>
            </w:r>
          </w:p>
        </w:tc>
        <w:tc>
          <w:tcPr>
            <w:tcW w:w="1214" w:type="pct"/>
            <w:tcBorders>
              <w:top w:val="single" w:sz="4" w:space="0" w:color="auto"/>
              <w:left w:val="single" w:sz="4" w:space="0" w:color="auto"/>
              <w:bottom w:val="single" w:sz="4" w:space="0" w:color="auto"/>
              <w:right w:val="single" w:sz="4" w:space="0" w:color="auto"/>
            </w:tcBorders>
            <w:shd w:val="clear" w:color="auto" w:fill="auto"/>
            <w:hideMark/>
          </w:tcPr>
          <w:p w14:paraId="0850550E"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r w:rsidR="002665D0" w:rsidRPr="00AD2821" w14:paraId="3B7FA8FD" w14:textId="77777777" w:rsidTr="00D45F54">
        <w:trPr>
          <w:trHeight w:val="1875"/>
        </w:trPr>
        <w:tc>
          <w:tcPr>
            <w:tcW w:w="252" w:type="pct"/>
            <w:tcBorders>
              <w:top w:val="nil"/>
              <w:left w:val="single" w:sz="4" w:space="0" w:color="auto"/>
              <w:bottom w:val="single" w:sz="4" w:space="0" w:color="auto"/>
              <w:right w:val="single" w:sz="4" w:space="0" w:color="auto"/>
            </w:tcBorders>
            <w:shd w:val="clear" w:color="D9D9D9" w:fill="D9D9D9"/>
            <w:hideMark/>
          </w:tcPr>
          <w:p w14:paraId="62CC3CEA"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c>
          <w:tcPr>
            <w:tcW w:w="1470" w:type="pct"/>
            <w:tcBorders>
              <w:top w:val="nil"/>
              <w:left w:val="single" w:sz="4" w:space="0" w:color="auto"/>
              <w:bottom w:val="single" w:sz="4" w:space="0" w:color="auto"/>
              <w:right w:val="single" w:sz="4" w:space="0" w:color="auto"/>
            </w:tcBorders>
            <w:shd w:val="clear" w:color="D9D9D9" w:fill="D9D9D9"/>
            <w:hideMark/>
          </w:tcPr>
          <w:p w14:paraId="5049C130"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 </w:t>
            </w:r>
          </w:p>
        </w:tc>
        <w:tc>
          <w:tcPr>
            <w:tcW w:w="274" w:type="pct"/>
            <w:tcBorders>
              <w:top w:val="single" w:sz="4" w:space="0" w:color="auto"/>
              <w:left w:val="single" w:sz="4" w:space="0" w:color="auto"/>
              <w:bottom w:val="single" w:sz="4" w:space="0" w:color="auto"/>
              <w:right w:val="single" w:sz="4" w:space="0" w:color="auto"/>
            </w:tcBorders>
            <w:shd w:val="clear" w:color="D9D9D9" w:fill="D9D9D9"/>
            <w:hideMark/>
          </w:tcPr>
          <w:p w14:paraId="388522A8"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84.3</w:t>
            </w:r>
          </w:p>
        </w:tc>
        <w:tc>
          <w:tcPr>
            <w:tcW w:w="1536" w:type="pct"/>
            <w:tcBorders>
              <w:top w:val="single" w:sz="4" w:space="0" w:color="auto"/>
              <w:left w:val="single" w:sz="4" w:space="0" w:color="auto"/>
              <w:bottom w:val="single" w:sz="4" w:space="0" w:color="auto"/>
              <w:right w:val="single" w:sz="4" w:space="0" w:color="auto"/>
            </w:tcBorders>
            <w:shd w:val="clear" w:color="D9D9D9" w:fill="D9D9D9"/>
            <w:hideMark/>
          </w:tcPr>
          <w:p w14:paraId="668F672A" w14:textId="77777777" w:rsidR="002665D0" w:rsidRPr="00AD2821" w:rsidRDefault="002665D0" w:rsidP="00D45F54">
            <w:pPr>
              <w:rPr>
                <w:rFonts w:eastAsia="Times New Roman" w:cstheme="minorHAnsi"/>
                <w:color w:val="333333"/>
                <w:sz w:val="22"/>
                <w:szCs w:val="22"/>
                <w:lang w:val="en-GB" w:eastAsia="nl-NL"/>
              </w:rPr>
            </w:pPr>
            <w:r w:rsidRPr="00AD2821">
              <w:rPr>
                <w:rFonts w:eastAsia="Times New Roman" w:cstheme="minorHAnsi"/>
                <w:color w:val="333333"/>
                <w:sz w:val="22"/>
                <w:szCs w:val="22"/>
                <w:lang w:val="en-GB" w:eastAsia="nl-NL"/>
              </w:rPr>
              <w:t>In patients who undergo surgery for cancer (CRLM or HCC), returning to oncologic therapy (measured by the delay between surgery and postoperative chemotherapy initiation, etc.) emerges as a relevant new measurement of postoperative outcome.</w:t>
            </w:r>
          </w:p>
        </w:tc>
        <w:tc>
          <w:tcPr>
            <w:tcW w:w="256" w:type="pct"/>
            <w:tcBorders>
              <w:top w:val="single" w:sz="4" w:space="0" w:color="auto"/>
              <w:left w:val="single" w:sz="4" w:space="0" w:color="auto"/>
              <w:bottom w:val="single" w:sz="4" w:space="0" w:color="auto"/>
              <w:right w:val="single" w:sz="4" w:space="0" w:color="auto"/>
            </w:tcBorders>
            <w:shd w:val="clear" w:color="D9D9D9" w:fill="D9D9D9"/>
            <w:noWrap/>
            <w:hideMark/>
          </w:tcPr>
          <w:p w14:paraId="267591D2"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2C</w:t>
            </w:r>
          </w:p>
        </w:tc>
        <w:tc>
          <w:tcPr>
            <w:tcW w:w="1214" w:type="pct"/>
            <w:tcBorders>
              <w:top w:val="single" w:sz="4" w:space="0" w:color="auto"/>
              <w:left w:val="single" w:sz="4" w:space="0" w:color="auto"/>
              <w:bottom w:val="single" w:sz="4" w:space="0" w:color="auto"/>
              <w:right w:val="single" w:sz="4" w:space="0" w:color="auto"/>
            </w:tcBorders>
            <w:shd w:val="clear" w:color="D9D9D9" w:fill="D9D9D9"/>
            <w:hideMark/>
          </w:tcPr>
          <w:p w14:paraId="0767FDC8" w14:textId="77777777" w:rsidR="002665D0" w:rsidRPr="00AD2821" w:rsidRDefault="002665D0" w:rsidP="00D45F54">
            <w:pPr>
              <w:rPr>
                <w:rFonts w:eastAsia="Times New Roman" w:cstheme="minorHAnsi"/>
                <w:color w:val="000000"/>
                <w:sz w:val="22"/>
                <w:szCs w:val="22"/>
                <w:lang w:val="en-GB" w:eastAsia="nl-NL"/>
              </w:rPr>
            </w:pPr>
            <w:r w:rsidRPr="00AD2821">
              <w:rPr>
                <w:rFonts w:eastAsia="Times New Roman" w:cstheme="minorHAnsi"/>
                <w:color w:val="000000"/>
                <w:sz w:val="22"/>
                <w:szCs w:val="22"/>
                <w:lang w:val="en-GB" w:eastAsia="nl-NL"/>
              </w:rPr>
              <w:t> </w:t>
            </w:r>
          </w:p>
        </w:tc>
      </w:tr>
    </w:tbl>
    <w:p w14:paraId="3C66BD73" w14:textId="2B82C8C1" w:rsidR="00303F17" w:rsidRPr="00AD2821" w:rsidRDefault="00303F17" w:rsidP="00303F17">
      <w:pPr>
        <w:jc w:val="both"/>
        <w:rPr>
          <w:rFonts w:cstheme="minorHAnsi"/>
          <w:sz w:val="22"/>
          <w:szCs w:val="22"/>
          <w:lang w:val="en-US"/>
        </w:rPr>
      </w:pPr>
    </w:p>
    <w:p w14:paraId="35BF97F0" w14:textId="77777777" w:rsidR="00303F17" w:rsidRPr="00AD2821" w:rsidRDefault="00303F17" w:rsidP="00303F17">
      <w:pPr>
        <w:jc w:val="both"/>
        <w:rPr>
          <w:rFonts w:cstheme="minorHAnsi"/>
          <w:sz w:val="22"/>
          <w:szCs w:val="22"/>
          <w:lang w:val="en-US"/>
        </w:rPr>
      </w:pPr>
    </w:p>
    <w:p w14:paraId="05C7679D" w14:textId="77777777" w:rsidR="00303F17" w:rsidRPr="00AD2821" w:rsidRDefault="00303F17" w:rsidP="00303F17">
      <w:pPr>
        <w:jc w:val="both"/>
        <w:rPr>
          <w:rFonts w:cstheme="minorHAnsi"/>
          <w:sz w:val="22"/>
          <w:szCs w:val="22"/>
          <w:lang w:val="en-US"/>
        </w:rPr>
      </w:pPr>
    </w:p>
    <w:p w14:paraId="7F340282" w14:textId="77777777" w:rsidR="00303F17" w:rsidRPr="00AD2821" w:rsidRDefault="00303F17">
      <w:pPr>
        <w:rPr>
          <w:rFonts w:cstheme="minorHAnsi"/>
          <w:sz w:val="22"/>
          <w:szCs w:val="22"/>
          <w:lang w:val="en-US"/>
        </w:rPr>
      </w:pPr>
      <w:r w:rsidRPr="00AD2821">
        <w:rPr>
          <w:rFonts w:cstheme="minorHAnsi"/>
          <w:sz w:val="22"/>
          <w:szCs w:val="22"/>
          <w:lang w:val="en-US"/>
        </w:rPr>
        <w:br w:type="page"/>
      </w:r>
    </w:p>
    <w:p w14:paraId="44D67FF8" w14:textId="77777777" w:rsidR="002665D0" w:rsidRPr="00AD2821" w:rsidRDefault="00303F17" w:rsidP="002665D0">
      <w:pPr>
        <w:keepNext/>
        <w:keepLines/>
        <w:spacing w:before="160" w:after="80"/>
        <w:outlineLvl w:val="1"/>
        <w:rPr>
          <w:rFonts w:eastAsiaTheme="majorEastAsia" w:cstheme="minorHAnsi"/>
          <w:color w:val="000000" w:themeColor="text1"/>
          <w:sz w:val="22"/>
          <w:szCs w:val="22"/>
          <w:lang w:val="en-GB"/>
        </w:rPr>
      </w:pPr>
      <w:r w:rsidRPr="00AD2821">
        <w:rPr>
          <w:rFonts w:cstheme="minorHAnsi"/>
          <w:color w:val="000000" w:themeColor="text1"/>
          <w:sz w:val="22"/>
          <w:szCs w:val="22"/>
          <w:lang w:val="en-US"/>
        </w:rPr>
        <w:lastRenderedPageBreak/>
        <w:t xml:space="preserve">Supplementary Table 7. </w:t>
      </w:r>
      <w:r w:rsidR="002665D0" w:rsidRPr="00AD2821">
        <w:rPr>
          <w:rFonts w:eastAsiaTheme="majorEastAsia" w:cstheme="minorHAnsi"/>
          <w:color w:val="000000" w:themeColor="text1"/>
          <w:sz w:val="22"/>
          <w:szCs w:val="22"/>
          <w:lang w:val="en-GB"/>
        </w:rPr>
        <w:t xml:space="preserve">Domain 7 Clinical Questions and Recommendations </w:t>
      </w:r>
    </w:p>
    <w:p w14:paraId="3686E5B7" w14:textId="77777777" w:rsidR="002665D0" w:rsidRPr="00AD2821" w:rsidRDefault="002665D0" w:rsidP="002665D0">
      <w:pPr>
        <w:keepNext/>
        <w:keepLines/>
        <w:spacing w:before="160" w:after="80"/>
        <w:outlineLvl w:val="1"/>
        <w:rPr>
          <w:rFonts w:eastAsiaTheme="majorEastAsia" w:cstheme="minorHAnsi"/>
          <w:color w:val="000000" w:themeColor="text1"/>
          <w:sz w:val="22"/>
          <w:szCs w:val="22"/>
          <w:lang w:val="en-GB"/>
        </w:rPr>
      </w:pPr>
    </w:p>
    <w:tbl>
      <w:tblPr>
        <w:tblW w:w="5000" w:type="pct"/>
        <w:tblCellMar>
          <w:left w:w="70" w:type="dxa"/>
          <w:right w:w="70" w:type="dxa"/>
        </w:tblCellMar>
        <w:tblLook w:val="04A0" w:firstRow="1" w:lastRow="0" w:firstColumn="1" w:lastColumn="0" w:noHBand="0" w:noVBand="1"/>
      </w:tblPr>
      <w:tblGrid>
        <w:gridCol w:w="505"/>
        <w:gridCol w:w="1942"/>
        <w:gridCol w:w="566"/>
        <w:gridCol w:w="3953"/>
        <w:gridCol w:w="646"/>
        <w:gridCol w:w="1830"/>
      </w:tblGrid>
      <w:tr w:rsidR="002665D0" w:rsidRPr="00AD2821" w14:paraId="75990FD3" w14:textId="77777777" w:rsidTr="00D45F54">
        <w:trPr>
          <w:trHeight w:val="375"/>
        </w:trPr>
        <w:tc>
          <w:tcPr>
            <w:tcW w:w="108" w:type="pct"/>
            <w:tcBorders>
              <w:top w:val="single" w:sz="4" w:space="0" w:color="auto"/>
              <w:left w:val="single" w:sz="4" w:space="0" w:color="auto"/>
              <w:bottom w:val="single" w:sz="4" w:space="0" w:color="auto"/>
              <w:right w:val="single" w:sz="4" w:space="0" w:color="auto"/>
            </w:tcBorders>
            <w:shd w:val="clear" w:color="auto" w:fill="auto"/>
            <w:hideMark/>
          </w:tcPr>
          <w:p w14:paraId="73F82090" w14:textId="77777777" w:rsidR="002665D0" w:rsidRPr="00AD2821" w:rsidRDefault="002665D0" w:rsidP="00D45F54">
            <w:pPr>
              <w:rPr>
                <w:rFonts w:eastAsia="Times New Roman" w:cstheme="minorHAnsi"/>
                <w:b/>
                <w:bCs/>
                <w:color w:val="000000"/>
                <w:lang w:val="en-GB" w:eastAsia="nl-NL"/>
              </w:rPr>
            </w:pPr>
            <w:bookmarkStart w:id="5" w:name="RANGE!A1:F32"/>
            <w:r w:rsidRPr="00AD2821">
              <w:rPr>
                <w:rFonts w:eastAsia="Times New Roman" w:cstheme="minorHAnsi"/>
                <w:b/>
                <w:bCs/>
                <w:color w:val="000000"/>
                <w:lang w:val="en-GB" w:eastAsia="nl-NL"/>
              </w:rPr>
              <w:t>Q</w:t>
            </w:r>
            <w:bookmarkEnd w:id="5"/>
          </w:p>
        </w:tc>
        <w:tc>
          <w:tcPr>
            <w:tcW w:w="1598" w:type="pct"/>
            <w:tcBorders>
              <w:top w:val="single" w:sz="4" w:space="0" w:color="auto"/>
              <w:left w:val="single" w:sz="4" w:space="0" w:color="auto"/>
              <w:bottom w:val="single" w:sz="4" w:space="0" w:color="auto"/>
              <w:right w:val="single" w:sz="4" w:space="0" w:color="auto"/>
            </w:tcBorders>
            <w:shd w:val="clear" w:color="auto" w:fill="auto"/>
            <w:hideMark/>
          </w:tcPr>
          <w:p w14:paraId="11061B7E" w14:textId="77777777" w:rsidR="002665D0" w:rsidRPr="00AD2821" w:rsidRDefault="002665D0"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Clinical Question</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325968E5" w14:textId="77777777" w:rsidR="002665D0" w:rsidRPr="00AD2821" w:rsidRDefault="002665D0"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R</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2B19F4E8" w14:textId="77777777" w:rsidR="002665D0" w:rsidRPr="00AD2821" w:rsidRDefault="002665D0"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Recommendation</w:t>
            </w:r>
          </w:p>
        </w:tc>
        <w:tc>
          <w:tcPr>
            <w:tcW w:w="171" w:type="pct"/>
            <w:tcBorders>
              <w:top w:val="single" w:sz="4" w:space="0" w:color="auto"/>
              <w:left w:val="single" w:sz="4" w:space="0" w:color="auto"/>
              <w:bottom w:val="single" w:sz="4" w:space="0" w:color="auto"/>
              <w:right w:val="single" w:sz="4" w:space="0" w:color="auto"/>
            </w:tcBorders>
            <w:shd w:val="clear" w:color="auto" w:fill="auto"/>
            <w:hideMark/>
          </w:tcPr>
          <w:p w14:paraId="1DD52859" w14:textId="77777777" w:rsidR="002665D0" w:rsidRPr="00AD2821" w:rsidRDefault="002665D0"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Code</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15799D6D" w14:textId="77777777" w:rsidR="002665D0" w:rsidRPr="00AD2821" w:rsidRDefault="002665D0"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Comment</w:t>
            </w:r>
          </w:p>
        </w:tc>
      </w:tr>
      <w:tr w:rsidR="002665D0" w:rsidRPr="00AD2821" w14:paraId="04BC4246" w14:textId="77777777" w:rsidTr="00D45F54">
        <w:trPr>
          <w:trHeight w:val="750"/>
        </w:trPr>
        <w:tc>
          <w:tcPr>
            <w:tcW w:w="108" w:type="pct"/>
            <w:tcBorders>
              <w:top w:val="single" w:sz="4" w:space="0" w:color="auto"/>
              <w:left w:val="single" w:sz="4" w:space="0" w:color="auto"/>
              <w:bottom w:val="nil"/>
              <w:right w:val="single" w:sz="4" w:space="0" w:color="auto"/>
            </w:tcBorders>
            <w:shd w:val="clear" w:color="D9D9D9" w:fill="D9D9D9"/>
            <w:hideMark/>
          </w:tcPr>
          <w:p w14:paraId="0C00F87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85</w:t>
            </w:r>
          </w:p>
        </w:tc>
        <w:tc>
          <w:tcPr>
            <w:tcW w:w="1598" w:type="pct"/>
            <w:tcBorders>
              <w:top w:val="single" w:sz="4" w:space="0" w:color="auto"/>
              <w:left w:val="single" w:sz="4" w:space="0" w:color="auto"/>
              <w:bottom w:val="nil"/>
              <w:right w:val="single" w:sz="4" w:space="0" w:color="auto"/>
            </w:tcBorders>
            <w:shd w:val="clear" w:color="D9D9D9" w:fill="D9D9D9"/>
            <w:hideMark/>
          </w:tcPr>
          <w:p w14:paraId="1C485C13"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What training and preparation should surgeons pursue before performing minor, major, and complex liver resections in LLR and RLR? </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1F0107E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85.1</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0598782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Implementing structured training programs with a step-up mastery progression is crucial, where advancement to the next phase is contingent upon. </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4545CD6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21E5B778"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6E225D0B" w14:textId="77777777" w:rsidTr="00D45F54">
        <w:trPr>
          <w:trHeight w:val="750"/>
        </w:trPr>
        <w:tc>
          <w:tcPr>
            <w:tcW w:w="108" w:type="pct"/>
            <w:tcBorders>
              <w:top w:val="nil"/>
              <w:left w:val="single" w:sz="4" w:space="0" w:color="auto"/>
              <w:bottom w:val="nil"/>
              <w:right w:val="single" w:sz="4" w:space="0" w:color="auto"/>
            </w:tcBorders>
            <w:shd w:val="clear" w:color="auto" w:fill="auto"/>
            <w:hideMark/>
          </w:tcPr>
          <w:p w14:paraId="45473C7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8" w:type="pct"/>
            <w:tcBorders>
              <w:top w:val="nil"/>
              <w:left w:val="single" w:sz="4" w:space="0" w:color="auto"/>
              <w:bottom w:val="nil"/>
              <w:right w:val="single" w:sz="4" w:space="0" w:color="auto"/>
            </w:tcBorders>
            <w:shd w:val="clear" w:color="auto" w:fill="auto"/>
            <w:hideMark/>
          </w:tcPr>
          <w:p w14:paraId="58E679B1"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1CD74F7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85.2</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0B0FA19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Surgeons intending to start an LLR or RLR practice should first pursue training through fellowships, courses, and a proctoring program.</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71B68A7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02EA35E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44E2E8B3" w14:textId="77777777" w:rsidTr="00D45F54">
        <w:trPr>
          <w:trHeight w:val="750"/>
        </w:trPr>
        <w:tc>
          <w:tcPr>
            <w:tcW w:w="108" w:type="pct"/>
            <w:tcBorders>
              <w:top w:val="nil"/>
              <w:left w:val="single" w:sz="4" w:space="0" w:color="auto"/>
              <w:bottom w:val="nil"/>
              <w:right w:val="single" w:sz="4" w:space="0" w:color="auto"/>
            </w:tcBorders>
            <w:shd w:val="clear" w:color="D9D9D9" w:fill="D9D9D9"/>
            <w:hideMark/>
          </w:tcPr>
          <w:p w14:paraId="37585A7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8" w:type="pct"/>
            <w:tcBorders>
              <w:top w:val="nil"/>
              <w:left w:val="single" w:sz="4" w:space="0" w:color="auto"/>
              <w:bottom w:val="nil"/>
              <w:right w:val="single" w:sz="4" w:space="0" w:color="auto"/>
            </w:tcBorders>
            <w:shd w:val="clear" w:color="D9D9D9" w:fill="D9D9D9"/>
            <w:hideMark/>
          </w:tcPr>
          <w:p w14:paraId="5392A41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3BAE475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85.3</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27F4DDC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Undertaking major robotic hepatectomy without sufficient RLR experience is strongly discouraged. The learning curve typically involves a minimum of 25 robotic minor hepatectomies.</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77EC119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366B13C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46DB2361" w14:textId="77777777" w:rsidTr="00D45F54">
        <w:trPr>
          <w:trHeight w:val="750"/>
        </w:trPr>
        <w:tc>
          <w:tcPr>
            <w:tcW w:w="108" w:type="pct"/>
            <w:tcBorders>
              <w:top w:val="nil"/>
              <w:left w:val="single" w:sz="4" w:space="0" w:color="auto"/>
              <w:bottom w:val="single" w:sz="4" w:space="0" w:color="auto"/>
              <w:right w:val="single" w:sz="4" w:space="0" w:color="auto"/>
            </w:tcBorders>
            <w:shd w:val="clear" w:color="auto" w:fill="auto"/>
            <w:hideMark/>
          </w:tcPr>
          <w:p w14:paraId="5005FD5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8" w:type="pct"/>
            <w:tcBorders>
              <w:top w:val="nil"/>
              <w:left w:val="single" w:sz="4" w:space="0" w:color="auto"/>
              <w:bottom w:val="single" w:sz="4" w:space="0" w:color="auto"/>
              <w:right w:val="single" w:sz="4" w:space="0" w:color="auto"/>
            </w:tcBorders>
            <w:shd w:val="clear" w:color="auto" w:fill="auto"/>
            <w:hideMark/>
          </w:tcPr>
          <w:p w14:paraId="10D48BB6"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450072D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85.4</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3D41DAD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LLR experience is not essential prior to starting RLR; however, it may reduce the learning curve.</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22759AA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14BA36F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750153E3" w14:textId="77777777" w:rsidTr="00D45F54">
        <w:trPr>
          <w:trHeight w:val="750"/>
        </w:trPr>
        <w:tc>
          <w:tcPr>
            <w:tcW w:w="108" w:type="pct"/>
            <w:tcBorders>
              <w:top w:val="single" w:sz="4" w:space="0" w:color="auto"/>
              <w:left w:val="single" w:sz="4" w:space="0" w:color="auto"/>
              <w:bottom w:val="nil"/>
              <w:right w:val="single" w:sz="4" w:space="0" w:color="auto"/>
            </w:tcBorders>
            <w:shd w:val="clear" w:color="D9D9D9" w:fill="D9D9D9"/>
            <w:hideMark/>
          </w:tcPr>
          <w:p w14:paraId="5FE919E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86</w:t>
            </w:r>
          </w:p>
        </w:tc>
        <w:tc>
          <w:tcPr>
            <w:tcW w:w="1598" w:type="pct"/>
            <w:tcBorders>
              <w:top w:val="single" w:sz="4" w:space="0" w:color="auto"/>
              <w:left w:val="single" w:sz="4" w:space="0" w:color="auto"/>
              <w:bottom w:val="nil"/>
              <w:right w:val="single" w:sz="4" w:space="0" w:color="auto"/>
            </w:tcBorders>
            <w:shd w:val="clear" w:color="D9D9D9" w:fill="D9D9D9"/>
            <w:hideMark/>
          </w:tcPr>
          <w:p w14:paraId="0C948333"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Who should be undertaking training and mentoring roles in LLR and RLR? </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3879F6C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86.1</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39FDBD96"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To ensure safe adoption of the technique, the roles of mentor and trainer should be undertaken by an expert liver surgeon who has completed their learning curve for complex LLR and/or RLR and has a track record in training.</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565EF64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141B43B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7668F060" w14:textId="77777777" w:rsidTr="00D45F54">
        <w:trPr>
          <w:trHeight w:val="750"/>
        </w:trPr>
        <w:tc>
          <w:tcPr>
            <w:tcW w:w="108" w:type="pct"/>
            <w:tcBorders>
              <w:top w:val="nil"/>
              <w:left w:val="single" w:sz="4" w:space="0" w:color="auto"/>
              <w:bottom w:val="single" w:sz="4" w:space="0" w:color="auto"/>
              <w:right w:val="single" w:sz="4" w:space="0" w:color="auto"/>
            </w:tcBorders>
            <w:shd w:val="clear" w:color="auto" w:fill="auto"/>
            <w:hideMark/>
          </w:tcPr>
          <w:p w14:paraId="4EFC233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8" w:type="pct"/>
            <w:tcBorders>
              <w:top w:val="nil"/>
              <w:left w:val="single" w:sz="4" w:space="0" w:color="auto"/>
              <w:bottom w:val="single" w:sz="4" w:space="0" w:color="auto"/>
              <w:right w:val="single" w:sz="4" w:space="0" w:color="auto"/>
            </w:tcBorders>
            <w:shd w:val="clear" w:color="auto" w:fill="auto"/>
            <w:hideMark/>
          </w:tcPr>
          <w:p w14:paraId="39DF3F8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4496173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86.2</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4D061AC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Mentorship and/or proctorship in RLR by non-hepatobiliary robotic surgeons is discouraged and not appropriate in the advanced phase.</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7E3F520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5E3A1C9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161A6B8E" w14:textId="77777777" w:rsidTr="00D45F54">
        <w:trPr>
          <w:trHeight w:val="750"/>
        </w:trPr>
        <w:tc>
          <w:tcPr>
            <w:tcW w:w="108" w:type="pct"/>
            <w:tcBorders>
              <w:top w:val="single" w:sz="4" w:space="0" w:color="auto"/>
              <w:left w:val="single" w:sz="4" w:space="0" w:color="auto"/>
              <w:bottom w:val="single" w:sz="4" w:space="0" w:color="auto"/>
              <w:right w:val="single" w:sz="4" w:space="0" w:color="auto"/>
            </w:tcBorders>
            <w:shd w:val="clear" w:color="D9D9D9" w:fill="D9D9D9"/>
            <w:hideMark/>
          </w:tcPr>
          <w:p w14:paraId="32DA934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87</w:t>
            </w:r>
          </w:p>
        </w:tc>
        <w:tc>
          <w:tcPr>
            <w:tcW w:w="1598" w:type="pct"/>
            <w:tcBorders>
              <w:top w:val="single" w:sz="4" w:space="0" w:color="auto"/>
              <w:left w:val="single" w:sz="4" w:space="0" w:color="auto"/>
              <w:bottom w:val="single" w:sz="4" w:space="0" w:color="auto"/>
              <w:right w:val="single" w:sz="4" w:space="0" w:color="auto"/>
            </w:tcBorders>
            <w:shd w:val="clear" w:color="D9D9D9" w:fill="D9D9D9"/>
            <w:hideMark/>
          </w:tcPr>
          <w:p w14:paraId="0651D7B4"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the impact of European and national training programs on clinical outcomes after LLR and RLR?</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0CCCC8F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87</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27477F6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Structured training programs may help surgeons to safely start with LLR and RLR, acquire competency in a stepwise process, potentially lower learning curves and improve outcomes.</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7CEE948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67C545F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5618EB02" w14:textId="77777777" w:rsidTr="00D45F54">
        <w:trPr>
          <w:trHeight w:val="1125"/>
        </w:trPr>
        <w:tc>
          <w:tcPr>
            <w:tcW w:w="108" w:type="pct"/>
            <w:tcBorders>
              <w:top w:val="single" w:sz="4" w:space="0" w:color="auto"/>
              <w:left w:val="single" w:sz="4" w:space="0" w:color="auto"/>
              <w:bottom w:val="single" w:sz="4" w:space="0" w:color="auto"/>
              <w:right w:val="single" w:sz="4" w:space="0" w:color="auto"/>
            </w:tcBorders>
            <w:shd w:val="clear" w:color="auto" w:fill="auto"/>
            <w:hideMark/>
          </w:tcPr>
          <w:p w14:paraId="0E9CD10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88</w:t>
            </w:r>
          </w:p>
        </w:tc>
        <w:tc>
          <w:tcPr>
            <w:tcW w:w="1598" w:type="pct"/>
            <w:tcBorders>
              <w:top w:val="single" w:sz="4" w:space="0" w:color="auto"/>
              <w:left w:val="single" w:sz="4" w:space="0" w:color="auto"/>
              <w:bottom w:val="single" w:sz="4" w:space="0" w:color="auto"/>
              <w:right w:val="single" w:sz="4" w:space="0" w:color="auto"/>
            </w:tcBorders>
            <w:shd w:val="clear" w:color="auto" w:fill="auto"/>
            <w:hideMark/>
          </w:tcPr>
          <w:p w14:paraId="310A992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the role of proctorship in LLR and RLR training?</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7EA186A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88</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15B81561"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All surgeons without formal LLR and RLR training who intend to adopt LLR and RLR should receive proctoring in the initiation and expansion phases of their program. Surgeons are encouraged to have an in-person proctor for the initial learning curve of major/complex LLR and RLR.</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5218FA3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2342D60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5147C3B0" w14:textId="77777777" w:rsidTr="00D45F54">
        <w:trPr>
          <w:trHeight w:val="750"/>
        </w:trPr>
        <w:tc>
          <w:tcPr>
            <w:tcW w:w="108" w:type="pct"/>
            <w:tcBorders>
              <w:top w:val="single" w:sz="4" w:space="0" w:color="auto"/>
              <w:left w:val="single" w:sz="4" w:space="0" w:color="auto"/>
              <w:bottom w:val="nil"/>
              <w:right w:val="single" w:sz="4" w:space="0" w:color="auto"/>
            </w:tcBorders>
            <w:shd w:val="clear" w:color="D9D9D9" w:fill="D9D9D9"/>
            <w:hideMark/>
          </w:tcPr>
          <w:p w14:paraId="14FC953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89</w:t>
            </w:r>
          </w:p>
        </w:tc>
        <w:tc>
          <w:tcPr>
            <w:tcW w:w="1598" w:type="pct"/>
            <w:tcBorders>
              <w:top w:val="single" w:sz="4" w:space="0" w:color="auto"/>
              <w:left w:val="single" w:sz="4" w:space="0" w:color="auto"/>
              <w:bottom w:val="nil"/>
              <w:right w:val="single" w:sz="4" w:space="0" w:color="auto"/>
            </w:tcBorders>
            <w:shd w:val="clear" w:color="D9D9D9" w:fill="D9D9D9"/>
            <w:hideMark/>
          </w:tcPr>
          <w:p w14:paraId="38F5A25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needed to increase access to LLR and RLR training for practicing surgeons?</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4260EBD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89.1</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1B4599D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Implementation and increased availability of national and international structured training programs are recommended.</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582A853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7244B7B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377456BD" w14:textId="77777777" w:rsidTr="00D45F54">
        <w:trPr>
          <w:trHeight w:val="375"/>
        </w:trPr>
        <w:tc>
          <w:tcPr>
            <w:tcW w:w="108" w:type="pct"/>
            <w:tcBorders>
              <w:top w:val="nil"/>
              <w:left w:val="single" w:sz="4" w:space="0" w:color="auto"/>
              <w:bottom w:val="nil"/>
              <w:right w:val="single" w:sz="4" w:space="0" w:color="auto"/>
            </w:tcBorders>
            <w:shd w:val="clear" w:color="auto" w:fill="auto"/>
            <w:hideMark/>
          </w:tcPr>
          <w:p w14:paraId="492B0E6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8" w:type="pct"/>
            <w:tcBorders>
              <w:top w:val="nil"/>
              <w:left w:val="single" w:sz="4" w:space="0" w:color="auto"/>
              <w:bottom w:val="nil"/>
              <w:right w:val="single" w:sz="4" w:space="0" w:color="auto"/>
            </w:tcBorders>
            <w:shd w:val="clear" w:color="auto" w:fill="auto"/>
            <w:hideMark/>
          </w:tcPr>
          <w:p w14:paraId="13D3781B"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32B3679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89.2</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279B010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Incorporating LLR and RLR in HPB fellowships may increase the availability of LLR and RLR training for surgeons.</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0082265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1C06443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719A2152" w14:textId="77777777" w:rsidTr="00D45F54">
        <w:trPr>
          <w:trHeight w:val="375"/>
        </w:trPr>
        <w:tc>
          <w:tcPr>
            <w:tcW w:w="108" w:type="pct"/>
            <w:tcBorders>
              <w:top w:val="nil"/>
              <w:left w:val="single" w:sz="4" w:space="0" w:color="auto"/>
              <w:bottom w:val="single" w:sz="4" w:space="0" w:color="auto"/>
              <w:right w:val="single" w:sz="4" w:space="0" w:color="auto"/>
            </w:tcBorders>
            <w:shd w:val="clear" w:color="D9D9D9" w:fill="D9D9D9"/>
            <w:hideMark/>
          </w:tcPr>
          <w:p w14:paraId="053064B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8" w:type="pct"/>
            <w:tcBorders>
              <w:top w:val="nil"/>
              <w:left w:val="single" w:sz="4" w:space="0" w:color="auto"/>
              <w:bottom w:val="single" w:sz="4" w:space="0" w:color="auto"/>
              <w:right w:val="single" w:sz="4" w:space="0" w:color="auto"/>
            </w:tcBorders>
            <w:shd w:val="clear" w:color="D9D9D9" w:fill="D9D9D9"/>
            <w:hideMark/>
          </w:tcPr>
          <w:p w14:paraId="2C93BC2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3AA62CE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89.3</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1415D37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Increasing the availability of high-quality training materials such as surgical videos and technique descriptions is recommended.</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245D660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2E1EE09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6AA3E853" w14:textId="77777777" w:rsidTr="00D45F54">
        <w:trPr>
          <w:trHeight w:val="750"/>
        </w:trPr>
        <w:tc>
          <w:tcPr>
            <w:tcW w:w="108" w:type="pct"/>
            <w:tcBorders>
              <w:top w:val="single" w:sz="4" w:space="0" w:color="auto"/>
              <w:left w:val="single" w:sz="4" w:space="0" w:color="auto"/>
              <w:bottom w:val="nil"/>
              <w:right w:val="single" w:sz="4" w:space="0" w:color="auto"/>
            </w:tcBorders>
            <w:shd w:val="clear" w:color="auto" w:fill="auto"/>
            <w:hideMark/>
          </w:tcPr>
          <w:p w14:paraId="40FD304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90</w:t>
            </w:r>
          </w:p>
        </w:tc>
        <w:tc>
          <w:tcPr>
            <w:tcW w:w="1598" w:type="pct"/>
            <w:tcBorders>
              <w:top w:val="single" w:sz="4" w:space="0" w:color="auto"/>
              <w:left w:val="single" w:sz="4" w:space="0" w:color="auto"/>
              <w:bottom w:val="nil"/>
              <w:right w:val="single" w:sz="4" w:space="0" w:color="auto"/>
            </w:tcBorders>
            <w:shd w:val="clear" w:color="auto" w:fill="auto"/>
            <w:hideMark/>
          </w:tcPr>
          <w:p w14:paraId="4C325721"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Which centres should be performing LLR?</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42457B6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90.1</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7E9D211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LLR programs should be established in centres with expertise in open liver surgery and considerations should include both volume-related and multidisciplinary structural elements.</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6D0C8D4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1594058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6831F329" w14:textId="77777777" w:rsidTr="00D45F54">
        <w:trPr>
          <w:trHeight w:val="750"/>
        </w:trPr>
        <w:tc>
          <w:tcPr>
            <w:tcW w:w="108" w:type="pct"/>
            <w:tcBorders>
              <w:top w:val="nil"/>
              <w:left w:val="single" w:sz="4" w:space="0" w:color="auto"/>
              <w:bottom w:val="nil"/>
              <w:right w:val="single" w:sz="4" w:space="0" w:color="auto"/>
            </w:tcBorders>
            <w:shd w:val="clear" w:color="D9D9D9" w:fill="D9D9D9"/>
            <w:hideMark/>
          </w:tcPr>
          <w:p w14:paraId="2D14966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8" w:type="pct"/>
            <w:tcBorders>
              <w:top w:val="nil"/>
              <w:left w:val="single" w:sz="4" w:space="0" w:color="auto"/>
              <w:bottom w:val="nil"/>
              <w:right w:val="single" w:sz="4" w:space="0" w:color="auto"/>
            </w:tcBorders>
            <w:shd w:val="clear" w:color="D9D9D9" w:fill="D9D9D9"/>
            <w:hideMark/>
          </w:tcPr>
          <w:p w14:paraId="09DB275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37801AD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90.2</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48930186"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While minor LLR procedures may yield comparable outcomes in both high and low-volume centres, complex and major procedures are advised to be managed in centres with adequate experience and expertise.</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4AAE53D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1CD310A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2DD4D564" w14:textId="77777777" w:rsidTr="00D45F54">
        <w:trPr>
          <w:trHeight w:val="750"/>
        </w:trPr>
        <w:tc>
          <w:tcPr>
            <w:tcW w:w="108" w:type="pct"/>
            <w:tcBorders>
              <w:top w:val="nil"/>
              <w:left w:val="single" w:sz="4" w:space="0" w:color="auto"/>
              <w:bottom w:val="single" w:sz="4" w:space="0" w:color="auto"/>
              <w:right w:val="single" w:sz="4" w:space="0" w:color="auto"/>
            </w:tcBorders>
            <w:shd w:val="clear" w:color="auto" w:fill="auto"/>
            <w:hideMark/>
          </w:tcPr>
          <w:p w14:paraId="5F4A63B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8" w:type="pct"/>
            <w:tcBorders>
              <w:top w:val="nil"/>
              <w:left w:val="single" w:sz="4" w:space="0" w:color="auto"/>
              <w:bottom w:val="single" w:sz="4" w:space="0" w:color="auto"/>
              <w:right w:val="single" w:sz="4" w:space="0" w:color="auto"/>
            </w:tcBorders>
            <w:shd w:val="clear" w:color="auto" w:fill="auto"/>
            <w:hideMark/>
          </w:tcPr>
          <w:p w14:paraId="43DFDB3D"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7DEA8DB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90.3</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2A4CC961"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There is a significant volume-outcome relationship associated with better postoperative outcomes, lower mortality rates, improved failure-to-rescue rates, and improved oncological outcomes. </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5ED664C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61E51EA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0AF92B4A" w14:textId="77777777" w:rsidTr="00D45F54">
        <w:trPr>
          <w:trHeight w:val="750"/>
        </w:trPr>
        <w:tc>
          <w:tcPr>
            <w:tcW w:w="108" w:type="pct"/>
            <w:tcBorders>
              <w:top w:val="single" w:sz="4" w:space="0" w:color="auto"/>
              <w:left w:val="single" w:sz="4" w:space="0" w:color="auto"/>
              <w:bottom w:val="nil"/>
              <w:right w:val="single" w:sz="4" w:space="0" w:color="auto"/>
            </w:tcBorders>
            <w:shd w:val="clear" w:color="D9D9D9" w:fill="D9D9D9"/>
            <w:hideMark/>
          </w:tcPr>
          <w:p w14:paraId="590B1B1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91</w:t>
            </w:r>
          </w:p>
        </w:tc>
        <w:tc>
          <w:tcPr>
            <w:tcW w:w="1598" w:type="pct"/>
            <w:tcBorders>
              <w:top w:val="single" w:sz="4" w:space="0" w:color="auto"/>
              <w:left w:val="single" w:sz="4" w:space="0" w:color="auto"/>
              <w:bottom w:val="nil"/>
              <w:right w:val="single" w:sz="4" w:space="0" w:color="auto"/>
            </w:tcBorders>
            <w:shd w:val="clear" w:color="D9D9D9" w:fill="D9D9D9"/>
            <w:hideMark/>
          </w:tcPr>
          <w:p w14:paraId="1A1A4ECB"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Which centres should be performing RLR?</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7E4D7FA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91.1</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7E266B66"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RLR programs should be established in centres with expertise in open liver surgery and considerations should include both volume-related and multidisciplinary structural elements.</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22F32A8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65B279D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093508F7" w14:textId="77777777" w:rsidTr="00D45F54">
        <w:trPr>
          <w:trHeight w:val="750"/>
        </w:trPr>
        <w:tc>
          <w:tcPr>
            <w:tcW w:w="108" w:type="pct"/>
            <w:tcBorders>
              <w:top w:val="nil"/>
              <w:left w:val="single" w:sz="4" w:space="0" w:color="auto"/>
              <w:bottom w:val="single" w:sz="4" w:space="0" w:color="auto"/>
              <w:right w:val="single" w:sz="4" w:space="0" w:color="auto"/>
            </w:tcBorders>
            <w:shd w:val="clear" w:color="auto" w:fill="auto"/>
            <w:hideMark/>
          </w:tcPr>
          <w:p w14:paraId="13FE64D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8" w:type="pct"/>
            <w:tcBorders>
              <w:top w:val="nil"/>
              <w:left w:val="single" w:sz="4" w:space="0" w:color="auto"/>
              <w:bottom w:val="single" w:sz="4" w:space="0" w:color="auto"/>
              <w:right w:val="single" w:sz="4" w:space="0" w:color="auto"/>
            </w:tcBorders>
            <w:shd w:val="clear" w:color="auto" w:fill="auto"/>
            <w:hideMark/>
          </w:tcPr>
          <w:p w14:paraId="217047DB"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6B8160A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91.2</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5D665E3B"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RLR should be performed in expert liver centres. LLR experience is not essential prior to starting </w:t>
            </w:r>
            <w:r w:rsidRPr="00AD2821">
              <w:rPr>
                <w:rFonts w:eastAsia="Times New Roman" w:cstheme="minorHAnsi"/>
                <w:color w:val="333333"/>
                <w:lang w:val="en-GB" w:eastAsia="nl-NL"/>
              </w:rPr>
              <w:lastRenderedPageBreak/>
              <w:t>RLR. However, experience with laparoscopic surgical procedures is recommended and may reduce the learning curve.</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3B39DCA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1C</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35D360C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51818416" w14:textId="77777777" w:rsidTr="00D45F54">
        <w:trPr>
          <w:trHeight w:val="750"/>
        </w:trPr>
        <w:tc>
          <w:tcPr>
            <w:tcW w:w="108" w:type="pct"/>
            <w:tcBorders>
              <w:top w:val="single" w:sz="4" w:space="0" w:color="auto"/>
              <w:left w:val="single" w:sz="4" w:space="0" w:color="auto"/>
              <w:bottom w:val="single" w:sz="4" w:space="0" w:color="auto"/>
              <w:right w:val="single" w:sz="4" w:space="0" w:color="auto"/>
            </w:tcBorders>
            <w:shd w:val="clear" w:color="D9D9D9" w:fill="D9D9D9"/>
            <w:hideMark/>
          </w:tcPr>
          <w:p w14:paraId="52A5AE9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92</w:t>
            </w:r>
          </w:p>
        </w:tc>
        <w:tc>
          <w:tcPr>
            <w:tcW w:w="1598" w:type="pct"/>
            <w:tcBorders>
              <w:top w:val="single" w:sz="4" w:space="0" w:color="auto"/>
              <w:left w:val="single" w:sz="4" w:space="0" w:color="auto"/>
              <w:bottom w:val="single" w:sz="4" w:space="0" w:color="auto"/>
              <w:right w:val="single" w:sz="4" w:space="0" w:color="auto"/>
            </w:tcBorders>
            <w:shd w:val="clear" w:color="D9D9D9" w:fill="D9D9D9"/>
            <w:hideMark/>
          </w:tcPr>
          <w:p w14:paraId="3926CB6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Should LLR be adopted in all liver surgical centres?</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20567A1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92</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3095F934"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LLR is associated with improved short-term postoperative outcomes in selected patients. Therefore, it should be adopted in all liver surgery centres and offered to patients with the appropriate indications according to the local level of proficiency</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0486129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1A</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2684D8E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41E45C06" w14:textId="77777777" w:rsidTr="00D45F54">
        <w:trPr>
          <w:trHeight w:val="375"/>
        </w:trPr>
        <w:tc>
          <w:tcPr>
            <w:tcW w:w="108" w:type="pct"/>
            <w:tcBorders>
              <w:top w:val="single" w:sz="4" w:space="0" w:color="auto"/>
              <w:left w:val="single" w:sz="4" w:space="0" w:color="auto"/>
              <w:bottom w:val="single" w:sz="4" w:space="0" w:color="auto"/>
              <w:right w:val="single" w:sz="4" w:space="0" w:color="auto"/>
            </w:tcBorders>
            <w:shd w:val="clear" w:color="auto" w:fill="auto"/>
            <w:hideMark/>
          </w:tcPr>
          <w:p w14:paraId="70B510F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93</w:t>
            </w:r>
          </w:p>
        </w:tc>
        <w:tc>
          <w:tcPr>
            <w:tcW w:w="1598" w:type="pct"/>
            <w:tcBorders>
              <w:top w:val="single" w:sz="4" w:space="0" w:color="auto"/>
              <w:left w:val="single" w:sz="4" w:space="0" w:color="auto"/>
              <w:bottom w:val="single" w:sz="4" w:space="0" w:color="auto"/>
              <w:right w:val="single" w:sz="4" w:space="0" w:color="auto"/>
            </w:tcBorders>
            <w:shd w:val="clear" w:color="auto" w:fill="auto"/>
            <w:hideMark/>
          </w:tcPr>
          <w:p w14:paraId="6D59A14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Should RLR be adopted in all liver surgical centres?</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228E470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93</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47472CE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At this moment, there is no evidence to support the adoption of RLR in all liver surgical centres.</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1092B2E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66E6DE2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5C8A5E1D" w14:textId="77777777" w:rsidTr="00D45F54">
        <w:trPr>
          <w:trHeight w:val="1125"/>
        </w:trPr>
        <w:tc>
          <w:tcPr>
            <w:tcW w:w="108" w:type="pct"/>
            <w:tcBorders>
              <w:top w:val="single" w:sz="4" w:space="0" w:color="auto"/>
              <w:left w:val="single" w:sz="4" w:space="0" w:color="auto"/>
              <w:bottom w:val="single" w:sz="4" w:space="0" w:color="auto"/>
              <w:right w:val="single" w:sz="4" w:space="0" w:color="auto"/>
            </w:tcBorders>
            <w:shd w:val="clear" w:color="D9D9D9" w:fill="D9D9D9"/>
            <w:hideMark/>
          </w:tcPr>
          <w:p w14:paraId="70AB295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94</w:t>
            </w:r>
          </w:p>
        </w:tc>
        <w:tc>
          <w:tcPr>
            <w:tcW w:w="1598" w:type="pct"/>
            <w:tcBorders>
              <w:top w:val="single" w:sz="4" w:space="0" w:color="auto"/>
              <w:left w:val="single" w:sz="4" w:space="0" w:color="auto"/>
              <w:bottom w:val="single" w:sz="4" w:space="0" w:color="auto"/>
              <w:right w:val="single" w:sz="4" w:space="0" w:color="auto"/>
            </w:tcBorders>
            <w:shd w:val="clear" w:color="D9D9D9" w:fill="D9D9D9"/>
            <w:hideMark/>
          </w:tcPr>
          <w:p w14:paraId="715D1224"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the path for medium-volume centres to be able to offer LLR and RLR major hepatectomy safely?</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1A8DE9E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94</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5152783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Recommendations given previously regarding training and preparation for LLR and RLR should be regarded (topic 24). Additionally, collaboration with LLR and RLR referral centres, case observation, and proctorship could facilitate the safe adoption of major LLR and RLR in medium-volume centres.”</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63DAAC2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570B034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1C0B0B20" w14:textId="77777777" w:rsidTr="00D45F54">
        <w:trPr>
          <w:trHeight w:val="750"/>
        </w:trPr>
        <w:tc>
          <w:tcPr>
            <w:tcW w:w="108" w:type="pct"/>
            <w:tcBorders>
              <w:top w:val="single" w:sz="4" w:space="0" w:color="auto"/>
              <w:left w:val="single" w:sz="4" w:space="0" w:color="auto"/>
              <w:bottom w:val="nil"/>
              <w:right w:val="single" w:sz="4" w:space="0" w:color="auto"/>
            </w:tcBorders>
            <w:shd w:val="clear" w:color="auto" w:fill="auto"/>
            <w:hideMark/>
          </w:tcPr>
          <w:p w14:paraId="434960C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95</w:t>
            </w:r>
          </w:p>
        </w:tc>
        <w:tc>
          <w:tcPr>
            <w:tcW w:w="1598" w:type="pct"/>
            <w:tcBorders>
              <w:top w:val="single" w:sz="4" w:space="0" w:color="auto"/>
              <w:left w:val="single" w:sz="4" w:space="0" w:color="auto"/>
              <w:bottom w:val="nil"/>
              <w:right w:val="single" w:sz="4" w:space="0" w:color="auto"/>
            </w:tcBorders>
            <w:shd w:val="clear" w:color="auto" w:fill="auto"/>
            <w:hideMark/>
          </w:tcPr>
          <w:p w14:paraId="71121E0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should be the role of national and international registries in the wider implementation of minimally invasive liver surgery (MILS)?</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5F18240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95.1</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3C2A0C43"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The broader adoption of MILS should be advocated by national and international HPB associations. </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34252E4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116CF54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6DFC65B7" w14:textId="77777777" w:rsidTr="00D45F54">
        <w:trPr>
          <w:trHeight w:val="750"/>
        </w:trPr>
        <w:tc>
          <w:tcPr>
            <w:tcW w:w="108" w:type="pct"/>
            <w:tcBorders>
              <w:top w:val="nil"/>
              <w:left w:val="single" w:sz="4" w:space="0" w:color="auto"/>
              <w:bottom w:val="single" w:sz="4" w:space="0" w:color="auto"/>
              <w:right w:val="single" w:sz="4" w:space="0" w:color="auto"/>
            </w:tcBorders>
            <w:shd w:val="clear" w:color="D9D9D9" w:fill="D9D9D9"/>
            <w:hideMark/>
          </w:tcPr>
          <w:p w14:paraId="6EB68C0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8" w:type="pct"/>
            <w:tcBorders>
              <w:top w:val="nil"/>
              <w:left w:val="single" w:sz="4" w:space="0" w:color="auto"/>
              <w:bottom w:val="single" w:sz="4" w:space="0" w:color="auto"/>
              <w:right w:val="single" w:sz="4" w:space="0" w:color="auto"/>
            </w:tcBorders>
            <w:shd w:val="clear" w:color="D9D9D9" w:fill="D9D9D9"/>
            <w:hideMark/>
          </w:tcPr>
          <w:p w14:paraId="6C27250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34C5B0F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95.2</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1F2247E6"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HPB associations should actively endorse the establishment, implementation, and coordination of national registries, along with active participation in international registries.</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012D126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3928D19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794DC664" w14:textId="77777777" w:rsidTr="00D45F54">
        <w:trPr>
          <w:trHeight w:val="750"/>
        </w:trPr>
        <w:tc>
          <w:tcPr>
            <w:tcW w:w="108" w:type="pct"/>
            <w:tcBorders>
              <w:top w:val="single" w:sz="4" w:space="0" w:color="auto"/>
              <w:left w:val="single" w:sz="4" w:space="0" w:color="auto"/>
              <w:bottom w:val="nil"/>
              <w:right w:val="single" w:sz="4" w:space="0" w:color="auto"/>
            </w:tcBorders>
            <w:shd w:val="clear" w:color="auto" w:fill="auto"/>
            <w:hideMark/>
          </w:tcPr>
          <w:p w14:paraId="06D7121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96</w:t>
            </w:r>
          </w:p>
        </w:tc>
        <w:tc>
          <w:tcPr>
            <w:tcW w:w="1598" w:type="pct"/>
            <w:tcBorders>
              <w:top w:val="single" w:sz="4" w:space="0" w:color="auto"/>
              <w:left w:val="single" w:sz="4" w:space="0" w:color="auto"/>
              <w:bottom w:val="nil"/>
              <w:right w:val="single" w:sz="4" w:space="0" w:color="auto"/>
            </w:tcBorders>
            <w:shd w:val="clear" w:color="auto" w:fill="auto"/>
            <w:hideMark/>
          </w:tcPr>
          <w:p w14:paraId="03DD084C"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Should centres be asked to include minimally invasive patients in registries for quality control and who should </w:t>
            </w:r>
            <w:r w:rsidRPr="00AD2821">
              <w:rPr>
                <w:rFonts w:eastAsia="Times New Roman" w:cstheme="minorHAnsi"/>
                <w:color w:val="333333"/>
                <w:lang w:val="en-GB" w:eastAsia="nl-NL"/>
              </w:rPr>
              <w:lastRenderedPageBreak/>
              <w:t>implement such guidelines?</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5193F13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96.1</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3399F89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Centres should be strongly encouraged to include MILS patients in registries for quality control.</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34E28D6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7256718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50325375" w14:textId="77777777" w:rsidTr="00D45F54">
        <w:trPr>
          <w:trHeight w:val="750"/>
        </w:trPr>
        <w:tc>
          <w:tcPr>
            <w:tcW w:w="108" w:type="pct"/>
            <w:tcBorders>
              <w:top w:val="nil"/>
              <w:left w:val="single" w:sz="4" w:space="0" w:color="auto"/>
              <w:bottom w:val="single" w:sz="4" w:space="0" w:color="auto"/>
              <w:right w:val="single" w:sz="4" w:space="0" w:color="auto"/>
            </w:tcBorders>
            <w:shd w:val="clear" w:color="D9D9D9" w:fill="D9D9D9"/>
            <w:hideMark/>
          </w:tcPr>
          <w:p w14:paraId="37C0EAD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598" w:type="pct"/>
            <w:tcBorders>
              <w:top w:val="nil"/>
              <w:left w:val="single" w:sz="4" w:space="0" w:color="auto"/>
              <w:bottom w:val="single" w:sz="4" w:space="0" w:color="auto"/>
              <w:right w:val="single" w:sz="4" w:space="0" w:color="auto"/>
            </w:tcBorders>
            <w:shd w:val="clear" w:color="D9D9D9" w:fill="D9D9D9"/>
            <w:hideMark/>
          </w:tcPr>
          <w:p w14:paraId="7EFDB4A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6607A11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96.2</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4DBBBB1C"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Collaboration among medical organizations, professional societies, and healthcare authorities is crucial for implementing guidelines that standardize data collection and improve quality control in MILS. </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3605ED2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1C67ABB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270EE5A0" w14:textId="77777777" w:rsidTr="00D45F54">
        <w:trPr>
          <w:trHeight w:val="1125"/>
        </w:trPr>
        <w:tc>
          <w:tcPr>
            <w:tcW w:w="108" w:type="pct"/>
            <w:tcBorders>
              <w:top w:val="single" w:sz="4" w:space="0" w:color="auto"/>
              <w:left w:val="single" w:sz="4" w:space="0" w:color="auto"/>
              <w:bottom w:val="single" w:sz="4" w:space="0" w:color="auto"/>
              <w:right w:val="single" w:sz="4" w:space="0" w:color="auto"/>
            </w:tcBorders>
            <w:shd w:val="clear" w:color="auto" w:fill="auto"/>
            <w:hideMark/>
          </w:tcPr>
          <w:p w14:paraId="35B8852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97</w:t>
            </w:r>
          </w:p>
        </w:tc>
        <w:tc>
          <w:tcPr>
            <w:tcW w:w="1598" w:type="pct"/>
            <w:tcBorders>
              <w:top w:val="single" w:sz="4" w:space="0" w:color="auto"/>
              <w:left w:val="single" w:sz="4" w:space="0" w:color="auto"/>
              <w:bottom w:val="single" w:sz="4" w:space="0" w:color="auto"/>
              <w:right w:val="single" w:sz="4" w:space="0" w:color="auto"/>
            </w:tcBorders>
            <w:shd w:val="clear" w:color="auto" w:fill="auto"/>
            <w:hideMark/>
          </w:tcPr>
          <w:p w14:paraId="02D8CDE3"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LLR associated with higher costs than the traditional open approach?</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525F311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97</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28EB1EF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higher operative costs in LLR are offset by lower hospitalization costs (due to shorter hospital stay and less overall complications) compared to OLR, leading to no statistically significant difference in total costs in a RCT and a systematic review with economic analysis.</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5F0FD1E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1A</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7CF3910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3A2E0B17" w14:textId="77777777" w:rsidTr="00D45F54">
        <w:trPr>
          <w:trHeight w:val="1125"/>
        </w:trPr>
        <w:tc>
          <w:tcPr>
            <w:tcW w:w="108" w:type="pct"/>
            <w:tcBorders>
              <w:top w:val="single" w:sz="4" w:space="0" w:color="auto"/>
              <w:left w:val="single" w:sz="4" w:space="0" w:color="auto"/>
              <w:bottom w:val="single" w:sz="4" w:space="0" w:color="auto"/>
              <w:right w:val="single" w:sz="4" w:space="0" w:color="auto"/>
            </w:tcBorders>
            <w:shd w:val="clear" w:color="D9D9D9" w:fill="D9D9D9"/>
            <w:hideMark/>
          </w:tcPr>
          <w:p w14:paraId="018BF42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98</w:t>
            </w:r>
          </w:p>
        </w:tc>
        <w:tc>
          <w:tcPr>
            <w:tcW w:w="1598" w:type="pct"/>
            <w:tcBorders>
              <w:top w:val="single" w:sz="4" w:space="0" w:color="auto"/>
              <w:left w:val="single" w:sz="4" w:space="0" w:color="auto"/>
              <w:bottom w:val="single" w:sz="4" w:space="0" w:color="auto"/>
              <w:right w:val="single" w:sz="4" w:space="0" w:color="auto"/>
            </w:tcBorders>
            <w:shd w:val="clear" w:color="D9D9D9" w:fill="D9D9D9"/>
            <w:hideMark/>
          </w:tcPr>
          <w:p w14:paraId="7123665E"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RLR associated with higher costs than the traditional open approach?</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761B264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98</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0A992A9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available data is inconclusive about the true overall costs of RLR compared to the open approach with some studies showing cost advantages and others showing cost disadvantages.” High-level evidence is needed to estimate the true cost-effectiveness of one approach over the other.”</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3104D6B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21AE638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4221FEED" w14:textId="77777777" w:rsidTr="00D45F54">
        <w:trPr>
          <w:trHeight w:val="750"/>
        </w:trPr>
        <w:tc>
          <w:tcPr>
            <w:tcW w:w="108" w:type="pct"/>
            <w:tcBorders>
              <w:top w:val="single" w:sz="4" w:space="0" w:color="auto"/>
              <w:left w:val="single" w:sz="4" w:space="0" w:color="auto"/>
              <w:bottom w:val="single" w:sz="4" w:space="0" w:color="auto"/>
              <w:right w:val="single" w:sz="4" w:space="0" w:color="auto"/>
            </w:tcBorders>
            <w:shd w:val="clear" w:color="auto" w:fill="auto"/>
            <w:hideMark/>
          </w:tcPr>
          <w:p w14:paraId="136C364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99</w:t>
            </w:r>
          </w:p>
        </w:tc>
        <w:tc>
          <w:tcPr>
            <w:tcW w:w="1598" w:type="pct"/>
            <w:tcBorders>
              <w:top w:val="single" w:sz="4" w:space="0" w:color="auto"/>
              <w:left w:val="single" w:sz="4" w:space="0" w:color="auto"/>
              <w:bottom w:val="single" w:sz="4" w:space="0" w:color="auto"/>
              <w:right w:val="single" w:sz="4" w:space="0" w:color="auto"/>
            </w:tcBorders>
            <w:shd w:val="clear" w:color="auto" w:fill="auto"/>
            <w:hideMark/>
          </w:tcPr>
          <w:p w14:paraId="396B92EB"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Are the additional costs of LLR justified?</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6EF019A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99</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0C145B0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In view of reduced length of stay, time to recovery, time to adjuvant therapy, time to return to work, and potentially reduced overall complications, the higher operative costs are justified for LLR. </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03F418A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1A</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46623F4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3C01AEDC" w14:textId="77777777" w:rsidTr="00D45F54">
        <w:trPr>
          <w:trHeight w:val="750"/>
        </w:trPr>
        <w:tc>
          <w:tcPr>
            <w:tcW w:w="108" w:type="pct"/>
            <w:tcBorders>
              <w:top w:val="single" w:sz="4" w:space="0" w:color="auto"/>
              <w:left w:val="single" w:sz="4" w:space="0" w:color="auto"/>
              <w:bottom w:val="single" w:sz="4" w:space="0" w:color="auto"/>
              <w:right w:val="single" w:sz="4" w:space="0" w:color="auto"/>
            </w:tcBorders>
            <w:shd w:val="clear" w:color="D9D9D9" w:fill="D9D9D9"/>
            <w:hideMark/>
          </w:tcPr>
          <w:p w14:paraId="2D3DA12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100</w:t>
            </w:r>
          </w:p>
        </w:tc>
        <w:tc>
          <w:tcPr>
            <w:tcW w:w="1598" w:type="pct"/>
            <w:tcBorders>
              <w:top w:val="single" w:sz="4" w:space="0" w:color="auto"/>
              <w:left w:val="single" w:sz="4" w:space="0" w:color="auto"/>
              <w:bottom w:val="single" w:sz="4" w:space="0" w:color="auto"/>
              <w:right w:val="single" w:sz="4" w:space="0" w:color="auto"/>
            </w:tcBorders>
            <w:shd w:val="clear" w:color="D9D9D9" w:fill="D9D9D9"/>
            <w:hideMark/>
          </w:tcPr>
          <w:p w14:paraId="305CA4A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Are the additional costs of RLR justified?</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6D25265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100</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453D57C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Based on current data, there is little evidence to justify the additional costs associated with RLR compared to LLR. Further evidence is recommended. </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5D5D950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6A2C2E8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54638F1C" w14:textId="77777777" w:rsidTr="00D45F54">
        <w:trPr>
          <w:trHeight w:val="750"/>
        </w:trPr>
        <w:tc>
          <w:tcPr>
            <w:tcW w:w="108" w:type="pct"/>
            <w:tcBorders>
              <w:top w:val="single" w:sz="4" w:space="0" w:color="auto"/>
              <w:left w:val="single" w:sz="4" w:space="0" w:color="auto"/>
              <w:bottom w:val="single" w:sz="4" w:space="0" w:color="auto"/>
              <w:right w:val="single" w:sz="4" w:space="0" w:color="auto"/>
            </w:tcBorders>
            <w:shd w:val="clear" w:color="auto" w:fill="auto"/>
            <w:hideMark/>
          </w:tcPr>
          <w:p w14:paraId="279E022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101</w:t>
            </w:r>
          </w:p>
        </w:tc>
        <w:tc>
          <w:tcPr>
            <w:tcW w:w="1598" w:type="pct"/>
            <w:tcBorders>
              <w:top w:val="single" w:sz="4" w:space="0" w:color="auto"/>
              <w:left w:val="single" w:sz="4" w:space="0" w:color="auto"/>
              <w:bottom w:val="single" w:sz="4" w:space="0" w:color="auto"/>
              <w:right w:val="single" w:sz="4" w:space="0" w:color="auto"/>
            </w:tcBorders>
            <w:shd w:val="clear" w:color="auto" w:fill="auto"/>
            <w:hideMark/>
          </w:tcPr>
          <w:p w14:paraId="73C4FF3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How should additional costs of LLR be mitigated?</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677F962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101</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24B13B5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Sufficient centre volume and rigorous utilization of enhanced recovery programs with early discharge can potentially mitigate additional procedural costs of LLR.</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3E3EC0F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087D925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749DB7C5" w14:textId="77777777" w:rsidTr="00D45F54">
        <w:trPr>
          <w:trHeight w:val="4500"/>
        </w:trPr>
        <w:tc>
          <w:tcPr>
            <w:tcW w:w="108" w:type="pct"/>
            <w:tcBorders>
              <w:top w:val="single" w:sz="4" w:space="0" w:color="auto"/>
              <w:left w:val="single" w:sz="4" w:space="0" w:color="auto"/>
              <w:bottom w:val="single" w:sz="4" w:space="0" w:color="auto"/>
              <w:right w:val="single" w:sz="4" w:space="0" w:color="auto"/>
            </w:tcBorders>
            <w:shd w:val="clear" w:color="D9D9D9" w:fill="D9D9D9"/>
            <w:hideMark/>
          </w:tcPr>
          <w:p w14:paraId="0A7602E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102</w:t>
            </w:r>
          </w:p>
        </w:tc>
        <w:tc>
          <w:tcPr>
            <w:tcW w:w="1598" w:type="pct"/>
            <w:tcBorders>
              <w:top w:val="single" w:sz="4" w:space="0" w:color="auto"/>
              <w:left w:val="single" w:sz="4" w:space="0" w:color="auto"/>
              <w:bottom w:val="single" w:sz="4" w:space="0" w:color="auto"/>
              <w:right w:val="single" w:sz="4" w:space="0" w:color="auto"/>
            </w:tcBorders>
            <w:shd w:val="clear" w:color="D9D9D9" w:fill="D9D9D9"/>
            <w:hideMark/>
          </w:tcPr>
          <w:p w14:paraId="6C5A610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How should additional costs of RLR be mitigated?</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62497F8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102</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38AED94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Extended life programs for robotic instruments and increased competition in the market should be encouraged to decrease costs for RLR.</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26D2543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6DF53FCE"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the validation committee strongly recommends adding this recommendation to the guidelines. After a revote, it passed with 97% and was added. </w:t>
            </w:r>
          </w:p>
        </w:tc>
      </w:tr>
      <w:tr w:rsidR="002665D0" w:rsidRPr="00AD2821" w14:paraId="4BEE670D" w14:textId="77777777" w:rsidTr="00D45F54">
        <w:trPr>
          <w:trHeight w:val="1125"/>
        </w:trPr>
        <w:tc>
          <w:tcPr>
            <w:tcW w:w="108" w:type="pct"/>
            <w:tcBorders>
              <w:top w:val="single" w:sz="4" w:space="0" w:color="auto"/>
              <w:left w:val="single" w:sz="4" w:space="0" w:color="auto"/>
              <w:bottom w:val="single" w:sz="4" w:space="0" w:color="auto"/>
              <w:right w:val="single" w:sz="4" w:space="0" w:color="auto"/>
            </w:tcBorders>
            <w:shd w:val="clear" w:color="auto" w:fill="auto"/>
            <w:hideMark/>
          </w:tcPr>
          <w:p w14:paraId="619FFD2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103</w:t>
            </w:r>
          </w:p>
        </w:tc>
        <w:tc>
          <w:tcPr>
            <w:tcW w:w="1598" w:type="pct"/>
            <w:tcBorders>
              <w:top w:val="single" w:sz="4" w:space="0" w:color="auto"/>
              <w:left w:val="single" w:sz="4" w:space="0" w:color="auto"/>
              <w:bottom w:val="single" w:sz="4" w:space="0" w:color="auto"/>
              <w:right w:val="single" w:sz="4" w:space="0" w:color="auto"/>
            </w:tcBorders>
            <w:shd w:val="clear" w:color="auto" w:fill="auto"/>
            <w:hideMark/>
          </w:tcPr>
          <w:p w14:paraId="51C05D8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LLR more sustainable (lower carbon footprint) than RLR?</w:t>
            </w:r>
          </w:p>
        </w:tc>
        <w:tc>
          <w:tcPr>
            <w:tcW w:w="106" w:type="pct"/>
            <w:tcBorders>
              <w:top w:val="single" w:sz="4" w:space="0" w:color="auto"/>
              <w:left w:val="single" w:sz="4" w:space="0" w:color="auto"/>
              <w:bottom w:val="single" w:sz="4" w:space="0" w:color="auto"/>
              <w:right w:val="single" w:sz="4" w:space="0" w:color="auto"/>
            </w:tcBorders>
            <w:shd w:val="clear" w:color="auto" w:fill="auto"/>
            <w:hideMark/>
          </w:tcPr>
          <w:p w14:paraId="5BD09DA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103</w:t>
            </w:r>
          </w:p>
        </w:tc>
        <w:tc>
          <w:tcPr>
            <w:tcW w:w="2662" w:type="pct"/>
            <w:tcBorders>
              <w:top w:val="single" w:sz="4" w:space="0" w:color="auto"/>
              <w:left w:val="single" w:sz="4" w:space="0" w:color="auto"/>
              <w:bottom w:val="single" w:sz="4" w:space="0" w:color="auto"/>
              <w:right w:val="single" w:sz="4" w:space="0" w:color="auto"/>
            </w:tcBorders>
            <w:shd w:val="clear" w:color="auto" w:fill="auto"/>
            <w:hideMark/>
          </w:tcPr>
          <w:p w14:paraId="6D3D879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Currently, there is not enough evidence to favour one technique over the other in terms of sustainability in liver surgery. In cases where there is no clinical benefit for one approach over the other, surgeons are encouraged to opt for the approach with the least waste and lower carbon footprint.</w:t>
            </w:r>
          </w:p>
        </w:tc>
        <w:tc>
          <w:tcPr>
            <w:tcW w:w="171" w:type="pct"/>
            <w:tcBorders>
              <w:top w:val="single" w:sz="4" w:space="0" w:color="auto"/>
              <w:left w:val="single" w:sz="4" w:space="0" w:color="auto"/>
              <w:bottom w:val="single" w:sz="4" w:space="0" w:color="auto"/>
              <w:right w:val="single" w:sz="4" w:space="0" w:color="auto"/>
            </w:tcBorders>
            <w:shd w:val="clear" w:color="auto" w:fill="auto"/>
            <w:noWrap/>
            <w:hideMark/>
          </w:tcPr>
          <w:p w14:paraId="6C88210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c>
          <w:tcPr>
            <w:tcW w:w="354" w:type="pct"/>
            <w:tcBorders>
              <w:top w:val="single" w:sz="4" w:space="0" w:color="auto"/>
              <w:left w:val="single" w:sz="4" w:space="0" w:color="auto"/>
              <w:bottom w:val="single" w:sz="4" w:space="0" w:color="auto"/>
              <w:right w:val="single" w:sz="4" w:space="0" w:color="auto"/>
            </w:tcBorders>
            <w:shd w:val="clear" w:color="auto" w:fill="auto"/>
            <w:hideMark/>
          </w:tcPr>
          <w:p w14:paraId="3D67A33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r w:rsidR="002665D0" w:rsidRPr="00AD2821" w14:paraId="73BCBF09" w14:textId="77777777" w:rsidTr="00D45F54">
        <w:trPr>
          <w:trHeight w:val="750"/>
        </w:trPr>
        <w:tc>
          <w:tcPr>
            <w:tcW w:w="108" w:type="pct"/>
            <w:tcBorders>
              <w:top w:val="single" w:sz="4" w:space="0" w:color="auto"/>
              <w:left w:val="single" w:sz="4" w:space="0" w:color="auto"/>
              <w:bottom w:val="single" w:sz="4" w:space="0" w:color="auto"/>
              <w:right w:val="single" w:sz="4" w:space="0" w:color="auto"/>
            </w:tcBorders>
            <w:shd w:val="clear" w:color="D9D9D9" w:fill="D9D9D9"/>
            <w:hideMark/>
          </w:tcPr>
          <w:p w14:paraId="13F43C4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104</w:t>
            </w:r>
          </w:p>
        </w:tc>
        <w:tc>
          <w:tcPr>
            <w:tcW w:w="1598" w:type="pct"/>
            <w:tcBorders>
              <w:top w:val="single" w:sz="4" w:space="0" w:color="auto"/>
              <w:left w:val="single" w:sz="4" w:space="0" w:color="auto"/>
              <w:bottom w:val="single" w:sz="4" w:space="0" w:color="auto"/>
              <w:right w:val="single" w:sz="4" w:space="0" w:color="auto"/>
            </w:tcBorders>
            <w:shd w:val="clear" w:color="D9D9D9" w:fill="D9D9D9"/>
            <w:hideMark/>
          </w:tcPr>
          <w:p w14:paraId="1BB978D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needed to increase access to RLR?</w:t>
            </w:r>
          </w:p>
        </w:tc>
        <w:tc>
          <w:tcPr>
            <w:tcW w:w="106" w:type="pct"/>
            <w:tcBorders>
              <w:top w:val="single" w:sz="4" w:space="0" w:color="auto"/>
              <w:left w:val="single" w:sz="4" w:space="0" w:color="auto"/>
              <w:bottom w:val="single" w:sz="4" w:space="0" w:color="auto"/>
              <w:right w:val="single" w:sz="4" w:space="0" w:color="auto"/>
            </w:tcBorders>
            <w:shd w:val="clear" w:color="D9D9D9" w:fill="D9D9D9"/>
            <w:hideMark/>
          </w:tcPr>
          <w:p w14:paraId="355D8C0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104</w:t>
            </w:r>
          </w:p>
        </w:tc>
        <w:tc>
          <w:tcPr>
            <w:tcW w:w="2662" w:type="pct"/>
            <w:tcBorders>
              <w:top w:val="single" w:sz="4" w:space="0" w:color="auto"/>
              <w:left w:val="single" w:sz="4" w:space="0" w:color="auto"/>
              <w:bottom w:val="single" w:sz="4" w:space="0" w:color="auto"/>
              <w:right w:val="single" w:sz="4" w:space="0" w:color="auto"/>
            </w:tcBorders>
            <w:shd w:val="clear" w:color="D9D9D9" w:fill="D9D9D9"/>
            <w:hideMark/>
          </w:tcPr>
          <w:p w14:paraId="60D28E2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Increased access to cost-efficient robotic systems along with systematic training programs for RLR (see recommendations on implementation and training) are essential to improve access. </w:t>
            </w:r>
          </w:p>
        </w:tc>
        <w:tc>
          <w:tcPr>
            <w:tcW w:w="171" w:type="pct"/>
            <w:tcBorders>
              <w:top w:val="single" w:sz="4" w:space="0" w:color="auto"/>
              <w:left w:val="single" w:sz="4" w:space="0" w:color="auto"/>
              <w:bottom w:val="single" w:sz="4" w:space="0" w:color="auto"/>
              <w:right w:val="single" w:sz="4" w:space="0" w:color="auto"/>
            </w:tcBorders>
            <w:shd w:val="clear" w:color="D9D9D9" w:fill="D9D9D9"/>
            <w:noWrap/>
            <w:hideMark/>
          </w:tcPr>
          <w:p w14:paraId="08A59B8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c>
          <w:tcPr>
            <w:tcW w:w="354" w:type="pct"/>
            <w:tcBorders>
              <w:top w:val="single" w:sz="4" w:space="0" w:color="auto"/>
              <w:left w:val="single" w:sz="4" w:space="0" w:color="auto"/>
              <w:bottom w:val="single" w:sz="4" w:space="0" w:color="auto"/>
              <w:right w:val="single" w:sz="4" w:space="0" w:color="auto"/>
            </w:tcBorders>
            <w:shd w:val="clear" w:color="D9D9D9" w:fill="D9D9D9"/>
            <w:hideMark/>
          </w:tcPr>
          <w:p w14:paraId="544B9C6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r>
    </w:tbl>
    <w:p w14:paraId="4DDE99BF" w14:textId="2AF9BA60" w:rsidR="00303F17" w:rsidRPr="00AD2821" w:rsidRDefault="00303F17" w:rsidP="00303F17">
      <w:pPr>
        <w:jc w:val="both"/>
        <w:rPr>
          <w:rFonts w:cstheme="minorHAnsi"/>
          <w:sz w:val="22"/>
          <w:szCs w:val="22"/>
          <w:lang w:val="en-US"/>
        </w:rPr>
      </w:pPr>
    </w:p>
    <w:p w14:paraId="446446E5" w14:textId="77777777" w:rsidR="00303F17" w:rsidRPr="00AD2821" w:rsidRDefault="00303F17" w:rsidP="00303F17">
      <w:pPr>
        <w:jc w:val="both"/>
        <w:rPr>
          <w:rFonts w:cstheme="minorHAnsi"/>
          <w:sz w:val="22"/>
          <w:szCs w:val="22"/>
          <w:lang w:val="en-US"/>
        </w:rPr>
      </w:pPr>
    </w:p>
    <w:p w14:paraId="70ED0EB6" w14:textId="77777777" w:rsidR="00303F17" w:rsidRPr="00AD2821" w:rsidRDefault="00303F17" w:rsidP="00303F17">
      <w:pPr>
        <w:jc w:val="both"/>
        <w:rPr>
          <w:rFonts w:cstheme="minorHAnsi"/>
          <w:sz w:val="22"/>
          <w:szCs w:val="22"/>
          <w:lang w:val="en-US"/>
        </w:rPr>
      </w:pPr>
    </w:p>
    <w:p w14:paraId="0C19A7AC" w14:textId="77777777" w:rsidR="00303F17" w:rsidRPr="00AD2821" w:rsidRDefault="00303F17">
      <w:pPr>
        <w:rPr>
          <w:rFonts w:cstheme="minorHAnsi"/>
          <w:sz w:val="22"/>
          <w:szCs w:val="22"/>
          <w:lang w:val="en-US"/>
        </w:rPr>
      </w:pPr>
      <w:r w:rsidRPr="00AD2821">
        <w:rPr>
          <w:rFonts w:cstheme="minorHAnsi"/>
          <w:sz w:val="22"/>
          <w:szCs w:val="22"/>
          <w:lang w:val="en-US"/>
        </w:rPr>
        <w:br w:type="page"/>
      </w:r>
    </w:p>
    <w:p w14:paraId="46C6BCFB" w14:textId="43DFD9E8" w:rsidR="002665D0" w:rsidRPr="00AD2821" w:rsidRDefault="00303F17" w:rsidP="002665D0">
      <w:pPr>
        <w:keepNext/>
        <w:keepLines/>
        <w:spacing w:before="160" w:after="80" w:line="278" w:lineRule="auto"/>
        <w:outlineLvl w:val="1"/>
        <w:rPr>
          <w:rFonts w:eastAsia="Times New Roman" w:cstheme="minorHAnsi"/>
          <w:color w:val="000000" w:themeColor="text1"/>
          <w:sz w:val="22"/>
          <w:szCs w:val="22"/>
          <w:lang w:val="en-GB"/>
        </w:rPr>
      </w:pPr>
      <w:r w:rsidRPr="00AD2821">
        <w:rPr>
          <w:rFonts w:cstheme="minorHAnsi"/>
          <w:color w:val="000000" w:themeColor="text1"/>
          <w:sz w:val="22"/>
          <w:szCs w:val="22"/>
          <w:lang w:val="en-US"/>
        </w:rPr>
        <w:lastRenderedPageBreak/>
        <w:t xml:space="preserve">Supplementary Table 8. </w:t>
      </w:r>
      <w:r w:rsidR="002665D0" w:rsidRPr="00AD2821">
        <w:rPr>
          <w:rFonts w:eastAsia="Times New Roman" w:cstheme="minorHAnsi"/>
          <w:color w:val="000000" w:themeColor="text1"/>
          <w:sz w:val="22"/>
          <w:szCs w:val="22"/>
          <w:lang w:val="en-GB"/>
        </w:rPr>
        <w:t>Domain 8 Clinical Questions and Recommendations</w:t>
      </w:r>
    </w:p>
    <w:p w14:paraId="0394293F" w14:textId="77777777" w:rsidR="002665D0" w:rsidRPr="00AD2821" w:rsidRDefault="002665D0" w:rsidP="002665D0">
      <w:pPr>
        <w:keepNext/>
        <w:keepLines/>
        <w:spacing w:before="160" w:after="80" w:line="278" w:lineRule="auto"/>
        <w:outlineLvl w:val="1"/>
        <w:rPr>
          <w:rFonts w:eastAsia="Times New Roman" w:cstheme="minorHAnsi"/>
          <w:color w:val="000000" w:themeColor="text1"/>
          <w:sz w:val="22"/>
          <w:szCs w:val="22"/>
          <w:lang w:val="en-GB"/>
        </w:rPr>
      </w:pPr>
    </w:p>
    <w:tbl>
      <w:tblPr>
        <w:tblW w:w="5000" w:type="pct"/>
        <w:tblCellMar>
          <w:left w:w="70" w:type="dxa"/>
          <w:right w:w="70" w:type="dxa"/>
        </w:tblCellMar>
        <w:tblLook w:val="04A0" w:firstRow="1" w:lastRow="0" w:firstColumn="1" w:lastColumn="0" w:noHBand="0" w:noVBand="1"/>
      </w:tblPr>
      <w:tblGrid>
        <w:gridCol w:w="592"/>
        <w:gridCol w:w="3216"/>
        <w:gridCol w:w="823"/>
        <w:gridCol w:w="3988"/>
        <w:gridCol w:w="823"/>
      </w:tblGrid>
      <w:tr w:rsidR="002665D0" w:rsidRPr="00AD2821" w14:paraId="1978F4F4" w14:textId="77777777" w:rsidTr="00D45F54">
        <w:trPr>
          <w:trHeight w:val="375"/>
        </w:trPr>
        <w:tc>
          <w:tcPr>
            <w:tcW w:w="313" w:type="pct"/>
            <w:tcBorders>
              <w:top w:val="single" w:sz="4" w:space="0" w:color="auto"/>
              <w:left w:val="single" w:sz="4" w:space="0" w:color="auto"/>
              <w:bottom w:val="single" w:sz="4" w:space="0" w:color="auto"/>
              <w:right w:val="single" w:sz="4" w:space="0" w:color="auto"/>
            </w:tcBorders>
            <w:shd w:val="clear" w:color="auto" w:fill="auto"/>
            <w:hideMark/>
          </w:tcPr>
          <w:p w14:paraId="514CC9EA" w14:textId="77777777" w:rsidR="002665D0" w:rsidRPr="00AD2821" w:rsidRDefault="002665D0" w:rsidP="00D45F54">
            <w:pPr>
              <w:rPr>
                <w:rFonts w:eastAsia="Times New Roman" w:cstheme="minorHAnsi"/>
                <w:b/>
                <w:bCs/>
                <w:color w:val="000000"/>
                <w:lang w:val="en-GB" w:eastAsia="nl-NL"/>
              </w:rPr>
            </w:pPr>
            <w:bookmarkStart w:id="6" w:name="RANGE!A1:E60"/>
            <w:r w:rsidRPr="00AD2821">
              <w:rPr>
                <w:rFonts w:eastAsia="Times New Roman" w:cstheme="minorHAnsi"/>
                <w:b/>
                <w:bCs/>
                <w:color w:val="000000"/>
                <w:lang w:val="en-GB" w:eastAsia="nl-NL"/>
              </w:rPr>
              <w:t>Q</w:t>
            </w:r>
            <w:bookmarkEnd w:id="6"/>
          </w:p>
        </w:tc>
        <w:tc>
          <w:tcPr>
            <w:tcW w:w="1703" w:type="pct"/>
            <w:tcBorders>
              <w:top w:val="single" w:sz="4" w:space="0" w:color="auto"/>
              <w:left w:val="single" w:sz="4" w:space="0" w:color="auto"/>
              <w:bottom w:val="single" w:sz="4" w:space="0" w:color="auto"/>
              <w:right w:val="single" w:sz="4" w:space="0" w:color="auto"/>
            </w:tcBorders>
            <w:shd w:val="clear" w:color="auto" w:fill="auto"/>
            <w:hideMark/>
          </w:tcPr>
          <w:p w14:paraId="09EB02F5" w14:textId="77777777" w:rsidR="002665D0" w:rsidRPr="00AD2821" w:rsidRDefault="002665D0"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Clinical Question</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7DD2887" w14:textId="77777777" w:rsidR="002665D0" w:rsidRPr="00AD2821" w:rsidRDefault="002665D0"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R</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1A688D60" w14:textId="77777777" w:rsidR="002665D0" w:rsidRPr="00AD2821" w:rsidRDefault="002665D0"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Recommendation</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3804568B" w14:textId="77777777" w:rsidR="002665D0" w:rsidRPr="00AD2821" w:rsidRDefault="002665D0" w:rsidP="00D45F54">
            <w:pPr>
              <w:rPr>
                <w:rFonts w:eastAsia="Times New Roman" w:cstheme="minorHAnsi"/>
                <w:b/>
                <w:bCs/>
                <w:color w:val="000000"/>
                <w:lang w:val="en-GB" w:eastAsia="nl-NL"/>
              </w:rPr>
            </w:pPr>
            <w:r w:rsidRPr="00AD2821">
              <w:rPr>
                <w:rFonts w:eastAsia="Times New Roman" w:cstheme="minorHAnsi"/>
                <w:b/>
                <w:bCs/>
                <w:color w:val="000000"/>
                <w:lang w:val="en-GB" w:eastAsia="nl-NL"/>
              </w:rPr>
              <w:t>Code</w:t>
            </w:r>
          </w:p>
        </w:tc>
      </w:tr>
      <w:tr w:rsidR="002665D0" w:rsidRPr="00AD2821" w14:paraId="03A84E69" w14:textId="77777777" w:rsidTr="00D45F54">
        <w:trPr>
          <w:trHeight w:val="750"/>
        </w:trPr>
        <w:tc>
          <w:tcPr>
            <w:tcW w:w="313" w:type="pct"/>
            <w:tcBorders>
              <w:top w:val="single" w:sz="4" w:space="0" w:color="auto"/>
              <w:left w:val="single" w:sz="4" w:space="0" w:color="auto"/>
              <w:bottom w:val="nil"/>
              <w:right w:val="single" w:sz="4" w:space="0" w:color="auto"/>
            </w:tcBorders>
            <w:shd w:val="clear" w:color="D9D9D9" w:fill="D9D9D9"/>
            <w:hideMark/>
          </w:tcPr>
          <w:p w14:paraId="505A020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105</w:t>
            </w:r>
          </w:p>
        </w:tc>
        <w:tc>
          <w:tcPr>
            <w:tcW w:w="1703" w:type="pct"/>
            <w:tcBorders>
              <w:top w:val="single" w:sz="4" w:space="0" w:color="auto"/>
              <w:left w:val="single" w:sz="4" w:space="0" w:color="auto"/>
              <w:bottom w:val="nil"/>
              <w:right w:val="single" w:sz="4" w:space="0" w:color="auto"/>
            </w:tcBorders>
            <w:shd w:val="clear" w:color="D9D9D9" w:fill="D9D9D9"/>
            <w:hideMark/>
          </w:tcPr>
          <w:p w14:paraId="280D2BD3"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the role of radiomics in minimally invasive liver surgery (MILS)?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1C57109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105.1</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53249A5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Radiomic features extracted from preoperative imaging modalities such as MRI and CT should be used because of its ability to provide valuable information about prognosis, diagnosis and treatment of liver malignancy.</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3E41F6D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0F43F113" w14:textId="77777777" w:rsidTr="00D45F54">
        <w:trPr>
          <w:trHeight w:val="375"/>
        </w:trPr>
        <w:tc>
          <w:tcPr>
            <w:tcW w:w="313" w:type="pct"/>
            <w:tcBorders>
              <w:top w:val="nil"/>
              <w:left w:val="single" w:sz="4" w:space="0" w:color="auto"/>
              <w:bottom w:val="single" w:sz="4" w:space="0" w:color="auto"/>
              <w:right w:val="single" w:sz="4" w:space="0" w:color="auto"/>
            </w:tcBorders>
            <w:shd w:val="clear" w:color="auto" w:fill="auto"/>
            <w:hideMark/>
          </w:tcPr>
          <w:p w14:paraId="6AD4C89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auto" w:fill="auto"/>
            <w:hideMark/>
          </w:tcPr>
          <w:p w14:paraId="00213144"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46BA57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105.2</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00B8979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Further validation studies are still needed to confirm the utility of radiomics analysis in clinical practice.</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449B276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6BA5E163" w14:textId="77777777" w:rsidTr="00D45F54">
        <w:trPr>
          <w:trHeight w:val="750"/>
        </w:trPr>
        <w:tc>
          <w:tcPr>
            <w:tcW w:w="313" w:type="pct"/>
            <w:tcBorders>
              <w:top w:val="single" w:sz="4" w:space="0" w:color="auto"/>
              <w:left w:val="single" w:sz="4" w:space="0" w:color="auto"/>
              <w:bottom w:val="nil"/>
              <w:right w:val="single" w:sz="4" w:space="0" w:color="auto"/>
            </w:tcBorders>
            <w:shd w:val="clear" w:color="D9D9D9" w:fill="D9D9D9"/>
            <w:hideMark/>
          </w:tcPr>
          <w:p w14:paraId="3C8415B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106</w:t>
            </w:r>
          </w:p>
        </w:tc>
        <w:tc>
          <w:tcPr>
            <w:tcW w:w="1703" w:type="pct"/>
            <w:tcBorders>
              <w:top w:val="single" w:sz="4" w:space="0" w:color="auto"/>
              <w:left w:val="single" w:sz="4" w:space="0" w:color="auto"/>
              <w:bottom w:val="nil"/>
              <w:right w:val="single" w:sz="4" w:space="0" w:color="auto"/>
            </w:tcBorders>
            <w:shd w:val="clear" w:color="D9D9D9" w:fill="D9D9D9"/>
            <w:hideMark/>
          </w:tcPr>
          <w:p w14:paraId="3241964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3D liver reconstruction essential and in which cases should it be used?</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192DD26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106.1</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0DED289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3D liver reconstruction should play a crucial role in treatment planning and intraoperative decision-making because it has the potential to improve clinical decision-making and reduce blood loss and operative time.</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5E39D4C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2665D0" w:rsidRPr="00AD2821" w14:paraId="2C74A49B" w14:textId="77777777" w:rsidTr="00D45F54">
        <w:trPr>
          <w:trHeight w:val="750"/>
        </w:trPr>
        <w:tc>
          <w:tcPr>
            <w:tcW w:w="313" w:type="pct"/>
            <w:tcBorders>
              <w:top w:val="nil"/>
              <w:left w:val="single" w:sz="4" w:space="0" w:color="auto"/>
              <w:bottom w:val="nil"/>
              <w:right w:val="single" w:sz="4" w:space="0" w:color="auto"/>
            </w:tcBorders>
            <w:shd w:val="clear" w:color="auto" w:fill="auto"/>
            <w:hideMark/>
          </w:tcPr>
          <w:p w14:paraId="55C48B2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nil"/>
              <w:right w:val="single" w:sz="4" w:space="0" w:color="auto"/>
            </w:tcBorders>
            <w:shd w:val="clear" w:color="auto" w:fill="auto"/>
            <w:hideMark/>
          </w:tcPr>
          <w:p w14:paraId="701B1821"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5A79965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106.2</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05892DE6"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3D liver reconstruction should be particularly encouraged in patients with liver mass adjacent to the major vascular structures of the liver and/or in patients planned to undergo major hepatectomy, and in patients planned to undergo anatomical segmentectomy.</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7AB27D0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2665D0" w:rsidRPr="00AD2821" w14:paraId="5107EB1F" w14:textId="77777777" w:rsidTr="00D45F54">
        <w:trPr>
          <w:trHeight w:val="750"/>
        </w:trPr>
        <w:tc>
          <w:tcPr>
            <w:tcW w:w="313" w:type="pct"/>
            <w:tcBorders>
              <w:top w:val="nil"/>
              <w:left w:val="single" w:sz="4" w:space="0" w:color="auto"/>
              <w:bottom w:val="nil"/>
              <w:right w:val="single" w:sz="4" w:space="0" w:color="auto"/>
            </w:tcBorders>
            <w:shd w:val="clear" w:color="D9D9D9" w:fill="D9D9D9"/>
            <w:hideMark/>
          </w:tcPr>
          <w:p w14:paraId="11DBA76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nil"/>
              <w:right w:val="single" w:sz="4" w:space="0" w:color="auto"/>
            </w:tcBorders>
            <w:shd w:val="clear" w:color="D9D9D9" w:fill="D9D9D9"/>
            <w:hideMark/>
          </w:tcPr>
          <w:p w14:paraId="32B1CCC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6A097DC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106.3</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092C1251"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If available, the integration of 3D liver reconstruction technology should be prioritized into the education and training of junior surgeons, fellows, residents, and students due to its potential to significantly enhance the understanding of liver anatomy, tumour location, and the planning of surgical interventions.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7AC7760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14F6E5AC" w14:textId="77777777" w:rsidTr="00D45F54">
        <w:trPr>
          <w:trHeight w:val="750"/>
        </w:trPr>
        <w:tc>
          <w:tcPr>
            <w:tcW w:w="313" w:type="pct"/>
            <w:tcBorders>
              <w:top w:val="nil"/>
              <w:left w:val="single" w:sz="4" w:space="0" w:color="auto"/>
              <w:bottom w:val="single" w:sz="4" w:space="0" w:color="auto"/>
              <w:right w:val="single" w:sz="4" w:space="0" w:color="auto"/>
            </w:tcBorders>
            <w:shd w:val="clear" w:color="auto" w:fill="auto"/>
            <w:hideMark/>
          </w:tcPr>
          <w:p w14:paraId="37D3D26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auto" w:fill="auto"/>
            <w:hideMark/>
          </w:tcPr>
          <w:p w14:paraId="543BF14B"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AA49A5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106.4</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37C2027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If available, the use of CT/MRI-based 3D liver reconstruction technology should be encouraged because it may provide a superior understanding of liver anatomy, and augment the visual information for the surgeon, and ensure that everyone involved in the operation is on the same page regarding the resection that is planned.</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28E5DA5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3FC3AD9D" w14:textId="77777777" w:rsidTr="00D45F54">
        <w:trPr>
          <w:trHeight w:val="750"/>
        </w:trPr>
        <w:tc>
          <w:tcPr>
            <w:tcW w:w="313" w:type="pct"/>
            <w:tcBorders>
              <w:top w:val="single" w:sz="4" w:space="0" w:color="auto"/>
              <w:left w:val="single" w:sz="4" w:space="0" w:color="auto"/>
              <w:bottom w:val="nil"/>
              <w:right w:val="single" w:sz="4" w:space="0" w:color="auto"/>
            </w:tcBorders>
            <w:shd w:val="clear" w:color="D9D9D9" w:fill="D9D9D9"/>
            <w:hideMark/>
          </w:tcPr>
          <w:p w14:paraId="5ED5C0B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107</w:t>
            </w:r>
          </w:p>
        </w:tc>
        <w:tc>
          <w:tcPr>
            <w:tcW w:w="1703" w:type="pct"/>
            <w:tcBorders>
              <w:top w:val="single" w:sz="4" w:space="0" w:color="auto"/>
              <w:left w:val="single" w:sz="4" w:space="0" w:color="auto"/>
              <w:bottom w:val="nil"/>
              <w:right w:val="single" w:sz="4" w:space="0" w:color="auto"/>
            </w:tcBorders>
            <w:shd w:val="clear" w:color="D9D9D9" w:fill="D9D9D9"/>
            <w:hideMark/>
          </w:tcPr>
          <w:p w14:paraId="494E0B8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Who should do 3D liver reconstruction?</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521D5A5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107.1</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4B1E9D3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hepatobiliary surgeons should be a key component in 3D liver reconstruction process because they decide the ultimate operative plan. Radiologists should still be primarily responsible for identifying liver lesions, tumours and vascular structures.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7081D48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39AE72CE" w14:textId="77777777" w:rsidTr="00D45F54">
        <w:trPr>
          <w:trHeight w:val="750"/>
        </w:trPr>
        <w:tc>
          <w:tcPr>
            <w:tcW w:w="313" w:type="pct"/>
            <w:tcBorders>
              <w:top w:val="nil"/>
              <w:left w:val="single" w:sz="4" w:space="0" w:color="auto"/>
              <w:bottom w:val="nil"/>
              <w:right w:val="single" w:sz="4" w:space="0" w:color="auto"/>
            </w:tcBorders>
            <w:shd w:val="clear" w:color="auto" w:fill="auto"/>
            <w:hideMark/>
          </w:tcPr>
          <w:p w14:paraId="50E8471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nil"/>
              <w:right w:val="single" w:sz="4" w:space="0" w:color="auto"/>
            </w:tcBorders>
            <w:shd w:val="clear" w:color="auto" w:fill="auto"/>
            <w:hideMark/>
          </w:tcPr>
          <w:p w14:paraId="79FB014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2D6D2A8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107.2</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500480BC"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Medical imaging specialists with expertise in advanced visualization and 3D reconstruction techniques should be increasingly encouraged for the technical aspects of generating high-quality 3D liver reconstructions.</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57CB9F6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5B75EEA4" w14:textId="77777777" w:rsidTr="00D45F54">
        <w:trPr>
          <w:trHeight w:val="750"/>
        </w:trPr>
        <w:tc>
          <w:tcPr>
            <w:tcW w:w="313" w:type="pct"/>
            <w:tcBorders>
              <w:top w:val="nil"/>
              <w:left w:val="single" w:sz="4" w:space="0" w:color="auto"/>
              <w:bottom w:val="single" w:sz="4" w:space="0" w:color="auto"/>
              <w:right w:val="single" w:sz="4" w:space="0" w:color="auto"/>
            </w:tcBorders>
            <w:shd w:val="clear" w:color="D9D9D9" w:fill="D9D9D9"/>
            <w:hideMark/>
          </w:tcPr>
          <w:p w14:paraId="74771A8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D9D9D9" w:fill="D9D9D9"/>
            <w:hideMark/>
          </w:tcPr>
          <w:p w14:paraId="1840C69E"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081069B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107.3</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78B3CAB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role of radiology and medical imaging specialists should be expected to diminish as programs that can generate 3D images from cross-sectional images continue to develop autonomous functionality, potentially eliminating the necessity for direct involvement of a radiologist.</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2475EF9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58FE8A67" w14:textId="77777777" w:rsidTr="00D45F54">
        <w:trPr>
          <w:trHeight w:val="375"/>
        </w:trPr>
        <w:tc>
          <w:tcPr>
            <w:tcW w:w="313" w:type="pct"/>
            <w:tcBorders>
              <w:top w:val="single" w:sz="4" w:space="0" w:color="auto"/>
              <w:left w:val="single" w:sz="4" w:space="0" w:color="auto"/>
              <w:bottom w:val="nil"/>
              <w:right w:val="single" w:sz="4" w:space="0" w:color="auto"/>
            </w:tcBorders>
            <w:shd w:val="clear" w:color="auto" w:fill="auto"/>
            <w:hideMark/>
          </w:tcPr>
          <w:p w14:paraId="5650E18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108</w:t>
            </w:r>
          </w:p>
        </w:tc>
        <w:tc>
          <w:tcPr>
            <w:tcW w:w="1703" w:type="pct"/>
            <w:tcBorders>
              <w:top w:val="single" w:sz="4" w:space="0" w:color="auto"/>
              <w:left w:val="single" w:sz="4" w:space="0" w:color="auto"/>
              <w:bottom w:val="nil"/>
              <w:right w:val="single" w:sz="4" w:space="0" w:color="auto"/>
            </w:tcBorders>
            <w:shd w:val="clear" w:color="auto" w:fill="auto"/>
            <w:hideMark/>
          </w:tcPr>
          <w:p w14:paraId="77E974C6"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are the purposes for 3D liver reconstruction use pre- and intraoperatively?</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5231C39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108.1</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5A2A6F9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In the future optimal surgical planning for liver tumours should include 3D liver reconstruction preoperatively.</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2908FDD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1B</w:t>
            </w:r>
          </w:p>
        </w:tc>
      </w:tr>
      <w:tr w:rsidR="002665D0" w:rsidRPr="00AD2821" w14:paraId="1C98C1E3" w14:textId="77777777" w:rsidTr="00D45F54">
        <w:trPr>
          <w:trHeight w:val="375"/>
        </w:trPr>
        <w:tc>
          <w:tcPr>
            <w:tcW w:w="313" w:type="pct"/>
            <w:tcBorders>
              <w:top w:val="nil"/>
              <w:left w:val="single" w:sz="4" w:space="0" w:color="auto"/>
              <w:bottom w:val="nil"/>
              <w:right w:val="single" w:sz="4" w:space="0" w:color="auto"/>
            </w:tcBorders>
            <w:shd w:val="clear" w:color="D9D9D9" w:fill="D9D9D9"/>
            <w:hideMark/>
          </w:tcPr>
          <w:p w14:paraId="381069D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nil"/>
              <w:right w:val="single" w:sz="4" w:space="0" w:color="auto"/>
            </w:tcBorders>
            <w:shd w:val="clear" w:color="D9D9D9" w:fill="D9D9D9"/>
            <w:hideMark/>
          </w:tcPr>
          <w:p w14:paraId="68B8F71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1AECA1C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108.2</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0306F00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xml:space="preserve"> liver reconstruction may facilitate pre-surgical planning by better showing the relation of the tumour mass with adjacent anatomical structures.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3C33719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19308D24" w14:textId="77777777" w:rsidTr="00D45F54">
        <w:trPr>
          <w:trHeight w:val="750"/>
        </w:trPr>
        <w:tc>
          <w:tcPr>
            <w:tcW w:w="313" w:type="pct"/>
            <w:tcBorders>
              <w:top w:val="nil"/>
              <w:left w:val="single" w:sz="4" w:space="0" w:color="auto"/>
              <w:bottom w:val="single" w:sz="4" w:space="0" w:color="auto"/>
              <w:right w:val="single" w:sz="4" w:space="0" w:color="auto"/>
            </w:tcBorders>
            <w:shd w:val="clear" w:color="auto" w:fill="auto"/>
            <w:hideMark/>
          </w:tcPr>
          <w:p w14:paraId="2B52F5C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auto" w:fill="auto"/>
            <w:hideMark/>
          </w:tcPr>
          <w:p w14:paraId="28AAFA94"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425BD73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108.3</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585BE51E"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3D reconstructed models should be utilized intraoperatively, if available, because they have been shown to provide better navigation in difficult areas by allowing surgeons to better anticipate anatomical issues that may arise during surgery.</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58719A1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287CF851" w14:textId="77777777" w:rsidTr="00D45F54">
        <w:trPr>
          <w:trHeight w:val="375"/>
        </w:trPr>
        <w:tc>
          <w:tcPr>
            <w:tcW w:w="313" w:type="pct"/>
            <w:tcBorders>
              <w:top w:val="single" w:sz="4" w:space="0" w:color="auto"/>
              <w:left w:val="single" w:sz="4" w:space="0" w:color="auto"/>
              <w:bottom w:val="single" w:sz="4" w:space="0" w:color="auto"/>
              <w:right w:val="single" w:sz="4" w:space="0" w:color="auto"/>
            </w:tcBorders>
            <w:shd w:val="clear" w:color="D9D9D9" w:fill="D9D9D9"/>
            <w:hideMark/>
          </w:tcPr>
          <w:p w14:paraId="76A3676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109</w:t>
            </w:r>
          </w:p>
        </w:tc>
        <w:tc>
          <w:tcPr>
            <w:tcW w:w="1703" w:type="pct"/>
            <w:tcBorders>
              <w:top w:val="single" w:sz="4" w:space="0" w:color="auto"/>
              <w:left w:val="single" w:sz="4" w:space="0" w:color="auto"/>
              <w:bottom w:val="single" w:sz="4" w:space="0" w:color="auto"/>
              <w:right w:val="single" w:sz="4" w:space="0" w:color="auto"/>
            </w:tcBorders>
            <w:shd w:val="clear" w:color="D9D9D9" w:fill="D9D9D9"/>
            <w:hideMark/>
          </w:tcPr>
          <w:p w14:paraId="75C3E07E"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liver segmentation essential and in which cases should it be used?</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7688339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109</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622FFE6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Liver segmentation should be used, in particular, for parenchymal sparing liver resection and in patients with marginal liver function/condition (e.g. cirrhotic, CASH, NASH, steatotic liver).</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663F611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6FA9F2ED" w14:textId="77777777" w:rsidTr="00D45F54">
        <w:trPr>
          <w:trHeight w:val="375"/>
        </w:trPr>
        <w:tc>
          <w:tcPr>
            <w:tcW w:w="313" w:type="pct"/>
            <w:tcBorders>
              <w:top w:val="single" w:sz="4" w:space="0" w:color="auto"/>
              <w:left w:val="single" w:sz="4" w:space="0" w:color="auto"/>
              <w:bottom w:val="single" w:sz="4" w:space="0" w:color="auto"/>
              <w:right w:val="single" w:sz="4" w:space="0" w:color="auto"/>
            </w:tcBorders>
            <w:shd w:val="clear" w:color="auto" w:fill="auto"/>
            <w:hideMark/>
          </w:tcPr>
          <w:p w14:paraId="5D4EF50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110</w:t>
            </w:r>
          </w:p>
        </w:tc>
        <w:tc>
          <w:tcPr>
            <w:tcW w:w="1703" w:type="pct"/>
            <w:tcBorders>
              <w:top w:val="single" w:sz="4" w:space="0" w:color="auto"/>
              <w:left w:val="single" w:sz="4" w:space="0" w:color="auto"/>
              <w:bottom w:val="single" w:sz="4" w:space="0" w:color="auto"/>
              <w:right w:val="single" w:sz="4" w:space="0" w:color="auto"/>
            </w:tcBorders>
            <w:shd w:val="clear" w:color="auto" w:fill="auto"/>
            <w:hideMark/>
          </w:tcPr>
          <w:p w14:paraId="391B9AFC"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Who should do liver segmentation?</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7315964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110</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1E330EBE"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task of liver segmentation should primarily be undertaken by a multidisciplinary team consisting of hepatobiliary surgeons, radiologists, and medical imaging specialists.</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27C946B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6B06CD1E" w14:textId="77777777" w:rsidTr="00D45F54">
        <w:trPr>
          <w:trHeight w:val="750"/>
        </w:trPr>
        <w:tc>
          <w:tcPr>
            <w:tcW w:w="313" w:type="pct"/>
            <w:tcBorders>
              <w:top w:val="single" w:sz="4" w:space="0" w:color="auto"/>
              <w:left w:val="single" w:sz="4" w:space="0" w:color="auto"/>
              <w:bottom w:val="nil"/>
              <w:right w:val="single" w:sz="4" w:space="0" w:color="auto"/>
            </w:tcBorders>
            <w:shd w:val="clear" w:color="D9D9D9" w:fill="D9D9D9"/>
            <w:hideMark/>
          </w:tcPr>
          <w:p w14:paraId="65D96D4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111</w:t>
            </w:r>
          </w:p>
        </w:tc>
        <w:tc>
          <w:tcPr>
            <w:tcW w:w="1703" w:type="pct"/>
            <w:tcBorders>
              <w:top w:val="single" w:sz="4" w:space="0" w:color="auto"/>
              <w:left w:val="single" w:sz="4" w:space="0" w:color="auto"/>
              <w:bottom w:val="nil"/>
              <w:right w:val="single" w:sz="4" w:space="0" w:color="auto"/>
            </w:tcBorders>
            <w:shd w:val="clear" w:color="D9D9D9" w:fill="D9D9D9"/>
            <w:hideMark/>
          </w:tcPr>
          <w:p w14:paraId="6141138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are the purposes for the use of liver segmentation pre- and intra-operatively?</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189715B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111.1</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7729922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Preoperative liver segmentation can serve a fundamental component of surgical planning by enabling accurate volumetry and visualization of liver segments. It can also play a vital role in defining vessel and tumour relationship, which can provide valuable information for clinical decision-making and treatment strategies.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10D8DF9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3D89914B" w14:textId="77777777" w:rsidTr="00D45F54">
        <w:trPr>
          <w:trHeight w:val="750"/>
        </w:trPr>
        <w:tc>
          <w:tcPr>
            <w:tcW w:w="313" w:type="pct"/>
            <w:tcBorders>
              <w:top w:val="nil"/>
              <w:left w:val="single" w:sz="4" w:space="0" w:color="auto"/>
              <w:bottom w:val="nil"/>
              <w:right w:val="single" w:sz="4" w:space="0" w:color="auto"/>
            </w:tcBorders>
            <w:shd w:val="clear" w:color="auto" w:fill="auto"/>
            <w:hideMark/>
          </w:tcPr>
          <w:p w14:paraId="7EF7DE3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nil"/>
              <w:right w:val="single" w:sz="4" w:space="0" w:color="auto"/>
            </w:tcBorders>
            <w:shd w:val="clear" w:color="auto" w:fill="auto"/>
            <w:hideMark/>
          </w:tcPr>
          <w:p w14:paraId="06161BE3"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93896D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111.2</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2AFF01C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Intraoperative liver segmentation should be prioritized during minimally invasive anatomical liver resection because accurate segmentation is necessary to accomplish precise pedicle control and parenchymal resection.</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3F51DE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6AF7A523" w14:textId="77777777" w:rsidTr="00D45F54">
        <w:trPr>
          <w:trHeight w:val="750"/>
        </w:trPr>
        <w:tc>
          <w:tcPr>
            <w:tcW w:w="313" w:type="pct"/>
            <w:tcBorders>
              <w:top w:val="nil"/>
              <w:left w:val="single" w:sz="4" w:space="0" w:color="auto"/>
              <w:bottom w:val="single" w:sz="4" w:space="0" w:color="auto"/>
              <w:right w:val="single" w:sz="4" w:space="0" w:color="auto"/>
            </w:tcBorders>
            <w:shd w:val="clear" w:color="D9D9D9" w:fill="D9D9D9"/>
            <w:hideMark/>
          </w:tcPr>
          <w:p w14:paraId="6197CAA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D9D9D9" w:fill="D9D9D9"/>
            <w:hideMark/>
          </w:tcPr>
          <w:p w14:paraId="1747464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2460268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111.3</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17B2D1E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Liver segmentation should be promoted for optimal image-guided surgery by maximizing accurate and precise operations through a combination of preoperative planning and intraoperative image-guided liver surgery systems.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422A472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6FCD37D1" w14:textId="77777777" w:rsidTr="00D45F54">
        <w:trPr>
          <w:trHeight w:val="750"/>
        </w:trPr>
        <w:tc>
          <w:tcPr>
            <w:tcW w:w="313" w:type="pct"/>
            <w:tcBorders>
              <w:top w:val="single" w:sz="4" w:space="0" w:color="auto"/>
              <w:left w:val="single" w:sz="4" w:space="0" w:color="auto"/>
              <w:bottom w:val="nil"/>
              <w:right w:val="single" w:sz="4" w:space="0" w:color="auto"/>
            </w:tcBorders>
            <w:shd w:val="clear" w:color="auto" w:fill="auto"/>
            <w:hideMark/>
          </w:tcPr>
          <w:p w14:paraId="39871BF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112</w:t>
            </w:r>
          </w:p>
        </w:tc>
        <w:tc>
          <w:tcPr>
            <w:tcW w:w="1703" w:type="pct"/>
            <w:tcBorders>
              <w:top w:val="single" w:sz="4" w:space="0" w:color="auto"/>
              <w:left w:val="single" w:sz="4" w:space="0" w:color="auto"/>
              <w:bottom w:val="nil"/>
              <w:right w:val="single" w:sz="4" w:space="0" w:color="auto"/>
            </w:tcBorders>
            <w:shd w:val="clear" w:color="auto" w:fill="auto"/>
            <w:hideMark/>
          </w:tcPr>
          <w:p w14:paraId="0F497E86"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there a role in MILS for augmented reality in soft tissue structures like the liver, that are deformable and malleable?</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1878458"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112.1</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16ECD726"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Augmented reality should be promoted because of its potential to improve surgical outcomes in liver surgery during both minimally invasive and open liver procedures. However, further research should be promoted to evaluate the long-term impact of AR on clinical outcomes and to optimize the accuracy and reliability of AR systems.</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706829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01F4DBEF" w14:textId="77777777" w:rsidTr="00D45F54">
        <w:trPr>
          <w:trHeight w:val="750"/>
        </w:trPr>
        <w:tc>
          <w:tcPr>
            <w:tcW w:w="313" w:type="pct"/>
            <w:tcBorders>
              <w:top w:val="nil"/>
              <w:left w:val="single" w:sz="4" w:space="0" w:color="auto"/>
              <w:bottom w:val="single" w:sz="4" w:space="0" w:color="auto"/>
              <w:right w:val="single" w:sz="4" w:space="0" w:color="auto"/>
            </w:tcBorders>
            <w:shd w:val="clear" w:color="D9D9D9" w:fill="D9D9D9"/>
            <w:hideMark/>
          </w:tcPr>
          <w:p w14:paraId="2EE3400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D9D9D9" w:fill="D9D9D9"/>
            <w:hideMark/>
          </w:tcPr>
          <w:p w14:paraId="5F1BB34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44BA15E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112.2</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31E7B1C3"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 needs ongoing and further development for deformable and malleable organs such as the liver to provide a dynamic reconstruction that can adjust for changes in tissue shape and orientations as the operation progresses.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209B541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303C33D9" w14:textId="77777777" w:rsidTr="00D45F54">
        <w:trPr>
          <w:trHeight w:val="750"/>
        </w:trPr>
        <w:tc>
          <w:tcPr>
            <w:tcW w:w="313" w:type="pct"/>
            <w:tcBorders>
              <w:top w:val="single" w:sz="4" w:space="0" w:color="auto"/>
              <w:left w:val="single" w:sz="4" w:space="0" w:color="auto"/>
              <w:bottom w:val="single" w:sz="4" w:space="0" w:color="auto"/>
              <w:right w:val="single" w:sz="4" w:space="0" w:color="auto"/>
            </w:tcBorders>
            <w:shd w:val="clear" w:color="auto" w:fill="auto"/>
            <w:hideMark/>
          </w:tcPr>
          <w:p w14:paraId="29A6057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113</w:t>
            </w:r>
          </w:p>
        </w:tc>
        <w:tc>
          <w:tcPr>
            <w:tcW w:w="1703" w:type="pct"/>
            <w:tcBorders>
              <w:top w:val="single" w:sz="4" w:space="0" w:color="auto"/>
              <w:left w:val="single" w:sz="4" w:space="0" w:color="auto"/>
              <w:bottom w:val="single" w:sz="4" w:space="0" w:color="auto"/>
              <w:right w:val="single" w:sz="4" w:space="0" w:color="auto"/>
            </w:tcBorders>
            <w:shd w:val="clear" w:color="auto" w:fill="auto"/>
            <w:hideMark/>
          </w:tcPr>
          <w:p w14:paraId="612B7A9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Can artificial intelligence (AI) help in pre-operative risk assessment and in nutritional status assessment in patients undergoing MILS?</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5C0A1E8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113</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0B4346E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Although there is currently no evidence demonstrating AI's ability to determine nutritional status specifically for patients undergoing MILS, research in this area should be </w:t>
            </w:r>
            <w:r w:rsidRPr="00AD2821">
              <w:rPr>
                <w:rFonts w:eastAsia="Times New Roman" w:cstheme="minorHAnsi"/>
                <w:color w:val="333333"/>
                <w:lang w:val="en-GB" w:eastAsia="nl-NL"/>
              </w:rPr>
              <w:lastRenderedPageBreak/>
              <w:t>encouraged due to the potential benefits.</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2F0364B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1C</w:t>
            </w:r>
          </w:p>
        </w:tc>
      </w:tr>
      <w:tr w:rsidR="002665D0" w:rsidRPr="00AD2821" w14:paraId="74B7B6BC" w14:textId="77777777" w:rsidTr="00D45F54">
        <w:trPr>
          <w:trHeight w:val="375"/>
        </w:trPr>
        <w:tc>
          <w:tcPr>
            <w:tcW w:w="313" w:type="pct"/>
            <w:tcBorders>
              <w:top w:val="single" w:sz="4" w:space="0" w:color="auto"/>
              <w:left w:val="single" w:sz="4" w:space="0" w:color="auto"/>
              <w:bottom w:val="nil"/>
              <w:right w:val="single" w:sz="4" w:space="0" w:color="auto"/>
            </w:tcBorders>
            <w:shd w:val="clear" w:color="D9D9D9" w:fill="D9D9D9"/>
            <w:hideMark/>
          </w:tcPr>
          <w:p w14:paraId="109DE47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114</w:t>
            </w:r>
          </w:p>
        </w:tc>
        <w:tc>
          <w:tcPr>
            <w:tcW w:w="1703" w:type="pct"/>
            <w:tcBorders>
              <w:top w:val="single" w:sz="4" w:space="0" w:color="auto"/>
              <w:left w:val="single" w:sz="4" w:space="0" w:color="auto"/>
              <w:bottom w:val="nil"/>
              <w:right w:val="single" w:sz="4" w:space="0" w:color="auto"/>
            </w:tcBorders>
            <w:shd w:val="clear" w:color="D9D9D9" w:fill="D9D9D9"/>
            <w:hideMark/>
          </w:tcPr>
          <w:p w14:paraId="1452CB3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role should MILS surgeons play in pushing forward the role of AI in their daily practice?</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474B3EA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114.1</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2CB014B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MILS surgeons should play a proactive role in embracing and leveraging advanced technologies, including robotic systems equipped with AI, to enhance surgical techniques and outcomes.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7A178E3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432A5151" w14:textId="77777777" w:rsidTr="00D45F54">
        <w:trPr>
          <w:trHeight w:val="750"/>
        </w:trPr>
        <w:tc>
          <w:tcPr>
            <w:tcW w:w="313" w:type="pct"/>
            <w:tcBorders>
              <w:top w:val="nil"/>
              <w:left w:val="single" w:sz="4" w:space="0" w:color="auto"/>
              <w:bottom w:val="nil"/>
              <w:right w:val="single" w:sz="4" w:space="0" w:color="auto"/>
            </w:tcBorders>
            <w:shd w:val="clear" w:color="auto" w:fill="auto"/>
            <w:hideMark/>
          </w:tcPr>
          <w:p w14:paraId="46EA33B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nil"/>
              <w:right w:val="single" w:sz="4" w:space="0" w:color="auto"/>
            </w:tcBorders>
            <w:shd w:val="clear" w:color="auto" w:fill="auto"/>
            <w:hideMark/>
          </w:tcPr>
          <w:p w14:paraId="21CF099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EAEAC7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114.2</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2E1BDC5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Surgeons should play a crucial role in driving forward the integration of AI in their daily practice by actively engaging in collaborative initiatives, embracing advanced technologies such as robotic surgery, and exploring the potential benefits of AI in surgery and patient care.</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7DE1313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73B42350" w14:textId="77777777" w:rsidTr="00D45F54">
        <w:trPr>
          <w:trHeight w:val="750"/>
        </w:trPr>
        <w:tc>
          <w:tcPr>
            <w:tcW w:w="313" w:type="pct"/>
            <w:tcBorders>
              <w:top w:val="nil"/>
              <w:left w:val="single" w:sz="4" w:space="0" w:color="auto"/>
              <w:bottom w:val="nil"/>
              <w:right w:val="single" w:sz="4" w:space="0" w:color="auto"/>
            </w:tcBorders>
            <w:shd w:val="clear" w:color="D9D9D9" w:fill="D9D9D9"/>
            <w:hideMark/>
          </w:tcPr>
          <w:p w14:paraId="497E62C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nil"/>
              <w:right w:val="single" w:sz="4" w:space="0" w:color="auto"/>
            </w:tcBorders>
            <w:shd w:val="clear" w:color="D9D9D9" w:fill="D9D9D9"/>
            <w:hideMark/>
          </w:tcPr>
          <w:p w14:paraId="10A0115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67C4D33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114.3</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04E71AA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er surgeons have important roles in creating collaboration with industry to help develop AI technology (e.g. Liver surgeons can share CT scans of liver tumours with industry to use for development of AI machine learning, so the software can automatically recognize the organ/structures from scans).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30F64B5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555DEEC4" w14:textId="77777777" w:rsidTr="00D45F54">
        <w:trPr>
          <w:trHeight w:val="375"/>
        </w:trPr>
        <w:tc>
          <w:tcPr>
            <w:tcW w:w="313" w:type="pct"/>
            <w:tcBorders>
              <w:top w:val="nil"/>
              <w:left w:val="single" w:sz="4" w:space="0" w:color="auto"/>
              <w:bottom w:val="single" w:sz="4" w:space="0" w:color="auto"/>
              <w:right w:val="single" w:sz="4" w:space="0" w:color="auto"/>
            </w:tcBorders>
            <w:shd w:val="clear" w:color="auto" w:fill="auto"/>
            <w:hideMark/>
          </w:tcPr>
          <w:p w14:paraId="60BB997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auto" w:fill="auto"/>
            <w:hideMark/>
          </w:tcPr>
          <w:p w14:paraId="17FA54C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7992154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114.4</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7447223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Surgeons should also give constructive feedback of the accuracy of AI systems and how to increase their usefulness in clinical practice.</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67F8F86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2C7F3BAF" w14:textId="77777777" w:rsidTr="00D45F54">
        <w:trPr>
          <w:trHeight w:val="375"/>
        </w:trPr>
        <w:tc>
          <w:tcPr>
            <w:tcW w:w="313" w:type="pct"/>
            <w:tcBorders>
              <w:top w:val="single" w:sz="4" w:space="0" w:color="auto"/>
              <w:left w:val="single" w:sz="4" w:space="0" w:color="auto"/>
              <w:bottom w:val="single" w:sz="4" w:space="0" w:color="auto"/>
              <w:right w:val="single" w:sz="4" w:space="0" w:color="auto"/>
            </w:tcBorders>
            <w:shd w:val="clear" w:color="D9D9D9" w:fill="D9D9D9"/>
            <w:hideMark/>
          </w:tcPr>
          <w:p w14:paraId="0F9DB84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115</w:t>
            </w:r>
          </w:p>
        </w:tc>
        <w:tc>
          <w:tcPr>
            <w:tcW w:w="1703" w:type="pct"/>
            <w:tcBorders>
              <w:top w:val="single" w:sz="4" w:space="0" w:color="auto"/>
              <w:left w:val="single" w:sz="4" w:space="0" w:color="auto"/>
              <w:bottom w:val="single" w:sz="4" w:space="0" w:color="auto"/>
              <w:right w:val="single" w:sz="4" w:space="0" w:color="auto"/>
            </w:tcBorders>
            <w:shd w:val="clear" w:color="D9D9D9" w:fill="D9D9D9"/>
            <w:hideMark/>
          </w:tcPr>
          <w:p w14:paraId="30B29AC3"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the role of AI in the future expansion of laparoscopic liver resection (LLR)?</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4EE7FC1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115</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34BDC7C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AI should be encouraged because it has the potential to enhance minimally invasive hepatic surgery by improving precision, safety, and accessibility for patients worldwide.</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6FA51E1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18D355F3" w14:textId="77777777" w:rsidTr="00D45F54">
        <w:trPr>
          <w:trHeight w:val="375"/>
        </w:trPr>
        <w:tc>
          <w:tcPr>
            <w:tcW w:w="313" w:type="pct"/>
            <w:tcBorders>
              <w:top w:val="single" w:sz="4" w:space="0" w:color="auto"/>
              <w:left w:val="single" w:sz="4" w:space="0" w:color="auto"/>
              <w:bottom w:val="single" w:sz="4" w:space="0" w:color="auto"/>
              <w:right w:val="single" w:sz="4" w:space="0" w:color="auto"/>
            </w:tcBorders>
            <w:shd w:val="clear" w:color="auto" w:fill="auto"/>
            <w:hideMark/>
          </w:tcPr>
          <w:p w14:paraId="2821636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116</w:t>
            </w:r>
          </w:p>
        </w:tc>
        <w:tc>
          <w:tcPr>
            <w:tcW w:w="1703" w:type="pct"/>
            <w:tcBorders>
              <w:top w:val="single" w:sz="4" w:space="0" w:color="auto"/>
              <w:left w:val="single" w:sz="4" w:space="0" w:color="auto"/>
              <w:bottom w:val="single" w:sz="4" w:space="0" w:color="auto"/>
              <w:right w:val="single" w:sz="4" w:space="0" w:color="auto"/>
            </w:tcBorders>
            <w:shd w:val="clear" w:color="auto" w:fill="auto"/>
            <w:hideMark/>
          </w:tcPr>
          <w:p w14:paraId="23EEE3B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the role of AI in the future expansion of robotic liver resection (RLR)?</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EA2F55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116</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6CABE3B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Liver surgeons should begin preparing now for computer-assisted surgery to be widely equipped with AI in the future.</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94C227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6A9DF9AD" w14:textId="77777777" w:rsidTr="00D45F54">
        <w:trPr>
          <w:trHeight w:val="750"/>
        </w:trPr>
        <w:tc>
          <w:tcPr>
            <w:tcW w:w="313" w:type="pct"/>
            <w:tcBorders>
              <w:top w:val="single" w:sz="4" w:space="0" w:color="auto"/>
              <w:left w:val="single" w:sz="4" w:space="0" w:color="auto"/>
              <w:bottom w:val="single" w:sz="4" w:space="0" w:color="auto"/>
              <w:right w:val="single" w:sz="4" w:space="0" w:color="auto"/>
            </w:tcBorders>
            <w:shd w:val="clear" w:color="D9D9D9" w:fill="D9D9D9"/>
            <w:hideMark/>
          </w:tcPr>
          <w:p w14:paraId="7E95048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117</w:t>
            </w:r>
          </w:p>
        </w:tc>
        <w:tc>
          <w:tcPr>
            <w:tcW w:w="1703" w:type="pct"/>
            <w:tcBorders>
              <w:top w:val="single" w:sz="4" w:space="0" w:color="auto"/>
              <w:left w:val="single" w:sz="4" w:space="0" w:color="auto"/>
              <w:bottom w:val="single" w:sz="4" w:space="0" w:color="auto"/>
              <w:right w:val="single" w:sz="4" w:space="0" w:color="auto"/>
            </w:tcBorders>
            <w:shd w:val="clear" w:color="D9D9D9" w:fill="D9D9D9"/>
            <w:hideMark/>
          </w:tcPr>
          <w:p w14:paraId="35DB59D4"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the role of autonomous actions in minimally invasive liver surgery?</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3B11E91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117</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3926FCDB"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Autonomous actions during minimal invasive liver surgery should be studied because of their potential to be associated with a reduction in intraoperative complications and overall improvement of postoperative outcomes by reducing stress and </w:t>
            </w:r>
            <w:r w:rsidRPr="00AD2821">
              <w:rPr>
                <w:rFonts w:eastAsia="Times New Roman" w:cstheme="minorHAnsi"/>
                <w:color w:val="333333"/>
                <w:lang w:val="en-GB" w:eastAsia="nl-NL"/>
              </w:rPr>
              <w:lastRenderedPageBreak/>
              <w:t>fatigue for the surgeon during the operation.</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27BF229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2C</w:t>
            </w:r>
          </w:p>
        </w:tc>
      </w:tr>
      <w:tr w:rsidR="002665D0" w:rsidRPr="00AD2821" w14:paraId="24B26A27" w14:textId="77777777" w:rsidTr="00D45F54">
        <w:trPr>
          <w:trHeight w:val="375"/>
        </w:trPr>
        <w:tc>
          <w:tcPr>
            <w:tcW w:w="313" w:type="pct"/>
            <w:tcBorders>
              <w:top w:val="single" w:sz="4" w:space="0" w:color="auto"/>
              <w:left w:val="single" w:sz="4" w:space="0" w:color="auto"/>
              <w:bottom w:val="nil"/>
              <w:right w:val="single" w:sz="4" w:space="0" w:color="auto"/>
            </w:tcBorders>
            <w:shd w:val="clear" w:color="auto" w:fill="auto"/>
            <w:hideMark/>
          </w:tcPr>
          <w:p w14:paraId="49805C5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118</w:t>
            </w:r>
          </w:p>
        </w:tc>
        <w:tc>
          <w:tcPr>
            <w:tcW w:w="1703" w:type="pct"/>
            <w:tcBorders>
              <w:top w:val="single" w:sz="4" w:space="0" w:color="auto"/>
              <w:left w:val="single" w:sz="4" w:space="0" w:color="auto"/>
              <w:bottom w:val="nil"/>
              <w:right w:val="single" w:sz="4" w:space="0" w:color="auto"/>
            </w:tcBorders>
            <w:shd w:val="clear" w:color="auto" w:fill="auto"/>
            <w:hideMark/>
          </w:tcPr>
          <w:p w14:paraId="5C63E83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there a role for telemanipulation?</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7FD0B26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118.1</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04587E73"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Telemanipulation should be incorporated into the armamentarium of liver surgeons because it has the potential to enhance manipulation and dexterity during surgery and the ability to suppress resting tremors.</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51F7A64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6972021D" w14:textId="77777777" w:rsidTr="00D45F54">
        <w:trPr>
          <w:trHeight w:val="750"/>
        </w:trPr>
        <w:tc>
          <w:tcPr>
            <w:tcW w:w="313" w:type="pct"/>
            <w:tcBorders>
              <w:top w:val="nil"/>
              <w:left w:val="single" w:sz="4" w:space="0" w:color="auto"/>
              <w:bottom w:val="single" w:sz="4" w:space="0" w:color="auto"/>
              <w:right w:val="single" w:sz="4" w:space="0" w:color="auto"/>
            </w:tcBorders>
            <w:shd w:val="clear" w:color="D9D9D9" w:fill="D9D9D9"/>
            <w:hideMark/>
          </w:tcPr>
          <w:p w14:paraId="6B9F1FC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D9D9D9" w:fill="D9D9D9"/>
            <w:hideMark/>
          </w:tcPr>
          <w:p w14:paraId="5292E551"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68742DF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118.2</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4C1438E4"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Telemanipulation should be encouraged because it can permit telesurgery. Legal barriers to telesurgery should be addressed in a multidisciplinary fashion and prioritized because it has the potential to be extremely useful for real time intraoperative mentoring of remote surgeons.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3ED76CB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5D1483DE" w14:textId="77777777" w:rsidTr="00D45F54">
        <w:trPr>
          <w:trHeight w:val="375"/>
        </w:trPr>
        <w:tc>
          <w:tcPr>
            <w:tcW w:w="313" w:type="pct"/>
            <w:tcBorders>
              <w:top w:val="single" w:sz="4" w:space="0" w:color="auto"/>
              <w:left w:val="single" w:sz="4" w:space="0" w:color="auto"/>
              <w:bottom w:val="nil"/>
              <w:right w:val="single" w:sz="4" w:space="0" w:color="auto"/>
            </w:tcBorders>
            <w:shd w:val="clear" w:color="auto" w:fill="auto"/>
            <w:hideMark/>
          </w:tcPr>
          <w:p w14:paraId="55C812B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119</w:t>
            </w:r>
          </w:p>
        </w:tc>
        <w:tc>
          <w:tcPr>
            <w:tcW w:w="1703" w:type="pct"/>
            <w:tcBorders>
              <w:top w:val="single" w:sz="4" w:space="0" w:color="auto"/>
              <w:left w:val="single" w:sz="4" w:space="0" w:color="auto"/>
              <w:bottom w:val="nil"/>
              <w:right w:val="single" w:sz="4" w:space="0" w:color="auto"/>
            </w:tcBorders>
            <w:shd w:val="clear" w:color="auto" w:fill="auto"/>
            <w:hideMark/>
          </w:tcPr>
          <w:p w14:paraId="7783AE54"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there a role for handheld robotics?</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1C3CC4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119.1</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1F80415E"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Handheld robotics should be studied because it has the advantage of maintaining haptics.</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65885D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2EB0F5AB" w14:textId="77777777" w:rsidTr="00D45F54">
        <w:trPr>
          <w:trHeight w:val="375"/>
        </w:trPr>
        <w:tc>
          <w:tcPr>
            <w:tcW w:w="313" w:type="pct"/>
            <w:tcBorders>
              <w:top w:val="nil"/>
              <w:left w:val="single" w:sz="4" w:space="0" w:color="auto"/>
              <w:bottom w:val="single" w:sz="4" w:space="0" w:color="auto"/>
              <w:right w:val="single" w:sz="4" w:space="0" w:color="auto"/>
            </w:tcBorders>
            <w:shd w:val="clear" w:color="D9D9D9" w:fill="D9D9D9"/>
            <w:hideMark/>
          </w:tcPr>
          <w:p w14:paraId="7713BCE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D9D9D9" w:fill="D9D9D9"/>
            <w:hideMark/>
          </w:tcPr>
          <w:p w14:paraId="4B42E14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5FC9484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119.2</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47E652FC"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Due to financial constraints, the further development of handheld robotics should be encouraged to ensure that the maximal number of patients can benefit from robotics worldwide.</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6A0A782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7CE98460" w14:textId="77777777" w:rsidTr="00D45F54">
        <w:trPr>
          <w:trHeight w:val="375"/>
        </w:trPr>
        <w:tc>
          <w:tcPr>
            <w:tcW w:w="313" w:type="pct"/>
            <w:tcBorders>
              <w:top w:val="single" w:sz="4" w:space="0" w:color="auto"/>
              <w:left w:val="single" w:sz="4" w:space="0" w:color="auto"/>
              <w:bottom w:val="single" w:sz="4" w:space="0" w:color="auto"/>
              <w:right w:val="single" w:sz="4" w:space="0" w:color="auto"/>
            </w:tcBorders>
            <w:shd w:val="clear" w:color="auto" w:fill="auto"/>
            <w:hideMark/>
          </w:tcPr>
          <w:p w14:paraId="55CD781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120</w:t>
            </w:r>
          </w:p>
        </w:tc>
        <w:tc>
          <w:tcPr>
            <w:tcW w:w="1703" w:type="pct"/>
            <w:tcBorders>
              <w:top w:val="single" w:sz="4" w:space="0" w:color="auto"/>
              <w:left w:val="single" w:sz="4" w:space="0" w:color="auto"/>
              <w:bottom w:val="single" w:sz="4" w:space="0" w:color="auto"/>
              <w:right w:val="single" w:sz="4" w:space="0" w:color="auto"/>
            </w:tcBorders>
            <w:shd w:val="clear" w:color="auto" w:fill="auto"/>
            <w:hideMark/>
          </w:tcPr>
          <w:p w14:paraId="4685C5F4"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there a role for non-console robotic systems?</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507FE2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120</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6EAEEAB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Non-console robots may have potential safety benefits because the surgeon can stay at the bedside throughout the procedure.</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476EB38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60687CC9" w14:textId="77777777" w:rsidTr="00D45F54">
        <w:trPr>
          <w:trHeight w:val="375"/>
        </w:trPr>
        <w:tc>
          <w:tcPr>
            <w:tcW w:w="313" w:type="pct"/>
            <w:tcBorders>
              <w:top w:val="single" w:sz="4" w:space="0" w:color="auto"/>
              <w:left w:val="single" w:sz="4" w:space="0" w:color="auto"/>
              <w:bottom w:val="single" w:sz="4" w:space="0" w:color="auto"/>
              <w:right w:val="single" w:sz="4" w:space="0" w:color="auto"/>
            </w:tcBorders>
            <w:shd w:val="clear" w:color="D9D9D9" w:fill="D9D9D9"/>
            <w:hideMark/>
          </w:tcPr>
          <w:p w14:paraId="2588444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121</w:t>
            </w:r>
          </w:p>
        </w:tc>
        <w:tc>
          <w:tcPr>
            <w:tcW w:w="1703" w:type="pct"/>
            <w:tcBorders>
              <w:top w:val="single" w:sz="4" w:space="0" w:color="auto"/>
              <w:left w:val="single" w:sz="4" w:space="0" w:color="auto"/>
              <w:bottom w:val="single" w:sz="4" w:space="0" w:color="auto"/>
              <w:right w:val="single" w:sz="4" w:space="0" w:color="auto"/>
            </w:tcBorders>
            <w:shd w:val="clear" w:color="D9D9D9" w:fill="D9D9D9"/>
            <w:hideMark/>
          </w:tcPr>
          <w:p w14:paraId="77AFEC6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indocyanine green (ICG) essential in LLR and in which cases should it be used?</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330CDD0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121</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0F87EC4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usage of indocyanine green (ICG) should be further studied because it exhibits variability with regard to indications and may help during identification of intersegmental planes.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6C7F082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74FF391B" w14:textId="77777777" w:rsidTr="00D45F54">
        <w:trPr>
          <w:trHeight w:val="750"/>
        </w:trPr>
        <w:tc>
          <w:tcPr>
            <w:tcW w:w="313" w:type="pct"/>
            <w:tcBorders>
              <w:top w:val="single" w:sz="4" w:space="0" w:color="auto"/>
              <w:left w:val="single" w:sz="4" w:space="0" w:color="auto"/>
              <w:bottom w:val="single" w:sz="4" w:space="0" w:color="auto"/>
              <w:right w:val="single" w:sz="4" w:space="0" w:color="auto"/>
            </w:tcBorders>
            <w:shd w:val="clear" w:color="auto" w:fill="auto"/>
            <w:hideMark/>
          </w:tcPr>
          <w:p w14:paraId="238802E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122</w:t>
            </w:r>
          </w:p>
        </w:tc>
        <w:tc>
          <w:tcPr>
            <w:tcW w:w="1703" w:type="pct"/>
            <w:tcBorders>
              <w:top w:val="single" w:sz="4" w:space="0" w:color="auto"/>
              <w:left w:val="single" w:sz="4" w:space="0" w:color="auto"/>
              <w:bottom w:val="single" w:sz="4" w:space="0" w:color="auto"/>
              <w:right w:val="single" w:sz="4" w:space="0" w:color="auto"/>
            </w:tcBorders>
            <w:shd w:val="clear" w:color="auto" w:fill="auto"/>
            <w:hideMark/>
          </w:tcPr>
          <w:p w14:paraId="33E480F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ICG essential in RLR and in which cases should it be used?</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6034087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122</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47350EA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ICG's existence in the current robotic surgery platform, its accessibility and ease of application, and the improved intraoperative and postoperative results it provides support the fact that it should be used routinely for robotic liver surgery.</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597EEAB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5E96808B" w14:textId="77777777" w:rsidTr="00D45F54">
        <w:trPr>
          <w:trHeight w:val="375"/>
        </w:trPr>
        <w:tc>
          <w:tcPr>
            <w:tcW w:w="313" w:type="pct"/>
            <w:tcBorders>
              <w:top w:val="single" w:sz="4" w:space="0" w:color="auto"/>
              <w:left w:val="single" w:sz="4" w:space="0" w:color="auto"/>
              <w:bottom w:val="single" w:sz="4" w:space="0" w:color="auto"/>
              <w:right w:val="single" w:sz="4" w:space="0" w:color="auto"/>
            </w:tcBorders>
            <w:shd w:val="clear" w:color="D9D9D9" w:fill="D9D9D9"/>
            <w:hideMark/>
          </w:tcPr>
          <w:p w14:paraId="7E3EBDB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123</w:t>
            </w:r>
          </w:p>
        </w:tc>
        <w:tc>
          <w:tcPr>
            <w:tcW w:w="1703" w:type="pct"/>
            <w:tcBorders>
              <w:top w:val="single" w:sz="4" w:space="0" w:color="auto"/>
              <w:left w:val="single" w:sz="4" w:space="0" w:color="auto"/>
              <w:bottom w:val="single" w:sz="4" w:space="0" w:color="auto"/>
              <w:right w:val="single" w:sz="4" w:space="0" w:color="auto"/>
            </w:tcBorders>
            <w:shd w:val="clear" w:color="D9D9D9" w:fill="D9D9D9"/>
            <w:hideMark/>
          </w:tcPr>
          <w:p w14:paraId="4800E78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How should ICG be used in LLR?</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65BEFBF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123</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6AD5D97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ICG should be administered peripherally or via direct injection into the portal vein, with dosages tailored to the desired indication.</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2905CD0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30F4AD76" w14:textId="77777777" w:rsidTr="00D45F54">
        <w:trPr>
          <w:trHeight w:val="375"/>
        </w:trPr>
        <w:tc>
          <w:tcPr>
            <w:tcW w:w="313" w:type="pct"/>
            <w:tcBorders>
              <w:top w:val="single" w:sz="4" w:space="0" w:color="auto"/>
              <w:left w:val="single" w:sz="4" w:space="0" w:color="auto"/>
              <w:bottom w:val="single" w:sz="4" w:space="0" w:color="auto"/>
              <w:right w:val="single" w:sz="4" w:space="0" w:color="auto"/>
            </w:tcBorders>
            <w:shd w:val="clear" w:color="auto" w:fill="auto"/>
            <w:hideMark/>
          </w:tcPr>
          <w:p w14:paraId="4ECE44E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124</w:t>
            </w:r>
          </w:p>
        </w:tc>
        <w:tc>
          <w:tcPr>
            <w:tcW w:w="1703" w:type="pct"/>
            <w:tcBorders>
              <w:top w:val="single" w:sz="4" w:space="0" w:color="auto"/>
              <w:left w:val="single" w:sz="4" w:space="0" w:color="auto"/>
              <w:bottom w:val="single" w:sz="4" w:space="0" w:color="auto"/>
              <w:right w:val="single" w:sz="4" w:space="0" w:color="auto"/>
            </w:tcBorders>
            <w:shd w:val="clear" w:color="auto" w:fill="auto"/>
            <w:hideMark/>
          </w:tcPr>
          <w:p w14:paraId="5A35A3FC"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How should ICG be used in RLR?</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56E0ED7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124</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0E03A051"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administration of ICG in RLR should be done intravascularly, whether peripherally or via direct injection into the portal vein, with dosages tailored to the timing thereof.</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3C29F6F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7A226446" w14:textId="77777777" w:rsidTr="00D45F54">
        <w:trPr>
          <w:trHeight w:val="375"/>
        </w:trPr>
        <w:tc>
          <w:tcPr>
            <w:tcW w:w="313" w:type="pct"/>
            <w:tcBorders>
              <w:top w:val="single" w:sz="4" w:space="0" w:color="auto"/>
              <w:left w:val="single" w:sz="4" w:space="0" w:color="auto"/>
              <w:bottom w:val="nil"/>
              <w:right w:val="single" w:sz="4" w:space="0" w:color="auto"/>
            </w:tcBorders>
            <w:shd w:val="clear" w:color="D9D9D9" w:fill="D9D9D9"/>
            <w:hideMark/>
          </w:tcPr>
          <w:p w14:paraId="35AF5D2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125</w:t>
            </w:r>
          </w:p>
        </w:tc>
        <w:tc>
          <w:tcPr>
            <w:tcW w:w="1703" w:type="pct"/>
            <w:tcBorders>
              <w:top w:val="single" w:sz="4" w:space="0" w:color="auto"/>
              <w:left w:val="single" w:sz="4" w:space="0" w:color="auto"/>
              <w:bottom w:val="nil"/>
              <w:right w:val="single" w:sz="4" w:space="0" w:color="auto"/>
            </w:tcBorders>
            <w:shd w:val="clear" w:color="D9D9D9" w:fill="D9D9D9"/>
            <w:hideMark/>
          </w:tcPr>
          <w:p w14:paraId="2394D651"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Should negative or positive ICG staining be used in LLR?</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1FEEA9A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125.1</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21EF6FC5" w14:textId="77777777" w:rsidR="002665D0" w:rsidRPr="00AD2821" w:rsidRDefault="002665D0" w:rsidP="00D45F54">
            <w:pPr>
              <w:rPr>
                <w:rFonts w:eastAsia="Times New Roman" w:cstheme="minorHAnsi"/>
                <w:color w:val="0F0F0F"/>
                <w:lang w:val="en-GB" w:eastAsia="nl-NL"/>
              </w:rPr>
            </w:pPr>
            <w:r w:rsidRPr="00AD2821">
              <w:rPr>
                <w:rFonts w:eastAsia="Times New Roman" w:cstheme="minorHAnsi"/>
                <w:color w:val="0F0F0F"/>
                <w:lang w:val="en-GB" w:eastAsia="nl-NL"/>
              </w:rPr>
              <w:t xml:space="preserve">Both negative and positive ICG staining can be employed.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799F94F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0C0E8B70" w14:textId="77777777" w:rsidTr="00D45F54">
        <w:trPr>
          <w:trHeight w:val="1500"/>
        </w:trPr>
        <w:tc>
          <w:tcPr>
            <w:tcW w:w="313" w:type="pct"/>
            <w:tcBorders>
              <w:top w:val="nil"/>
              <w:left w:val="single" w:sz="4" w:space="0" w:color="auto"/>
              <w:bottom w:val="nil"/>
              <w:right w:val="single" w:sz="4" w:space="0" w:color="auto"/>
            </w:tcBorders>
            <w:shd w:val="clear" w:color="auto" w:fill="auto"/>
            <w:hideMark/>
          </w:tcPr>
          <w:p w14:paraId="146DD99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nil"/>
              <w:right w:val="single" w:sz="4" w:space="0" w:color="auto"/>
            </w:tcBorders>
            <w:shd w:val="clear" w:color="auto" w:fill="auto"/>
            <w:hideMark/>
          </w:tcPr>
          <w:p w14:paraId="5540B7E4"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2EDB775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125.2</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347E8326" w14:textId="77777777" w:rsidR="002665D0" w:rsidRPr="00AD2821" w:rsidRDefault="002665D0" w:rsidP="00D45F54">
            <w:pPr>
              <w:rPr>
                <w:rFonts w:eastAsia="Times New Roman" w:cstheme="minorHAnsi"/>
                <w:color w:val="0F0F0F"/>
                <w:lang w:val="en-GB" w:eastAsia="nl-NL"/>
              </w:rPr>
            </w:pPr>
            <w:r w:rsidRPr="00AD2821">
              <w:rPr>
                <w:rFonts w:eastAsia="Times New Roman" w:cstheme="minorHAnsi"/>
                <w:color w:val="0F0F0F"/>
                <w:lang w:val="en-GB" w:eastAsia="nl-NL"/>
              </w:rPr>
              <w:t>Negative staining should be utilized for :</w:t>
            </w:r>
            <w:r w:rsidRPr="00AD2821">
              <w:rPr>
                <w:rFonts w:eastAsia="Times New Roman" w:cstheme="minorHAnsi"/>
                <w:color w:val="0F0F0F"/>
                <w:lang w:val="en-GB" w:eastAsia="nl-NL"/>
              </w:rPr>
              <w:br/>
              <w:t>1. Patients scheduled to undergo anatomical liver resection via the Glissonean approach</w:t>
            </w:r>
            <w:r w:rsidRPr="00AD2821">
              <w:rPr>
                <w:rFonts w:eastAsia="Times New Roman" w:cstheme="minorHAnsi"/>
                <w:color w:val="0F0F0F"/>
                <w:lang w:val="en-GB" w:eastAsia="nl-NL"/>
              </w:rPr>
              <w:br/>
              <w:t>2. When employing selective clamping of the pedicle, followed by intravenous injection of indocyanine green</w:t>
            </w:r>
            <w:r w:rsidRPr="00AD2821">
              <w:rPr>
                <w:rFonts w:eastAsia="Times New Roman" w:cstheme="minorHAnsi"/>
                <w:color w:val="0F0F0F"/>
                <w:lang w:val="en-GB" w:eastAsia="nl-NL"/>
              </w:rPr>
              <w:br/>
              <w:t>3. Cases of portal vein embolization or tumour invasion that completely occludes the targeted portal vein.</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747A1F4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6ECACD4E" w14:textId="77777777" w:rsidTr="00D45F54">
        <w:trPr>
          <w:trHeight w:val="750"/>
        </w:trPr>
        <w:tc>
          <w:tcPr>
            <w:tcW w:w="313" w:type="pct"/>
            <w:tcBorders>
              <w:top w:val="nil"/>
              <w:left w:val="single" w:sz="4" w:space="0" w:color="auto"/>
              <w:bottom w:val="single" w:sz="4" w:space="0" w:color="auto"/>
              <w:right w:val="single" w:sz="4" w:space="0" w:color="auto"/>
            </w:tcBorders>
            <w:shd w:val="clear" w:color="D9D9D9" w:fill="D9D9D9"/>
            <w:hideMark/>
          </w:tcPr>
          <w:p w14:paraId="2507F46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D9D9D9" w:fill="D9D9D9"/>
            <w:hideMark/>
          </w:tcPr>
          <w:p w14:paraId="3D38979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3F1B88B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125.3</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1E57C12D" w14:textId="77777777" w:rsidR="002665D0" w:rsidRPr="00AD2821" w:rsidRDefault="002665D0" w:rsidP="00D45F54">
            <w:pPr>
              <w:rPr>
                <w:rFonts w:eastAsia="Times New Roman" w:cstheme="minorHAnsi"/>
                <w:color w:val="0F0F0F"/>
                <w:lang w:val="en-GB" w:eastAsia="nl-NL"/>
              </w:rPr>
            </w:pPr>
            <w:r w:rsidRPr="00AD2821">
              <w:rPr>
                <w:rFonts w:eastAsia="Times New Roman" w:cstheme="minorHAnsi"/>
                <w:color w:val="0F0F0F"/>
                <w:lang w:val="en-GB" w:eastAsia="nl-NL"/>
              </w:rPr>
              <w:t>The positive staining method should be favoured mostly in the context of anatomical resections in the posterosuperior segments and needs more surgical experience. More studies are needed to determine the superiority of each technique and optimal indications for their application.</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279A8AC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34CFAF71" w14:textId="77777777" w:rsidTr="00D45F54">
        <w:trPr>
          <w:trHeight w:val="375"/>
        </w:trPr>
        <w:tc>
          <w:tcPr>
            <w:tcW w:w="313" w:type="pct"/>
            <w:tcBorders>
              <w:top w:val="single" w:sz="4" w:space="0" w:color="auto"/>
              <w:left w:val="single" w:sz="4" w:space="0" w:color="auto"/>
              <w:bottom w:val="nil"/>
              <w:right w:val="single" w:sz="4" w:space="0" w:color="auto"/>
            </w:tcBorders>
            <w:shd w:val="clear" w:color="auto" w:fill="auto"/>
            <w:hideMark/>
          </w:tcPr>
          <w:p w14:paraId="7533217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126</w:t>
            </w:r>
          </w:p>
        </w:tc>
        <w:tc>
          <w:tcPr>
            <w:tcW w:w="1703" w:type="pct"/>
            <w:tcBorders>
              <w:top w:val="single" w:sz="4" w:space="0" w:color="auto"/>
              <w:left w:val="single" w:sz="4" w:space="0" w:color="auto"/>
              <w:bottom w:val="nil"/>
              <w:right w:val="single" w:sz="4" w:space="0" w:color="auto"/>
            </w:tcBorders>
            <w:shd w:val="clear" w:color="auto" w:fill="auto"/>
            <w:hideMark/>
          </w:tcPr>
          <w:p w14:paraId="4596F2D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Should negative or positive ICG be used in RLR?</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4AEF3FF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126.1</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57764F2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Both negative and positive ICG staining can be employed.</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70C79C9A"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04E64984" w14:textId="77777777" w:rsidTr="00D45F54">
        <w:trPr>
          <w:trHeight w:val="1500"/>
        </w:trPr>
        <w:tc>
          <w:tcPr>
            <w:tcW w:w="313" w:type="pct"/>
            <w:tcBorders>
              <w:top w:val="nil"/>
              <w:left w:val="single" w:sz="4" w:space="0" w:color="auto"/>
              <w:bottom w:val="nil"/>
              <w:right w:val="single" w:sz="4" w:space="0" w:color="auto"/>
            </w:tcBorders>
            <w:shd w:val="clear" w:color="D9D9D9" w:fill="D9D9D9"/>
            <w:hideMark/>
          </w:tcPr>
          <w:p w14:paraId="1E8A405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nil"/>
              <w:right w:val="single" w:sz="4" w:space="0" w:color="auto"/>
            </w:tcBorders>
            <w:shd w:val="clear" w:color="D9D9D9" w:fill="D9D9D9"/>
            <w:hideMark/>
          </w:tcPr>
          <w:p w14:paraId="38D23B1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7431CF1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126.2</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35E3DC70" w14:textId="77777777" w:rsidR="002665D0" w:rsidRPr="00AD2821" w:rsidRDefault="002665D0" w:rsidP="00D45F54">
            <w:pPr>
              <w:rPr>
                <w:rFonts w:eastAsia="Times New Roman" w:cstheme="minorHAnsi"/>
                <w:color w:val="0F0F0F"/>
                <w:lang w:val="en-GB" w:eastAsia="nl-NL"/>
              </w:rPr>
            </w:pPr>
            <w:r w:rsidRPr="00AD2821">
              <w:rPr>
                <w:rFonts w:eastAsia="Times New Roman" w:cstheme="minorHAnsi"/>
                <w:color w:val="0F0F0F"/>
                <w:lang w:val="en-GB" w:eastAsia="nl-NL"/>
              </w:rPr>
              <w:t>Negative staining should be utilized for :</w:t>
            </w:r>
            <w:r w:rsidRPr="00AD2821">
              <w:rPr>
                <w:rFonts w:eastAsia="Times New Roman" w:cstheme="minorHAnsi"/>
                <w:color w:val="0F0F0F"/>
                <w:lang w:val="en-GB" w:eastAsia="nl-NL"/>
              </w:rPr>
              <w:br/>
              <w:t>1. Patients scheduled to undergo anatomical liver resection via the Glissonean approach</w:t>
            </w:r>
            <w:r w:rsidRPr="00AD2821">
              <w:rPr>
                <w:rFonts w:eastAsia="Times New Roman" w:cstheme="minorHAnsi"/>
                <w:color w:val="0F0F0F"/>
                <w:lang w:val="en-GB" w:eastAsia="nl-NL"/>
              </w:rPr>
              <w:br/>
              <w:t>2. When employing selective clamping of the pedicle, followed by intravenous injection of indocyanine green</w:t>
            </w:r>
            <w:r w:rsidRPr="00AD2821">
              <w:rPr>
                <w:rFonts w:eastAsia="Times New Roman" w:cstheme="minorHAnsi"/>
                <w:color w:val="0F0F0F"/>
                <w:lang w:val="en-GB" w:eastAsia="nl-NL"/>
              </w:rPr>
              <w:br/>
              <w:t>3. Cases of portal vein embolization or tumour invasion that completely occludes the targeted portal vein.</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018C780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136537AA" w14:textId="77777777" w:rsidTr="00D45F54">
        <w:trPr>
          <w:trHeight w:val="750"/>
        </w:trPr>
        <w:tc>
          <w:tcPr>
            <w:tcW w:w="313" w:type="pct"/>
            <w:tcBorders>
              <w:top w:val="nil"/>
              <w:left w:val="single" w:sz="4" w:space="0" w:color="auto"/>
              <w:bottom w:val="single" w:sz="4" w:space="0" w:color="auto"/>
              <w:right w:val="single" w:sz="4" w:space="0" w:color="auto"/>
            </w:tcBorders>
            <w:shd w:val="clear" w:color="auto" w:fill="auto"/>
            <w:hideMark/>
          </w:tcPr>
          <w:p w14:paraId="119F08A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auto" w:fill="auto"/>
            <w:hideMark/>
          </w:tcPr>
          <w:p w14:paraId="1D1C8AE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6B09A75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126.3</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6C66E9A9" w14:textId="77777777" w:rsidR="002665D0" w:rsidRPr="00AD2821" w:rsidRDefault="002665D0" w:rsidP="00D45F54">
            <w:pPr>
              <w:rPr>
                <w:rFonts w:eastAsia="Times New Roman" w:cstheme="minorHAnsi"/>
                <w:color w:val="0F0F0F"/>
                <w:lang w:val="en-GB" w:eastAsia="nl-NL"/>
              </w:rPr>
            </w:pPr>
            <w:r w:rsidRPr="00AD2821">
              <w:rPr>
                <w:rFonts w:eastAsia="Times New Roman" w:cstheme="minorHAnsi"/>
                <w:color w:val="0F0F0F"/>
                <w:lang w:val="en-GB" w:eastAsia="nl-NL"/>
              </w:rPr>
              <w:t xml:space="preserve">The positive staining method should be favoured mostly in the context of anatomical resections in the posterosuperior segments and needs more surgical experience. More studies are needed to determine the superiority of each technique and </w:t>
            </w:r>
            <w:r w:rsidRPr="00AD2821">
              <w:rPr>
                <w:rFonts w:eastAsia="Times New Roman" w:cstheme="minorHAnsi"/>
                <w:color w:val="0F0F0F"/>
                <w:lang w:val="en-GB" w:eastAsia="nl-NL"/>
              </w:rPr>
              <w:lastRenderedPageBreak/>
              <w:t>optimal indications for their application.</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431EE5D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2C</w:t>
            </w:r>
          </w:p>
        </w:tc>
      </w:tr>
      <w:tr w:rsidR="002665D0" w:rsidRPr="00AD2821" w14:paraId="6577AA55" w14:textId="77777777" w:rsidTr="00D45F54">
        <w:trPr>
          <w:trHeight w:val="375"/>
        </w:trPr>
        <w:tc>
          <w:tcPr>
            <w:tcW w:w="313" w:type="pct"/>
            <w:tcBorders>
              <w:top w:val="single" w:sz="4" w:space="0" w:color="auto"/>
              <w:left w:val="single" w:sz="4" w:space="0" w:color="auto"/>
              <w:bottom w:val="nil"/>
              <w:right w:val="single" w:sz="4" w:space="0" w:color="auto"/>
            </w:tcBorders>
            <w:shd w:val="clear" w:color="D9D9D9" w:fill="D9D9D9"/>
            <w:hideMark/>
          </w:tcPr>
          <w:p w14:paraId="2D15293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127</w:t>
            </w:r>
          </w:p>
        </w:tc>
        <w:tc>
          <w:tcPr>
            <w:tcW w:w="1703" w:type="pct"/>
            <w:tcBorders>
              <w:top w:val="single" w:sz="4" w:space="0" w:color="auto"/>
              <w:left w:val="single" w:sz="4" w:space="0" w:color="auto"/>
              <w:bottom w:val="nil"/>
              <w:right w:val="single" w:sz="4" w:space="0" w:color="auto"/>
            </w:tcBorders>
            <w:shd w:val="clear" w:color="D9D9D9" w:fill="D9D9D9"/>
            <w:hideMark/>
          </w:tcPr>
          <w:p w14:paraId="1FDAB5C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the ideal timing of preoperative administration of ICG in LLR?</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247CD09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127.1</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6359F76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widely acknowledged practice should be the administration of ICG between the 2nd and 14th days preceding the surgical procedure.</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0D753B7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5BFAB925" w14:textId="77777777" w:rsidTr="00D45F54">
        <w:trPr>
          <w:trHeight w:val="375"/>
        </w:trPr>
        <w:tc>
          <w:tcPr>
            <w:tcW w:w="313" w:type="pct"/>
            <w:tcBorders>
              <w:top w:val="nil"/>
              <w:left w:val="single" w:sz="4" w:space="0" w:color="auto"/>
              <w:bottom w:val="nil"/>
              <w:right w:val="single" w:sz="4" w:space="0" w:color="auto"/>
            </w:tcBorders>
            <w:shd w:val="clear" w:color="auto" w:fill="auto"/>
            <w:hideMark/>
          </w:tcPr>
          <w:p w14:paraId="3ACE781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nil"/>
              <w:right w:val="single" w:sz="4" w:space="0" w:color="auto"/>
            </w:tcBorders>
            <w:shd w:val="clear" w:color="auto" w:fill="auto"/>
            <w:hideMark/>
          </w:tcPr>
          <w:p w14:paraId="1DE2C65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1FDF5D88"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127.2</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5713FC2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Optimal timing for application falls within the second period (7-14 days) in cases of cirrhosis and first period (2-7 days) in case of no liver parenchymal diseases.</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34BD448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68ECA5E1" w14:textId="77777777" w:rsidTr="00D45F54">
        <w:trPr>
          <w:trHeight w:val="375"/>
        </w:trPr>
        <w:tc>
          <w:tcPr>
            <w:tcW w:w="313" w:type="pct"/>
            <w:tcBorders>
              <w:top w:val="nil"/>
              <w:left w:val="single" w:sz="4" w:space="0" w:color="auto"/>
              <w:bottom w:val="single" w:sz="4" w:space="0" w:color="auto"/>
              <w:right w:val="single" w:sz="4" w:space="0" w:color="auto"/>
            </w:tcBorders>
            <w:shd w:val="clear" w:color="D9D9D9" w:fill="D9D9D9"/>
            <w:hideMark/>
          </w:tcPr>
          <w:p w14:paraId="3C9DB2E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D9D9D9" w:fill="D9D9D9"/>
            <w:hideMark/>
          </w:tcPr>
          <w:p w14:paraId="08E64349"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04AFED7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127.3</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6C3491B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If ICG is used to help visualize the bile duct intraoperatively, it is given 30-45 minutes earlier to allow enough time for ICG to be excreted and present in the biliary system.</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37C703E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69E0B923" w14:textId="77777777" w:rsidTr="00D45F54">
        <w:trPr>
          <w:trHeight w:val="375"/>
        </w:trPr>
        <w:tc>
          <w:tcPr>
            <w:tcW w:w="313" w:type="pct"/>
            <w:tcBorders>
              <w:top w:val="single" w:sz="4" w:space="0" w:color="auto"/>
              <w:left w:val="single" w:sz="4" w:space="0" w:color="auto"/>
              <w:bottom w:val="nil"/>
              <w:right w:val="single" w:sz="4" w:space="0" w:color="auto"/>
            </w:tcBorders>
            <w:shd w:val="clear" w:color="auto" w:fill="auto"/>
            <w:hideMark/>
          </w:tcPr>
          <w:p w14:paraId="59A48C18"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128</w:t>
            </w:r>
          </w:p>
        </w:tc>
        <w:tc>
          <w:tcPr>
            <w:tcW w:w="1703" w:type="pct"/>
            <w:tcBorders>
              <w:top w:val="single" w:sz="4" w:space="0" w:color="auto"/>
              <w:left w:val="single" w:sz="4" w:space="0" w:color="auto"/>
              <w:bottom w:val="nil"/>
              <w:right w:val="single" w:sz="4" w:space="0" w:color="auto"/>
            </w:tcBorders>
            <w:shd w:val="clear" w:color="auto" w:fill="auto"/>
            <w:hideMark/>
          </w:tcPr>
          <w:p w14:paraId="189F4904"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the ideal timing of preoperative administration of ICG in RLR?</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31C0DF3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128.1</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4F3F323E"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widely acknowledged practice should be the administration of ICG between the 2nd and 14th days preceding the surgical procedure.</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46774D6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39E8D63D" w14:textId="77777777" w:rsidTr="00D45F54">
        <w:trPr>
          <w:trHeight w:val="375"/>
        </w:trPr>
        <w:tc>
          <w:tcPr>
            <w:tcW w:w="313" w:type="pct"/>
            <w:tcBorders>
              <w:top w:val="nil"/>
              <w:left w:val="single" w:sz="4" w:space="0" w:color="auto"/>
              <w:bottom w:val="nil"/>
              <w:right w:val="single" w:sz="4" w:space="0" w:color="auto"/>
            </w:tcBorders>
            <w:shd w:val="clear" w:color="D9D9D9" w:fill="D9D9D9"/>
            <w:hideMark/>
          </w:tcPr>
          <w:p w14:paraId="6D2B5C5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nil"/>
              <w:right w:val="single" w:sz="4" w:space="0" w:color="auto"/>
            </w:tcBorders>
            <w:shd w:val="clear" w:color="D9D9D9" w:fill="D9D9D9"/>
            <w:hideMark/>
          </w:tcPr>
          <w:p w14:paraId="338158C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0437C3E8"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128.2</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6A63473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Optimal timing for application falls within the second period (7-14 days) in cases of cirrhosis and first period (2-7 days) in case of no liver parenchymal diseases.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7DAEE73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63BE69DA" w14:textId="77777777" w:rsidTr="00D45F54">
        <w:trPr>
          <w:trHeight w:val="375"/>
        </w:trPr>
        <w:tc>
          <w:tcPr>
            <w:tcW w:w="313" w:type="pct"/>
            <w:tcBorders>
              <w:top w:val="nil"/>
              <w:left w:val="single" w:sz="4" w:space="0" w:color="auto"/>
              <w:bottom w:val="single" w:sz="4" w:space="0" w:color="auto"/>
              <w:right w:val="single" w:sz="4" w:space="0" w:color="auto"/>
            </w:tcBorders>
            <w:shd w:val="clear" w:color="auto" w:fill="auto"/>
            <w:hideMark/>
          </w:tcPr>
          <w:p w14:paraId="346FB0E9"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auto" w:fill="auto"/>
            <w:hideMark/>
          </w:tcPr>
          <w:p w14:paraId="3BE2B0D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02A5F10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128.3</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331D899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If ICG is used to help visualize the bile duct intraoperatively, then it should be given 30-45 minutes earlier to allow enough time for ICG to be excreted and present in the biliary system.</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0F344818"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612C3FBE" w14:textId="77777777" w:rsidTr="00D45F54">
        <w:trPr>
          <w:trHeight w:val="750"/>
        </w:trPr>
        <w:tc>
          <w:tcPr>
            <w:tcW w:w="313" w:type="pct"/>
            <w:tcBorders>
              <w:top w:val="single" w:sz="4" w:space="0" w:color="auto"/>
              <w:left w:val="single" w:sz="4" w:space="0" w:color="auto"/>
              <w:bottom w:val="single" w:sz="4" w:space="0" w:color="auto"/>
              <w:right w:val="single" w:sz="4" w:space="0" w:color="auto"/>
            </w:tcBorders>
            <w:shd w:val="clear" w:color="D9D9D9" w:fill="D9D9D9"/>
            <w:hideMark/>
          </w:tcPr>
          <w:p w14:paraId="1AEFC5A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129</w:t>
            </w:r>
          </w:p>
        </w:tc>
        <w:tc>
          <w:tcPr>
            <w:tcW w:w="1703" w:type="pct"/>
            <w:tcBorders>
              <w:top w:val="single" w:sz="4" w:space="0" w:color="auto"/>
              <w:left w:val="single" w:sz="4" w:space="0" w:color="auto"/>
              <w:bottom w:val="single" w:sz="4" w:space="0" w:color="auto"/>
              <w:right w:val="single" w:sz="4" w:space="0" w:color="auto"/>
            </w:tcBorders>
            <w:shd w:val="clear" w:color="D9D9D9" w:fill="D9D9D9"/>
            <w:hideMark/>
          </w:tcPr>
          <w:p w14:paraId="7B7F9D3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Are there differences in ICG administration and interpretation based on liver parenchyma status in LLR?</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69BF5498"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129</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6C1D30B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Diffuse staining patterns and false positivity can occur in cases of cirrhosis, parenchymal liver illnesses, and disorders associated with bile excretion from the liver, as a result, the timing of preoperative administration should be extended in order to guarantee precise findings while used for tumour identification.</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36E3EDF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1C</w:t>
            </w:r>
          </w:p>
        </w:tc>
      </w:tr>
      <w:tr w:rsidR="002665D0" w:rsidRPr="00AD2821" w14:paraId="08EC93D6" w14:textId="77777777" w:rsidTr="00D45F54">
        <w:trPr>
          <w:trHeight w:val="750"/>
        </w:trPr>
        <w:tc>
          <w:tcPr>
            <w:tcW w:w="313" w:type="pct"/>
            <w:tcBorders>
              <w:top w:val="single" w:sz="4" w:space="0" w:color="auto"/>
              <w:left w:val="single" w:sz="4" w:space="0" w:color="auto"/>
              <w:bottom w:val="single" w:sz="4" w:space="0" w:color="auto"/>
              <w:right w:val="single" w:sz="4" w:space="0" w:color="auto"/>
            </w:tcBorders>
            <w:shd w:val="clear" w:color="auto" w:fill="auto"/>
            <w:hideMark/>
          </w:tcPr>
          <w:p w14:paraId="79964C4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130</w:t>
            </w:r>
          </w:p>
        </w:tc>
        <w:tc>
          <w:tcPr>
            <w:tcW w:w="1703" w:type="pct"/>
            <w:tcBorders>
              <w:top w:val="single" w:sz="4" w:space="0" w:color="auto"/>
              <w:left w:val="single" w:sz="4" w:space="0" w:color="auto"/>
              <w:bottom w:val="single" w:sz="4" w:space="0" w:color="auto"/>
              <w:right w:val="single" w:sz="4" w:space="0" w:color="auto"/>
            </w:tcBorders>
            <w:shd w:val="clear" w:color="auto" w:fill="auto"/>
            <w:hideMark/>
          </w:tcPr>
          <w:p w14:paraId="15F8AA4B"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Are there differences in ICG administration and interpretation based on liver parenchyma status in RLR?</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7FA9ADC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130</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2B7C7D6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Diffuse staining patterns and false positivity can occur in cases of cirrhosis, parenchymal liver illnesses, and disorders associated with bile excretion from the liver; as a result, the timing of preoperative administration should be extended in </w:t>
            </w:r>
            <w:r w:rsidRPr="00AD2821">
              <w:rPr>
                <w:rFonts w:eastAsia="Times New Roman" w:cstheme="minorHAnsi"/>
                <w:color w:val="333333"/>
                <w:lang w:val="en-GB" w:eastAsia="nl-NL"/>
              </w:rPr>
              <w:lastRenderedPageBreak/>
              <w:t>order to guarantee precise findings while used for tumour identification.</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61E42858"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1C</w:t>
            </w:r>
          </w:p>
        </w:tc>
      </w:tr>
      <w:tr w:rsidR="002665D0" w:rsidRPr="00AD2821" w14:paraId="5F672385" w14:textId="77777777" w:rsidTr="00D45F54">
        <w:trPr>
          <w:trHeight w:val="375"/>
        </w:trPr>
        <w:tc>
          <w:tcPr>
            <w:tcW w:w="313" w:type="pct"/>
            <w:tcBorders>
              <w:top w:val="single" w:sz="4" w:space="0" w:color="auto"/>
              <w:left w:val="single" w:sz="4" w:space="0" w:color="auto"/>
              <w:bottom w:val="nil"/>
              <w:right w:val="single" w:sz="4" w:space="0" w:color="auto"/>
            </w:tcBorders>
            <w:shd w:val="clear" w:color="D9D9D9" w:fill="D9D9D9"/>
            <w:hideMark/>
          </w:tcPr>
          <w:p w14:paraId="76F0206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131</w:t>
            </w:r>
          </w:p>
        </w:tc>
        <w:tc>
          <w:tcPr>
            <w:tcW w:w="1703" w:type="pct"/>
            <w:tcBorders>
              <w:top w:val="single" w:sz="4" w:space="0" w:color="auto"/>
              <w:left w:val="single" w:sz="4" w:space="0" w:color="auto"/>
              <w:bottom w:val="nil"/>
              <w:right w:val="single" w:sz="4" w:space="0" w:color="auto"/>
            </w:tcBorders>
            <w:shd w:val="clear" w:color="D9D9D9" w:fill="D9D9D9"/>
            <w:hideMark/>
          </w:tcPr>
          <w:p w14:paraId="7517067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liver navigation essential in LLR and in which cases should it be used?</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0F5F421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131.1</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547858BB"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integration of liver navigation may offer real-time visualization, accurate tumour localization, precise imaging of liver segments, and improved spatial orientation.</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27F0E3F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596AFC48" w14:textId="77777777" w:rsidTr="00D45F54">
        <w:trPr>
          <w:trHeight w:val="375"/>
        </w:trPr>
        <w:tc>
          <w:tcPr>
            <w:tcW w:w="313" w:type="pct"/>
            <w:tcBorders>
              <w:top w:val="nil"/>
              <w:left w:val="single" w:sz="4" w:space="0" w:color="auto"/>
              <w:bottom w:val="single" w:sz="4" w:space="0" w:color="auto"/>
              <w:right w:val="single" w:sz="4" w:space="0" w:color="auto"/>
            </w:tcBorders>
            <w:shd w:val="clear" w:color="auto" w:fill="auto"/>
            <w:hideMark/>
          </w:tcPr>
          <w:p w14:paraId="12CA9184"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auto" w:fill="auto"/>
            <w:hideMark/>
          </w:tcPr>
          <w:p w14:paraId="003D3386"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46EE427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131.2</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3D79B91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utilization of liver navigation could be particularly beneficial during major hepatectomy, technically complex resections, and anatomical liver resection.</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01BD622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0EC27620" w14:textId="77777777" w:rsidTr="00D45F54">
        <w:trPr>
          <w:trHeight w:val="375"/>
        </w:trPr>
        <w:tc>
          <w:tcPr>
            <w:tcW w:w="313" w:type="pct"/>
            <w:tcBorders>
              <w:top w:val="single" w:sz="4" w:space="0" w:color="auto"/>
              <w:left w:val="single" w:sz="4" w:space="0" w:color="auto"/>
              <w:bottom w:val="nil"/>
              <w:right w:val="single" w:sz="4" w:space="0" w:color="auto"/>
            </w:tcBorders>
            <w:shd w:val="clear" w:color="D9D9D9" w:fill="D9D9D9"/>
            <w:hideMark/>
          </w:tcPr>
          <w:p w14:paraId="785D440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132</w:t>
            </w:r>
          </w:p>
        </w:tc>
        <w:tc>
          <w:tcPr>
            <w:tcW w:w="1703" w:type="pct"/>
            <w:tcBorders>
              <w:top w:val="single" w:sz="4" w:space="0" w:color="auto"/>
              <w:left w:val="single" w:sz="4" w:space="0" w:color="auto"/>
              <w:bottom w:val="nil"/>
              <w:right w:val="single" w:sz="4" w:space="0" w:color="auto"/>
            </w:tcBorders>
            <w:shd w:val="clear" w:color="D9D9D9" w:fill="D9D9D9"/>
            <w:hideMark/>
          </w:tcPr>
          <w:p w14:paraId="2D06AFC8"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liver navigation essential in RLR and how should it be used?</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7492683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132.1</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2FB40627"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integration of liver navigation may offer real-time visualization, accurate tumour localization, precise imaging of liver segments, and improved spatial orientation.</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285CE4C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699A66A5" w14:textId="77777777" w:rsidTr="00D45F54">
        <w:trPr>
          <w:trHeight w:val="375"/>
        </w:trPr>
        <w:tc>
          <w:tcPr>
            <w:tcW w:w="313" w:type="pct"/>
            <w:tcBorders>
              <w:top w:val="nil"/>
              <w:left w:val="single" w:sz="4" w:space="0" w:color="auto"/>
              <w:bottom w:val="single" w:sz="4" w:space="0" w:color="auto"/>
              <w:right w:val="single" w:sz="4" w:space="0" w:color="auto"/>
            </w:tcBorders>
            <w:shd w:val="clear" w:color="auto" w:fill="auto"/>
            <w:hideMark/>
          </w:tcPr>
          <w:p w14:paraId="553A617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 </w:t>
            </w:r>
          </w:p>
        </w:tc>
        <w:tc>
          <w:tcPr>
            <w:tcW w:w="1703" w:type="pct"/>
            <w:tcBorders>
              <w:top w:val="nil"/>
              <w:left w:val="single" w:sz="4" w:space="0" w:color="auto"/>
              <w:bottom w:val="single" w:sz="4" w:space="0" w:color="auto"/>
              <w:right w:val="single" w:sz="4" w:space="0" w:color="auto"/>
            </w:tcBorders>
            <w:shd w:val="clear" w:color="auto" w:fill="auto"/>
            <w:hideMark/>
          </w:tcPr>
          <w:p w14:paraId="3BB9389E"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4BBDD5F2"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132.2</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4CC588DE"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utilization of liver navigation could be particularly beneficial during major hepatectomy, technically complex resections, and anatomical liver resection.</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51209253"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22488283" w14:textId="77777777" w:rsidTr="00D45F54">
        <w:trPr>
          <w:trHeight w:val="750"/>
        </w:trPr>
        <w:tc>
          <w:tcPr>
            <w:tcW w:w="313" w:type="pct"/>
            <w:tcBorders>
              <w:top w:val="single" w:sz="4" w:space="0" w:color="auto"/>
              <w:left w:val="single" w:sz="4" w:space="0" w:color="auto"/>
              <w:bottom w:val="single" w:sz="4" w:space="0" w:color="auto"/>
              <w:right w:val="single" w:sz="4" w:space="0" w:color="auto"/>
            </w:tcBorders>
            <w:shd w:val="clear" w:color="D9D9D9" w:fill="D9D9D9"/>
            <w:hideMark/>
          </w:tcPr>
          <w:p w14:paraId="6360C8B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133</w:t>
            </w:r>
          </w:p>
        </w:tc>
        <w:tc>
          <w:tcPr>
            <w:tcW w:w="1703" w:type="pct"/>
            <w:tcBorders>
              <w:top w:val="single" w:sz="4" w:space="0" w:color="auto"/>
              <w:left w:val="single" w:sz="4" w:space="0" w:color="auto"/>
              <w:bottom w:val="single" w:sz="4" w:space="0" w:color="auto"/>
              <w:right w:val="single" w:sz="4" w:space="0" w:color="auto"/>
            </w:tcBorders>
            <w:shd w:val="clear" w:color="D9D9D9" w:fill="D9D9D9"/>
            <w:hideMark/>
          </w:tcPr>
          <w:p w14:paraId="13020415"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How should liver navigation be used in LLR?</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4F63520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133</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304F8DF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Liver navigation should be considered as the utilization of intraoperative ultrasound guidance, fluorescence image guidance, virtual reality technology, and/or 3D reconstruction for real-time visualization to improve the accuracy and safety of surgical procedures.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770552DB"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5E43400C" w14:textId="77777777" w:rsidTr="00D45F54">
        <w:trPr>
          <w:trHeight w:val="750"/>
        </w:trPr>
        <w:tc>
          <w:tcPr>
            <w:tcW w:w="313" w:type="pct"/>
            <w:tcBorders>
              <w:top w:val="single" w:sz="4" w:space="0" w:color="auto"/>
              <w:left w:val="single" w:sz="4" w:space="0" w:color="auto"/>
              <w:bottom w:val="single" w:sz="4" w:space="0" w:color="auto"/>
              <w:right w:val="single" w:sz="4" w:space="0" w:color="auto"/>
            </w:tcBorders>
            <w:shd w:val="clear" w:color="auto" w:fill="auto"/>
            <w:hideMark/>
          </w:tcPr>
          <w:p w14:paraId="52C3A53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134</w:t>
            </w:r>
          </w:p>
        </w:tc>
        <w:tc>
          <w:tcPr>
            <w:tcW w:w="1703" w:type="pct"/>
            <w:tcBorders>
              <w:top w:val="single" w:sz="4" w:space="0" w:color="auto"/>
              <w:left w:val="single" w:sz="4" w:space="0" w:color="auto"/>
              <w:bottom w:val="single" w:sz="4" w:space="0" w:color="auto"/>
              <w:right w:val="single" w:sz="4" w:space="0" w:color="auto"/>
            </w:tcBorders>
            <w:shd w:val="clear" w:color="auto" w:fill="auto"/>
            <w:hideMark/>
          </w:tcPr>
          <w:p w14:paraId="36A72A91"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How should liver navigation be used in RLR?</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4618DDD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134</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43040AF3"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Liver navigation should be considered as utilization of intraoperative ultrasound guidance, fluorescence image guidance, virtual reality technology and/or 3D reconstruction for real time visualization to improve accuracy and safety of surgical procedure.</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0D24F7CE"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60737975" w14:textId="77777777" w:rsidTr="00D45F54">
        <w:trPr>
          <w:trHeight w:val="375"/>
        </w:trPr>
        <w:tc>
          <w:tcPr>
            <w:tcW w:w="313" w:type="pct"/>
            <w:tcBorders>
              <w:top w:val="single" w:sz="4" w:space="0" w:color="auto"/>
              <w:left w:val="single" w:sz="4" w:space="0" w:color="auto"/>
              <w:bottom w:val="single" w:sz="4" w:space="0" w:color="auto"/>
              <w:right w:val="single" w:sz="4" w:space="0" w:color="auto"/>
            </w:tcBorders>
            <w:shd w:val="clear" w:color="D9D9D9" w:fill="D9D9D9"/>
            <w:hideMark/>
          </w:tcPr>
          <w:p w14:paraId="54FCFEA0"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135</w:t>
            </w:r>
          </w:p>
        </w:tc>
        <w:tc>
          <w:tcPr>
            <w:tcW w:w="1703" w:type="pct"/>
            <w:tcBorders>
              <w:top w:val="single" w:sz="4" w:space="0" w:color="auto"/>
              <w:left w:val="single" w:sz="4" w:space="0" w:color="auto"/>
              <w:bottom w:val="single" w:sz="4" w:space="0" w:color="auto"/>
              <w:right w:val="single" w:sz="4" w:space="0" w:color="auto"/>
            </w:tcBorders>
            <w:shd w:val="clear" w:color="D9D9D9" w:fill="D9D9D9"/>
            <w:hideMark/>
          </w:tcPr>
          <w:p w14:paraId="08C11A0B"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haptic feedback currently available in RLR?</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7310CA4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135</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662CB4B2"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lack of haptic feedback is a limitation of currently available robotic console systems.</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5C1D05C7"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r w:rsidR="002665D0" w:rsidRPr="00AD2821" w14:paraId="78771912" w14:textId="77777777" w:rsidTr="00D45F54">
        <w:trPr>
          <w:trHeight w:val="750"/>
        </w:trPr>
        <w:tc>
          <w:tcPr>
            <w:tcW w:w="313" w:type="pct"/>
            <w:tcBorders>
              <w:top w:val="single" w:sz="4" w:space="0" w:color="auto"/>
              <w:left w:val="single" w:sz="4" w:space="0" w:color="auto"/>
              <w:bottom w:val="single" w:sz="4" w:space="0" w:color="auto"/>
              <w:right w:val="single" w:sz="4" w:space="0" w:color="auto"/>
            </w:tcBorders>
            <w:shd w:val="clear" w:color="auto" w:fill="auto"/>
            <w:hideMark/>
          </w:tcPr>
          <w:p w14:paraId="4907795C"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136</w:t>
            </w:r>
          </w:p>
        </w:tc>
        <w:tc>
          <w:tcPr>
            <w:tcW w:w="1703" w:type="pct"/>
            <w:tcBorders>
              <w:top w:val="single" w:sz="4" w:space="0" w:color="auto"/>
              <w:left w:val="single" w:sz="4" w:space="0" w:color="auto"/>
              <w:bottom w:val="single" w:sz="4" w:space="0" w:color="auto"/>
              <w:right w:val="single" w:sz="4" w:space="0" w:color="auto"/>
            </w:tcBorders>
            <w:shd w:val="clear" w:color="auto" w:fill="auto"/>
            <w:hideMark/>
          </w:tcPr>
          <w:p w14:paraId="3EC7A1ED"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Is haptic feedback essential in RLR?</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0B9BE355"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136</w:t>
            </w:r>
          </w:p>
        </w:tc>
        <w:tc>
          <w:tcPr>
            <w:tcW w:w="2112" w:type="pct"/>
            <w:tcBorders>
              <w:top w:val="single" w:sz="4" w:space="0" w:color="auto"/>
              <w:left w:val="single" w:sz="4" w:space="0" w:color="auto"/>
              <w:bottom w:val="single" w:sz="4" w:space="0" w:color="auto"/>
              <w:right w:val="single" w:sz="4" w:space="0" w:color="auto"/>
            </w:tcBorders>
            <w:shd w:val="clear" w:color="auto" w:fill="auto"/>
            <w:hideMark/>
          </w:tcPr>
          <w:p w14:paraId="766CEC5F"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 xml:space="preserve">Although haptic feedback plays a crucial role in open and laparoscopic surgical precision, tissue manipulation, and assessment of tissue properties and detection of intrahepatic liver </w:t>
            </w:r>
            <w:r w:rsidRPr="00AD2821">
              <w:rPr>
                <w:rFonts w:eastAsia="Times New Roman" w:cstheme="minorHAnsi"/>
                <w:color w:val="333333"/>
                <w:lang w:val="en-GB" w:eastAsia="nl-NL"/>
              </w:rPr>
              <w:lastRenderedPageBreak/>
              <w:t>lesions, this does not seem to be the case for current RLR.</w:t>
            </w:r>
          </w:p>
        </w:tc>
        <w:tc>
          <w:tcPr>
            <w:tcW w:w="436" w:type="pct"/>
            <w:tcBorders>
              <w:top w:val="single" w:sz="4" w:space="0" w:color="auto"/>
              <w:left w:val="single" w:sz="4" w:space="0" w:color="auto"/>
              <w:bottom w:val="single" w:sz="4" w:space="0" w:color="auto"/>
              <w:right w:val="single" w:sz="4" w:space="0" w:color="auto"/>
            </w:tcBorders>
            <w:shd w:val="clear" w:color="auto" w:fill="auto"/>
            <w:hideMark/>
          </w:tcPr>
          <w:p w14:paraId="4BB4F711"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lastRenderedPageBreak/>
              <w:t>2C</w:t>
            </w:r>
          </w:p>
        </w:tc>
      </w:tr>
      <w:tr w:rsidR="002665D0" w:rsidRPr="00AD2821" w14:paraId="7751C50B" w14:textId="77777777" w:rsidTr="00D45F54">
        <w:trPr>
          <w:trHeight w:val="375"/>
        </w:trPr>
        <w:tc>
          <w:tcPr>
            <w:tcW w:w="313" w:type="pct"/>
            <w:tcBorders>
              <w:top w:val="single" w:sz="4" w:space="0" w:color="auto"/>
              <w:left w:val="single" w:sz="4" w:space="0" w:color="auto"/>
              <w:bottom w:val="single" w:sz="4" w:space="0" w:color="auto"/>
              <w:right w:val="single" w:sz="4" w:space="0" w:color="auto"/>
            </w:tcBorders>
            <w:shd w:val="clear" w:color="D9D9D9" w:fill="D9D9D9"/>
            <w:hideMark/>
          </w:tcPr>
          <w:p w14:paraId="0C09B5D6"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137</w:t>
            </w:r>
          </w:p>
        </w:tc>
        <w:tc>
          <w:tcPr>
            <w:tcW w:w="1703" w:type="pct"/>
            <w:tcBorders>
              <w:top w:val="single" w:sz="4" w:space="0" w:color="auto"/>
              <w:left w:val="single" w:sz="4" w:space="0" w:color="auto"/>
              <w:bottom w:val="single" w:sz="4" w:space="0" w:color="auto"/>
              <w:right w:val="single" w:sz="4" w:space="0" w:color="auto"/>
            </w:tcBorders>
            <w:shd w:val="clear" w:color="D9D9D9" w:fill="D9D9D9"/>
            <w:hideMark/>
          </w:tcPr>
          <w:p w14:paraId="6B91949A"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What is needed for the development of haptic feedback in RLR?</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4AFECB2F"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137</w:t>
            </w:r>
          </w:p>
        </w:tc>
        <w:tc>
          <w:tcPr>
            <w:tcW w:w="2112" w:type="pct"/>
            <w:tcBorders>
              <w:top w:val="single" w:sz="4" w:space="0" w:color="auto"/>
              <w:left w:val="single" w:sz="4" w:space="0" w:color="auto"/>
              <w:bottom w:val="single" w:sz="4" w:space="0" w:color="auto"/>
              <w:right w:val="single" w:sz="4" w:space="0" w:color="auto"/>
            </w:tcBorders>
            <w:shd w:val="clear" w:color="D9D9D9" w:fill="D9D9D9"/>
            <w:hideMark/>
          </w:tcPr>
          <w:p w14:paraId="2BC5B200" w14:textId="77777777" w:rsidR="002665D0" w:rsidRPr="00AD2821" w:rsidRDefault="002665D0" w:rsidP="00D45F54">
            <w:pPr>
              <w:rPr>
                <w:rFonts w:eastAsia="Times New Roman" w:cstheme="minorHAnsi"/>
                <w:color w:val="333333"/>
                <w:lang w:val="en-GB" w:eastAsia="nl-NL"/>
              </w:rPr>
            </w:pPr>
            <w:r w:rsidRPr="00AD2821">
              <w:rPr>
                <w:rFonts w:eastAsia="Times New Roman" w:cstheme="minorHAnsi"/>
                <w:color w:val="333333"/>
                <w:lang w:val="en-GB" w:eastAsia="nl-NL"/>
              </w:rPr>
              <w:t>The potential benefits of haptic feedback should be further developed.</w:t>
            </w:r>
          </w:p>
        </w:tc>
        <w:tc>
          <w:tcPr>
            <w:tcW w:w="436" w:type="pct"/>
            <w:tcBorders>
              <w:top w:val="single" w:sz="4" w:space="0" w:color="auto"/>
              <w:left w:val="single" w:sz="4" w:space="0" w:color="auto"/>
              <w:bottom w:val="single" w:sz="4" w:space="0" w:color="auto"/>
              <w:right w:val="single" w:sz="4" w:space="0" w:color="auto"/>
            </w:tcBorders>
            <w:shd w:val="clear" w:color="D9D9D9" w:fill="D9D9D9"/>
            <w:hideMark/>
          </w:tcPr>
          <w:p w14:paraId="5A4A815D" w14:textId="77777777" w:rsidR="002665D0" w:rsidRPr="00AD2821" w:rsidRDefault="002665D0" w:rsidP="00D45F54">
            <w:pPr>
              <w:rPr>
                <w:rFonts w:eastAsia="Times New Roman" w:cstheme="minorHAnsi"/>
                <w:color w:val="000000"/>
                <w:lang w:val="en-GB" w:eastAsia="nl-NL"/>
              </w:rPr>
            </w:pPr>
            <w:r w:rsidRPr="00AD2821">
              <w:rPr>
                <w:rFonts w:eastAsia="Times New Roman" w:cstheme="minorHAnsi"/>
                <w:color w:val="000000"/>
                <w:lang w:val="en-GB" w:eastAsia="nl-NL"/>
              </w:rPr>
              <w:t>2C</w:t>
            </w:r>
          </w:p>
        </w:tc>
      </w:tr>
    </w:tbl>
    <w:p w14:paraId="515A5AF8" w14:textId="1701254B" w:rsidR="00303F17" w:rsidRPr="00AD2821" w:rsidRDefault="00303F17" w:rsidP="00303F17">
      <w:pPr>
        <w:jc w:val="both"/>
        <w:rPr>
          <w:rFonts w:cstheme="minorHAnsi"/>
          <w:sz w:val="22"/>
          <w:szCs w:val="22"/>
          <w:lang w:val="en-US"/>
        </w:rPr>
      </w:pPr>
    </w:p>
    <w:p w14:paraId="3F8AF2E0" w14:textId="77777777" w:rsidR="00303F17" w:rsidRPr="00AD2821" w:rsidRDefault="00303F17" w:rsidP="00303F17">
      <w:pPr>
        <w:jc w:val="both"/>
        <w:rPr>
          <w:rFonts w:cstheme="minorHAnsi"/>
          <w:sz w:val="22"/>
          <w:szCs w:val="22"/>
          <w:lang w:val="en-US"/>
        </w:rPr>
      </w:pPr>
    </w:p>
    <w:p w14:paraId="3A1D45AF" w14:textId="77777777" w:rsidR="00303F17" w:rsidRPr="00AD2821" w:rsidRDefault="00303F17">
      <w:pPr>
        <w:rPr>
          <w:rFonts w:cstheme="minorHAnsi"/>
          <w:sz w:val="22"/>
          <w:szCs w:val="22"/>
          <w:lang w:val="en-US"/>
        </w:rPr>
      </w:pPr>
      <w:r w:rsidRPr="00AD2821">
        <w:rPr>
          <w:rFonts w:cstheme="minorHAnsi"/>
          <w:sz w:val="22"/>
          <w:szCs w:val="22"/>
          <w:lang w:val="en-US"/>
        </w:rPr>
        <w:br w:type="page"/>
      </w:r>
    </w:p>
    <w:p w14:paraId="3FC5D807" w14:textId="77777777" w:rsidR="002665D0" w:rsidRPr="00AD2821" w:rsidRDefault="00303F17" w:rsidP="002665D0">
      <w:pPr>
        <w:keepNext/>
        <w:keepLines/>
        <w:spacing w:before="160" w:after="80" w:line="278" w:lineRule="auto"/>
        <w:outlineLvl w:val="1"/>
        <w:rPr>
          <w:rFonts w:eastAsia="Times New Roman" w:cstheme="minorHAnsi"/>
          <w:color w:val="000000" w:themeColor="text1"/>
          <w:sz w:val="22"/>
          <w:szCs w:val="22"/>
          <w:lang w:val="en-GB"/>
        </w:rPr>
      </w:pPr>
      <w:r w:rsidRPr="00AD2821">
        <w:rPr>
          <w:rFonts w:cstheme="minorHAnsi"/>
          <w:color w:val="000000" w:themeColor="text1"/>
          <w:sz w:val="22"/>
          <w:szCs w:val="22"/>
          <w:lang w:val="en-US"/>
        </w:rPr>
        <w:lastRenderedPageBreak/>
        <w:t>Supplementary Table 9.</w:t>
      </w:r>
      <w:r w:rsidR="002665D0" w:rsidRPr="00AD2821">
        <w:rPr>
          <w:rFonts w:cstheme="minorHAnsi"/>
          <w:color w:val="000000" w:themeColor="text1"/>
          <w:sz w:val="22"/>
          <w:szCs w:val="22"/>
          <w:lang w:val="en-US"/>
        </w:rPr>
        <w:t xml:space="preserve"> </w:t>
      </w:r>
      <w:r w:rsidR="002665D0" w:rsidRPr="00AD2821">
        <w:rPr>
          <w:rFonts w:eastAsia="Times New Roman" w:cstheme="minorHAnsi"/>
          <w:color w:val="000000" w:themeColor="text1"/>
          <w:sz w:val="22"/>
          <w:szCs w:val="22"/>
          <w:lang w:val="en-GB"/>
        </w:rPr>
        <w:t>Agreement Rates and Topic Mean Performance Scores</w:t>
      </w:r>
    </w:p>
    <w:p w14:paraId="78D1E581" w14:textId="77777777" w:rsidR="002665D0" w:rsidRPr="00AD2821" w:rsidRDefault="002665D0" w:rsidP="002665D0">
      <w:pPr>
        <w:keepNext/>
        <w:keepLines/>
        <w:spacing w:before="160" w:after="80" w:line="278" w:lineRule="auto"/>
        <w:outlineLvl w:val="1"/>
        <w:rPr>
          <w:rFonts w:eastAsia="Times New Roman" w:cstheme="minorHAnsi"/>
          <w:color w:val="000000" w:themeColor="text1"/>
          <w:sz w:val="22"/>
          <w:szCs w:val="22"/>
          <w:lang w:val="en-GB"/>
        </w:rPr>
      </w:pPr>
    </w:p>
    <w:tbl>
      <w:tblPr>
        <w:tblW w:w="5000" w:type="pct"/>
        <w:tblLook w:val="04A0" w:firstRow="1" w:lastRow="0" w:firstColumn="1" w:lastColumn="0" w:noHBand="0" w:noVBand="1"/>
      </w:tblPr>
      <w:tblGrid>
        <w:gridCol w:w="1795"/>
        <w:gridCol w:w="528"/>
        <w:gridCol w:w="528"/>
        <w:gridCol w:w="528"/>
        <w:gridCol w:w="528"/>
        <w:gridCol w:w="528"/>
        <w:gridCol w:w="528"/>
        <w:gridCol w:w="528"/>
        <w:gridCol w:w="528"/>
        <w:gridCol w:w="528"/>
        <w:gridCol w:w="581"/>
        <w:gridCol w:w="581"/>
        <w:gridCol w:w="581"/>
        <w:gridCol w:w="581"/>
        <w:gridCol w:w="581"/>
      </w:tblGrid>
      <w:tr w:rsidR="002665D0" w:rsidRPr="00AD2821" w14:paraId="57CEFA91" w14:textId="77777777" w:rsidTr="00D45F54">
        <w:trPr>
          <w:trHeight w:val="860"/>
        </w:trPr>
        <w:tc>
          <w:tcPr>
            <w:tcW w:w="1098" w:type="pct"/>
            <w:tcBorders>
              <w:top w:val="single" w:sz="4" w:space="0" w:color="000000"/>
              <w:left w:val="nil"/>
              <w:bottom w:val="single" w:sz="4" w:space="0" w:color="000000"/>
              <w:right w:val="nil"/>
            </w:tcBorders>
            <w:shd w:val="clear" w:color="auto" w:fill="auto"/>
            <w:noWrap/>
            <w:vAlign w:val="bottom"/>
            <w:hideMark/>
          </w:tcPr>
          <w:p w14:paraId="23FD4AE7" w14:textId="77777777" w:rsidR="002665D0" w:rsidRPr="00AD2821" w:rsidRDefault="002665D0" w:rsidP="00D45F54">
            <w:pPr>
              <w:rPr>
                <w:rFonts w:eastAsia="Times New Roman" w:cstheme="minorHAnsi"/>
                <w:b/>
                <w:bCs/>
                <w:color w:val="000000"/>
                <w:sz w:val="15"/>
                <w:szCs w:val="15"/>
                <w:lang w:val="en-GB" w:eastAsia="en-GB"/>
              </w:rPr>
            </w:pPr>
          </w:p>
        </w:tc>
        <w:tc>
          <w:tcPr>
            <w:tcW w:w="268" w:type="pct"/>
            <w:tcBorders>
              <w:top w:val="single" w:sz="4" w:space="0" w:color="000000"/>
              <w:left w:val="nil"/>
              <w:bottom w:val="single" w:sz="4" w:space="0" w:color="000000"/>
              <w:right w:val="nil"/>
            </w:tcBorders>
            <w:shd w:val="clear" w:color="auto" w:fill="auto"/>
            <w:noWrap/>
            <w:vAlign w:val="bottom"/>
            <w:hideMark/>
          </w:tcPr>
          <w:p w14:paraId="472F48E6"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1</w:t>
            </w:r>
          </w:p>
        </w:tc>
        <w:tc>
          <w:tcPr>
            <w:tcW w:w="268" w:type="pct"/>
            <w:tcBorders>
              <w:top w:val="single" w:sz="4" w:space="0" w:color="000000"/>
              <w:left w:val="nil"/>
              <w:bottom w:val="single" w:sz="4" w:space="0" w:color="000000"/>
              <w:right w:val="nil"/>
            </w:tcBorders>
            <w:shd w:val="clear" w:color="auto" w:fill="auto"/>
            <w:noWrap/>
            <w:vAlign w:val="bottom"/>
            <w:hideMark/>
          </w:tcPr>
          <w:p w14:paraId="7C0C763E"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2</w:t>
            </w:r>
          </w:p>
        </w:tc>
        <w:tc>
          <w:tcPr>
            <w:tcW w:w="268" w:type="pct"/>
            <w:tcBorders>
              <w:top w:val="single" w:sz="4" w:space="0" w:color="000000"/>
              <w:left w:val="nil"/>
              <w:bottom w:val="single" w:sz="4" w:space="0" w:color="000000"/>
              <w:right w:val="nil"/>
            </w:tcBorders>
            <w:shd w:val="clear" w:color="auto" w:fill="auto"/>
            <w:noWrap/>
            <w:vAlign w:val="bottom"/>
            <w:hideMark/>
          </w:tcPr>
          <w:p w14:paraId="05212ECD"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3</w:t>
            </w:r>
          </w:p>
        </w:tc>
        <w:tc>
          <w:tcPr>
            <w:tcW w:w="268" w:type="pct"/>
            <w:tcBorders>
              <w:top w:val="single" w:sz="4" w:space="0" w:color="000000"/>
              <w:left w:val="nil"/>
              <w:bottom w:val="single" w:sz="4" w:space="0" w:color="000000"/>
              <w:right w:val="nil"/>
            </w:tcBorders>
            <w:shd w:val="clear" w:color="auto" w:fill="auto"/>
            <w:noWrap/>
            <w:vAlign w:val="bottom"/>
            <w:hideMark/>
          </w:tcPr>
          <w:p w14:paraId="650D0EC4"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4</w:t>
            </w:r>
          </w:p>
        </w:tc>
        <w:tc>
          <w:tcPr>
            <w:tcW w:w="268" w:type="pct"/>
            <w:tcBorders>
              <w:top w:val="single" w:sz="4" w:space="0" w:color="000000"/>
              <w:left w:val="nil"/>
              <w:bottom w:val="single" w:sz="4" w:space="0" w:color="000000"/>
              <w:right w:val="nil"/>
            </w:tcBorders>
            <w:shd w:val="clear" w:color="auto" w:fill="auto"/>
            <w:noWrap/>
            <w:vAlign w:val="bottom"/>
            <w:hideMark/>
          </w:tcPr>
          <w:p w14:paraId="40FC5A0F"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5</w:t>
            </w:r>
          </w:p>
        </w:tc>
        <w:tc>
          <w:tcPr>
            <w:tcW w:w="268" w:type="pct"/>
            <w:tcBorders>
              <w:top w:val="single" w:sz="4" w:space="0" w:color="000000"/>
              <w:left w:val="nil"/>
              <w:bottom w:val="single" w:sz="4" w:space="0" w:color="000000"/>
              <w:right w:val="nil"/>
            </w:tcBorders>
            <w:shd w:val="clear" w:color="auto" w:fill="auto"/>
            <w:noWrap/>
            <w:vAlign w:val="bottom"/>
            <w:hideMark/>
          </w:tcPr>
          <w:p w14:paraId="2C17B7A9"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6</w:t>
            </w:r>
          </w:p>
        </w:tc>
        <w:tc>
          <w:tcPr>
            <w:tcW w:w="268" w:type="pct"/>
            <w:tcBorders>
              <w:top w:val="single" w:sz="4" w:space="0" w:color="000000"/>
              <w:left w:val="nil"/>
              <w:bottom w:val="single" w:sz="4" w:space="0" w:color="000000"/>
              <w:right w:val="nil"/>
            </w:tcBorders>
            <w:shd w:val="clear" w:color="auto" w:fill="auto"/>
            <w:noWrap/>
            <w:vAlign w:val="bottom"/>
            <w:hideMark/>
          </w:tcPr>
          <w:p w14:paraId="24ED8971"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7</w:t>
            </w:r>
          </w:p>
        </w:tc>
        <w:tc>
          <w:tcPr>
            <w:tcW w:w="268" w:type="pct"/>
            <w:tcBorders>
              <w:top w:val="single" w:sz="4" w:space="0" w:color="000000"/>
              <w:left w:val="nil"/>
              <w:bottom w:val="single" w:sz="4" w:space="0" w:color="000000"/>
              <w:right w:val="nil"/>
            </w:tcBorders>
            <w:shd w:val="clear" w:color="auto" w:fill="auto"/>
            <w:noWrap/>
            <w:vAlign w:val="bottom"/>
            <w:hideMark/>
          </w:tcPr>
          <w:p w14:paraId="47BE6C9F"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8</w:t>
            </w:r>
          </w:p>
        </w:tc>
        <w:tc>
          <w:tcPr>
            <w:tcW w:w="268" w:type="pct"/>
            <w:tcBorders>
              <w:top w:val="single" w:sz="4" w:space="0" w:color="000000"/>
              <w:left w:val="nil"/>
              <w:bottom w:val="single" w:sz="4" w:space="0" w:color="000000"/>
              <w:right w:val="nil"/>
            </w:tcBorders>
            <w:shd w:val="clear" w:color="auto" w:fill="auto"/>
            <w:noWrap/>
            <w:vAlign w:val="bottom"/>
            <w:hideMark/>
          </w:tcPr>
          <w:p w14:paraId="6F59EEEB"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9</w:t>
            </w:r>
          </w:p>
        </w:tc>
        <w:tc>
          <w:tcPr>
            <w:tcW w:w="297" w:type="pct"/>
            <w:tcBorders>
              <w:top w:val="single" w:sz="4" w:space="0" w:color="000000"/>
              <w:left w:val="nil"/>
              <w:bottom w:val="single" w:sz="4" w:space="0" w:color="000000"/>
              <w:right w:val="nil"/>
            </w:tcBorders>
            <w:shd w:val="clear" w:color="auto" w:fill="auto"/>
            <w:noWrap/>
            <w:vAlign w:val="bottom"/>
            <w:hideMark/>
          </w:tcPr>
          <w:p w14:paraId="682FA16F"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10</w:t>
            </w:r>
          </w:p>
        </w:tc>
        <w:tc>
          <w:tcPr>
            <w:tcW w:w="297" w:type="pct"/>
            <w:tcBorders>
              <w:top w:val="single" w:sz="4" w:space="0" w:color="000000"/>
              <w:left w:val="nil"/>
              <w:bottom w:val="single" w:sz="4" w:space="0" w:color="000000"/>
              <w:right w:val="nil"/>
            </w:tcBorders>
            <w:shd w:val="clear" w:color="auto" w:fill="auto"/>
            <w:noWrap/>
            <w:vAlign w:val="bottom"/>
            <w:hideMark/>
          </w:tcPr>
          <w:p w14:paraId="0651071B"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11</w:t>
            </w:r>
          </w:p>
        </w:tc>
        <w:tc>
          <w:tcPr>
            <w:tcW w:w="297" w:type="pct"/>
            <w:tcBorders>
              <w:top w:val="single" w:sz="4" w:space="0" w:color="000000"/>
              <w:left w:val="nil"/>
              <w:bottom w:val="single" w:sz="4" w:space="0" w:color="000000"/>
              <w:right w:val="nil"/>
            </w:tcBorders>
            <w:shd w:val="clear" w:color="auto" w:fill="auto"/>
            <w:noWrap/>
            <w:vAlign w:val="bottom"/>
            <w:hideMark/>
          </w:tcPr>
          <w:p w14:paraId="6D8A39DF"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12</w:t>
            </w:r>
          </w:p>
        </w:tc>
        <w:tc>
          <w:tcPr>
            <w:tcW w:w="297" w:type="pct"/>
            <w:tcBorders>
              <w:top w:val="single" w:sz="4" w:space="0" w:color="000000"/>
              <w:left w:val="nil"/>
              <w:bottom w:val="single" w:sz="4" w:space="0" w:color="000000"/>
              <w:right w:val="nil"/>
            </w:tcBorders>
            <w:shd w:val="clear" w:color="auto" w:fill="auto"/>
            <w:noWrap/>
            <w:vAlign w:val="bottom"/>
            <w:hideMark/>
          </w:tcPr>
          <w:p w14:paraId="6ADB2083"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13</w:t>
            </w:r>
          </w:p>
        </w:tc>
        <w:tc>
          <w:tcPr>
            <w:tcW w:w="297" w:type="pct"/>
            <w:tcBorders>
              <w:top w:val="single" w:sz="4" w:space="0" w:color="000000"/>
              <w:left w:val="nil"/>
              <w:bottom w:val="single" w:sz="4" w:space="0" w:color="000000"/>
              <w:right w:val="nil"/>
            </w:tcBorders>
            <w:shd w:val="clear" w:color="auto" w:fill="auto"/>
            <w:noWrap/>
            <w:vAlign w:val="bottom"/>
            <w:hideMark/>
          </w:tcPr>
          <w:p w14:paraId="737B2F35"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14</w:t>
            </w:r>
          </w:p>
        </w:tc>
      </w:tr>
      <w:tr w:rsidR="002665D0" w:rsidRPr="00AD2821" w14:paraId="6D68DE40" w14:textId="77777777" w:rsidTr="00D45F54">
        <w:trPr>
          <w:trHeight w:val="320"/>
        </w:trPr>
        <w:tc>
          <w:tcPr>
            <w:tcW w:w="1098" w:type="pct"/>
            <w:tcBorders>
              <w:top w:val="nil"/>
              <w:left w:val="nil"/>
              <w:bottom w:val="nil"/>
              <w:right w:val="nil"/>
            </w:tcBorders>
            <w:shd w:val="clear" w:color="D9D9D9" w:fill="D9D9D9"/>
            <w:noWrap/>
            <w:vAlign w:val="bottom"/>
            <w:hideMark/>
          </w:tcPr>
          <w:p w14:paraId="3A6F5F53"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Item 1</w:t>
            </w:r>
          </w:p>
        </w:tc>
        <w:tc>
          <w:tcPr>
            <w:tcW w:w="268" w:type="pct"/>
            <w:tcBorders>
              <w:top w:val="nil"/>
              <w:left w:val="nil"/>
              <w:bottom w:val="nil"/>
              <w:right w:val="nil"/>
            </w:tcBorders>
            <w:shd w:val="clear" w:color="D9D9D9" w:fill="D9D9D9"/>
            <w:noWrap/>
            <w:vAlign w:val="bottom"/>
            <w:hideMark/>
          </w:tcPr>
          <w:p w14:paraId="5DA8B40A"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72.2%</w:t>
            </w:r>
          </w:p>
        </w:tc>
        <w:tc>
          <w:tcPr>
            <w:tcW w:w="268" w:type="pct"/>
            <w:tcBorders>
              <w:top w:val="nil"/>
              <w:left w:val="nil"/>
              <w:bottom w:val="nil"/>
              <w:right w:val="nil"/>
            </w:tcBorders>
            <w:shd w:val="clear" w:color="D9D9D9" w:fill="D9D9D9"/>
            <w:noWrap/>
            <w:vAlign w:val="bottom"/>
            <w:hideMark/>
          </w:tcPr>
          <w:p w14:paraId="2C0FC90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70.0%</w:t>
            </w:r>
          </w:p>
        </w:tc>
        <w:tc>
          <w:tcPr>
            <w:tcW w:w="268" w:type="pct"/>
            <w:tcBorders>
              <w:top w:val="nil"/>
              <w:left w:val="nil"/>
              <w:bottom w:val="nil"/>
              <w:right w:val="nil"/>
            </w:tcBorders>
            <w:shd w:val="clear" w:color="D9D9D9" w:fill="D9D9D9"/>
            <w:noWrap/>
            <w:vAlign w:val="bottom"/>
            <w:hideMark/>
          </w:tcPr>
          <w:p w14:paraId="749F48B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73.9%</w:t>
            </w:r>
          </w:p>
        </w:tc>
        <w:tc>
          <w:tcPr>
            <w:tcW w:w="268" w:type="pct"/>
            <w:tcBorders>
              <w:top w:val="nil"/>
              <w:left w:val="nil"/>
              <w:bottom w:val="nil"/>
              <w:right w:val="nil"/>
            </w:tcBorders>
            <w:shd w:val="clear" w:color="D9D9D9" w:fill="D9D9D9"/>
            <w:noWrap/>
            <w:vAlign w:val="bottom"/>
            <w:hideMark/>
          </w:tcPr>
          <w:p w14:paraId="1DB5590B"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80.0%</w:t>
            </w:r>
          </w:p>
        </w:tc>
        <w:tc>
          <w:tcPr>
            <w:tcW w:w="268" w:type="pct"/>
            <w:tcBorders>
              <w:top w:val="nil"/>
              <w:left w:val="nil"/>
              <w:bottom w:val="nil"/>
              <w:right w:val="nil"/>
            </w:tcBorders>
            <w:shd w:val="clear" w:color="D9D9D9" w:fill="D9D9D9"/>
            <w:noWrap/>
            <w:vAlign w:val="bottom"/>
            <w:hideMark/>
          </w:tcPr>
          <w:p w14:paraId="5125B64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72.2%</w:t>
            </w:r>
          </w:p>
        </w:tc>
        <w:tc>
          <w:tcPr>
            <w:tcW w:w="268" w:type="pct"/>
            <w:tcBorders>
              <w:top w:val="nil"/>
              <w:left w:val="nil"/>
              <w:bottom w:val="nil"/>
              <w:right w:val="nil"/>
            </w:tcBorders>
            <w:shd w:val="clear" w:color="D9D9D9" w:fill="D9D9D9"/>
            <w:noWrap/>
            <w:vAlign w:val="bottom"/>
            <w:hideMark/>
          </w:tcPr>
          <w:p w14:paraId="2ECE1C2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79.4%</w:t>
            </w:r>
          </w:p>
        </w:tc>
        <w:tc>
          <w:tcPr>
            <w:tcW w:w="268" w:type="pct"/>
            <w:tcBorders>
              <w:top w:val="nil"/>
              <w:left w:val="nil"/>
              <w:bottom w:val="nil"/>
              <w:right w:val="nil"/>
            </w:tcBorders>
            <w:shd w:val="clear" w:color="D9D9D9" w:fill="D9D9D9"/>
            <w:noWrap/>
            <w:vAlign w:val="bottom"/>
            <w:hideMark/>
          </w:tcPr>
          <w:p w14:paraId="341BE38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71.1%</w:t>
            </w:r>
          </w:p>
        </w:tc>
        <w:tc>
          <w:tcPr>
            <w:tcW w:w="268" w:type="pct"/>
            <w:tcBorders>
              <w:top w:val="nil"/>
              <w:left w:val="nil"/>
              <w:bottom w:val="nil"/>
              <w:right w:val="nil"/>
            </w:tcBorders>
            <w:shd w:val="clear" w:color="D9D9D9" w:fill="D9D9D9"/>
            <w:noWrap/>
            <w:vAlign w:val="bottom"/>
            <w:hideMark/>
          </w:tcPr>
          <w:p w14:paraId="2CF3C10D"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73.3%</w:t>
            </w:r>
          </w:p>
        </w:tc>
        <w:tc>
          <w:tcPr>
            <w:tcW w:w="268" w:type="pct"/>
            <w:tcBorders>
              <w:top w:val="nil"/>
              <w:left w:val="nil"/>
              <w:bottom w:val="nil"/>
              <w:right w:val="nil"/>
            </w:tcBorders>
            <w:shd w:val="clear" w:color="D9D9D9" w:fill="D9D9D9"/>
            <w:noWrap/>
            <w:vAlign w:val="bottom"/>
            <w:hideMark/>
          </w:tcPr>
          <w:p w14:paraId="1E41ECD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64.4%</w:t>
            </w:r>
          </w:p>
        </w:tc>
        <w:tc>
          <w:tcPr>
            <w:tcW w:w="297" w:type="pct"/>
            <w:tcBorders>
              <w:top w:val="nil"/>
              <w:left w:val="nil"/>
              <w:bottom w:val="nil"/>
              <w:right w:val="nil"/>
            </w:tcBorders>
            <w:shd w:val="clear" w:color="D9D9D9" w:fill="D9D9D9"/>
            <w:noWrap/>
            <w:vAlign w:val="bottom"/>
            <w:hideMark/>
          </w:tcPr>
          <w:p w14:paraId="6228854B"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62.8%</w:t>
            </w:r>
          </w:p>
        </w:tc>
        <w:tc>
          <w:tcPr>
            <w:tcW w:w="297" w:type="pct"/>
            <w:tcBorders>
              <w:top w:val="nil"/>
              <w:left w:val="nil"/>
              <w:bottom w:val="nil"/>
              <w:right w:val="nil"/>
            </w:tcBorders>
            <w:shd w:val="clear" w:color="D9D9D9" w:fill="D9D9D9"/>
            <w:noWrap/>
            <w:vAlign w:val="bottom"/>
            <w:hideMark/>
          </w:tcPr>
          <w:p w14:paraId="478E722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62.2%</w:t>
            </w:r>
          </w:p>
        </w:tc>
        <w:tc>
          <w:tcPr>
            <w:tcW w:w="297" w:type="pct"/>
            <w:tcBorders>
              <w:top w:val="nil"/>
              <w:left w:val="nil"/>
              <w:bottom w:val="nil"/>
              <w:right w:val="nil"/>
            </w:tcBorders>
            <w:shd w:val="clear" w:color="D9D9D9" w:fill="D9D9D9"/>
            <w:noWrap/>
            <w:vAlign w:val="bottom"/>
            <w:hideMark/>
          </w:tcPr>
          <w:p w14:paraId="3EBD145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56.7%</w:t>
            </w:r>
          </w:p>
        </w:tc>
        <w:tc>
          <w:tcPr>
            <w:tcW w:w="297" w:type="pct"/>
            <w:tcBorders>
              <w:top w:val="nil"/>
              <w:left w:val="nil"/>
              <w:bottom w:val="nil"/>
              <w:right w:val="nil"/>
            </w:tcBorders>
            <w:shd w:val="clear" w:color="D9D9D9" w:fill="D9D9D9"/>
            <w:noWrap/>
            <w:vAlign w:val="bottom"/>
            <w:hideMark/>
          </w:tcPr>
          <w:p w14:paraId="76C1F17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54.4%</w:t>
            </w:r>
          </w:p>
        </w:tc>
        <w:tc>
          <w:tcPr>
            <w:tcW w:w="297" w:type="pct"/>
            <w:tcBorders>
              <w:top w:val="nil"/>
              <w:left w:val="nil"/>
              <w:bottom w:val="nil"/>
              <w:right w:val="nil"/>
            </w:tcBorders>
            <w:shd w:val="clear" w:color="D9D9D9" w:fill="D9D9D9"/>
            <w:noWrap/>
            <w:vAlign w:val="bottom"/>
            <w:hideMark/>
          </w:tcPr>
          <w:p w14:paraId="095A6F3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57.8%</w:t>
            </w:r>
          </w:p>
        </w:tc>
      </w:tr>
      <w:tr w:rsidR="002665D0" w:rsidRPr="00AD2821" w14:paraId="293374FC" w14:textId="77777777" w:rsidTr="00D45F54">
        <w:trPr>
          <w:trHeight w:val="320"/>
        </w:trPr>
        <w:tc>
          <w:tcPr>
            <w:tcW w:w="1098" w:type="pct"/>
            <w:tcBorders>
              <w:top w:val="nil"/>
              <w:left w:val="nil"/>
              <w:bottom w:val="nil"/>
              <w:right w:val="nil"/>
            </w:tcBorders>
            <w:shd w:val="clear" w:color="auto" w:fill="auto"/>
            <w:noWrap/>
            <w:vAlign w:val="bottom"/>
            <w:hideMark/>
          </w:tcPr>
          <w:p w14:paraId="6B233E93"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Item 2</w:t>
            </w:r>
          </w:p>
        </w:tc>
        <w:tc>
          <w:tcPr>
            <w:tcW w:w="268" w:type="pct"/>
            <w:tcBorders>
              <w:top w:val="nil"/>
              <w:left w:val="nil"/>
              <w:bottom w:val="nil"/>
              <w:right w:val="nil"/>
            </w:tcBorders>
            <w:shd w:val="clear" w:color="auto" w:fill="auto"/>
            <w:noWrap/>
            <w:vAlign w:val="bottom"/>
            <w:hideMark/>
          </w:tcPr>
          <w:p w14:paraId="42247B0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73.3%</w:t>
            </w:r>
          </w:p>
        </w:tc>
        <w:tc>
          <w:tcPr>
            <w:tcW w:w="268" w:type="pct"/>
            <w:tcBorders>
              <w:top w:val="nil"/>
              <w:left w:val="nil"/>
              <w:bottom w:val="nil"/>
              <w:right w:val="nil"/>
            </w:tcBorders>
            <w:shd w:val="clear" w:color="auto" w:fill="auto"/>
            <w:noWrap/>
            <w:vAlign w:val="bottom"/>
            <w:hideMark/>
          </w:tcPr>
          <w:p w14:paraId="0C90652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70.0%</w:t>
            </w:r>
          </w:p>
        </w:tc>
        <w:tc>
          <w:tcPr>
            <w:tcW w:w="268" w:type="pct"/>
            <w:tcBorders>
              <w:top w:val="nil"/>
              <w:left w:val="nil"/>
              <w:bottom w:val="nil"/>
              <w:right w:val="nil"/>
            </w:tcBorders>
            <w:shd w:val="clear" w:color="auto" w:fill="auto"/>
            <w:noWrap/>
            <w:vAlign w:val="bottom"/>
            <w:hideMark/>
          </w:tcPr>
          <w:p w14:paraId="1A84759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74.4%</w:t>
            </w:r>
          </w:p>
        </w:tc>
        <w:tc>
          <w:tcPr>
            <w:tcW w:w="268" w:type="pct"/>
            <w:tcBorders>
              <w:top w:val="nil"/>
              <w:left w:val="nil"/>
              <w:bottom w:val="nil"/>
              <w:right w:val="nil"/>
            </w:tcBorders>
            <w:shd w:val="clear" w:color="auto" w:fill="auto"/>
            <w:noWrap/>
            <w:vAlign w:val="bottom"/>
            <w:hideMark/>
          </w:tcPr>
          <w:p w14:paraId="669ECF3B"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80.6%</w:t>
            </w:r>
          </w:p>
        </w:tc>
        <w:tc>
          <w:tcPr>
            <w:tcW w:w="268" w:type="pct"/>
            <w:tcBorders>
              <w:top w:val="nil"/>
              <w:left w:val="nil"/>
              <w:bottom w:val="nil"/>
              <w:right w:val="nil"/>
            </w:tcBorders>
            <w:shd w:val="clear" w:color="auto" w:fill="auto"/>
            <w:noWrap/>
            <w:vAlign w:val="bottom"/>
            <w:hideMark/>
          </w:tcPr>
          <w:p w14:paraId="7580F3E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72.2%</w:t>
            </w:r>
          </w:p>
        </w:tc>
        <w:tc>
          <w:tcPr>
            <w:tcW w:w="268" w:type="pct"/>
            <w:tcBorders>
              <w:top w:val="nil"/>
              <w:left w:val="nil"/>
              <w:bottom w:val="nil"/>
              <w:right w:val="nil"/>
            </w:tcBorders>
            <w:shd w:val="clear" w:color="auto" w:fill="auto"/>
            <w:noWrap/>
            <w:vAlign w:val="bottom"/>
            <w:hideMark/>
          </w:tcPr>
          <w:p w14:paraId="6F1AE81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79.4%</w:t>
            </w:r>
          </w:p>
        </w:tc>
        <w:tc>
          <w:tcPr>
            <w:tcW w:w="268" w:type="pct"/>
            <w:tcBorders>
              <w:top w:val="nil"/>
              <w:left w:val="nil"/>
              <w:bottom w:val="nil"/>
              <w:right w:val="nil"/>
            </w:tcBorders>
            <w:shd w:val="clear" w:color="auto" w:fill="auto"/>
            <w:noWrap/>
            <w:vAlign w:val="bottom"/>
            <w:hideMark/>
          </w:tcPr>
          <w:p w14:paraId="7645E90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68.9%</w:t>
            </w:r>
          </w:p>
        </w:tc>
        <w:tc>
          <w:tcPr>
            <w:tcW w:w="268" w:type="pct"/>
            <w:tcBorders>
              <w:top w:val="nil"/>
              <w:left w:val="nil"/>
              <w:bottom w:val="nil"/>
              <w:right w:val="nil"/>
            </w:tcBorders>
            <w:shd w:val="clear" w:color="auto" w:fill="auto"/>
            <w:noWrap/>
            <w:vAlign w:val="bottom"/>
            <w:hideMark/>
          </w:tcPr>
          <w:p w14:paraId="730ABB4A"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72.8%</w:t>
            </w:r>
          </w:p>
        </w:tc>
        <w:tc>
          <w:tcPr>
            <w:tcW w:w="268" w:type="pct"/>
            <w:tcBorders>
              <w:top w:val="nil"/>
              <w:left w:val="nil"/>
              <w:bottom w:val="nil"/>
              <w:right w:val="nil"/>
            </w:tcBorders>
            <w:shd w:val="clear" w:color="auto" w:fill="auto"/>
            <w:noWrap/>
            <w:vAlign w:val="bottom"/>
            <w:hideMark/>
          </w:tcPr>
          <w:p w14:paraId="7DBFF3CD"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62.2%</w:t>
            </w:r>
          </w:p>
        </w:tc>
        <w:tc>
          <w:tcPr>
            <w:tcW w:w="297" w:type="pct"/>
            <w:tcBorders>
              <w:top w:val="nil"/>
              <w:left w:val="nil"/>
              <w:bottom w:val="nil"/>
              <w:right w:val="nil"/>
            </w:tcBorders>
            <w:shd w:val="clear" w:color="auto" w:fill="auto"/>
            <w:noWrap/>
            <w:vAlign w:val="bottom"/>
            <w:hideMark/>
          </w:tcPr>
          <w:p w14:paraId="47F8EB4B"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61.1%</w:t>
            </w:r>
          </w:p>
        </w:tc>
        <w:tc>
          <w:tcPr>
            <w:tcW w:w="297" w:type="pct"/>
            <w:tcBorders>
              <w:top w:val="nil"/>
              <w:left w:val="nil"/>
              <w:bottom w:val="nil"/>
              <w:right w:val="nil"/>
            </w:tcBorders>
            <w:shd w:val="clear" w:color="auto" w:fill="auto"/>
            <w:noWrap/>
            <w:vAlign w:val="bottom"/>
            <w:hideMark/>
          </w:tcPr>
          <w:p w14:paraId="336784C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57.8%</w:t>
            </w:r>
          </w:p>
        </w:tc>
        <w:tc>
          <w:tcPr>
            <w:tcW w:w="297" w:type="pct"/>
            <w:tcBorders>
              <w:top w:val="nil"/>
              <w:left w:val="nil"/>
              <w:bottom w:val="nil"/>
              <w:right w:val="nil"/>
            </w:tcBorders>
            <w:shd w:val="clear" w:color="auto" w:fill="auto"/>
            <w:noWrap/>
            <w:vAlign w:val="bottom"/>
            <w:hideMark/>
          </w:tcPr>
          <w:p w14:paraId="255D6251"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56.7%</w:t>
            </w:r>
          </w:p>
        </w:tc>
        <w:tc>
          <w:tcPr>
            <w:tcW w:w="297" w:type="pct"/>
            <w:tcBorders>
              <w:top w:val="nil"/>
              <w:left w:val="nil"/>
              <w:bottom w:val="nil"/>
              <w:right w:val="nil"/>
            </w:tcBorders>
            <w:shd w:val="clear" w:color="auto" w:fill="auto"/>
            <w:noWrap/>
            <w:vAlign w:val="bottom"/>
            <w:hideMark/>
          </w:tcPr>
          <w:p w14:paraId="0A9194B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55.0%</w:t>
            </w:r>
          </w:p>
        </w:tc>
        <w:tc>
          <w:tcPr>
            <w:tcW w:w="297" w:type="pct"/>
            <w:tcBorders>
              <w:top w:val="nil"/>
              <w:left w:val="nil"/>
              <w:bottom w:val="nil"/>
              <w:right w:val="nil"/>
            </w:tcBorders>
            <w:shd w:val="clear" w:color="auto" w:fill="auto"/>
            <w:noWrap/>
            <w:vAlign w:val="bottom"/>
            <w:hideMark/>
          </w:tcPr>
          <w:p w14:paraId="0E0321C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58.3%</w:t>
            </w:r>
          </w:p>
        </w:tc>
      </w:tr>
      <w:tr w:rsidR="002665D0" w:rsidRPr="00AD2821" w14:paraId="6612C2DE" w14:textId="77777777" w:rsidTr="00D45F54">
        <w:trPr>
          <w:trHeight w:val="320"/>
        </w:trPr>
        <w:tc>
          <w:tcPr>
            <w:tcW w:w="1098" w:type="pct"/>
            <w:tcBorders>
              <w:top w:val="nil"/>
              <w:left w:val="nil"/>
              <w:bottom w:val="nil"/>
              <w:right w:val="nil"/>
            </w:tcBorders>
            <w:shd w:val="clear" w:color="D9D9D9" w:fill="D9D9D9"/>
            <w:noWrap/>
            <w:vAlign w:val="bottom"/>
            <w:hideMark/>
          </w:tcPr>
          <w:p w14:paraId="361BA909"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Item 3</w:t>
            </w:r>
          </w:p>
        </w:tc>
        <w:tc>
          <w:tcPr>
            <w:tcW w:w="268" w:type="pct"/>
            <w:tcBorders>
              <w:top w:val="nil"/>
              <w:left w:val="nil"/>
              <w:bottom w:val="nil"/>
              <w:right w:val="nil"/>
            </w:tcBorders>
            <w:shd w:val="clear" w:color="D9D9D9" w:fill="D9D9D9"/>
            <w:noWrap/>
            <w:vAlign w:val="bottom"/>
            <w:hideMark/>
          </w:tcPr>
          <w:p w14:paraId="5E308EAB"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71.7%</w:t>
            </w:r>
          </w:p>
        </w:tc>
        <w:tc>
          <w:tcPr>
            <w:tcW w:w="268" w:type="pct"/>
            <w:tcBorders>
              <w:top w:val="nil"/>
              <w:left w:val="nil"/>
              <w:bottom w:val="nil"/>
              <w:right w:val="nil"/>
            </w:tcBorders>
            <w:shd w:val="clear" w:color="D9D9D9" w:fill="D9D9D9"/>
            <w:noWrap/>
            <w:vAlign w:val="bottom"/>
            <w:hideMark/>
          </w:tcPr>
          <w:p w14:paraId="07DE0C2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68.9%</w:t>
            </w:r>
          </w:p>
        </w:tc>
        <w:tc>
          <w:tcPr>
            <w:tcW w:w="268" w:type="pct"/>
            <w:tcBorders>
              <w:top w:val="nil"/>
              <w:left w:val="nil"/>
              <w:bottom w:val="nil"/>
              <w:right w:val="nil"/>
            </w:tcBorders>
            <w:shd w:val="clear" w:color="D9D9D9" w:fill="D9D9D9"/>
            <w:noWrap/>
            <w:vAlign w:val="bottom"/>
            <w:hideMark/>
          </w:tcPr>
          <w:p w14:paraId="6C8488A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71.7%</w:t>
            </w:r>
          </w:p>
        </w:tc>
        <w:tc>
          <w:tcPr>
            <w:tcW w:w="268" w:type="pct"/>
            <w:tcBorders>
              <w:top w:val="nil"/>
              <w:left w:val="nil"/>
              <w:bottom w:val="nil"/>
              <w:right w:val="nil"/>
            </w:tcBorders>
            <w:shd w:val="clear" w:color="D9D9D9" w:fill="D9D9D9"/>
            <w:noWrap/>
            <w:vAlign w:val="bottom"/>
            <w:hideMark/>
          </w:tcPr>
          <w:p w14:paraId="337A9A9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78.9%</w:t>
            </w:r>
          </w:p>
        </w:tc>
        <w:tc>
          <w:tcPr>
            <w:tcW w:w="268" w:type="pct"/>
            <w:tcBorders>
              <w:top w:val="nil"/>
              <w:left w:val="nil"/>
              <w:bottom w:val="nil"/>
              <w:right w:val="nil"/>
            </w:tcBorders>
            <w:shd w:val="clear" w:color="D9D9D9" w:fill="D9D9D9"/>
            <w:noWrap/>
            <w:vAlign w:val="bottom"/>
            <w:hideMark/>
          </w:tcPr>
          <w:p w14:paraId="0189C138"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70.6%</w:t>
            </w:r>
          </w:p>
        </w:tc>
        <w:tc>
          <w:tcPr>
            <w:tcW w:w="268" w:type="pct"/>
            <w:tcBorders>
              <w:top w:val="nil"/>
              <w:left w:val="nil"/>
              <w:bottom w:val="nil"/>
              <w:right w:val="nil"/>
            </w:tcBorders>
            <w:shd w:val="clear" w:color="D9D9D9" w:fill="D9D9D9"/>
            <w:noWrap/>
            <w:vAlign w:val="bottom"/>
            <w:hideMark/>
          </w:tcPr>
          <w:p w14:paraId="1CC62875"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78.3%</w:t>
            </w:r>
          </w:p>
        </w:tc>
        <w:tc>
          <w:tcPr>
            <w:tcW w:w="268" w:type="pct"/>
            <w:tcBorders>
              <w:top w:val="nil"/>
              <w:left w:val="nil"/>
              <w:bottom w:val="nil"/>
              <w:right w:val="nil"/>
            </w:tcBorders>
            <w:shd w:val="clear" w:color="D9D9D9" w:fill="D9D9D9"/>
            <w:noWrap/>
            <w:vAlign w:val="bottom"/>
            <w:hideMark/>
          </w:tcPr>
          <w:p w14:paraId="790AE34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70.0%</w:t>
            </w:r>
          </w:p>
        </w:tc>
        <w:tc>
          <w:tcPr>
            <w:tcW w:w="268" w:type="pct"/>
            <w:tcBorders>
              <w:top w:val="nil"/>
              <w:left w:val="nil"/>
              <w:bottom w:val="nil"/>
              <w:right w:val="nil"/>
            </w:tcBorders>
            <w:shd w:val="clear" w:color="D9D9D9" w:fill="D9D9D9"/>
            <w:noWrap/>
            <w:vAlign w:val="bottom"/>
            <w:hideMark/>
          </w:tcPr>
          <w:p w14:paraId="31BEDB4D"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72.8%</w:t>
            </w:r>
          </w:p>
        </w:tc>
        <w:tc>
          <w:tcPr>
            <w:tcW w:w="268" w:type="pct"/>
            <w:tcBorders>
              <w:top w:val="nil"/>
              <w:left w:val="nil"/>
              <w:bottom w:val="nil"/>
              <w:right w:val="nil"/>
            </w:tcBorders>
            <w:shd w:val="clear" w:color="D9D9D9" w:fill="D9D9D9"/>
            <w:noWrap/>
            <w:vAlign w:val="bottom"/>
            <w:hideMark/>
          </w:tcPr>
          <w:p w14:paraId="01EFDE6F"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61.1%</w:t>
            </w:r>
          </w:p>
        </w:tc>
        <w:tc>
          <w:tcPr>
            <w:tcW w:w="297" w:type="pct"/>
            <w:tcBorders>
              <w:top w:val="nil"/>
              <w:left w:val="nil"/>
              <w:bottom w:val="nil"/>
              <w:right w:val="nil"/>
            </w:tcBorders>
            <w:shd w:val="clear" w:color="D9D9D9" w:fill="D9D9D9"/>
            <w:noWrap/>
            <w:vAlign w:val="bottom"/>
            <w:hideMark/>
          </w:tcPr>
          <w:p w14:paraId="6A350A6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61.7%</w:t>
            </w:r>
          </w:p>
        </w:tc>
        <w:tc>
          <w:tcPr>
            <w:tcW w:w="297" w:type="pct"/>
            <w:tcBorders>
              <w:top w:val="nil"/>
              <w:left w:val="nil"/>
              <w:bottom w:val="nil"/>
              <w:right w:val="nil"/>
            </w:tcBorders>
            <w:shd w:val="clear" w:color="D9D9D9" w:fill="D9D9D9"/>
            <w:noWrap/>
            <w:vAlign w:val="bottom"/>
            <w:hideMark/>
          </w:tcPr>
          <w:p w14:paraId="0FDD3FE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58.9%</w:t>
            </w:r>
          </w:p>
        </w:tc>
        <w:tc>
          <w:tcPr>
            <w:tcW w:w="297" w:type="pct"/>
            <w:tcBorders>
              <w:top w:val="nil"/>
              <w:left w:val="nil"/>
              <w:bottom w:val="nil"/>
              <w:right w:val="nil"/>
            </w:tcBorders>
            <w:shd w:val="clear" w:color="D9D9D9" w:fill="D9D9D9"/>
            <w:noWrap/>
            <w:vAlign w:val="bottom"/>
            <w:hideMark/>
          </w:tcPr>
          <w:p w14:paraId="35EA598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54.4%</w:t>
            </w:r>
          </w:p>
        </w:tc>
        <w:tc>
          <w:tcPr>
            <w:tcW w:w="297" w:type="pct"/>
            <w:tcBorders>
              <w:top w:val="nil"/>
              <w:left w:val="nil"/>
              <w:bottom w:val="nil"/>
              <w:right w:val="nil"/>
            </w:tcBorders>
            <w:shd w:val="clear" w:color="D9D9D9" w:fill="D9D9D9"/>
            <w:noWrap/>
            <w:vAlign w:val="bottom"/>
            <w:hideMark/>
          </w:tcPr>
          <w:p w14:paraId="7A78DE7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51.1%</w:t>
            </w:r>
          </w:p>
        </w:tc>
        <w:tc>
          <w:tcPr>
            <w:tcW w:w="297" w:type="pct"/>
            <w:tcBorders>
              <w:top w:val="nil"/>
              <w:left w:val="nil"/>
              <w:bottom w:val="nil"/>
              <w:right w:val="nil"/>
            </w:tcBorders>
            <w:shd w:val="clear" w:color="D9D9D9" w:fill="D9D9D9"/>
            <w:noWrap/>
            <w:vAlign w:val="bottom"/>
            <w:hideMark/>
          </w:tcPr>
          <w:p w14:paraId="09FA657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58.3%</w:t>
            </w:r>
          </w:p>
        </w:tc>
      </w:tr>
      <w:tr w:rsidR="002665D0" w:rsidRPr="00AD2821" w14:paraId="6CA53D3C" w14:textId="77777777" w:rsidTr="00D45F54">
        <w:trPr>
          <w:trHeight w:val="320"/>
        </w:trPr>
        <w:tc>
          <w:tcPr>
            <w:tcW w:w="1098" w:type="pct"/>
            <w:tcBorders>
              <w:top w:val="nil"/>
              <w:left w:val="nil"/>
              <w:bottom w:val="nil"/>
              <w:right w:val="nil"/>
            </w:tcBorders>
            <w:shd w:val="clear" w:color="auto" w:fill="auto"/>
            <w:noWrap/>
            <w:vAlign w:val="bottom"/>
            <w:hideMark/>
          </w:tcPr>
          <w:p w14:paraId="78CAB389"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Item 4</w:t>
            </w:r>
          </w:p>
        </w:tc>
        <w:tc>
          <w:tcPr>
            <w:tcW w:w="268" w:type="pct"/>
            <w:tcBorders>
              <w:top w:val="nil"/>
              <w:left w:val="nil"/>
              <w:bottom w:val="nil"/>
              <w:right w:val="nil"/>
            </w:tcBorders>
            <w:shd w:val="clear" w:color="auto" w:fill="auto"/>
            <w:noWrap/>
            <w:vAlign w:val="bottom"/>
            <w:hideMark/>
          </w:tcPr>
          <w:p w14:paraId="1356766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73.3%</w:t>
            </w:r>
          </w:p>
        </w:tc>
        <w:tc>
          <w:tcPr>
            <w:tcW w:w="268" w:type="pct"/>
            <w:tcBorders>
              <w:top w:val="nil"/>
              <w:left w:val="nil"/>
              <w:bottom w:val="nil"/>
              <w:right w:val="nil"/>
            </w:tcBorders>
            <w:shd w:val="clear" w:color="auto" w:fill="auto"/>
            <w:noWrap/>
            <w:vAlign w:val="bottom"/>
            <w:hideMark/>
          </w:tcPr>
          <w:p w14:paraId="7708E29F"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71.1%</w:t>
            </w:r>
          </w:p>
        </w:tc>
        <w:tc>
          <w:tcPr>
            <w:tcW w:w="268" w:type="pct"/>
            <w:tcBorders>
              <w:top w:val="nil"/>
              <w:left w:val="nil"/>
              <w:bottom w:val="nil"/>
              <w:right w:val="nil"/>
            </w:tcBorders>
            <w:shd w:val="clear" w:color="auto" w:fill="auto"/>
            <w:noWrap/>
            <w:vAlign w:val="bottom"/>
            <w:hideMark/>
          </w:tcPr>
          <w:p w14:paraId="2AEAD71D"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73.9%</w:t>
            </w:r>
          </w:p>
        </w:tc>
        <w:tc>
          <w:tcPr>
            <w:tcW w:w="268" w:type="pct"/>
            <w:tcBorders>
              <w:top w:val="nil"/>
              <w:left w:val="nil"/>
              <w:bottom w:val="nil"/>
              <w:right w:val="nil"/>
            </w:tcBorders>
            <w:shd w:val="clear" w:color="auto" w:fill="auto"/>
            <w:noWrap/>
            <w:vAlign w:val="bottom"/>
            <w:hideMark/>
          </w:tcPr>
          <w:p w14:paraId="0E4B360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78.3%</w:t>
            </w:r>
          </w:p>
        </w:tc>
        <w:tc>
          <w:tcPr>
            <w:tcW w:w="268" w:type="pct"/>
            <w:tcBorders>
              <w:top w:val="nil"/>
              <w:left w:val="nil"/>
              <w:bottom w:val="nil"/>
              <w:right w:val="nil"/>
            </w:tcBorders>
            <w:shd w:val="clear" w:color="auto" w:fill="auto"/>
            <w:noWrap/>
            <w:vAlign w:val="bottom"/>
            <w:hideMark/>
          </w:tcPr>
          <w:p w14:paraId="766355E5"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69.4%</w:t>
            </w:r>
          </w:p>
        </w:tc>
        <w:tc>
          <w:tcPr>
            <w:tcW w:w="268" w:type="pct"/>
            <w:tcBorders>
              <w:top w:val="nil"/>
              <w:left w:val="nil"/>
              <w:bottom w:val="nil"/>
              <w:right w:val="nil"/>
            </w:tcBorders>
            <w:shd w:val="clear" w:color="auto" w:fill="auto"/>
            <w:noWrap/>
            <w:vAlign w:val="bottom"/>
            <w:hideMark/>
          </w:tcPr>
          <w:p w14:paraId="5BE31F5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78.9%</w:t>
            </w:r>
          </w:p>
        </w:tc>
        <w:tc>
          <w:tcPr>
            <w:tcW w:w="268" w:type="pct"/>
            <w:tcBorders>
              <w:top w:val="nil"/>
              <w:left w:val="nil"/>
              <w:bottom w:val="nil"/>
              <w:right w:val="nil"/>
            </w:tcBorders>
            <w:shd w:val="clear" w:color="auto" w:fill="auto"/>
            <w:noWrap/>
            <w:vAlign w:val="bottom"/>
            <w:hideMark/>
          </w:tcPr>
          <w:p w14:paraId="3336FF4A"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68.9%</w:t>
            </w:r>
          </w:p>
        </w:tc>
        <w:tc>
          <w:tcPr>
            <w:tcW w:w="268" w:type="pct"/>
            <w:tcBorders>
              <w:top w:val="nil"/>
              <w:left w:val="nil"/>
              <w:bottom w:val="nil"/>
              <w:right w:val="nil"/>
            </w:tcBorders>
            <w:shd w:val="clear" w:color="auto" w:fill="auto"/>
            <w:noWrap/>
            <w:vAlign w:val="bottom"/>
            <w:hideMark/>
          </w:tcPr>
          <w:p w14:paraId="5FEC7ED1"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74.4%</w:t>
            </w:r>
          </w:p>
        </w:tc>
        <w:tc>
          <w:tcPr>
            <w:tcW w:w="268" w:type="pct"/>
            <w:tcBorders>
              <w:top w:val="nil"/>
              <w:left w:val="nil"/>
              <w:bottom w:val="nil"/>
              <w:right w:val="nil"/>
            </w:tcBorders>
            <w:shd w:val="clear" w:color="auto" w:fill="auto"/>
            <w:noWrap/>
            <w:vAlign w:val="bottom"/>
            <w:hideMark/>
          </w:tcPr>
          <w:p w14:paraId="0EC9F5F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60.6%</w:t>
            </w:r>
          </w:p>
        </w:tc>
        <w:tc>
          <w:tcPr>
            <w:tcW w:w="297" w:type="pct"/>
            <w:tcBorders>
              <w:top w:val="nil"/>
              <w:left w:val="nil"/>
              <w:bottom w:val="nil"/>
              <w:right w:val="nil"/>
            </w:tcBorders>
            <w:shd w:val="clear" w:color="auto" w:fill="auto"/>
            <w:noWrap/>
            <w:vAlign w:val="bottom"/>
            <w:hideMark/>
          </w:tcPr>
          <w:p w14:paraId="74EDB6A1"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58.9%</w:t>
            </w:r>
          </w:p>
        </w:tc>
        <w:tc>
          <w:tcPr>
            <w:tcW w:w="297" w:type="pct"/>
            <w:tcBorders>
              <w:top w:val="nil"/>
              <w:left w:val="nil"/>
              <w:bottom w:val="nil"/>
              <w:right w:val="nil"/>
            </w:tcBorders>
            <w:shd w:val="clear" w:color="auto" w:fill="auto"/>
            <w:noWrap/>
            <w:vAlign w:val="bottom"/>
            <w:hideMark/>
          </w:tcPr>
          <w:p w14:paraId="5E843DA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56.7%</w:t>
            </w:r>
          </w:p>
        </w:tc>
        <w:tc>
          <w:tcPr>
            <w:tcW w:w="297" w:type="pct"/>
            <w:tcBorders>
              <w:top w:val="nil"/>
              <w:left w:val="nil"/>
              <w:bottom w:val="nil"/>
              <w:right w:val="nil"/>
            </w:tcBorders>
            <w:shd w:val="clear" w:color="auto" w:fill="auto"/>
            <w:noWrap/>
            <w:vAlign w:val="bottom"/>
            <w:hideMark/>
          </w:tcPr>
          <w:p w14:paraId="123D9FD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55.6%</w:t>
            </w:r>
          </w:p>
        </w:tc>
        <w:tc>
          <w:tcPr>
            <w:tcW w:w="297" w:type="pct"/>
            <w:tcBorders>
              <w:top w:val="nil"/>
              <w:left w:val="nil"/>
              <w:bottom w:val="nil"/>
              <w:right w:val="nil"/>
            </w:tcBorders>
            <w:shd w:val="clear" w:color="auto" w:fill="auto"/>
            <w:noWrap/>
            <w:vAlign w:val="bottom"/>
            <w:hideMark/>
          </w:tcPr>
          <w:p w14:paraId="612A883F"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53.3%</w:t>
            </w:r>
          </w:p>
        </w:tc>
        <w:tc>
          <w:tcPr>
            <w:tcW w:w="297" w:type="pct"/>
            <w:tcBorders>
              <w:top w:val="nil"/>
              <w:left w:val="nil"/>
              <w:bottom w:val="nil"/>
              <w:right w:val="nil"/>
            </w:tcBorders>
            <w:shd w:val="clear" w:color="auto" w:fill="auto"/>
            <w:noWrap/>
            <w:vAlign w:val="bottom"/>
            <w:hideMark/>
          </w:tcPr>
          <w:p w14:paraId="37B9C41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58.9%</w:t>
            </w:r>
          </w:p>
        </w:tc>
      </w:tr>
      <w:tr w:rsidR="002665D0" w:rsidRPr="00AD2821" w14:paraId="0EFFA9A9" w14:textId="77777777" w:rsidTr="00D45F54">
        <w:trPr>
          <w:trHeight w:val="320"/>
        </w:trPr>
        <w:tc>
          <w:tcPr>
            <w:tcW w:w="1098" w:type="pct"/>
            <w:tcBorders>
              <w:top w:val="nil"/>
              <w:left w:val="nil"/>
              <w:bottom w:val="nil"/>
              <w:right w:val="nil"/>
            </w:tcBorders>
            <w:shd w:val="clear" w:color="D9D9D9" w:fill="D9D9D9"/>
            <w:noWrap/>
            <w:vAlign w:val="bottom"/>
            <w:hideMark/>
          </w:tcPr>
          <w:p w14:paraId="1A2B298D"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Item 5</w:t>
            </w:r>
          </w:p>
        </w:tc>
        <w:tc>
          <w:tcPr>
            <w:tcW w:w="268" w:type="pct"/>
            <w:tcBorders>
              <w:top w:val="nil"/>
              <w:left w:val="nil"/>
              <w:bottom w:val="nil"/>
              <w:right w:val="nil"/>
            </w:tcBorders>
            <w:shd w:val="clear" w:color="D9D9D9" w:fill="D9D9D9"/>
            <w:noWrap/>
            <w:vAlign w:val="bottom"/>
            <w:hideMark/>
          </w:tcPr>
          <w:p w14:paraId="04E5B85B"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72.8%</w:t>
            </w:r>
          </w:p>
        </w:tc>
        <w:tc>
          <w:tcPr>
            <w:tcW w:w="268" w:type="pct"/>
            <w:tcBorders>
              <w:top w:val="nil"/>
              <w:left w:val="nil"/>
              <w:bottom w:val="nil"/>
              <w:right w:val="nil"/>
            </w:tcBorders>
            <w:shd w:val="clear" w:color="D9D9D9" w:fill="D9D9D9"/>
            <w:noWrap/>
            <w:vAlign w:val="bottom"/>
            <w:hideMark/>
          </w:tcPr>
          <w:p w14:paraId="7BDE1C0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69.4%</w:t>
            </w:r>
          </w:p>
        </w:tc>
        <w:tc>
          <w:tcPr>
            <w:tcW w:w="268" w:type="pct"/>
            <w:tcBorders>
              <w:top w:val="nil"/>
              <w:left w:val="nil"/>
              <w:bottom w:val="nil"/>
              <w:right w:val="nil"/>
            </w:tcBorders>
            <w:shd w:val="clear" w:color="D9D9D9" w:fill="D9D9D9"/>
            <w:noWrap/>
            <w:vAlign w:val="bottom"/>
            <w:hideMark/>
          </w:tcPr>
          <w:p w14:paraId="12E60F6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73.9%</w:t>
            </w:r>
          </w:p>
        </w:tc>
        <w:tc>
          <w:tcPr>
            <w:tcW w:w="268" w:type="pct"/>
            <w:tcBorders>
              <w:top w:val="nil"/>
              <w:left w:val="nil"/>
              <w:bottom w:val="nil"/>
              <w:right w:val="nil"/>
            </w:tcBorders>
            <w:shd w:val="clear" w:color="D9D9D9" w:fill="D9D9D9"/>
            <w:noWrap/>
            <w:vAlign w:val="bottom"/>
            <w:hideMark/>
          </w:tcPr>
          <w:p w14:paraId="1EE9108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79.4%</w:t>
            </w:r>
          </w:p>
        </w:tc>
        <w:tc>
          <w:tcPr>
            <w:tcW w:w="268" w:type="pct"/>
            <w:tcBorders>
              <w:top w:val="nil"/>
              <w:left w:val="nil"/>
              <w:bottom w:val="nil"/>
              <w:right w:val="nil"/>
            </w:tcBorders>
            <w:shd w:val="clear" w:color="D9D9D9" w:fill="D9D9D9"/>
            <w:noWrap/>
            <w:vAlign w:val="bottom"/>
            <w:hideMark/>
          </w:tcPr>
          <w:p w14:paraId="6E2BAA1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71.1%</w:t>
            </w:r>
          </w:p>
        </w:tc>
        <w:tc>
          <w:tcPr>
            <w:tcW w:w="268" w:type="pct"/>
            <w:tcBorders>
              <w:top w:val="nil"/>
              <w:left w:val="nil"/>
              <w:bottom w:val="nil"/>
              <w:right w:val="nil"/>
            </w:tcBorders>
            <w:shd w:val="clear" w:color="D9D9D9" w:fill="D9D9D9"/>
            <w:noWrap/>
            <w:vAlign w:val="bottom"/>
            <w:hideMark/>
          </w:tcPr>
          <w:p w14:paraId="1C28094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79.4%</w:t>
            </w:r>
          </w:p>
        </w:tc>
        <w:tc>
          <w:tcPr>
            <w:tcW w:w="268" w:type="pct"/>
            <w:tcBorders>
              <w:top w:val="nil"/>
              <w:left w:val="nil"/>
              <w:bottom w:val="nil"/>
              <w:right w:val="nil"/>
            </w:tcBorders>
            <w:shd w:val="clear" w:color="D9D9D9" w:fill="D9D9D9"/>
            <w:noWrap/>
            <w:vAlign w:val="bottom"/>
            <w:hideMark/>
          </w:tcPr>
          <w:p w14:paraId="46F9683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70.6%</w:t>
            </w:r>
          </w:p>
        </w:tc>
        <w:tc>
          <w:tcPr>
            <w:tcW w:w="268" w:type="pct"/>
            <w:tcBorders>
              <w:top w:val="nil"/>
              <w:left w:val="nil"/>
              <w:bottom w:val="nil"/>
              <w:right w:val="nil"/>
            </w:tcBorders>
            <w:shd w:val="clear" w:color="D9D9D9" w:fill="D9D9D9"/>
            <w:noWrap/>
            <w:vAlign w:val="bottom"/>
            <w:hideMark/>
          </w:tcPr>
          <w:p w14:paraId="692034B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74.4%</w:t>
            </w:r>
          </w:p>
        </w:tc>
        <w:tc>
          <w:tcPr>
            <w:tcW w:w="268" w:type="pct"/>
            <w:tcBorders>
              <w:top w:val="nil"/>
              <w:left w:val="nil"/>
              <w:bottom w:val="nil"/>
              <w:right w:val="nil"/>
            </w:tcBorders>
            <w:shd w:val="clear" w:color="D9D9D9" w:fill="D9D9D9"/>
            <w:noWrap/>
            <w:vAlign w:val="bottom"/>
            <w:hideMark/>
          </w:tcPr>
          <w:p w14:paraId="13931A7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61.7%</w:t>
            </w:r>
          </w:p>
        </w:tc>
        <w:tc>
          <w:tcPr>
            <w:tcW w:w="297" w:type="pct"/>
            <w:tcBorders>
              <w:top w:val="nil"/>
              <w:left w:val="nil"/>
              <w:bottom w:val="nil"/>
              <w:right w:val="nil"/>
            </w:tcBorders>
            <w:shd w:val="clear" w:color="D9D9D9" w:fill="D9D9D9"/>
            <w:noWrap/>
            <w:vAlign w:val="bottom"/>
            <w:hideMark/>
          </w:tcPr>
          <w:p w14:paraId="0D69F8E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60.0%</w:t>
            </w:r>
          </w:p>
        </w:tc>
        <w:tc>
          <w:tcPr>
            <w:tcW w:w="297" w:type="pct"/>
            <w:tcBorders>
              <w:top w:val="nil"/>
              <w:left w:val="nil"/>
              <w:bottom w:val="nil"/>
              <w:right w:val="nil"/>
            </w:tcBorders>
            <w:shd w:val="clear" w:color="D9D9D9" w:fill="D9D9D9"/>
            <w:noWrap/>
            <w:vAlign w:val="bottom"/>
            <w:hideMark/>
          </w:tcPr>
          <w:p w14:paraId="357DA07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57.2%</w:t>
            </w:r>
          </w:p>
        </w:tc>
        <w:tc>
          <w:tcPr>
            <w:tcW w:w="297" w:type="pct"/>
            <w:tcBorders>
              <w:top w:val="nil"/>
              <w:left w:val="nil"/>
              <w:bottom w:val="nil"/>
              <w:right w:val="nil"/>
            </w:tcBorders>
            <w:shd w:val="clear" w:color="D9D9D9" w:fill="D9D9D9"/>
            <w:noWrap/>
            <w:vAlign w:val="bottom"/>
            <w:hideMark/>
          </w:tcPr>
          <w:p w14:paraId="2F80B43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57.2%</w:t>
            </w:r>
          </w:p>
        </w:tc>
        <w:tc>
          <w:tcPr>
            <w:tcW w:w="297" w:type="pct"/>
            <w:tcBorders>
              <w:top w:val="nil"/>
              <w:left w:val="nil"/>
              <w:bottom w:val="nil"/>
              <w:right w:val="nil"/>
            </w:tcBorders>
            <w:shd w:val="clear" w:color="D9D9D9" w:fill="D9D9D9"/>
            <w:noWrap/>
            <w:vAlign w:val="bottom"/>
            <w:hideMark/>
          </w:tcPr>
          <w:p w14:paraId="778E7F6A"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55.0%</w:t>
            </w:r>
          </w:p>
        </w:tc>
        <w:tc>
          <w:tcPr>
            <w:tcW w:w="297" w:type="pct"/>
            <w:tcBorders>
              <w:top w:val="nil"/>
              <w:left w:val="nil"/>
              <w:bottom w:val="nil"/>
              <w:right w:val="nil"/>
            </w:tcBorders>
            <w:shd w:val="clear" w:color="D9D9D9" w:fill="D9D9D9"/>
            <w:noWrap/>
            <w:vAlign w:val="bottom"/>
            <w:hideMark/>
          </w:tcPr>
          <w:p w14:paraId="30BAF2C1"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58.9%</w:t>
            </w:r>
          </w:p>
        </w:tc>
      </w:tr>
      <w:tr w:rsidR="002665D0" w:rsidRPr="00AD2821" w14:paraId="07F25BC2" w14:textId="77777777" w:rsidTr="00D45F54">
        <w:trPr>
          <w:trHeight w:val="320"/>
        </w:trPr>
        <w:tc>
          <w:tcPr>
            <w:tcW w:w="1098" w:type="pct"/>
            <w:tcBorders>
              <w:top w:val="nil"/>
              <w:left w:val="nil"/>
              <w:bottom w:val="nil"/>
              <w:right w:val="nil"/>
            </w:tcBorders>
            <w:shd w:val="clear" w:color="auto" w:fill="auto"/>
            <w:noWrap/>
            <w:vAlign w:val="bottom"/>
            <w:hideMark/>
          </w:tcPr>
          <w:p w14:paraId="011C802E"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Item 6</w:t>
            </w:r>
          </w:p>
        </w:tc>
        <w:tc>
          <w:tcPr>
            <w:tcW w:w="268" w:type="pct"/>
            <w:tcBorders>
              <w:top w:val="nil"/>
              <w:left w:val="nil"/>
              <w:bottom w:val="nil"/>
              <w:right w:val="nil"/>
            </w:tcBorders>
            <w:shd w:val="clear" w:color="auto" w:fill="auto"/>
            <w:noWrap/>
            <w:vAlign w:val="bottom"/>
            <w:hideMark/>
          </w:tcPr>
          <w:p w14:paraId="3D6E18A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73.3%</w:t>
            </w:r>
          </w:p>
        </w:tc>
        <w:tc>
          <w:tcPr>
            <w:tcW w:w="268" w:type="pct"/>
            <w:tcBorders>
              <w:top w:val="nil"/>
              <w:left w:val="nil"/>
              <w:bottom w:val="nil"/>
              <w:right w:val="nil"/>
            </w:tcBorders>
            <w:shd w:val="clear" w:color="auto" w:fill="auto"/>
            <w:noWrap/>
            <w:vAlign w:val="bottom"/>
            <w:hideMark/>
          </w:tcPr>
          <w:p w14:paraId="43B3FA5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72.8%</w:t>
            </w:r>
          </w:p>
        </w:tc>
        <w:tc>
          <w:tcPr>
            <w:tcW w:w="268" w:type="pct"/>
            <w:tcBorders>
              <w:top w:val="nil"/>
              <w:left w:val="nil"/>
              <w:bottom w:val="nil"/>
              <w:right w:val="nil"/>
            </w:tcBorders>
            <w:shd w:val="clear" w:color="auto" w:fill="auto"/>
            <w:noWrap/>
            <w:vAlign w:val="bottom"/>
            <w:hideMark/>
          </w:tcPr>
          <w:p w14:paraId="6A97815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75.6%</w:t>
            </w:r>
          </w:p>
        </w:tc>
        <w:tc>
          <w:tcPr>
            <w:tcW w:w="268" w:type="pct"/>
            <w:tcBorders>
              <w:top w:val="nil"/>
              <w:left w:val="nil"/>
              <w:bottom w:val="nil"/>
              <w:right w:val="nil"/>
            </w:tcBorders>
            <w:shd w:val="clear" w:color="auto" w:fill="auto"/>
            <w:noWrap/>
            <w:vAlign w:val="bottom"/>
            <w:hideMark/>
          </w:tcPr>
          <w:p w14:paraId="514AE1F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80.0%</w:t>
            </w:r>
          </w:p>
        </w:tc>
        <w:tc>
          <w:tcPr>
            <w:tcW w:w="268" w:type="pct"/>
            <w:tcBorders>
              <w:top w:val="nil"/>
              <w:left w:val="nil"/>
              <w:bottom w:val="nil"/>
              <w:right w:val="nil"/>
            </w:tcBorders>
            <w:shd w:val="clear" w:color="auto" w:fill="auto"/>
            <w:noWrap/>
            <w:vAlign w:val="bottom"/>
            <w:hideMark/>
          </w:tcPr>
          <w:p w14:paraId="40CBB35F"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75.0%</w:t>
            </w:r>
          </w:p>
        </w:tc>
        <w:tc>
          <w:tcPr>
            <w:tcW w:w="268" w:type="pct"/>
            <w:tcBorders>
              <w:top w:val="nil"/>
              <w:left w:val="nil"/>
              <w:bottom w:val="nil"/>
              <w:right w:val="nil"/>
            </w:tcBorders>
            <w:shd w:val="clear" w:color="auto" w:fill="auto"/>
            <w:noWrap/>
            <w:vAlign w:val="bottom"/>
            <w:hideMark/>
          </w:tcPr>
          <w:p w14:paraId="61AD19E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81.1%</w:t>
            </w:r>
          </w:p>
        </w:tc>
        <w:tc>
          <w:tcPr>
            <w:tcW w:w="268" w:type="pct"/>
            <w:tcBorders>
              <w:top w:val="nil"/>
              <w:left w:val="nil"/>
              <w:bottom w:val="nil"/>
              <w:right w:val="nil"/>
            </w:tcBorders>
            <w:shd w:val="clear" w:color="auto" w:fill="auto"/>
            <w:noWrap/>
            <w:vAlign w:val="bottom"/>
            <w:hideMark/>
          </w:tcPr>
          <w:p w14:paraId="48C79D51"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70.0%</w:t>
            </w:r>
          </w:p>
        </w:tc>
        <w:tc>
          <w:tcPr>
            <w:tcW w:w="268" w:type="pct"/>
            <w:tcBorders>
              <w:top w:val="nil"/>
              <w:left w:val="nil"/>
              <w:bottom w:val="nil"/>
              <w:right w:val="nil"/>
            </w:tcBorders>
            <w:shd w:val="clear" w:color="auto" w:fill="auto"/>
            <w:noWrap/>
            <w:vAlign w:val="bottom"/>
            <w:hideMark/>
          </w:tcPr>
          <w:p w14:paraId="2CEB039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77.2%</w:t>
            </w:r>
          </w:p>
        </w:tc>
        <w:tc>
          <w:tcPr>
            <w:tcW w:w="268" w:type="pct"/>
            <w:tcBorders>
              <w:top w:val="nil"/>
              <w:left w:val="nil"/>
              <w:bottom w:val="nil"/>
              <w:right w:val="nil"/>
            </w:tcBorders>
            <w:shd w:val="clear" w:color="auto" w:fill="auto"/>
            <w:noWrap/>
            <w:vAlign w:val="bottom"/>
            <w:hideMark/>
          </w:tcPr>
          <w:p w14:paraId="4EF4B508"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56.7%</w:t>
            </w:r>
          </w:p>
        </w:tc>
        <w:tc>
          <w:tcPr>
            <w:tcW w:w="297" w:type="pct"/>
            <w:tcBorders>
              <w:top w:val="nil"/>
              <w:left w:val="nil"/>
              <w:bottom w:val="nil"/>
              <w:right w:val="nil"/>
            </w:tcBorders>
            <w:shd w:val="clear" w:color="auto" w:fill="auto"/>
            <w:noWrap/>
            <w:vAlign w:val="bottom"/>
            <w:hideMark/>
          </w:tcPr>
          <w:p w14:paraId="1CD1C83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52.2%</w:t>
            </w:r>
          </w:p>
        </w:tc>
        <w:tc>
          <w:tcPr>
            <w:tcW w:w="297" w:type="pct"/>
            <w:tcBorders>
              <w:top w:val="nil"/>
              <w:left w:val="nil"/>
              <w:bottom w:val="nil"/>
              <w:right w:val="nil"/>
            </w:tcBorders>
            <w:shd w:val="clear" w:color="auto" w:fill="auto"/>
            <w:noWrap/>
            <w:vAlign w:val="bottom"/>
            <w:hideMark/>
          </w:tcPr>
          <w:p w14:paraId="36FA33A1"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56.1%</w:t>
            </w:r>
          </w:p>
        </w:tc>
        <w:tc>
          <w:tcPr>
            <w:tcW w:w="297" w:type="pct"/>
            <w:tcBorders>
              <w:top w:val="nil"/>
              <w:left w:val="nil"/>
              <w:bottom w:val="nil"/>
              <w:right w:val="nil"/>
            </w:tcBorders>
            <w:shd w:val="clear" w:color="auto" w:fill="auto"/>
            <w:noWrap/>
            <w:vAlign w:val="bottom"/>
            <w:hideMark/>
          </w:tcPr>
          <w:p w14:paraId="379B7EE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56.7%</w:t>
            </w:r>
          </w:p>
        </w:tc>
        <w:tc>
          <w:tcPr>
            <w:tcW w:w="297" w:type="pct"/>
            <w:tcBorders>
              <w:top w:val="nil"/>
              <w:left w:val="nil"/>
              <w:bottom w:val="nil"/>
              <w:right w:val="nil"/>
            </w:tcBorders>
            <w:shd w:val="clear" w:color="auto" w:fill="auto"/>
            <w:noWrap/>
            <w:vAlign w:val="bottom"/>
            <w:hideMark/>
          </w:tcPr>
          <w:p w14:paraId="6361495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54.4%</w:t>
            </w:r>
          </w:p>
        </w:tc>
        <w:tc>
          <w:tcPr>
            <w:tcW w:w="297" w:type="pct"/>
            <w:tcBorders>
              <w:top w:val="nil"/>
              <w:left w:val="nil"/>
              <w:bottom w:val="nil"/>
              <w:right w:val="nil"/>
            </w:tcBorders>
            <w:shd w:val="clear" w:color="auto" w:fill="auto"/>
            <w:noWrap/>
            <w:vAlign w:val="bottom"/>
            <w:hideMark/>
          </w:tcPr>
          <w:p w14:paraId="2646DF5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58.9%</w:t>
            </w:r>
          </w:p>
        </w:tc>
      </w:tr>
      <w:tr w:rsidR="002665D0" w:rsidRPr="00AD2821" w14:paraId="7E2874E6" w14:textId="77777777" w:rsidTr="00D45F54">
        <w:trPr>
          <w:trHeight w:val="320"/>
        </w:trPr>
        <w:tc>
          <w:tcPr>
            <w:tcW w:w="1098" w:type="pct"/>
            <w:tcBorders>
              <w:top w:val="nil"/>
              <w:left w:val="nil"/>
              <w:bottom w:val="nil"/>
              <w:right w:val="nil"/>
            </w:tcBorders>
            <w:shd w:val="clear" w:color="D9D9D9" w:fill="D9D9D9"/>
            <w:noWrap/>
            <w:vAlign w:val="bottom"/>
            <w:hideMark/>
          </w:tcPr>
          <w:p w14:paraId="77B6C477"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Item 7</w:t>
            </w:r>
          </w:p>
        </w:tc>
        <w:tc>
          <w:tcPr>
            <w:tcW w:w="268" w:type="pct"/>
            <w:tcBorders>
              <w:top w:val="nil"/>
              <w:left w:val="nil"/>
              <w:bottom w:val="nil"/>
              <w:right w:val="nil"/>
            </w:tcBorders>
            <w:shd w:val="clear" w:color="D9D9D9" w:fill="D9D9D9"/>
            <w:noWrap/>
            <w:vAlign w:val="bottom"/>
            <w:hideMark/>
          </w:tcPr>
          <w:p w14:paraId="399C02C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73.3%</w:t>
            </w:r>
          </w:p>
        </w:tc>
        <w:tc>
          <w:tcPr>
            <w:tcW w:w="268" w:type="pct"/>
            <w:tcBorders>
              <w:top w:val="nil"/>
              <w:left w:val="nil"/>
              <w:bottom w:val="nil"/>
              <w:right w:val="nil"/>
            </w:tcBorders>
            <w:shd w:val="clear" w:color="D9D9D9" w:fill="D9D9D9"/>
            <w:noWrap/>
            <w:vAlign w:val="bottom"/>
            <w:hideMark/>
          </w:tcPr>
          <w:p w14:paraId="3122E4A8"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72.8%</w:t>
            </w:r>
          </w:p>
        </w:tc>
        <w:tc>
          <w:tcPr>
            <w:tcW w:w="268" w:type="pct"/>
            <w:tcBorders>
              <w:top w:val="nil"/>
              <w:left w:val="nil"/>
              <w:bottom w:val="nil"/>
              <w:right w:val="nil"/>
            </w:tcBorders>
            <w:shd w:val="clear" w:color="D9D9D9" w:fill="D9D9D9"/>
            <w:noWrap/>
            <w:vAlign w:val="bottom"/>
            <w:hideMark/>
          </w:tcPr>
          <w:p w14:paraId="22AAD78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75.0%</w:t>
            </w:r>
          </w:p>
        </w:tc>
        <w:tc>
          <w:tcPr>
            <w:tcW w:w="268" w:type="pct"/>
            <w:tcBorders>
              <w:top w:val="nil"/>
              <w:left w:val="nil"/>
              <w:bottom w:val="nil"/>
              <w:right w:val="nil"/>
            </w:tcBorders>
            <w:shd w:val="clear" w:color="D9D9D9" w:fill="D9D9D9"/>
            <w:noWrap/>
            <w:vAlign w:val="bottom"/>
            <w:hideMark/>
          </w:tcPr>
          <w:p w14:paraId="0F1A148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79.4%</w:t>
            </w:r>
          </w:p>
        </w:tc>
        <w:tc>
          <w:tcPr>
            <w:tcW w:w="268" w:type="pct"/>
            <w:tcBorders>
              <w:top w:val="nil"/>
              <w:left w:val="nil"/>
              <w:bottom w:val="nil"/>
              <w:right w:val="nil"/>
            </w:tcBorders>
            <w:shd w:val="clear" w:color="D9D9D9" w:fill="D9D9D9"/>
            <w:noWrap/>
            <w:vAlign w:val="bottom"/>
            <w:hideMark/>
          </w:tcPr>
          <w:p w14:paraId="76916BE1"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73.3%</w:t>
            </w:r>
          </w:p>
        </w:tc>
        <w:tc>
          <w:tcPr>
            <w:tcW w:w="268" w:type="pct"/>
            <w:tcBorders>
              <w:top w:val="nil"/>
              <w:left w:val="nil"/>
              <w:bottom w:val="nil"/>
              <w:right w:val="nil"/>
            </w:tcBorders>
            <w:shd w:val="clear" w:color="D9D9D9" w:fill="D9D9D9"/>
            <w:noWrap/>
            <w:vAlign w:val="bottom"/>
            <w:hideMark/>
          </w:tcPr>
          <w:p w14:paraId="43E4A0D5"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78.3%</w:t>
            </w:r>
          </w:p>
        </w:tc>
        <w:tc>
          <w:tcPr>
            <w:tcW w:w="268" w:type="pct"/>
            <w:tcBorders>
              <w:top w:val="nil"/>
              <w:left w:val="nil"/>
              <w:bottom w:val="nil"/>
              <w:right w:val="nil"/>
            </w:tcBorders>
            <w:shd w:val="clear" w:color="D9D9D9" w:fill="D9D9D9"/>
            <w:noWrap/>
            <w:vAlign w:val="bottom"/>
            <w:hideMark/>
          </w:tcPr>
          <w:p w14:paraId="34FADC3A"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70.0%</w:t>
            </w:r>
          </w:p>
        </w:tc>
        <w:tc>
          <w:tcPr>
            <w:tcW w:w="268" w:type="pct"/>
            <w:tcBorders>
              <w:top w:val="nil"/>
              <w:left w:val="nil"/>
              <w:bottom w:val="nil"/>
              <w:right w:val="nil"/>
            </w:tcBorders>
            <w:shd w:val="clear" w:color="D9D9D9" w:fill="D9D9D9"/>
            <w:noWrap/>
            <w:vAlign w:val="bottom"/>
            <w:hideMark/>
          </w:tcPr>
          <w:p w14:paraId="16DF768A"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77.8%</w:t>
            </w:r>
          </w:p>
        </w:tc>
        <w:tc>
          <w:tcPr>
            <w:tcW w:w="268" w:type="pct"/>
            <w:tcBorders>
              <w:top w:val="nil"/>
              <w:left w:val="nil"/>
              <w:bottom w:val="nil"/>
              <w:right w:val="nil"/>
            </w:tcBorders>
            <w:shd w:val="clear" w:color="D9D9D9" w:fill="D9D9D9"/>
            <w:noWrap/>
            <w:vAlign w:val="bottom"/>
            <w:hideMark/>
          </w:tcPr>
          <w:p w14:paraId="15D33AF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57.2%</w:t>
            </w:r>
          </w:p>
        </w:tc>
        <w:tc>
          <w:tcPr>
            <w:tcW w:w="297" w:type="pct"/>
            <w:tcBorders>
              <w:top w:val="nil"/>
              <w:left w:val="nil"/>
              <w:bottom w:val="nil"/>
              <w:right w:val="nil"/>
            </w:tcBorders>
            <w:shd w:val="clear" w:color="D9D9D9" w:fill="D9D9D9"/>
            <w:noWrap/>
            <w:vAlign w:val="bottom"/>
            <w:hideMark/>
          </w:tcPr>
          <w:p w14:paraId="6389DD5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52.2%</w:t>
            </w:r>
          </w:p>
        </w:tc>
        <w:tc>
          <w:tcPr>
            <w:tcW w:w="297" w:type="pct"/>
            <w:tcBorders>
              <w:top w:val="nil"/>
              <w:left w:val="nil"/>
              <w:bottom w:val="nil"/>
              <w:right w:val="nil"/>
            </w:tcBorders>
            <w:shd w:val="clear" w:color="D9D9D9" w:fill="D9D9D9"/>
            <w:noWrap/>
            <w:vAlign w:val="bottom"/>
            <w:hideMark/>
          </w:tcPr>
          <w:p w14:paraId="3AFE052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55.6%</w:t>
            </w:r>
          </w:p>
        </w:tc>
        <w:tc>
          <w:tcPr>
            <w:tcW w:w="297" w:type="pct"/>
            <w:tcBorders>
              <w:top w:val="nil"/>
              <w:left w:val="nil"/>
              <w:bottom w:val="nil"/>
              <w:right w:val="nil"/>
            </w:tcBorders>
            <w:shd w:val="clear" w:color="D9D9D9" w:fill="D9D9D9"/>
            <w:noWrap/>
            <w:vAlign w:val="bottom"/>
            <w:hideMark/>
          </w:tcPr>
          <w:p w14:paraId="3E17ED1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56.7%</w:t>
            </w:r>
          </w:p>
        </w:tc>
        <w:tc>
          <w:tcPr>
            <w:tcW w:w="297" w:type="pct"/>
            <w:tcBorders>
              <w:top w:val="nil"/>
              <w:left w:val="nil"/>
              <w:bottom w:val="nil"/>
              <w:right w:val="nil"/>
            </w:tcBorders>
            <w:shd w:val="clear" w:color="D9D9D9" w:fill="D9D9D9"/>
            <w:noWrap/>
            <w:vAlign w:val="bottom"/>
            <w:hideMark/>
          </w:tcPr>
          <w:p w14:paraId="36EED82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55.0%</w:t>
            </w:r>
          </w:p>
        </w:tc>
        <w:tc>
          <w:tcPr>
            <w:tcW w:w="297" w:type="pct"/>
            <w:tcBorders>
              <w:top w:val="nil"/>
              <w:left w:val="nil"/>
              <w:bottom w:val="nil"/>
              <w:right w:val="nil"/>
            </w:tcBorders>
            <w:shd w:val="clear" w:color="D9D9D9" w:fill="D9D9D9"/>
            <w:noWrap/>
            <w:vAlign w:val="bottom"/>
            <w:hideMark/>
          </w:tcPr>
          <w:p w14:paraId="03E8343B"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58.9%</w:t>
            </w:r>
          </w:p>
        </w:tc>
      </w:tr>
      <w:tr w:rsidR="002665D0" w:rsidRPr="00AD2821" w14:paraId="68AF9169" w14:textId="77777777" w:rsidTr="00D45F54">
        <w:trPr>
          <w:trHeight w:val="320"/>
        </w:trPr>
        <w:tc>
          <w:tcPr>
            <w:tcW w:w="1098" w:type="pct"/>
            <w:tcBorders>
              <w:top w:val="nil"/>
              <w:left w:val="nil"/>
              <w:bottom w:val="single" w:sz="4" w:space="0" w:color="000000"/>
              <w:right w:val="nil"/>
            </w:tcBorders>
            <w:shd w:val="clear" w:color="000000" w:fill="4EA72E"/>
            <w:noWrap/>
            <w:vAlign w:val="bottom"/>
            <w:hideMark/>
          </w:tcPr>
          <w:p w14:paraId="7119A7F8"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Mean Performance score (per topic)</w:t>
            </w:r>
          </w:p>
        </w:tc>
        <w:tc>
          <w:tcPr>
            <w:tcW w:w="268" w:type="pct"/>
            <w:tcBorders>
              <w:top w:val="nil"/>
              <w:left w:val="nil"/>
              <w:bottom w:val="single" w:sz="4" w:space="0" w:color="000000"/>
              <w:right w:val="nil"/>
            </w:tcBorders>
            <w:shd w:val="clear" w:color="000000" w:fill="4EA72E"/>
            <w:noWrap/>
            <w:vAlign w:val="bottom"/>
            <w:hideMark/>
          </w:tcPr>
          <w:p w14:paraId="004DBE39"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72.8%</w:t>
            </w:r>
          </w:p>
        </w:tc>
        <w:tc>
          <w:tcPr>
            <w:tcW w:w="268" w:type="pct"/>
            <w:tcBorders>
              <w:top w:val="nil"/>
              <w:left w:val="nil"/>
              <w:bottom w:val="single" w:sz="4" w:space="0" w:color="000000"/>
              <w:right w:val="nil"/>
            </w:tcBorders>
            <w:shd w:val="clear" w:color="000000" w:fill="4EA72E"/>
            <w:noWrap/>
            <w:vAlign w:val="bottom"/>
            <w:hideMark/>
          </w:tcPr>
          <w:p w14:paraId="41873E30"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70.7%</w:t>
            </w:r>
          </w:p>
        </w:tc>
        <w:tc>
          <w:tcPr>
            <w:tcW w:w="268" w:type="pct"/>
            <w:tcBorders>
              <w:top w:val="nil"/>
              <w:left w:val="nil"/>
              <w:bottom w:val="single" w:sz="4" w:space="0" w:color="000000"/>
              <w:right w:val="nil"/>
            </w:tcBorders>
            <w:shd w:val="clear" w:color="000000" w:fill="4EA72E"/>
            <w:noWrap/>
            <w:vAlign w:val="bottom"/>
            <w:hideMark/>
          </w:tcPr>
          <w:p w14:paraId="7C699B17"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74.1%</w:t>
            </w:r>
          </w:p>
        </w:tc>
        <w:tc>
          <w:tcPr>
            <w:tcW w:w="268" w:type="pct"/>
            <w:tcBorders>
              <w:top w:val="nil"/>
              <w:left w:val="nil"/>
              <w:bottom w:val="single" w:sz="4" w:space="0" w:color="000000"/>
              <w:right w:val="nil"/>
            </w:tcBorders>
            <w:shd w:val="clear" w:color="000000" w:fill="4EA72E"/>
            <w:noWrap/>
            <w:vAlign w:val="bottom"/>
            <w:hideMark/>
          </w:tcPr>
          <w:p w14:paraId="7A6FBFE8"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79.5%</w:t>
            </w:r>
          </w:p>
        </w:tc>
        <w:tc>
          <w:tcPr>
            <w:tcW w:w="268" w:type="pct"/>
            <w:tcBorders>
              <w:top w:val="nil"/>
              <w:left w:val="nil"/>
              <w:bottom w:val="single" w:sz="4" w:space="0" w:color="000000"/>
              <w:right w:val="nil"/>
            </w:tcBorders>
            <w:shd w:val="clear" w:color="000000" w:fill="4EA72E"/>
            <w:noWrap/>
            <w:vAlign w:val="bottom"/>
            <w:hideMark/>
          </w:tcPr>
          <w:p w14:paraId="2C221F8B"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72.0%</w:t>
            </w:r>
          </w:p>
        </w:tc>
        <w:tc>
          <w:tcPr>
            <w:tcW w:w="268" w:type="pct"/>
            <w:tcBorders>
              <w:top w:val="nil"/>
              <w:left w:val="nil"/>
              <w:bottom w:val="single" w:sz="4" w:space="0" w:color="000000"/>
              <w:right w:val="nil"/>
            </w:tcBorders>
            <w:shd w:val="clear" w:color="000000" w:fill="4EA72E"/>
            <w:noWrap/>
            <w:vAlign w:val="bottom"/>
            <w:hideMark/>
          </w:tcPr>
          <w:p w14:paraId="3420DF81"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79.3%</w:t>
            </w:r>
          </w:p>
        </w:tc>
        <w:tc>
          <w:tcPr>
            <w:tcW w:w="268" w:type="pct"/>
            <w:tcBorders>
              <w:top w:val="nil"/>
              <w:left w:val="nil"/>
              <w:bottom w:val="single" w:sz="4" w:space="0" w:color="000000"/>
              <w:right w:val="nil"/>
            </w:tcBorders>
            <w:shd w:val="clear" w:color="000000" w:fill="4EA72E"/>
            <w:noWrap/>
            <w:vAlign w:val="bottom"/>
            <w:hideMark/>
          </w:tcPr>
          <w:p w14:paraId="6C2B20B1"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69.9%</w:t>
            </w:r>
          </w:p>
        </w:tc>
        <w:tc>
          <w:tcPr>
            <w:tcW w:w="268" w:type="pct"/>
            <w:tcBorders>
              <w:top w:val="nil"/>
              <w:left w:val="nil"/>
              <w:bottom w:val="single" w:sz="4" w:space="0" w:color="000000"/>
              <w:right w:val="nil"/>
            </w:tcBorders>
            <w:shd w:val="clear" w:color="000000" w:fill="4EA72E"/>
            <w:noWrap/>
            <w:vAlign w:val="bottom"/>
            <w:hideMark/>
          </w:tcPr>
          <w:p w14:paraId="4D92156B"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74.7%</w:t>
            </w:r>
          </w:p>
        </w:tc>
        <w:tc>
          <w:tcPr>
            <w:tcW w:w="268" w:type="pct"/>
            <w:tcBorders>
              <w:top w:val="nil"/>
              <w:left w:val="nil"/>
              <w:bottom w:val="single" w:sz="4" w:space="0" w:color="000000"/>
              <w:right w:val="nil"/>
            </w:tcBorders>
            <w:shd w:val="clear" w:color="000000" w:fill="4EA72E"/>
            <w:noWrap/>
            <w:vAlign w:val="bottom"/>
            <w:hideMark/>
          </w:tcPr>
          <w:p w14:paraId="784C9218"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60.6%</w:t>
            </w:r>
          </w:p>
        </w:tc>
        <w:tc>
          <w:tcPr>
            <w:tcW w:w="297" w:type="pct"/>
            <w:tcBorders>
              <w:top w:val="nil"/>
              <w:left w:val="nil"/>
              <w:bottom w:val="single" w:sz="4" w:space="0" w:color="000000"/>
              <w:right w:val="nil"/>
            </w:tcBorders>
            <w:shd w:val="clear" w:color="000000" w:fill="4EA72E"/>
            <w:noWrap/>
            <w:vAlign w:val="bottom"/>
            <w:hideMark/>
          </w:tcPr>
          <w:p w14:paraId="2C8D95F6"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58.4%</w:t>
            </w:r>
          </w:p>
        </w:tc>
        <w:tc>
          <w:tcPr>
            <w:tcW w:w="297" w:type="pct"/>
            <w:tcBorders>
              <w:top w:val="nil"/>
              <w:left w:val="nil"/>
              <w:bottom w:val="single" w:sz="4" w:space="0" w:color="000000"/>
              <w:right w:val="nil"/>
            </w:tcBorders>
            <w:shd w:val="clear" w:color="000000" w:fill="4EA72E"/>
            <w:noWrap/>
            <w:vAlign w:val="bottom"/>
            <w:hideMark/>
          </w:tcPr>
          <w:p w14:paraId="4EBEBFEE"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57.8%</w:t>
            </w:r>
          </w:p>
        </w:tc>
        <w:tc>
          <w:tcPr>
            <w:tcW w:w="297" w:type="pct"/>
            <w:tcBorders>
              <w:top w:val="nil"/>
              <w:left w:val="nil"/>
              <w:bottom w:val="single" w:sz="4" w:space="0" w:color="000000"/>
              <w:right w:val="nil"/>
            </w:tcBorders>
            <w:shd w:val="clear" w:color="000000" w:fill="4EA72E"/>
            <w:noWrap/>
            <w:vAlign w:val="bottom"/>
            <w:hideMark/>
          </w:tcPr>
          <w:p w14:paraId="06D5E4D5"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56.3%</w:t>
            </w:r>
          </w:p>
        </w:tc>
        <w:tc>
          <w:tcPr>
            <w:tcW w:w="297" w:type="pct"/>
            <w:tcBorders>
              <w:top w:val="nil"/>
              <w:left w:val="nil"/>
              <w:bottom w:val="single" w:sz="4" w:space="0" w:color="000000"/>
              <w:right w:val="nil"/>
            </w:tcBorders>
            <w:shd w:val="clear" w:color="000000" w:fill="4EA72E"/>
            <w:noWrap/>
            <w:vAlign w:val="bottom"/>
            <w:hideMark/>
          </w:tcPr>
          <w:p w14:paraId="56B86AE9"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54.0%</w:t>
            </w:r>
          </w:p>
        </w:tc>
        <w:tc>
          <w:tcPr>
            <w:tcW w:w="297" w:type="pct"/>
            <w:tcBorders>
              <w:top w:val="nil"/>
              <w:left w:val="nil"/>
              <w:bottom w:val="single" w:sz="4" w:space="0" w:color="000000"/>
              <w:right w:val="nil"/>
            </w:tcBorders>
            <w:shd w:val="clear" w:color="000000" w:fill="4EA72E"/>
            <w:noWrap/>
            <w:vAlign w:val="bottom"/>
            <w:hideMark/>
          </w:tcPr>
          <w:p w14:paraId="7BEA5AF0"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58.6%</w:t>
            </w:r>
          </w:p>
        </w:tc>
      </w:tr>
    </w:tbl>
    <w:p w14:paraId="326A5C76" w14:textId="77777777" w:rsidR="002665D0" w:rsidRPr="00AD2821" w:rsidRDefault="002665D0" w:rsidP="002665D0">
      <w:pPr>
        <w:spacing w:after="160" w:line="278" w:lineRule="auto"/>
        <w:rPr>
          <w:rFonts w:eastAsia="Aptos" w:cstheme="minorHAnsi"/>
          <w:lang w:val="en-GB"/>
        </w:rPr>
      </w:pPr>
    </w:p>
    <w:p w14:paraId="3569E340" w14:textId="77777777" w:rsidR="002665D0" w:rsidRPr="00AD2821" w:rsidRDefault="002665D0" w:rsidP="002665D0">
      <w:pPr>
        <w:spacing w:after="160" w:line="278" w:lineRule="auto"/>
        <w:rPr>
          <w:rFonts w:eastAsia="Aptos" w:cstheme="minorHAnsi"/>
          <w:lang w:val="en-GB"/>
        </w:rPr>
      </w:pPr>
    </w:p>
    <w:tbl>
      <w:tblPr>
        <w:tblW w:w="5000" w:type="pct"/>
        <w:tblLook w:val="04A0" w:firstRow="1" w:lastRow="0" w:firstColumn="1" w:lastColumn="0" w:noHBand="0" w:noVBand="1"/>
      </w:tblPr>
      <w:tblGrid>
        <w:gridCol w:w="657"/>
        <w:gridCol w:w="658"/>
        <w:gridCol w:w="658"/>
        <w:gridCol w:w="658"/>
        <w:gridCol w:w="658"/>
        <w:gridCol w:w="658"/>
        <w:gridCol w:w="658"/>
        <w:gridCol w:w="658"/>
        <w:gridCol w:w="658"/>
        <w:gridCol w:w="658"/>
        <w:gridCol w:w="658"/>
        <w:gridCol w:w="658"/>
        <w:gridCol w:w="658"/>
        <w:gridCol w:w="899"/>
      </w:tblGrid>
      <w:tr w:rsidR="002665D0" w:rsidRPr="00AD2821" w14:paraId="734C1A1A" w14:textId="77777777" w:rsidTr="00D45F54">
        <w:trPr>
          <w:trHeight w:val="860"/>
        </w:trPr>
        <w:tc>
          <w:tcPr>
            <w:tcW w:w="339" w:type="pct"/>
            <w:tcBorders>
              <w:top w:val="single" w:sz="4" w:space="0" w:color="000000"/>
              <w:left w:val="nil"/>
              <w:bottom w:val="single" w:sz="4" w:space="0" w:color="000000"/>
              <w:right w:val="nil"/>
            </w:tcBorders>
            <w:shd w:val="clear" w:color="auto" w:fill="auto"/>
            <w:noWrap/>
            <w:vAlign w:val="bottom"/>
            <w:hideMark/>
          </w:tcPr>
          <w:p w14:paraId="3A3FD38F"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15</w:t>
            </w:r>
          </w:p>
        </w:tc>
        <w:tc>
          <w:tcPr>
            <w:tcW w:w="339" w:type="pct"/>
            <w:tcBorders>
              <w:top w:val="single" w:sz="4" w:space="0" w:color="000000"/>
              <w:left w:val="nil"/>
              <w:bottom w:val="single" w:sz="4" w:space="0" w:color="000000"/>
              <w:right w:val="nil"/>
            </w:tcBorders>
            <w:shd w:val="clear" w:color="auto" w:fill="auto"/>
            <w:noWrap/>
            <w:vAlign w:val="bottom"/>
            <w:hideMark/>
          </w:tcPr>
          <w:p w14:paraId="3DA3EF77"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16</w:t>
            </w:r>
          </w:p>
        </w:tc>
        <w:tc>
          <w:tcPr>
            <w:tcW w:w="339" w:type="pct"/>
            <w:tcBorders>
              <w:top w:val="single" w:sz="4" w:space="0" w:color="000000"/>
              <w:left w:val="nil"/>
              <w:bottom w:val="single" w:sz="4" w:space="0" w:color="000000"/>
              <w:right w:val="nil"/>
            </w:tcBorders>
            <w:shd w:val="clear" w:color="auto" w:fill="auto"/>
            <w:noWrap/>
            <w:vAlign w:val="bottom"/>
            <w:hideMark/>
          </w:tcPr>
          <w:p w14:paraId="55266BE4"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17</w:t>
            </w:r>
          </w:p>
        </w:tc>
        <w:tc>
          <w:tcPr>
            <w:tcW w:w="339" w:type="pct"/>
            <w:tcBorders>
              <w:top w:val="single" w:sz="4" w:space="0" w:color="000000"/>
              <w:left w:val="nil"/>
              <w:bottom w:val="single" w:sz="4" w:space="0" w:color="000000"/>
              <w:right w:val="nil"/>
            </w:tcBorders>
            <w:shd w:val="clear" w:color="auto" w:fill="auto"/>
            <w:noWrap/>
            <w:vAlign w:val="bottom"/>
            <w:hideMark/>
          </w:tcPr>
          <w:p w14:paraId="3E05E47E"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18</w:t>
            </w:r>
          </w:p>
        </w:tc>
        <w:tc>
          <w:tcPr>
            <w:tcW w:w="339" w:type="pct"/>
            <w:tcBorders>
              <w:top w:val="single" w:sz="4" w:space="0" w:color="000000"/>
              <w:left w:val="nil"/>
              <w:bottom w:val="single" w:sz="4" w:space="0" w:color="000000"/>
              <w:right w:val="nil"/>
            </w:tcBorders>
            <w:shd w:val="clear" w:color="auto" w:fill="auto"/>
            <w:noWrap/>
            <w:vAlign w:val="bottom"/>
            <w:hideMark/>
          </w:tcPr>
          <w:p w14:paraId="031B8760"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19</w:t>
            </w:r>
          </w:p>
        </w:tc>
        <w:tc>
          <w:tcPr>
            <w:tcW w:w="339" w:type="pct"/>
            <w:tcBorders>
              <w:top w:val="single" w:sz="4" w:space="0" w:color="000000"/>
              <w:left w:val="nil"/>
              <w:bottom w:val="single" w:sz="4" w:space="0" w:color="000000"/>
              <w:right w:val="nil"/>
            </w:tcBorders>
            <w:shd w:val="clear" w:color="auto" w:fill="auto"/>
            <w:noWrap/>
            <w:vAlign w:val="bottom"/>
            <w:hideMark/>
          </w:tcPr>
          <w:p w14:paraId="522519EF"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20</w:t>
            </w:r>
          </w:p>
        </w:tc>
        <w:tc>
          <w:tcPr>
            <w:tcW w:w="339" w:type="pct"/>
            <w:tcBorders>
              <w:top w:val="single" w:sz="4" w:space="0" w:color="000000"/>
              <w:left w:val="nil"/>
              <w:bottom w:val="single" w:sz="4" w:space="0" w:color="000000"/>
              <w:right w:val="nil"/>
            </w:tcBorders>
            <w:shd w:val="clear" w:color="auto" w:fill="auto"/>
            <w:noWrap/>
            <w:vAlign w:val="bottom"/>
            <w:hideMark/>
          </w:tcPr>
          <w:p w14:paraId="7460B82B"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21</w:t>
            </w:r>
          </w:p>
        </w:tc>
        <w:tc>
          <w:tcPr>
            <w:tcW w:w="339" w:type="pct"/>
            <w:tcBorders>
              <w:top w:val="single" w:sz="4" w:space="0" w:color="000000"/>
              <w:left w:val="nil"/>
              <w:bottom w:val="single" w:sz="4" w:space="0" w:color="000000"/>
              <w:right w:val="nil"/>
            </w:tcBorders>
            <w:shd w:val="clear" w:color="auto" w:fill="auto"/>
            <w:noWrap/>
            <w:vAlign w:val="bottom"/>
            <w:hideMark/>
          </w:tcPr>
          <w:p w14:paraId="3D86525E"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22</w:t>
            </w:r>
          </w:p>
        </w:tc>
        <w:tc>
          <w:tcPr>
            <w:tcW w:w="339" w:type="pct"/>
            <w:tcBorders>
              <w:top w:val="single" w:sz="4" w:space="0" w:color="000000"/>
              <w:left w:val="nil"/>
              <w:bottom w:val="single" w:sz="4" w:space="0" w:color="000000"/>
              <w:right w:val="nil"/>
            </w:tcBorders>
            <w:shd w:val="clear" w:color="auto" w:fill="auto"/>
            <w:noWrap/>
            <w:vAlign w:val="bottom"/>
            <w:hideMark/>
          </w:tcPr>
          <w:p w14:paraId="6512A6A7"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23</w:t>
            </w:r>
          </w:p>
        </w:tc>
        <w:tc>
          <w:tcPr>
            <w:tcW w:w="339" w:type="pct"/>
            <w:tcBorders>
              <w:top w:val="single" w:sz="4" w:space="0" w:color="000000"/>
              <w:left w:val="nil"/>
              <w:bottom w:val="single" w:sz="4" w:space="0" w:color="000000"/>
              <w:right w:val="nil"/>
            </w:tcBorders>
            <w:shd w:val="clear" w:color="auto" w:fill="auto"/>
            <w:noWrap/>
            <w:vAlign w:val="bottom"/>
            <w:hideMark/>
          </w:tcPr>
          <w:p w14:paraId="179051F3"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24</w:t>
            </w:r>
          </w:p>
        </w:tc>
        <w:tc>
          <w:tcPr>
            <w:tcW w:w="339" w:type="pct"/>
            <w:tcBorders>
              <w:top w:val="single" w:sz="4" w:space="0" w:color="000000"/>
              <w:left w:val="nil"/>
              <w:bottom w:val="single" w:sz="4" w:space="0" w:color="000000"/>
              <w:right w:val="nil"/>
            </w:tcBorders>
            <w:shd w:val="clear" w:color="auto" w:fill="auto"/>
            <w:noWrap/>
            <w:vAlign w:val="bottom"/>
            <w:hideMark/>
          </w:tcPr>
          <w:p w14:paraId="16A4A5BB"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25</w:t>
            </w:r>
          </w:p>
        </w:tc>
        <w:tc>
          <w:tcPr>
            <w:tcW w:w="339" w:type="pct"/>
            <w:tcBorders>
              <w:top w:val="single" w:sz="4" w:space="0" w:color="000000"/>
              <w:left w:val="nil"/>
              <w:bottom w:val="single" w:sz="4" w:space="0" w:color="000000"/>
              <w:right w:val="nil"/>
            </w:tcBorders>
            <w:shd w:val="clear" w:color="auto" w:fill="auto"/>
            <w:noWrap/>
            <w:vAlign w:val="bottom"/>
            <w:hideMark/>
          </w:tcPr>
          <w:p w14:paraId="4576B13A"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26</w:t>
            </w:r>
          </w:p>
        </w:tc>
        <w:tc>
          <w:tcPr>
            <w:tcW w:w="339" w:type="pct"/>
            <w:tcBorders>
              <w:top w:val="single" w:sz="4" w:space="0" w:color="000000"/>
              <w:left w:val="nil"/>
              <w:bottom w:val="single" w:sz="4" w:space="0" w:color="000000"/>
              <w:right w:val="nil"/>
            </w:tcBorders>
            <w:shd w:val="clear" w:color="auto" w:fill="auto"/>
            <w:noWrap/>
            <w:vAlign w:val="bottom"/>
            <w:hideMark/>
          </w:tcPr>
          <w:p w14:paraId="7579E40B"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Topic 27</w:t>
            </w:r>
          </w:p>
        </w:tc>
        <w:tc>
          <w:tcPr>
            <w:tcW w:w="596" w:type="pct"/>
            <w:tcBorders>
              <w:top w:val="single" w:sz="4" w:space="0" w:color="000000"/>
              <w:left w:val="nil"/>
              <w:bottom w:val="single" w:sz="4" w:space="0" w:color="000000"/>
              <w:right w:val="nil"/>
            </w:tcBorders>
            <w:shd w:val="clear" w:color="000000" w:fill="4EA72E"/>
            <w:vAlign w:val="bottom"/>
            <w:hideMark/>
          </w:tcPr>
          <w:p w14:paraId="602E825D" w14:textId="77777777" w:rsidR="002665D0" w:rsidRPr="00AD2821" w:rsidRDefault="002665D0" w:rsidP="00D45F54">
            <w:pPr>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Mean Performance Score (per item)</w:t>
            </w:r>
          </w:p>
        </w:tc>
      </w:tr>
      <w:tr w:rsidR="002665D0" w:rsidRPr="00AD2821" w14:paraId="73EA5098" w14:textId="77777777" w:rsidTr="00D45F54">
        <w:trPr>
          <w:trHeight w:val="320"/>
        </w:trPr>
        <w:tc>
          <w:tcPr>
            <w:tcW w:w="339" w:type="pct"/>
            <w:tcBorders>
              <w:top w:val="nil"/>
              <w:left w:val="nil"/>
              <w:bottom w:val="nil"/>
              <w:right w:val="nil"/>
            </w:tcBorders>
            <w:shd w:val="clear" w:color="D9D9D9" w:fill="D9D9D9"/>
            <w:noWrap/>
            <w:vAlign w:val="bottom"/>
            <w:hideMark/>
          </w:tcPr>
          <w:p w14:paraId="49923C0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57.2%</w:t>
            </w:r>
          </w:p>
        </w:tc>
        <w:tc>
          <w:tcPr>
            <w:tcW w:w="339" w:type="pct"/>
            <w:tcBorders>
              <w:top w:val="nil"/>
              <w:left w:val="nil"/>
              <w:bottom w:val="nil"/>
              <w:right w:val="nil"/>
            </w:tcBorders>
            <w:shd w:val="clear" w:color="D9D9D9" w:fill="D9D9D9"/>
            <w:noWrap/>
            <w:vAlign w:val="bottom"/>
            <w:hideMark/>
          </w:tcPr>
          <w:p w14:paraId="0A149CDA"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47.2%</w:t>
            </w:r>
          </w:p>
        </w:tc>
        <w:tc>
          <w:tcPr>
            <w:tcW w:w="339" w:type="pct"/>
            <w:tcBorders>
              <w:top w:val="nil"/>
              <w:left w:val="nil"/>
              <w:bottom w:val="nil"/>
              <w:right w:val="nil"/>
            </w:tcBorders>
            <w:shd w:val="clear" w:color="D9D9D9" w:fill="D9D9D9"/>
            <w:noWrap/>
            <w:vAlign w:val="bottom"/>
            <w:hideMark/>
          </w:tcPr>
          <w:p w14:paraId="53D20A4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48.9%</w:t>
            </w:r>
          </w:p>
        </w:tc>
        <w:tc>
          <w:tcPr>
            <w:tcW w:w="339" w:type="pct"/>
            <w:tcBorders>
              <w:top w:val="nil"/>
              <w:left w:val="nil"/>
              <w:bottom w:val="nil"/>
              <w:right w:val="nil"/>
            </w:tcBorders>
            <w:shd w:val="clear" w:color="D9D9D9" w:fill="D9D9D9"/>
            <w:noWrap/>
            <w:vAlign w:val="bottom"/>
            <w:hideMark/>
          </w:tcPr>
          <w:p w14:paraId="3BE1DAC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50.0%</w:t>
            </w:r>
          </w:p>
        </w:tc>
        <w:tc>
          <w:tcPr>
            <w:tcW w:w="339" w:type="pct"/>
            <w:tcBorders>
              <w:top w:val="nil"/>
              <w:left w:val="nil"/>
              <w:bottom w:val="nil"/>
              <w:right w:val="nil"/>
            </w:tcBorders>
            <w:shd w:val="clear" w:color="D9D9D9" w:fill="D9D9D9"/>
            <w:noWrap/>
            <w:vAlign w:val="bottom"/>
            <w:hideMark/>
          </w:tcPr>
          <w:p w14:paraId="6293D87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50.0%</w:t>
            </w:r>
          </w:p>
        </w:tc>
        <w:tc>
          <w:tcPr>
            <w:tcW w:w="339" w:type="pct"/>
            <w:tcBorders>
              <w:top w:val="nil"/>
              <w:left w:val="nil"/>
              <w:bottom w:val="nil"/>
              <w:right w:val="nil"/>
            </w:tcBorders>
            <w:shd w:val="clear" w:color="D9D9D9" w:fill="D9D9D9"/>
            <w:noWrap/>
            <w:vAlign w:val="bottom"/>
            <w:hideMark/>
          </w:tcPr>
          <w:p w14:paraId="5CE43FF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56.1%</w:t>
            </w:r>
          </w:p>
        </w:tc>
        <w:tc>
          <w:tcPr>
            <w:tcW w:w="339" w:type="pct"/>
            <w:tcBorders>
              <w:top w:val="nil"/>
              <w:left w:val="nil"/>
              <w:bottom w:val="nil"/>
              <w:right w:val="nil"/>
            </w:tcBorders>
            <w:shd w:val="clear" w:color="D9D9D9" w:fill="D9D9D9"/>
            <w:noWrap/>
            <w:vAlign w:val="bottom"/>
            <w:hideMark/>
          </w:tcPr>
          <w:p w14:paraId="3B76044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50.6%</w:t>
            </w:r>
          </w:p>
        </w:tc>
        <w:tc>
          <w:tcPr>
            <w:tcW w:w="339" w:type="pct"/>
            <w:tcBorders>
              <w:top w:val="nil"/>
              <w:left w:val="nil"/>
              <w:bottom w:val="nil"/>
              <w:right w:val="nil"/>
            </w:tcBorders>
            <w:shd w:val="clear" w:color="D9D9D9" w:fill="D9D9D9"/>
            <w:noWrap/>
            <w:vAlign w:val="bottom"/>
            <w:hideMark/>
          </w:tcPr>
          <w:p w14:paraId="398ED7B5"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48.3%</w:t>
            </w:r>
          </w:p>
        </w:tc>
        <w:tc>
          <w:tcPr>
            <w:tcW w:w="339" w:type="pct"/>
            <w:tcBorders>
              <w:top w:val="nil"/>
              <w:left w:val="nil"/>
              <w:bottom w:val="nil"/>
              <w:right w:val="nil"/>
            </w:tcBorders>
            <w:shd w:val="clear" w:color="D9D9D9" w:fill="D9D9D9"/>
            <w:noWrap/>
            <w:vAlign w:val="bottom"/>
            <w:hideMark/>
          </w:tcPr>
          <w:p w14:paraId="37F61245"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47.8%</w:t>
            </w:r>
          </w:p>
        </w:tc>
        <w:tc>
          <w:tcPr>
            <w:tcW w:w="339" w:type="pct"/>
            <w:tcBorders>
              <w:top w:val="nil"/>
              <w:left w:val="nil"/>
              <w:bottom w:val="nil"/>
              <w:right w:val="nil"/>
            </w:tcBorders>
            <w:shd w:val="clear" w:color="D9D9D9" w:fill="D9D9D9"/>
            <w:noWrap/>
            <w:vAlign w:val="bottom"/>
            <w:hideMark/>
          </w:tcPr>
          <w:p w14:paraId="7627C0E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41.1%</w:t>
            </w:r>
          </w:p>
        </w:tc>
        <w:tc>
          <w:tcPr>
            <w:tcW w:w="339" w:type="pct"/>
            <w:tcBorders>
              <w:top w:val="nil"/>
              <w:left w:val="nil"/>
              <w:bottom w:val="nil"/>
              <w:right w:val="nil"/>
            </w:tcBorders>
            <w:shd w:val="clear" w:color="D9D9D9" w:fill="D9D9D9"/>
            <w:noWrap/>
            <w:vAlign w:val="bottom"/>
            <w:hideMark/>
          </w:tcPr>
          <w:p w14:paraId="6E201D9B"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40.6%</w:t>
            </w:r>
          </w:p>
        </w:tc>
        <w:tc>
          <w:tcPr>
            <w:tcW w:w="339" w:type="pct"/>
            <w:tcBorders>
              <w:top w:val="nil"/>
              <w:left w:val="nil"/>
              <w:bottom w:val="nil"/>
              <w:right w:val="nil"/>
            </w:tcBorders>
            <w:shd w:val="clear" w:color="D9D9D9" w:fill="D9D9D9"/>
            <w:noWrap/>
            <w:vAlign w:val="bottom"/>
            <w:hideMark/>
          </w:tcPr>
          <w:p w14:paraId="611CAC6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41.7%</w:t>
            </w:r>
          </w:p>
        </w:tc>
        <w:tc>
          <w:tcPr>
            <w:tcW w:w="339" w:type="pct"/>
            <w:tcBorders>
              <w:top w:val="nil"/>
              <w:left w:val="nil"/>
              <w:bottom w:val="nil"/>
              <w:right w:val="nil"/>
            </w:tcBorders>
            <w:shd w:val="clear" w:color="D9D9D9" w:fill="D9D9D9"/>
            <w:noWrap/>
            <w:vAlign w:val="bottom"/>
            <w:hideMark/>
          </w:tcPr>
          <w:p w14:paraId="240FF22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37.2%</w:t>
            </w:r>
          </w:p>
        </w:tc>
        <w:tc>
          <w:tcPr>
            <w:tcW w:w="596" w:type="pct"/>
            <w:tcBorders>
              <w:top w:val="nil"/>
              <w:left w:val="nil"/>
              <w:bottom w:val="nil"/>
              <w:right w:val="nil"/>
            </w:tcBorders>
            <w:shd w:val="clear" w:color="000000" w:fill="4EA72E"/>
            <w:noWrap/>
            <w:vAlign w:val="bottom"/>
            <w:hideMark/>
          </w:tcPr>
          <w:p w14:paraId="12CA3F47" w14:textId="77777777" w:rsidR="002665D0" w:rsidRPr="00AD2821" w:rsidRDefault="002665D0" w:rsidP="00D45F54">
            <w:pPr>
              <w:jc w:val="right"/>
              <w:rPr>
                <w:rFonts w:eastAsia="Times New Roman" w:cstheme="minorHAnsi"/>
                <w:b/>
                <w:bCs/>
                <w:i/>
                <w:iCs/>
                <w:color w:val="000000"/>
                <w:sz w:val="15"/>
                <w:szCs w:val="15"/>
                <w:lang w:val="en-GB" w:eastAsia="en-GB"/>
              </w:rPr>
            </w:pPr>
            <w:r w:rsidRPr="00AD2821">
              <w:rPr>
                <w:rFonts w:eastAsia="Times New Roman" w:cstheme="minorHAnsi"/>
                <w:b/>
                <w:bCs/>
                <w:i/>
                <w:iCs/>
                <w:color w:val="000000"/>
                <w:sz w:val="15"/>
                <w:szCs w:val="15"/>
                <w:lang w:val="en-GB" w:eastAsia="en-GB"/>
              </w:rPr>
              <w:t>58.0%</w:t>
            </w:r>
          </w:p>
        </w:tc>
      </w:tr>
      <w:tr w:rsidR="002665D0" w:rsidRPr="00AD2821" w14:paraId="0878EBFE" w14:textId="77777777" w:rsidTr="00D45F54">
        <w:trPr>
          <w:trHeight w:val="320"/>
        </w:trPr>
        <w:tc>
          <w:tcPr>
            <w:tcW w:w="339" w:type="pct"/>
            <w:tcBorders>
              <w:top w:val="nil"/>
              <w:left w:val="nil"/>
              <w:bottom w:val="nil"/>
              <w:right w:val="nil"/>
            </w:tcBorders>
            <w:shd w:val="clear" w:color="auto" w:fill="auto"/>
            <w:noWrap/>
            <w:vAlign w:val="bottom"/>
            <w:hideMark/>
          </w:tcPr>
          <w:p w14:paraId="7F22D43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54.4%</w:t>
            </w:r>
          </w:p>
        </w:tc>
        <w:tc>
          <w:tcPr>
            <w:tcW w:w="339" w:type="pct"/>
            <w:tcBorders>
              <w:top w:val="nil"/>
              <w:left w:val="nil"/>
              <w:bottom w:val="nil"/>
              <w:right w:val="nil"/>
            </w:tcBorders>
            <w:shd w:val="clear" w:color="auto" w:fill="auto"/>
            <w:noWrap/>
            <w:vAlign w:val="bottom"/>
            <w:hideMark/>
          </w:tcPr>
          <w:p w14:paraId="7633817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46.1%</w:t>
            </w:r>
          </w:p>
        </w:tc>
        <w:tc>
          <w:tcPr>
            <w:tcW w:w="339" w:type="pct"/>
            <w:tcBorders>
              <w:top w:val="nil"/>
              <w:left w:val="nil"/>
              <w:bottom w:val="nil"/>
              <w:right w:val="nil"/>
            </w:tcBorders>
            <w:shd w:val="clear" w:color="auto" w:fill="auto"/>
            <w:noWrap/>
            <w:vAlign w:val="bottom"/>
            <w:hideMark/>
          </w:tcPr>
          <w:p w14:paraId="30FAA37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47.8%</w:t>
            </w:r>
          </w:p>
        </w:tc>
        <w:tc>
          <w:tcPr>
            <w:tcW w:w="339" w:type="pct"/>
            <w:tcBorders>
              <w:top w:val="nil"/>
              <w:left w:val="nil"/>
              <w:bottom w:val="nil"/>
              <w:right w:val="nil"/>
            </w:tcBorders>
            <w:shd w:val="clear" w:color="auto" w:fill="auto"/>
            <w:noWrap/>
            <w:vAlign w:val="bottom"/>
            <w:hideMark/>
          </w:tcPr>
          <w:p w14:paraId="1A5D37F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50.6%</w:t>
            </w:r>
          </w:p>
        </w:tc>
        <w:tc>
          <w:tcPr>
            <w:tcW w:w="339" w:type="pct"/>
            <w:tcBorders>
              <w:top w:val="nil"/>
              <w:left w:val="nil"/>
              <w:bottom w:val="nil"/>
              <w:right w:val="nil"/>
            </w:tcBorders>
            <w:shd w:val="clear" w:color="auto" w:fill="auto"/>
            <w:noWrap/>
            <w:vAlign w:val="bottom"/>
            <w:hideMark/>
          </w:tcPr>
          <w:p w14:paraId="0537BEC5"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50.0%</w:t>
            </w:r>
          </w:p>
        </w:tc>
        <w:tc>
          <w:tcPr>
            <w:tcW w:w="339" w:type="pct"/>
            <w:tcBorders>
              <w:top w:val="nil"/>
              <w:left w:val="nil"/>
              <w:bottom w:val="nil"/>
              <w:right w:val="nil"/>
            </w:tcBorders>
            <w:shd w:val="clear" w:color="auto" w:fill="auto"/>
            <w:noWrap/>
            <w:vAlign w:val="bottom"/>
            <w:hideMark/>
          </w:tcPr>
          <w:p w14:paraId="469E311B"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55.0%</w:t>
            </w:r>
          </w:p>
        </w:tc>
        <w:tc>
          <w:tcPr>
            <w:tcW w:w="339" w:type="pct"/>
            <w:tcBorders>
              <w:top w:val="nil"/>
              <w:left w:val="nil"/>
              <w:bottom w:val="nil"/>
              <w:right w:val="nil"/>
            </w:tcBorders>
            <w:shd w:val="clear" w:color="auto" w:fill="auto"/>
            <w:noWrap/>
            <w:vAlign w:val="bottom"/>
            <w:hideMark/>
          </w:tcPr>
          <w:p w14:paraId="3DCEB2B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48.9%</w:t>
            </w:r>
          </w:p>
        </w:tc>
        <w:tc>
          <w:tcPr>
            <w:tcW w:w="339" w:type="pct"/>
            <w:tcBorders>
              <w:top w:val="nil"/>
              <w:left w:val="nil"/>
              <w:bottom w:val="nil"/>
              <w:right w:val="nil"/>
            </w:tcBorders>
            <w:shd w:val="clear" w:color="auto" w:fill="auto"/>
            <w:noWrap/>
            <w:vAlign w:val="bottom"/>
            <w:hideMark/>
          </w:tcPr>
          <w:p w14:paraId="3DAB3BD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47.8%</w:t>
            </w:r>
          </w:p>
        </w:tc>
        <w:tc>
          <w:tcPr>
            <w:tcW w:w="339" w:type="pct"/>
            <w:tcBorders>
              <w:top w:val="nil"/>
              <w:left w:val="nil"/>
              <w:bottom w:val="nil"/>
              <w:right w:val="nil"/>
            </w:tcBorders>
            <w:shd w:val="clear" w:color="auto" w:fill="auto"/>
            <w:noWrap/>
            <w:vAlign w:val="bottom"/>
            <w:hideMark/>
          </w:tcPr>
          <w:p w14:paraId="6D23C91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45.6%</w:t>
            </w:r>
          </w:p>
        </w:tc>
        <w:tc>
          <w:tcPr>
            <w:tcW w:w="339" w:type="pct"/>
            <w:tcBorders>
              <w:top w:val="nil"/>
              <w:left w:val="nil"/>
              <w:bottom w:val="nil"/>
              <w:right w:val="nil"/>
            </w:tcBorders>
            <w:shd w:val="clear" w:color="auto" w:fill="auto"/>
            <w:noWrap/>
            <w:vAlign w:val="bottom"/>
            <w:hideMark/>
          </w:tcPr>
          <w:p w14:paraId="10E6B90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40.6%</w:t>
            </w:r>
          </w:p>
        </w:tc>
        <w:tc>
          <w:tcPr>
            <w:tcW w:w="339" w:type="pct"/>
            <w:tcBorders>
              <w:top w:val="nil"/>
              <w:left w:val="nil"/>
              <w:bottom w:val="nil"/>
              <w:right w:val="nil"/>
            </w:tcBorders>
            <w:shd w:val="clear" w:color="auto" w:fill="auto"/>
            <w:noWrap/>
            <w:vAlign w:val="bottom"/>
            <w:hideMark/>
          </w:tcPr>
          <w:p w14:paraId="7E55C9A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40.0%</w:t>
            </w:r>
          </w:p>
        </w:tc>
        <w:tc>
          <w:tcPr>
            <w:tcW w:w="339" w:type="pct"/>
            <w:tcBorders>
              <w:top w:val="nil"/>
              <w:left w:val="nil"/>
              <w:bottom w:val="nil"/>
              <w:right w:val="nil"/>
            </w:tcBorders>
            <w:shd w:val="clear" w:color="auto" w:fill="auto"/>
            <w:noWrap/>
            <w:vAlign w:val="bottom"/>
            <w:hideMark/>
          </w:tcPr>
          <w:p w14:paraId="3C26637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40.6%</w:t>
            </w:r>
          </w:p>
        </w:tc>
        <w:tc>
          <w:tcPr>
            <w:tcW w:w="339" w:type="pct"/>
            <w:tcBorders>
              <w:top w:val="nil"/>
              <w:left w:val="nil"/>
              <w:bottom w:val="nil"/>
              <w:right w:val="nil"/>
            </w:tcBorders>
            <w:shd w:val="clear" w:color="auto" w:fill="auto"/>
            <w:noWrap/>
            <w:vAlign w:val="bottom"/>
            <w:hideMark/>
          </w:tcPr>
          <w:p w14:paraId="27C28481"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36.7%</w:t>
            </w:r>
          </w:p>
        </w:tc>
        <w:tc>
          <w:tcPr>
            <w:tcW w:w="596" w:type="pct"/>
            <w:tcBorders>
              <w:top w:val="nil"/>
              <w:left w:val="nil"/>
              <w:bottom w:val="nil"/>
              <w:right w:val="nil"/>
            </w:tcBorders>
            <w:shd w:val="clear" w:color="000000" w:fill="4EA72E"/>
            <w:noWrap/>
            <w:vAlign w:val="bottom"/>
            <w:hideMark/>
          </w:tcPr>
          <w:p w14:paraId="6C620C26" w14:textId="77777777" w:rsidR="002665D0" w:rsidRPr="00AD2821" w:rsidRDefault="002665D0" w:rsidP="00D45F54">
            <w:pPr>
              <w:jc w:val="right"/>
              <w:rPr>
                <w:rFonts w:eastAsia="Times New Roman" w:cstheme="minorHAnsi"/>
                <w:b/>
                <w:bCs/>
                <w:i/>
                <w:iCs/>
                <w:color w:val="000000"/>
                <w:sz w:val="15"/>
                <w:szCs w:val="15"/>
                <w:lang w:val="en-GB" w:eastAsia="en-GB"/>
              </w:rPr>
            </w:pPr>
            <w:r w:rsidRPr="00AD2821">
              <w:rPr>
                <w:rFonts w:eastAsia="Times New Roman" w:cstheme="minorHAnsi"/>
                <w:b/>
                <w:bCs/>
                <w:i/>
                <w:iCs/>
                <w:color w:val="000000"/>
                <w:sz w:val="15"/>
                <w:szCs w:val="15"/>
                <w:lang w:val="en-GB" w:eastAsia="en-GB"/>
              </w:rPr>
              <w:t>57.3%</w:t>
            </w:r>
          </w:p>
        </w:tc>
      </w:tr>
      <w:tr w:rsidR="002665D0" w:rsidRPr="00AD2821" w14:paraId="54E22811" w14:textId="77777777" w:rsidTr="00D45F54">
        <w:trPr>
          <w:trHeight w:val="320"/>
        </w:trPr>
        <w:tc>
          <w:tcPr>
            <w:tcW w:w="339" w:type="pct"/>
            <w:tcBorders>
              <w:top w:val="nil"/>
              <w:left w:val="nil"/>
              <w:bottom w:val="nil"/>
              <w:right w:val="nil"/>
            </w:tcBorders>
            <w:shd w:val="clear" w:color="D9D9D9" w:fill="D9D9D9"/>
            <w:noWrap/>
            <w:vAlign w:val="bottom"/>
            <w:hideMark/>
          </w:tcPr>
          <w:p w14:paraId="22022F3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57.8%</w:t>
            </w:r>
          </w:p>
        </w:tc>
        <w:tc>
          <w:tcPr>
            <w:tcW w:w="339" w:type="pct"/>
            <w:tcBorders>
              <w:top w:val="nil"/>
              <w:left w:val="nil"/>
              <w:bottom w:val="nil"/>
              <w:right w:val="nil"/>
            </w:tcBorders>
            <w:shd w:val="clear" w:color="D9D9D9" w:fill="D9D9D9"/>
            <w:noWrap/>
            <w:vAlign w:val="bottom"/>
            <w:hideMark/>
          </w:tcPr>
          <w:p w14:paraId="48D91BF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46.1%</w:t>
            </w:r>
          </w:p>
        </w:tc>
        <w:tc>
          <w:tcPr>
            <w:tcW w:w="339" w:type="pct"/>
            <w:tcBorders>
              <w:top w:val="nil"/>
              <w:left w:val="nil"/>
              <w:bottom w:val="nil"/>
              <w:right w:val="nil"/>
            </w:tcBorders>
            <w:shd w:val="clear" w:color="D9D9D9" w:fill="D9D9D9"/>
            <w:noWrap/>
            <w:vAlign w:val="bottom"/>
            <w:hideMark/>
          </w:tcPr>
          <w:p w14:paraId="4C123F7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48.9%</w:t>
            </w:r>
          </w:p>
        </w:tc>
        <w:tc>
          <w:tcPr>
            <w:tcW w:w="339" w:type="pct"/>
            <w:tcBorders>
              <w:top w:val="nil"/>
              <w:left w:val="nil"/>
              <w:bottom w:val="nil"/>
              <w:right w:val="nil"/>
            </w:tcBorders>
            <w:shd w:val="clear" w:color="D9D9D9" w:fill="D9D9D9"/>
            <w:noWrap/>
            <w:vAlign w:val="bottom"/>
            <w:hideMark/>
          </w:tcPr>
          <w:p w14:paraId="7319EB0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51.1%</w:t>
            </w:r>
          </w:p>
        </w:tc>
        <w:tc>
          <w:tcPr>
            <w:tcW w:w="339" w:type="pct"/>
            <w:tcBorders>
              <w:top w:val="nil"/>
              <w:left w:val="nil"/>
              <w:bottom w:val="nil"/>
              <w:right w:val="nil"/>
            </w:tcBorders>
            <w:shd w:val="clear" w:color="D9D9D9" w:fill="D9D9D9"/>
            <w:noWrap/>
            <w:vAlign w:val="bottom"/>
            <w:hideMark/>
          </w:tcPr>
          <w:p w14:paraId="445994B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49.4%</w:t>
            </w:r>
          </w:p>
        </w:tc>
        <w:tc>
          <w:tcPr>
            <w:tcW w:w="339" w:type="pct"/>
            <w:tcBorders>
              <w:top w:val="nil"/>
              <w:left w:val="nil"/>
              <w:bottom w:val="nil"/>
              <w:right w:val="nil"/>
            </w:tcBorders>
            <w:shd w:val="clear" w:color="D9D9D9" w:fill="D9D9D9"/>
            <w:noWrap/>
            <w:vAlign w:val="bottom"/>
            <w:hideMark/>
          </w:tcPr>
          <w:p w14:paraId="3BAA834D"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56.1%</w:t>
            </w:r>
          </w:p>
        </w:tc>
        <w:tc>
          <w:tcPr>
            <w:tcW w:w="339" w:type="pct"/>
            <w:tcBorders>
              <w:top w:val="nil"/>
              <w:left w:val="nil"/>
              <w:bottom w:val="nil"/>
              <w:right w:val="nil"/>
            </w:tcBorders>
            <w:shd w:val="clear" w:color="D9D9D9" w:fill="D9D9D9"/>
            <w:noWrap/>
            <w:vAlign w:val="bottom"/>
            <w:hideMark/>
          </w:tcPr>
          <w:p w14:paraId="177BE68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48.9%</w:t>
            </w:r>
          </w:p>
        </w:tc>
        <w:tc>
          <w:tcPr>
            <w:tcW w:w="339" w:type="pct"/>
            <w:tcBorders>
              <w:top w:val="nil"/>
              <w:left w:val="nil"/>
              <w:bottom w:val="nil"/>
              <w:right w:val="nil"/>
            </w:tcBorders>
            <w:shd w:val="clear" w:color="D9D9D9" w:fill="D9D9D9"/>
            <w:noWrap/>
            <w:vAlign w:val="bottom"/>
            <w:hideMark/>
          </w:tcPr>
          <w:p w14:paraId="0746D24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47.8%</w:t>
            </w:r>
          </w:p>
        </w:tc>
        <w:tc>
          <w:tcPr>
            <w:tcW w:w="339" w:type="pct"/>
            <w:tcBorders>
              <w:top w:val="nil"/>
              <w:left w:val="nil"/>
              <w:bottom w:val="nil"/>
              <w:right w:val="nil"/>
            </w:tcBorders>
            <w:shd w:val="clear" w:color="D9D9D9" w:fill="D9D9D9"/>
            <w:noWrap/>
            <w:vAlign w:val="bottom"/>
            <w:hideMark/>
          </w:tcPr>
          <w:p w14:paraId="42FDF1D1"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47.2%</w:t>
            </w:r>
          </w:p>
        </w:tc>
        <w:tc>
          <w:tcPr>
            <w:tcW w:w="339" w:type="pct"/>
            <w:tcBorders>
              <w:top w:val="nil"/>
              <w:left w:val="nil"/>
              <w:bottom w:val="nil"/>
              <w:right w:val="nil"/>
            </w:tcBorders>
            <w:shd w:val="clear" w:color="D9D9D9" w:fill="D9D9D9"/>
            <w:noWrap/>
            <w:vAlign w:val="bottom"/>
            <w:hideMark/>
          </w:tcPr>
          <w:p w14:paraId="2332BAB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41.1%</w:t>
            </w:r>
          </w:p>
        </w:tc>
        <w:tc>
          <w:tcPr>
            <w:tcW w:w="339" w:type="pct"/>
            <w:tcBorders>
              <w:top w:val="nil"/>
              <w:left w:val="nil"/>
              <w:bottom w:val="nil"/>
              <w:right w:val="nil"/>
            </w:tcBorders>
            <w:shd w:val="clear" w:color="D9D9D9" w:fill="D9D9D9"/>
            <w:noWrap/>
            <w:vAlign w:val="bottom"/>
            <w:hideMark/>
          </w:tcPr>
          <w:p w14:paraId="6C31C58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40.6%</w:t>
            </w:r>
          </w:p>
        </w:tc>
        <w:tc>
          <w:tcPr>
            <w:tcW w:w="339" w:type="pct"/>
            <w:tcBorders>
              <w:top w:val="nil"/>
              <w:left w:val="nil"/>
              <w:bottom w:val="nil"/>
              <w:right w:val="nil"/>
            </w:tcBorders>
            <w:shd w:val="clear" w:color="D9D9D9" w:fill="D9D9D9"/>
            <w:noWrap/>
            <w:vAlign w:val="bottom"/>
            <w:hideMark/>
          </w:tcPr>
          <w:p w14:paraId="4C7313E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41.7%</w:t>
            </w:r>
          </w:p>
        </w:tc>
        <w:tc>
          <w:tcPr>
            <w:tcW w:w="339" w:type="pct"/>
            <w:tcBorders>
              <w:top w:val="nil"/>
              <w:left w:val="nil"/>
              <w:bottom w:val="nil"/>
              <w:right w:val="nil"/>
            </w:tcBorders>
            <w:shd w:val="clear" w:color="D9D9D9" w:fill="D9D9D9"/>
            <w:noWrap/>
            <w:vAlign w:val="bottom"/>
            <w:hideMark/>
          </w:tcPr>
          <w:p w14:paraId="75D01CC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36.7%</w:t>
            </w:r>
          </w:p>
        </w:tc>
        <w:tc>
          <w:tcPr>
            <w:tcW w:w="596" w:type="pct"/>
            <w:tcBorders>
              <w:top w:val="nil"/>
              <w:left w:val="nil"/>
              <w:bottom w:val="nil"/>
              <w:right w:val="nil"/>
            </w:tcBorders>
            <w:shd w:val="clear" w:color="000000" w:fill="4EA72E"/>
            <w:noWrap/>
            <w:vAlign w:val="bottom"/>
            <w:hideMark/>
          </w:tcPr>
          <w:p w14:paraId="4BECC22D" w14:textId="77777777" w:rsidR="002665D0" w:rsidRPr="00AD2821" w:rsidRDefault="002665D0" w:rsidP="00D45F54">
            <w:pPr>
              <w:jc w:val="right"/>
              <w:rPr>
                <w:rFonts w:eastAsia="Times New Roman" w:cstheme="minorHAnsi"/>
                <w:b/>
                <w:bCs/>
                <w:i/>
                <w:iCs/>
                <w:color w:val="000000"/>
                <w:sz w:val="15"/>
                <w:szCs w:val="15"/>
                <w:lang w:val="en-GB" w:eastAsia="en-GB"/>
              </w:rPr>
            </w:pPr>
            <w:r w:rsidRPr="00AD2821">
              <w:rPr>
                <w:rFonts w:eastAsia="Times New Roman" w:cstheme="minorHAnsi"/>
                <w:b/>
                <w:bCs/>
                <w:i/>
                <w:iCs/>
                <w:color w:val="000000"/>
                <w:sz w:val="15"/>
                <w:szCs w:val="15"/>
                <w:lang w:val="en-GB" w:eastAsia="en-GB"/>
              </w:rPr>
              <w:t>57.1%</w:t>
            </w:r>
          </w:p>
        </w:tc>
      </w:tr>
      <w:tr w:rsidR="002665D0" w:rsidRPr="00AD2821" w14:paraId="38390833" w14:textId="77777777" w:rsidTr="00D45F54">
        <w:trPr>
          <w:trHeight w:val="320"/>
        </w:trPr>
        <w:tc>
          <w:tcPr>
            <w:tcW w:w="339" w:type="pct"/>
            <w:tcBorders>
              <w:top w:val="nil"/>
              <w:left w:val="nil"/>
              <w:bottom w:val="nil"/>
              <w:right w:val="nil"/>
            </w:tcBorders>
            <w:shd w:val="clear" w:color="auto" w:fill="auto"/>
            <w:noWrap/>
            <w:vAlign w:val="bottom"/>
            <w:hideMark/>
          </w:tcPr>
          <w:p w14:paraId="0327E75A"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56.1%</w:t>
            </w:r>
          </w:p>
        </w:tc>
        <w:tc>
          <w:tcPr>
            <w:tcW w:w="339" w:type="pct"/>
            <w:tcBorders>
              <w:top w:val="nil"/>
              <w:left w:val="nil"/>
              <w:bottom w:val="nil"/>
              <w:right w:val="nil"/>
            </w:tcBorders>
            <w:shd w:val="clear" w:color="auto" w:fill="auto"/>
            <w:noWrap/>
            <w:vAlign w:val="bottom"/>
            <w:hideMark/>
          </w:tcPr>
          <w:p w14:paraId="2CE30CA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46.7%</w:t>
            </w:r>
          </w:p>
        </w:tc>
        <w:tc>
          <w:tcPr>
            <w:tcW w:w="339" w:type="pct"/>
            <w:tcBorders>
              <w:top w:val="nil"/>
              <w:left w:val="nil"/>
              <w:bottom w:val="nil"/>
              <w:right w:val="nil"/>
            </w:tcBorders>
            <w:shd w:val="clear" w:color="auto" w:fill="auto"/>
            <w:noWrap/>
            <w:vAlign w:val="bottom"/>
            <w:hideMark/>
          </w:tcPr>
          <w:p w14:paraId="1D6891C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49.4%</w:t>
            </w:r>
          </w:p>
        </w:tc>
        <w:tc>
          <w:tcPr>
            <w:tcW w:w="339" w:type="pct"/>
            <w:tcBorders>
              <w:top w:val="nil"/>
              <w:left w:val="nil"/>
              <w:bottom w:val="nil"/>
              <w:right w:val="nil"/>
            </w:tcBorders>
            <w:shd w:val="clear" w:color="auto" w:fill="auto"/>
            <w:noWrap/>
            <w:vAlign w:val="bottom"/>
            <w:hideMark/>
          </w:tcPr>
          <w:p w14:paraId="4FAC36A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50.0%</w:t>
            </w:r>
          </w:p>
        </w:tc>
        <w:tc>
          <w:tcPr>
            <w:tcW w:w="339" w:type="pct"/>
            <w:tcBorders>
              <w:top w:val="nil"/>
              <w:left w:val="nil"/>
              <w:bottom w:val="nil"/>
              <w:right w:val="nil"/>
            </w:tcBorders>
            <w:shd w:val="clear" w:color="auto" w:fill="auto"/>
            <w:noWrap/>
            <w:vAlign w:val="bottom"/>
            <w:hideMark/>
          </w:tcPr>
          <w:p w14:paraId="1CB8D46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50.0%</w:t>
            </w:r>
          </w:p>
        </w:tc>
        <w:tc>
          <w:tcPr>
            <w:tcW w:w="339" w:type="pct"/>
            <w:tcBorders>
              <w:top w:val="nil"/>
              <w:left w:val="nil"/>
              <w:bottom w:val="nil"/>
              <w:right w:val="nil"/>
            </w:tcBorders>
            <w:shd w:val="clear" w:color="auto" w:fill="auto"/>
            <w:noWrap/>
            <w:vAlign w:val="bottom"/>
            <w:hideMark/>
          </w:tcPr>
          <w:p w14:paraId="79B9F87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55.0%</w:t>
            </w:r>
          </w:p>
        </w:tc>
        <w:tc>
          <w:tcPr>
            <w:tcW w:w="339" w:type="pct"/>
            <w:tcBorders>
              <w:top w:val="nil"/>
              <w:left w:val="nil"/>
              <w:bottom w:val="nil"/>
              <w:right w:val="nil"/>
            </w:tcBorders>
            <w:shd w:val="clear" w:color="auto" w:fill="auto"/>
            <w:noWrap/>
            <w:vAlign w:val="bottom"/>
            <w:hideMark/>
          </w:tcPr>
          <w:p w14:paraId="6E7DE72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49.4%</w:t>
            </w:r>
          </w:p>
        </w:tc>
        <w:tc>
          <w:tcPr>
            <w:tcW w:w="339" w:type="pct"/>
            <w:tcBorders>
              <w:top w:val="nil"/>
              <w:left w:val="nil"/>
              <w:bottom w:val="nil"/>
              <w:right w:val="nil"/>
            </w:tcBorders>
            <w:shd w:val="clear" w:color="auto" w:fill="auto"/>
            <w:noWrap/>
            <w:vAlign w:val="bottom"/>
            <w:hideMark/>
          </w:tcPr>
          <w:p w14:paraId="6F1917EF"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47.8%</w:t>
            </w:r>
          </w:p>
        </w:tc>
        <w:tc>
          <w:tcPr>
            <w:tcW w:w="339" w:type="pct"/>
            <w:tcBorders>
              <w:top w:val="nil"/>
              <w:left w:val="nil"/>
              <w:bottom w:val="nil"/>
              <w:right w:val="nil"/>
            </w:tcBorders>
            <w:shd w:val="clear" w:color="auto" w:fill="auto"/>
            <w:noWrap/>
            <w:vAlign w:val="bottom"/>
            <w:hideMark/>
          </w:tcPr>
          <w:p w14:paraId="30B80D28"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46.1%</w:t>
            </w:r>
          </w:p>
        </w:tc>
        <w:tc>
          <w:tcPr>
            <w:tcW w:w="339" w:type="pct"/>
            <w:tcBorders>
              <w:top w:val="nil"/>
              <w:left w:val="nil"/>
              <w:bottom w:val="nil"/>
              <w:right w:val="nil"/>
            </w:tcBorders>
            <w:shd w:val="clear" w:color="auto" w:fill="auto"/>
            <w:noWrap/>
            <w:vAlign w:val="bottom"/>
            <w:hideMark/>
          </w:tcPr>
          <w:p w14:paraId="1FDD8F9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40.6%</w:t>
            </w:r>
          </w:p>
        </w:tc>
        <w:tc>
          <w:tcPr>
            <w:tcW w:w="339" w:type="pct"/>
            <w:tcBorders>
              <w:top w:val="nil"/>
              <w:left w:val="nil"/>
              <w:bottom w:val="nil"/>
              <w:right w:val="nil"/>
            </w:tcBorders>
            <w:shd w:val="clear" w:color="auto" w:fill="auto"/>
            <w:noWrap/>
            <w:vAlign w:val="bottom"/>
            <w:hideMark/>
          </w:tcPr>
          <w:p w14:paraId="11D9BE4A"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40.0%</w:t>
            </w:r>
          </w:p>
        </w:tc>
        <w:tc>
          <w:tcPr>
            <w:tcW w:w="339" w:type="pct"/>
            <w:tcBorders>
              <w:top w:val="nil"/>
              <w:left w:val="nil"/>
              <w:bottom w:val="nil"/>
              <w:right w:val="nil"/>
            </w:tcBorders>
            <w:shd w:val="clear" w:color="auto" w:fill="auto"/>
            <w:noWrap/>
            <w:vAlign w:val="bottom"/>
            <w:hideMark/>
          </w:tcPr>
          <w:p w14:paraId="6965E61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41.7%</w:t>
            </w:r>
          </w:p>
        </w:tc>
        <w:tc>
          <w:tcPr>
            <w:tcW w:w="339" w:type="pct"/>
            <w:tcBorders>
              <w:top w:val="nil"/>
              <w:left w:val="nil"/>
              <w:bottom w:val="nil"/>
              <w:right w:val="nil"/>
            </w:tcBorders>
            <w:shd w:val="clear" w:color="auto" w:fill="auto"/>
            <w:noWrap/>
            <w:vAlign w:val="bottom"/>
            <w:hideMark/>
          </w:tcPr>
          <w:p w14:paraId="0538C598"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37.2%</w:t>
            </w:r>
          </w:p>
        </w:tc>
        <w:tc>
          <w:tcPr>
            <w:tcW w:w="596" w:type="pct"/>
            <w:tcBorders>
              <w:top w:val="nil"/>
              <w:left w:val="nil"/>
              <w:bottom w:val="nil"/>
              <w:right w:val="nil"/>
            </w:tcBorders>
            <w:shd w:val="clear" w:color="000000" w:fill="4EA72E"/>
            <w:noWrap/>
            <w:vAlign w:val="bottom"/>
            <w:hideMark/>
          </w:tcPr>
          <w:p w14:paraId="6E010566" w14:textId="77777777" w:rsidR="002665D0" w:rsidRPr="00AD2821" w:rsidRDefault="002665D0" w:rsidP="00D45F54">
            <w:pPr>
              <w:jc w:val="right"/>
              <w:rPr>
                <w:rFonts w:eastAsia="Times New Roman" w:cstheme="minorHAnsi"/>
                <w:b/>
                <w:bCs/>
                <w:i/>
                <w:iCs/>
                <w:color w:val="000000"/>
                <w:sz w:val="15"/>
                <w:szCs w:val="15"/>
                <w:lang w:val="en-GB" w:eastAsia="en-GB"/>
              </w:rPr>
            </w:pPr>
            <w:r w:rsidRPr="00AD2821">
              <w:rPr>
                <w:rFonts w:eastAsia="Times New Roman" w:cstheme="minorHAnsi"/>
                <w:b/>
                <w:bCs/>
                <w:i/>
                <w:iCs/>
                <w:color w:val="000000"/>
                <w:sz w:val="15"/>
                <w:szCs w:val="15"/>
                <w:lang w:val="en-GB" w:eastAsia="en-GB"/>
              </w:rPr>
              <w:t>57.1%</w:t>
            </w:r>
          </w:p>
        </w:tc>
      </w:tr>
      <w:tr w:rsidR="002665D0" w:rsidRPr="00AD2821" w14:paraId="4566DA96" w14:textId="77777777" w:rsidTr="00D45F54">
        <w:trPr>
          <w:trHeight w:val="320"/>
        </w:trPr>
        <w:tc>
          <w:tcPr>
            <w:tcW w:w="339" w:type="pct"/>
            <w:tcBorders>
              <w:top w:val="nil"/>
              <w:left w:val="nil"/>
              <w:bottom w:val="nil"/>
              <w:right w:val="nil"/>
            </w:tcBorders>
            <w:shd w:val="clear" w:color="D9D9D9" w:fill="D9D9D9"/>
            <w:noWrap/>
            <w:vAlign w:val="bottom"/>
            <w:hideMark/>
          </w:tcPr>
          <w:p w14:paraId="7EFC66F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56.1%</w:t>
            </w:r>
          </w:p>
        </w:tc>
        <w:tc>
          <w:tcPr>
            <w:tcW w:w="339" w:type="pct"/>
            <w:tcBorders>
              <w:top w:val="nil"/>
              <w:left w:val="nil"/>
              <w:bottom w:val="nil"/>
              <w:right w:val="nil"/>
            </w:tcBorders>
            <w:shd w:val="clear" w:color="D9D9D9" w:fill="D9D9D9"/>
            <w:noWrap/>
            <w:vAlign w:val="bottom"/>
            <w:hideMark/>
          </w:tcPr>
          <w:p w14:paraId="3406F4C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47.8%</w:t>
            </w:r>
          </w:p>
        </w:tc>
        <w:tc>
          <w:tcPr>
            <w:tcW w:w="339" w:type="pct"/>
            <w:tcBorders>
              <w:top w:val="nil"/>
              <w:left w:val="nil"/>
              <w:bottom w:val="nil"/>
              <w:right w:val="nil"/>
            </w:tcBorders>
            <w:shd w:val="clear" w:color="D9D9D9" w:fill="D9D9D9"/>
            <w:noWrap/>
            <w:vAlign w:val="bottom"/>
            <w:hideMark/>
          </w:tcPr>
          <w:p w14:paraId="09E9A1F5"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49.4%</w:t>
            </w:r>
          </w:p>
        </w:tc>
        <w:tc>
          <w:tcPr>
            <w:tcW w:w="339" w:type="pct"/>
            <w:tcBorders>
              <w:top w:val="nil"/>
              <w:left w:val="nil"/>
              <w:bottom w:val="nil"/>
              <w:right w:val="nil"/>
            </w:tcBorders>
            <w:shd w:val="clear" w:color="D9D9D9" w:fill="D9D9D9"/>
            <w:noWrap/>
            <w:vAlign w:val="bottom"/>
            <w:hideMark/>
          </w:tcPr>
          <w:p w14:paraId="62F6ECCC"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52.2%</w:t>
            </w:r>
          </w:p>
        </w:tc>
        <w:tc>
          <w:tcPr>
            <w:tcW w:w="339" w:type="pct"/>
            <w:tcBorders>
              <w:top w:val="nil"/>
              <w:left w:val="nil"/>
              <w:bottom w:val="nil"/>
              <w:right w:val="nil"/>
            </w:tcBorders>
            <w:shd w:val="clear" w:color="D9D9D9" w:fill="D9D9D9"/>
            <w:noWrap/>
            <w:vAlign w:val="bottom"/>
            <w:hideMark/>
          </w:tcPr>
          <w:p w14:paraId="35E7422D"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51.1%</w:t>
            </w:r>
          </w:p>
        </w:tc>
        <w:tc>
          <w:tcPr>
            <w:tcW w:w="339" w:type="pct"/>
            <w:tcBorders>
              <w:top w:val="nil"/>
              <w:left w:val="nil"/>
              <w:bottom w:val="nil"/>
              <w:right w:val="nil"/>
            </w:tcBorders>
            <w:shd w:val="clear" w:color="D9D9D9" w:fill="D9D9D9"/>
            <w:noWrap/>
            <w:vAlign w:val="bottom"/>
            <w:hideMark/>
          </w:tcPr>
          <w:p w14:paraId="03E279B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55.6%</w:t>
            </w:r>
          </w:p>
        </w:tc>
        <w:tc>
          <w:tcPr>
            <w:tcW w:w="339" w:type="pct"/>
            <w:tcBorders>
              <w:top w:val="nil"/>
              <w:left w:val="nil"/>
              <w:bottom w:val="nil"/>
              <w:right w:val="nil"/>
            </w:tcBorders>
            <w:shd w:val="clear" w:color="D9D9D9" w:fill="D9D9D9"/>
            <w:noWrap/>
            <w:vAlign w:val="bottom"/>
            <w:hideMark/>
          </w:tcPr>
          <w:p w14:paraId="2263176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50.0%</w:t>
            </w:r>
          </w:p>
        </w:tc>
        <w:tc>
          <w:tcPr>
            <w:tcW w:w="339" w:type="pct"/>
            <w:tcBorders>
              <w:top w:val="nil"/>
              <w:left w:val="nil"/>
              <w:bottom w:val="nil"/>
              <w:right w:val="nil"/>
            </w:tcBorders>
            <w:shd w:val="clear" w:color="D9D9D9" w:fill="D9D9D9"/>
            <w:noWrap/>
            <w:vAlign w:val="bottom"/>
            <w:hideMark/>
          </w:tcPr>
          <w:p w14:paraId="4E85825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47.8%</w:t>
            </w:r>
          </w:p>
        </w:tc>
        <w:tc>
          <w:tcPr>
            <w:tcW w:w="339" w:type="pct"/>
            <w:tcBorders>
              <w:top w:val="nil"/>
              <w:left w:val="nil"/>
              <w:bottom w:val="nil"/>
              <w:right w:val="nil"/>
            </w:tcBorders>
            <w:shd w:val="clear" w:color="D9D9D9" w:fill="D9D9D9"/>
            <w:noWrap/>
            <w:vAlign w:val="bottom"/>
            <w:hideMark/>
          </w:tcPr>
          <w:p w14:paraId="72E5243B"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47.2%</w:t>
            </w:r>
          </w:p>
        </w:tc>
        <w:tc>
          <w:tcPr>
            <w:tcW w:w="339" w:type="pct"/>
            <w:tcBorders>
              <w:top w:val="nil"/>
              <w:left w:val="nil"/>
              <w:bottom w:val="nil"/>
              <w:right w:val="nil"/>
            </w:tcBorders>
            <w:shd w:val="clear" w:color="D9D9D9" w:fill="D9D9D9"/>
            <w:noWrap/>
            <w:vAlign w:val="bottom"/>
            <w:hideMark/>
          </w:tcPr>
          <w:p w14:paraId="5BABDE3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40.6%</w:t>
            </w:r>
          </w:p>
        </w:tc>
        <w:tc>
          <w:tcPr>
            <w:tcW w:w="339" w:type="pct"/>
            <w:tcBorders>
              <w:top w:val="nil"/>
              <w:left w:val="nil"/>
              <w:bottom w:val="nil"/>
              <w:right w:val="nil"/>
            </w:tcBorders>
            <w:shd w:val="clear" w:color="D9D9D9" w:fill="D9D9D9"/>
            <w:noWrap/>
            <w:vAlign w:val="bottom"/>
            <w:hideMark/>
          </w:tcPr>
          <w:p w14:paraId="6B79150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41.1%</w:t>
            </w:r>
          </w:p>
        </w:tc>
        <w:tc>
          <w:tcPr>
            <w:tcW w:w="339" w:type="pct"/>
            <w:tcBorders>
              <w:top w:val="nil"/>
              <w:left w:val="nil"/>
              <w:bottom w:val="nil"/>
              <w:right w:val="nil"/>
            </w:tcBorders>
            <w:shd w:val="clear" w:color="D9D9D9" w:fill="D9D9D9"/>
            <w:noWrap/>
            <w:vAlign w:val="bottom"/>
            <w:hideMark/>
          </w:tcPr>
          <w:p w14:paraId="1F28DC6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42.2%</w:t>
            </w:r>
          </w:p>
        </w:tc>
        <w:tc>
          <w:tcPr>
            <w:tcW w:w="339" w:type="pct"/>
            <w:tcBorders>
              <w:top w:val="nil"/>
              <w:left w:val="nil"/>
              <w:bottom w:val="nil"/>
              <w:right w:val="nil"/>
            </w:tcBorders>
            <w:shd w:val="clear" w:color="D9D9D9" w:fill="D9D9D9"/>
            <w:noWrap/>
            <w:vAlign w:val="bottom"/>
            <w:hideMark/>
          </w:tcPr>
          <w:p w14:paraId="7D9D19A3"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37.2%</w:t>
            </w:r>
          </w:p>
        </w:tc>
        <w:tc>
          <w:tcPr>
            <w:tcW w:w="596" w:type="pct"/>
            <w:tcBorders>
              <w:top w:val="nil"/>
              <w:left w:val="nil"/>
              <w:bottom w:val="nil"/>
              <w:right w:val="nil"/>
            </w:tcBorders>
            <w:shd w:val="clear" w:color="000000" w:fill="4EA72E"/>
            <w:noWrap/>
            <w:vAlign w:val="bottom"/>
            <w:hideMark/>
          </w:tcPr>
          <w:p w14:paraId="0EED6C77" w14:textId="77777777" w:rsidR="002665D0" w:rsidRPr="00AD2821" w:rsidRDefault="002665D0" w:rsidP="00D45F54">
            <w:pPr>
              <w:jc w:val="right"/>
              <w:rPr>
                <w:rFonts w:eastAsia="Times New Roman" w:cstheme="minorHAnsi"/>
                <w:b/>
                <w:bCs/>
                <w:i/>
                <w:iCs/>
                <w:color w:val="000000"/>
                <w:sz w:val="15"/>
                <w:szCs w:val="15"/>
                <w:lang w:val="en-GB" w:eastAsia="en-GB"/>
              </w:rPr>
            </w:pPr>
            <w:r w:rsidRPr="00AD2821">
              <w:rPr>
                <w:rFonts w:eastAsia="Times New Roman" w:cstheme="minorHAnsi"/>
                <w:b/>
                <w:bCs/>
                <w:i/>
                <w:iCs/>
                <w:color w:val="000000"/>
                <w:sz w:val="15"/>
                <w:szCs w:val="15"/>
                <w:lang w:val="en-GB" w:eastAsia="en-GB"/>
              </w:rPr>
              <w:t>57.8%</w:t>
            </w:r>
          </w:p>
        </w:tc>
      </w:tr>
      <w:tr w:rsidR="002665D0" w:rsidRPr="00AD2821" w14:paraId="00EE4D5A" w14:textId="77777777" w:rsidTr="00D45F54">
        <w:trPr>
          <w:trHeight w:val="320"/>
        </w:trPr>
        <w:tc>
          <w:tcPr>
            <w:tcW w:w="339" w:type="pct"/>
            <w:tcBorders>
              <w:top w:val="nil"/>
              <w:left w:val="nil"/>
              <w:bottom w:val="nil"/>
              <w:right w:val="nil"/>
            </w:tcBorders>
            <w:shd w:val="clear" w:color="auto" w:fill="auto"/>
            <w:noWrap/>
            <w:vAlign w:val="bottom"/>
            <w:hideMark/>
          </w:tcPr>
          <w:p w14:paraId="15DC7FAA"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55.6%</w:t>
            </w:r>
          </w:p>
        </w:tc>
        <w:tc>
          <w:tcPr>
            <w:tcW w:w="339" w:type="pct"/>
            <w:tcBorders>
              <w:top w:val="nil"/>
              <w:left w:val="nil"/>
              <w:bottom w:val="nil"/>
              <w:right w:val="nil"/>
            </w:tcBorders>
            <w:shd w:val="clear" w:color="auto" w:fill="auto"/>
            <w:noWrap/>
            <w:vAlign w:val="bottom"/>
            <w:hideMark/>
          </w:tcPr>
          <w:p w14:paraId="471A681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47.2%</w:t>
            </w:r>
          </w:p>
        </w:tc>
        <w:tc>
          <w:tcPr>
            <w:tcW w:w="339" w:type="pct"/>
            <w:tcBorders>
              <w:top w:val="nil"/>
              <w:left w:val="nil"/>
              <w:bottom w:val="nil"/>
              <w:right w:val="nil"/>
            </w:tcBorders>
            <w:shd w:val="clear" w:color="auto" w:fill="auto"/>
            <w:noWrap/>
            <w:vAlign w:val="bottom"/>
            <w:hideMark/>
          </w:tcPr>
          <w:p w14:paraId="5B16F65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50.6%</w:t>
            </w:r>
          </w:p>
        </w:tc>
        <w:tc>
          <w:tcPr>
            <w:tcW w:w="339" w:type="pct"/>
            <w:tcBorders>
              <w:top w:val="nil"/>
              <w:left w:val="nil"/>
              <w:bottom w:val="nil"/>
              <w:right w:val="nil"/>
            </w:tcBorders>
            <w:shd w:val="clear" w:color="auto" w:fill="auto"/>
            <w:noWrap/>
            <w:vAlign w:val="bottom"/>
            <w:hideMark/>
          </w:tcPr>
          <w:p w14:paraId="1AF56137"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52.2%</w:t>
            </w:r>
          </w:p>
        </w:tc>
        <w:tc>
          <w:tcPr>
            <w:tcW w:w="339" w:type="pct"/>
            <w:tcBorders>
              <w:top w:val="nil"/>
              <w:left w:val="nil"/>
              <w:bottom w:val="nil"/>
              <w:right w:val="nil"/>
            </w:tcBorders>
            <w:shd w:val="clear" w:color="auto" w:fill="auto"/>
            <w:noWrap/>
            <w:vAlign w:val="bottom"/>
            <w:hideMark/>
          </w:tcPr>
          <w:p w14:paraId="529F4D4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53.3%</w:t>
            </w:r>
          </w:p>
        </w:tc>
        <w:tc>
          <w:tcPr>
            <w:tcW w:w="339" w:type="pct"/>
            <w:tcBorders>
              <w:top w:val="nil"/>
              <w:left w:val="nil"/>
              <w:bottom w:val="nil"/>
              <w:right w:val="nil"/>
            </w:tcBorders>
            <w:shd w:val="clear" w:color="auto" w:fill="auto"/>
            <w:noWrap/>
            <w:vAlign w:val="bottom"/>
            <w:hideMark/>
          </w:tcPr>
          <w:p w14:paraId="44637B0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57.8%</w:t>
            </w:r>
          </w:p>
        </w:tc>
        <w:tc>
          <w:tcPr>
            <w:tcW w:w="339" w:type="pct"/>
            <w:tcBorders>
              <w:top w:val="nil"/>
              <w:left w:val="nil"/>
              <w:bottom w:val="nil"/>
              <w:right w:val="nil"/>
            </w:tcBorders>
            <w:shd w:val="clear" w:color="auto" w:fill="auto"/>
            <w:noWrap/>
            <w:vAlign w:val="bottom"/>
            <w:hideMark/>
          </w:tcPr>
          <w:p w14:paraId="377368CD"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50.6%</w:t>
            </w:r>
          </w:p>
        </w:tc>
        <w:tc>
          <w:tcPr>
            <w:tcW w:w="339" w:type="pct"/>
            <w:tcBorders>
              <w:top w:val="nil"/>
              <w:left w:val="nil"/>
              <w:bottom w:val="nil"/>
              <w:right w:val="nil"/>
            </w:tcBorders>
            <w:shd w:val="clear" w:color="auto" w:fill="auto"/>
            <w:noWrap/>
            <w:vAlign w:val="bottom"/>
            <w:hideMark/>
          </w:tcPr>
          <w:p w14:paraId="61884F38"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50.6%</w:t>
            </w:r>
          </w:p>
        </w:tc>
        <w:tc>
          <w:tcPr>
            <w:tcW w:w="339" w:type="pct"/>
            <w:tcBorders>
              <w:top w:val="nil"/>
              <w:left w:val="nil"/>
              <w:bottom w:val="nil"/>
              <w:right w:val="nil"/>
            </w:tcBorders>
            <w:shd w:val="clear" w:color="auto" w:fill="auto"/>
            <w:noWrap/>
            <w:vAlign w:val="bottom"/>
            <w:hideMark/>
          </w:tcPr>
          <w:p w14:paraId="455413E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48.3%</w:t>
            </w:r>
          </w:p>
        </w:tc>
        <w:tc>
          <w:tcPr>
            <w:tcW w:w="339" w:type="pct"/>
            <w:tcBorders>
              <w:top w:val="nil"/>
              <w:left w:val="nil"/>
              <w:bottom w:val="nil"/>
              <w:right w:val="nil"/>
            </w:tcBorders>
            <w:shd w:val="clear" w:color="auto" w:fill="auto"/>
            <w:noWrap/>
            <w:vAlign w:val="bottom"/>
            <w:hideMark/>
          </w:tcPr>
          <w:p w14:paraId="458B4DDE"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41.1%</w:t>
            </w:r>
          </w:p>
        </w:tc>
        <w:tc>
          <w:tcPr>
            <w:tcW w:w="339" w:type="pct"/>
            <w:tcBorders>
              <w:top w:val="nil"/>
              <w:left w:val="nil"/>
              <w:bottom w:val="nil"/>
              <w:right w:val="nil"/>
            </w:tcBorders>
            <w:shd w:val="clear" w:color="auto" w:fill="auto"/>
            <w:noWrap/>
            <w:vAlign w:val="bottom"/>
            <w:hideMark/>
          </w:tcPr>
          <w:p w14:paraId="0C372128"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40.0%</w:t>
            </w:r>
          </w:p>
        </w:tc>
        <w:tc>
          <w:tcPr>
            <w:tcW w:w="339" w:type="pct"/>
            <w:tcBorders>
              <w:top w:val="nil"/>
              <w:left w:val="nil"/>
              <w:bottom w:val="nil"/>
              <w:right w:val="nil"/>
            </w:tcBorders>
            <w:shd w:val="clear" w:color="auto" w:fill="auto"/>
            <w:noWrap/>
            <w:vAlign w:val="bottom"/>
            <w:hideMark/>
          </w:tcPr>
          <w:p w14:paraId="39FFB76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41.7%</w:t>
            </w:r>
          </w:p>
        </w:tc>
        <w:tc>
          <w:tcPr>
            <w:tcW w:w="339" w:type="pct"/>
            <w:tcBorders>
              <w:top w:val="nil"/>
              <w:left w:val="nil"/>
              <w:bottom w:val="nil"/>
              <w:right w:val="nil"/>
            </w:tcBorders>
            <w:shd w:val="clear" w:color="auto" w:fill="auto"/>
            <w:noWrap/>
            <w:vAlign w:val="bottom"/>
            <w:hideMark/>
          </w:tcPr>
          <w:p w14:paraId="222BA2EB"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37.8%</w:t>
            </w:r>
          </w:p>
        </w:tc>
        <w:tc>
          <w:tcPr>
            <w:tcW w:w="596" w:type="pct"/>
            <w:tcBorders>
              <w:top w:val="nil"/>
              <w:left w:val="nil"/>
              <w:bottom w:val="nil"/>
              <w:right w:val="nil"/>
            </w:tcBorders>
            <w:shd w:val="clear" w:color="000000" w:fill="4EA72E"/>
            <w:noWrap/>
            <w:vAlign w:val="bottom"/>
            <w:hideMark/>
          </w:tcPr>
          <w:p w14:paraId="7F15C332" w14:textId="77777777" w:rsidR="002665D0" w:rsidRPr="00AD2821" w:rsidRDefault="002665D0" w:rsidP="00D45F54">
            <w:pPr>
              <w:jc w:val="right"/>
              <w:rPr>
                <w:rFonts w:eastAsia="Times New Roman" w:cstheme="minorHAnsi"/>
                <w:b/>
                <w:bCs/>
                <w:i/>
                <w:iCs/>
                <w:color w:val="000000"/>
                <w:sz w:val="15"/>
                <w:szCs w:val="15"/>
                <w:lang w:val="en-GB" w:eastAsia="en-GB"/>
              </w:rPr>
            </w:pPr>
            <w:r w:rsidRPr="00AD2821">
              <w:rPr>
                <w:rFonts w:eastAsia="Times New Roman" w:cstheme="minorHAnsi"/>
                <w:b/>
                <w:bCs/>
                <w:i/>
                <w:iCs/>
                <w:color w:val="000000"/>
                <w:sz w:val="15"/>
                <w:szCs w:val="15"/>
                <w:lang w:val="en-GB" w:eastAsia="en-GB"/>
              </w:rPr>
              <w:t>58.0%</w:t>
            </w:r>
          </w:p>
        </w:tc>
      </w:tr>
      <w:tr w:rsidR="002665D0" w:rsidRPr="00AD2821" w14:paraId="7ABB9FBB" w14:textId="77777777" w:rsidTr="00D45F54">
        <w:trPr>
          <w:trHeight w:val="320"/>
        </w:trPr>
        <w:tc>
          <w:tcPr>
            <w:tcW w:w="339" w:type="pct"/>
            <w:tcBorders>
              <w:top w:val="nil"/>
              <w:left w:val="nil"/>
              <w:bottom w:val="nil"/>
              <w:right w:val="nil"/>
            </w:tcBorders>
            <w:shd w:val="clear" w:color="D9D9D9" w:fill="D9D9D9"/>
            <w:noWrap/>
            <w:vAlign w:val="bottom"/>
            <w:hideMark/>
          </w:tcPr>
          <w:p w14:paraId="511A36A8"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56.1%</w:t>
            </w:r>
          </w:p>
        </w:tc>
        <w:tc>
          <w:tcPr>
            <w:tcW w:w="339" w:type="pct"/>
            <w:tcBorders>
              <w:top w:val="nil"/>
              <w:left w:val="nil"/>
              <w:bottom w:val="nil"/>
              <w:right w:val="nil"/>
            </w:tcBorders>
            <w:shd w:val="clear" w:color="D9D9D9" w:fill="D9D9D9"/>
            <w:noWrap/>
            <w:vAlign w:val="bottom"/>
            <w:hideMark/>
          </w:tcPr>
          <w:p w14:paraId="75AFB76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47.8%</w:t>
            </w:r>
          </w:p>
        </w:tc>
        <w:tc>
          <w:tcPr>
            <w:tcW w:w="339" w:type="pct"/>
            <w:tcBorders>
              <w:top w:val="nil"/>
              <w:left w:val="nil"/>
              <w:bottom w:val="nil"/>
              <w:right w:val="nil"/>
            </w:tcBorders>
            <w:shd w:val="clear" w:color="D9D9D9" w:fill="D9D9D9"/>
            <w:noWrap/>
            <w:vAlign w:val="bottom"/>
            <w:hideMark/>
          </w:tcPr>
          <w:p w14:paraId="711ADC3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50.6%</w:t>
            </w:r>
          </w:p>
        </w:tc>
        <w:tc>
          <w:tcPr>
            <w:tcW w:w="339" w:type="pct"/>
            <w:tcBorders>
              <w:top w:val="nil"/>
              <w:left w:val="nil"/>
              <w:bottom w:val="nil"/>
              <w:right w:val="nil"/>
            </w:tcBorders>
            <w:shd w:val="clear" w:color="D9D9D9" w:fill="D9D9D9"/>
            <w:noWrap/>
            <w:vAlign w:val="bottom"/>
            <w:hideMark/>
          </w:tcPr>
          <w:p w14:paraId="2E7E9A52"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52.8%</w:t>
            </w:r>
          </w:p>
        </w:tc>
        <w:tc>
          <w:tcPr>
            <w:tcW w:w="339" w:type="pct"/>
            <w:tcBorders>
              <w:top w:val="nil"/>
              <w:left w:val="nil"/>
              <w:bottom w:val="nil"/>
              <w:right w:val="nil"/>
            </w:tcBorders>
            <w:shd w:val="clear" w:color="D9D9D9" w:fill="D9D9D9"/>
            <w:noWrap/>
            <w:vAlign w:val="bottom"/>
            <w:hideMark/>
          </w:tcPr>
          <w:p w14:paraId="49F3172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53.9%</w:t>
            </w:r>
          </w:p>
        </w:tc>
        <w:tc>
          <w:tcPr>
            <w:tcW w:w="339" w:type="pct"/>
            <w:tcBorders>
              <w:top w:val="nil"/>
              <w:left w:val="nil"/>
              <w:bottom w:val="nil"/>
              <w:right w:val="nil"/>
            </w:tcBorders>
            <w:shd w:val="clear" w:color="D9D9D9" w:fill="D9D9D9"/>
            <w:noWrap/>
            <w:vAlign w:val="bottom"/>
            <w:hideMark/>
          </w:tcPr>
          <w:p w14:paraId="0DCB109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58.3%</w:t>
            </w:r>
          </w:p>
        </w:tc>
        <w:tc>
          <w:tcPr>
            <w:tcW w:w="339" w:type="pct"/>
            <w:tcBorders>
              <w:top w:val="nil"/>
              <w:left w:val="nil"/>
              <w:bottom w:val="nil"/>
              <w:right w:val="nil"/>
            </w:tcBorders>
            <w:shd w:val="clear" w:color="D9D9D9" w:fill="D9D9D9"/>
            <w:noWrap/>
            <w:vAlign w:val="bottom"/>
            <w:hideMark/>
          </w:tcPr>
          <w:p w14:paraId="4247AB19"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50.6%</w:t>
            </w:r>
          </w:p>
        </w:tc>
        <w:tc>
          <w:tcPr>
            <w:tcW w:w="339" w:type="pct"/>
            <w:tcBorders>
              <w:top w:val="nil"/>
              <w:left w:val="nil"/>
              <w:bottom w:val="nil"/>
              <w:right w:val="nil"/>
            </w:tcBorders>
            <w:shd w:val="clear" w:color="D9D9D9" w:fill="D9D9D9"/>
            <w:noWrap/>
            <w:vAlign w:val="bottom"/>
            <w:hideMark/>
          </w:tcPr>
          <w:p w14:paraId="527BB3CD"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50.6%</w:t>
            </w:r>
          </w:p>
        </w:tc>
        <w:tc>
          <w:tcPr>
            <w:tcW w:w="339" w:type="pct"/>
            <w:tcBorders>
              <w:top w:val="nil"/>
              <w:left w:val="nil"/>
              <w:bottom w:val="nil"/>
              <w:right w:val="nil"/>
            </w:tcBorders>
            <w:shd w:val="clear" w:color="D9D9D9" w:fill="D9D9D9"/>
            <w:noWrap/>
            <w:vAlign w:val="bottom"/>
            <w:hideMark/>
          </w:tcPr>
          <w:p w14:paraId="6EAD9184"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48.3%</w:t>
            </w:r>
          </w:p>
        </w:tc>
        <w:tc>
          <w:tcPr>
            <w:tcW w:w="339" w:type="pct"/>
            <w:tcBorders>
              <w:top w:val="nil"/>
              <w:left w:val="nil"/>
              <w:bottom w:val="nil"/>
              <w:right w:val="nil"/>
            </w:tcBorders>
            <w:shd w:val="clear" w:color="D9D9D9" w:fill="D9D9D9"/>
            <w:noWrap/>
            <w:vAlign w:val="bottom"/>
            <w:hideMark/>
          </w:tcPr>
          <w:p w14:paraId="13B4713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42.2%</w:t>
            </w:r>
          </w:p>
        </w:tc>
        <w:tc>
          <w:tcPr>
            <w:tcW w:w="339" w:type="pct"/>
            <w:tcBorders>
              <w:top w:val="nil"/>
              <w:left w:val="nil"/>
              <w:bottom w:val="nil"/>
              <w:right w:val="nil"/>
            </w:tcBorders>
            <w:shd w:val="clear" w:color="D9D9D9" w:fill="D9D9D9"/>
            <w:noWrap/>
            <w:vAlign w:val="bottom"/>
            <w:hideMark/>
          </w:tcPr>
          <w:p w14:paraId="0C66F836"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39.4%</w:t>
            </w:r>
          </w:p>
        </w:tc>
        <w:tc>
          <w:tcPr>
            <w:tcW w:w="339" w:type="pct"/>
            <w:tcBorders>
              <w:top w:val="nil"/>
              <w:left w:val="nil"/>
              <w:bottom w:val="nil"/>
              <w:right w:val="nil"/>
            </w:tcBorders>
            <w:shd w:val="clear" w:color="D9D9D9" w:fill="D9D9D9"/>
            <w:noWrap/>
            <w:vAlign w:val="bottom"/>
            <w:hideMark/>
          </w:tcPr>
          <w:p w14:paraId="654CE4D0"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42.2%</w:t>
            </w:r>
          </w:p>
        </w:tc>
        <w:tc>
          <w:tcPr>
            <w:tcW w:w="339" w:type="pct"/>
            <w:tcBorders>
              <w:top w:val="nil"/>
              <w:left w:val="nil"/>
              <w:bottom w:val="nil"/>
              <w:right w:val="nil"/>
            </w:tcBorders>
            <w:shd w:val="clear" w:color="D9D9D9" w:fill="D9D9D9"/>
            <w:noWrap/>
            <w:vAlign w:val="bottom"/>
            <w:hideMark/>
          </w:tcPr>
          <w:p w14:paraId="51F2FE6A" w14:textId="77777777" w:rsidR="002665D0" w:rsidRPr="00AD2821" w:rsidRDefault="002665D0" w:rsidP="00D45F54">
            <w:pPr>
              <w:jc w:val="right"/>
              <w:rPr>
                <w:rFonts w:eastAsia="Times New Roman" w:cstheme="minorHAnsi"/>
                <w:color w:val="000000"/>
                <w:sz w:val="15"/>
                <w:szCs w:val="15"/>
                <w:lang w:val="en-GB" w:eastAsia="en-GB"/>
              </w:rPr>
            </w:pPr>
            <w:r w:rsidRPr="00AD2821">
              <w:rPr>
                <w:rFonts w:eastAsia="Times New Roman" w:cstheme="minorHAnsi"/>
                <w:color w:val="000000"/>
                <w:sz w:val="15"/>
                <w:szCs w:val="15"/>
                <w:lang w:val="en-GB" w:eastAsia="en-GB"/>
              </w:rPr>
              <w:t>37.2%</w:t>
            </w:r>
          </w:p>
        </w:tc>
        <w:tc>
          <w:tcPr>
            <w:tcW w:w="596" w:type="pct"/>
            <w:tcBorders>
              <w:top w:val="nil"/>
              <w:left w:val="nil"/>
              <w:bottom w:val="nil"/>
              <w:right w:val="nil"/>
            </w:tcBorders>
            <w:shd w:val="clear" w:color="000000" w:fill="4EA72E"/>
            <w:noWrap/>
            <w:vAlign w:val="bottom"/>
            <w:hideMark/>
          </w:tcPr>
          <w:p w14:paraId="72171633" w14:textId="77777777" w:rsidR="002665D0" w:rsidRPr="00AD2821" w:rsidRDefault="002665D0" w:rsidP="00D45F54">
            <w:pPr>
              <w:jc w:val="right"/>
              <w:rPr>
                <w:rFonts w:eastAsia="Times New Roman" w:cstheme="minorHAnsi"/>
                <w:b/>
                <w:bCs/>
                <w:i/>
                <w:iCs/>
                <w:color w:val="000000"/>
                <w:sz w:val="15"/>
                <w:szCs w:val="15"/>
                <w:lang w:val="en-GB" w:eastAsia="en-GB"/>
              </w:rPr>
            </w:pPr>
            <w:r w:rsidRPr="00AD2821">
              <w:rPr>
                <w:rFonts w:eastAsia="Times New Roman" w:cstheme="minorHAnsi"/>
                <w:b/>
                <w:bCs/>
                <w:i/>
                <w:iCs/>
                <w:color w:val="000000"/>
                <w:sz w:val="15"/>
                <w:szCs w:val="15"/>
                <w:lang w:val="en-GB" w:eastAsia="en-GB"/>
              </w:rPr>
              <w:t>58.0%</w:t>
            </w:r>
          </w:p>
        </w:tc>
      </w:tr>
      <w:tr w:rsidR="002665D0" w:rsidRPr="00AD2821" w14:paraId="08698D65" w14:textId="77777777" w:rsidTr="00D45F54">
        <w:trPr>
          <w:trHeight w:val="320"/>
        </w:trPr>
        <w:tc>
          <w:tcPr>
            <w:tcW w:w="339" w:type="pct"/>
            <w:tcBorders>
              <w:top w:val="nil"/>
              <w:left w:val="nil"/>
              <w:bottom w:val="single" w:sz="4" w:space="0" w:color="000000"/>
              <w:right w:val="nil"/>
            </w:tcBorders>
            <w:shd w:val="clear" w:color="000000" w:fill="4EA72E"/>
            <w:noWrap/>
            <w:vAlign w:val="bottom"/>
            <w:hideMark/>
          </w:tcPr>
          <w:p w14:paraId="0AEBB6DB"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56.2%</w:t>
            </w:r>
          </w:p>
        </w:tc>
        <w:tc>
          <w:tcPr>
            <w:tcW w:w="339" w:type="pct"/>
            <w:tcBorders>
              <w:top w:val="nil"/>
              <w:left w:val="nil"/>
              <w:bottom w:val="single" w:sz="4" w:space="0" w:color="000000"/>
              <w:right w:val="nil"/>
            </w:tcBorders>
            <w:shd w:val="clear" w:color="000000" w:fill="4EA72E"/>
            <w:noWrap/>
            <w:vAlign w:val="bottom"/>
            <w:hideMark/>
          </w:tcPr>
          <w:p w14:paraId="0FD2B505"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47.0%</w:t>
            </w:r>
          </w:p>
        </w:tc>
        <w:tc>
          <w:tcPr>
            <w:tcW w:w="339" w:type="pct"/>
            <w:tcBorders>
              <w:top w:val="nil"/>
              <w:left w:val="nil"/>
              <w:bottom w:val="single" w:sz="4" w:space="0" w:color="000000"/>
              <w:right w:val="nil"/>
            </w:tcBorders>
            <w:shd w:val="clear" w:color="000000" w:fill="4EA72E"/>
            <w:noWrap/>
            <w:vAlign w:val="bottom"/>
            <w:hideMark/>
          </w:tcPr>
          <w:p w14:paraId="217742E8"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49.4%</w:t>
            </w:r>
          </w:p>
        </w:tc>
        <w:tc>
          <w:tcPr>
            <w:tcW w:w="339" w:type="pct"/>
            <w:tcBorders>
              <w:top w:val="nil"/>
              <w:left w:val="nil"/>
              <w:bottom w:val="single" w:sz="4" w:space="0" w:color="000000"/>
              <w:right w:val="nil"/>
            </w:tcBorders>
            <w:shd w:val="clear" w:color="000000" w:fill="4EA72E"/>
            <w:noWrap/>
            <w:vAlign w:val="bottom"/>
            <w:hideMark/>
          </w:tcPr>
          <w:p w14:paraId="774E79B2"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51.3%</w:t>
            </w:r>
          </w:p>
        </w:tc>
        <w:tc>
          <w:tcPr>
            <w:tcW w:w="339" w:type="pct"/>
            <w:tcBorders>
              <w:top w:val="nil"/>
              <w:left w:val="nil"/>
              <w:bottom w:val="single" w:sz="4" w:space="0" w:color="000000"/>
              <w:right w:val="nil"/>
            </w:tcBorders>
            <w:shd w:val="clear" w:color="000000" w:fill="4EA72E"/>
            <w:noWrap/>
            <w:vAlign w:val="bottom"/>
            <w:hideMark/>
          </w:tcPr>
          <w:p w14:paraId="189FA371"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51.1%</w:t>
            </w:r>
          </w:p>
        </w:tc>
        <w:tc>
          <w:tcPr>
            <w:tcW w:w="339" w:type="pct"/>
            <w:tcBorders>
              <w:top w:val="nil"/>
              <w:left w:val="nil"/>
              <w:bottom w:val="single" w:sz="4" w:space="0" w:color="000000"/>
              <w:right w:val="nil"/>
            </w:tcBorders>
            <w:shd w:val="clear" w:color="000000" w:fill="4EA72E"/>
            <w:noWrap/>
            <w:vAlign w:val="bottom"/>
            <w:hideMark/>
          </w:tcPr>
          <w:p w14:paraId="3F4DF09B"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56.3%</w:t>
            </w:r>
          </w:p>
        </w:tc>
        <w:tc>
          <w:tcPr>
            <w:tcW w:w="339" w:type="pct"/>
            <w:tcBorders>
              <w:top w:val="nil"/>
              <w:left w:val="nil"/>
              <w:bottom w:val="single" w:sz="4" w:space="0" w:color="000000"/>
              <w:right w:val="nil"/>
            </w:tcBorders>
            <w:shd w:val="clear" w:color="000000" w:fill="4EA72E"/>
            <w:noWrap/>
            <w:vAlign w:val="bottom"/>
            <w:hideMark/>
          </w:tcPr>
          <w:p w14:paraId="2C1439E2"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49.9%</w:t>
            </w:r>
          </w:p>
        </w:tc>
        <w:tc>
          <w:tcPr>
            <w:tcW w:w="339" w:type="pct"/>
            <w:tcBorders>
              <w:top w:val="nil"/>
              <w:left w:val="nil"/>
              <w:bottom w:val="single" w:sz="4" w:space="0" w:color="000000"/>
              <w:right w:val="nil"/>
            </w:tcBorders>
            <w:shd w:val="clear" w:color="000000" w:fill="4EA72E"/>
            <w:noWrap/>
            <w:vAlign w:val="bottom"/>
            <w:hideMark/>
          </w:tcPr>
          <w:p w14:paraId="1EFD6932"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48.7%</w:t>
            </w:r>
          </w:p>
        </w:tc>
        <w:tc>
          <w:tcPr>
            <w:tcW w:w="339" w:type="pct"/>
            <w:tcBorders>
              <w:top w:val="nil"/>
              <w:left w:val="nil"/>
              <w:bottom w:val="single" w:sz="4" w:space="0" w:color="000000"/>
              <w:right w:val="nil"/>
            </w:tcBorders>
            <w:shd w:val="clear" w:color="000000" w:fill="4EA72E"/>
            <w:noWrap/>
            <w:vAlign w:val="bottom"/>
            <w:hideMark/>
          </w:tcPr>
          <w:p w14:paraId="7AB971B0"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47.2%</w:t>
            </w:r>
          </w:p>
        </w:tc>
        <w:tc>
          <w:tcPr>
            <w:tcW w:w="339" w:type="pct"/>
            <w:tcBorders>
              <w:top w:val="nil"/>
              <w:left w:val="nil"/>
              <w:bottom w:val="single" w:sz="4" w:space="0" w:color="000000"/>
              <w:right w:val="nil"/>
            </w:tcBorders>
            <w:shd w:val="clear" w:color="000000" w:fill="4EA72E"/>
            <w:noWrap/>
            <w:vAlign w:val="bottom"/>
            <w:hideMark/>
          </w:tcPr>
          <w:p w14:paraId="374B5490"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41.0%</w:t>
            </w:r>
          </w:p>
        </w:tc>
        <w:tc>
          <w:tcPr>
            <w:tcW w:w="339" w:type="pct"/>
            <w:tcBorders>
              <w:top w:val="nil"/>
              <w:left w:val="nil"/>
              <w:bottom w:val="single" w:sz="4" w:space="0" w:color="000000"/>
              <w:right w:val="nil"/>
            </w:tcBorders>
            <w:shd w:val="clear" w:color="000000" w:fill="4EA72E"/>
            <w:noWrap/>
            <w:vAlign w:val="bottom"/>
            <w:hideMark/>
          </w:tcPr>
          <w:p w14:paraId="5FF7FA3E"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40.2%</w:t>
            </w:r>
          </w:p>
        </w:tc>
        <w:tc>
          <w:tcPr>
            <w:tcW w:w="339" w:type="pct"/>
            <w:tcBorders>
              <w:top w:val="nil"/>
              <w:left w:val="nil"/>
              <w:bottom w:val="single" w:sz="4" w:space="0" w:color="000000"/>
              <w:right w:val="nil"/>
            </w:tcBorders>
            <w:shd w:val="clear" w:color="000000" w:fill="4EA72E"/>
            <w:noWrap/>
            <w:vAlign w:val="bottom"/>
            <w:hideMark/>
          </w:tcPr>
          <w:p w14:paraId="474805DF"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41.7%</w:t>
            </w:r>
          </w:p>
        </w:tc>
        <w:tc>
          <w:tcPr>
            <w:tcW w:w="339" w:type="pct"/>
            <w:tcBorders>
              <w:top w:val="nil"/>
              <w:left w:val="nil"/>
              <w:bottom w:val="single" w:sz="4" w:space="0" w:color="000000"/>
              <w:right w:val="nil"/>
            </w:tcBorders>
            <w:shd w:val="clear" w:color="000000" w:fill="4EA72E"/>
            <w:noWrap/>
            <w:vAlign w:val="bottom"/>
            <w:hideMark/>
          </w:tcPr>
          <w:p w14:paraId="311624B0"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37.1%</w:t>
            </w:r>
          </w:p>
        </w:tc>
        <w:tc>
          <w:tcPr>
            <w:tcW w:w="596" w:type="pct"/>
            <w:tcBorders>
              <w:top w:val="nil"/>
              <w:left w:val="nil"/>
              <w:bottom w:val="single" w:sz="4" w:space="0" w:color="000000"/>
              <w:right w:val="nil"/>
            </w:tcBorders>
            <w:shd w:val="clear" w:color="000000" w:fill="4EA72E"/>
            <w:noWrap/>
            <w:vAlign w:val="bottom"/>
            <w:hideMark/>
          </w:tcPr>
          <w:p w14:paraId="398A4443" w14:textId="77777777" w:rsidR="002665D0" w:rsidRPr="00AD2821" w:rsidRDefault="002665D0" w:rsidP="00D45F54">
            <w:pPr>
              <w:jc w:val="right"/>
              <w:rPr>
                <w:rFonts w:eastAsia="Times New Roman" w:cstheme="minorHAnsi"/>
                <w:b/>
                <w:bCs/>
                <w:color w:val="000000"/>
                <w:sz w:val="15"/>
                <w:szCs w:val="15"/>
                <w:lang w:val="en-GB" w:eastAsia="en-GB"/>
              </w:rPr>
            </w:pPr>
            <w:r w:rsidRPr="00AD2821">
              <w:rPr>
                <w:rFonts w:eastAsia="Times New Roman" w:cstheme="minorHAnsi"/>
                <w:b/>
                <w:bCs/>
                <w:color w:val="000000"/>
                <w:sz w:val="15"/>
                <w:szCs w:val="15"/>
                <w:lang w:val="en-GB" w:eastAsia="en-GB"/>
              </w:rPr>
              <w:t>57.6%</w:t>
            </w:r>
          </w:p>
        </w:tc>
      </w:tr>
    </w:tbl>
    <w:p w14:paraId="5F1F44E6" w14:textId="54620101" w:rsidR="00303F17" w:rsidRPr="00AD2821" w:rsidRDefault="00303F17" w:rsidP="00303F17">
      <w:pPr>
        <w:jc w:val="both"/>
        <w:rPr>
          <w:rFonts w:cstheme="minorHAnsi"/>
          <w:sz w:val="22"/>
          <w:szCs w:val="22"/>
          <w:lang w:val="en-US"/>
        </w:rPr>
      </w:pPr>
    </w:p>
    <w:p w14:paraId="06EC8D80" w14:textId="77777777" w:rsidR="00303F17" w:rsidRPr="00AD2821" w:rsidRDefault="00303F17" w:rsidP="00303F17">
      <w:pPr>
        <w:jc w:val="both"/>
        <w:rPr>
          <w:rFonts w:cstheme="minorHAnsi"/>
          <w:sz w:val="22"/>
          <w:szCs w:val="22"/>
          <w:lang w:val="en-US"/>
        </w:rPr>
      </w:pPr>
    </w:p>
    <w:p w14:paraId="5410C21A" w14:textId="4DA325C3" w:rsidR="00303F17" w:rsidRPr="00AD2821" w:rsidRDefault="00303F17" w:rsidP="00303F17">
      <w:pPr>
        <w:jc w:val="both"/>
        <w:rPr>
          <w:rFonts w:cstheme="minorHAnsi"/>
          <w:sz w:val="22"/>
          <w:szCs w:val="22"/>
          <w:lang w:val="en-US"/>
        </w:rPr>
      </w:pPr>
      <w:r w:rsidRPr="00AD2821">
        <w:rPr>
          <w:rFonts w:cstheme="minorHAnsi"/>
          <w:sz w:val="22"/>
          <w:szCs w:val="22"/>
          <w:lang w:val="en-US"/>
        </w:rPr>
        <w:t xml:space="preserve"> </w:t>
      </w:r>
    </w:p>
    <w:p w14:paraId="652B956F" w14:textId="77777777" w:rsidR="00303F17" w:rsidRPr="00AD2821" w:rsidRDefault="00303F17" w:rsidP="00303F17">
      <w:pPr>
        <w:jc w:val="both"/>
        <w:rPr>
          <w:rFonts w:cstheme="minorHAnsi"/>
          <w:sz w:val="22"/>
          <w:szCs w:val="22"/>
          <w:lang w:val="en-US"/>
        </w:rPr>
      </w:pPr>
    </w:p>
    <w:p w14:paraId="1416DCB5" w14:textId="56009F53" w:rsidR="00303F17" w:rsidRPr="00AD2821" w:rsidRDefault="00303F17" w:rsidP="00303F17">
      <w:pPr>
        <w:jc w:val="both"/>
        <w:rPr>
          <w:rFonts w:cstheme="minorHAnsi"/>
          <w:sz w:val="22"/>
          <w:szCs w:val="22"/>
          <w:lang w:val="en-US"/>
        </w:rPr>
      </w:pPr>
      <w:r w:rsidRPr="00AD2821">
        <w:rPr>
          <w:rFonts w:cstheme="minorHAnsi"/>
          <w:sz w:val="22"/>
          <w:szCs w:val="22"/>
          <w:lang w:val="en-US"/>
        </w:rPr>
        <w:t xml:space="preserve"> </w:t>
      </w:r>
    </w:p>
    <w:p w14:paraId="722C1FEA" w14:textId="5EBE0889" w:rsidR="00303F17" w:rsidRPr="00AD2821" w:rsidRDefault="00303F17" w:rsidP="00303F17">
      <w:pPr>
        <w:jc w:val="both"/>
        <w:rPr>
          <w:rFonts w:cstheme="minorHAnsi"/>
          <w:sz w:val="22"/>
          <w:szCs w:val="22"/>
          <w:lang w:val="en-US"/>
        </w:rPr>
      </w:pPr>
      <w:r w:rsidRPr="00AD2821">
        <w:rPr>
          <w:rFonts w:cstheme="minorHAnsi"/>
          <w:sz w:val="22"/>
          <w:szCs w:val="22"/>
          <w:lang w:val="en-US"/>
        </w:rPr>
        <w:t xml:space="preserve"> </w:t>
      </w:r>
    </w:p>
    <w:p w14:paraId="4D08B240" w14:textId="1DE5A9B2" w:rsidR="00303F17" w:rsidRPr="00AD2821" w:rsidRDefault="00303F17" w:rsidP="00303F17">
      <w:pPr>
        <w:jc w:val="both"/>
        <w:rPr>
          <w:rFonts w:cstheme="minorHAnsi"/>
          <w:sz w:val="22"/>
          <w:szCs w:val="22"/>
          <w:lang w:val="en-US"/>
        </w:rPr>
      </w:pPr>
      <w:r w:rsidRPr="00AD2821">
        <w:rPr>
          <w:rFonts w:cstheme="minorHAnsi"/>
          <w:sz w:val="22"/>
          <w:szCs w:val="22"/>
          <w:lang w:val="en-US"/>
        </w:rPr>
        <w:t xml:space="preserve"> </w:t>
      </w:r>
    </w:p>
    <w:p w14:paraId="27BEC01E" w14:textId="7DAF8783" w:rsidR="00303F17" w:rsidRPr="00AD2821" w:rsidRDefault="00303F17" w:rsidP="00303F17">
      <w:pPr>
        <w:jc w:val="both"/>
        <w:rPr>
          <w:rFonts w:cstheme="minorHAnsi"/>
          <w:sz w:val="22"/>
          <w:szCs w:val="22"/>
          <w:lang w:val="en-US"/>
        </w:rPr>
      </w:pPr>
      <w:r w:rsidRPr="00AD2821">
        <w:rPr>
          <w:rFonts w:cstheme="minorHAnsi"/>
          <w:sz w:val="22"/>
          <w:szCs w:val="22"/>
          <w:lang w:val="en-US"/>
        </w:rPr>
        <w:t xml:space="preserve"> </w:t>
      </w:r>
    </w:p>
    <w:p w14:paraId="2E916872" w14:textId="1B60AAE5" w:rsidR="00BA67BD" w:rsidRPr="00AD2821" w:rsidRDefault="00BA67BD" w:rsidP="002D6814">
      <w:pPr>
        <w:jc w:val="both"/>
        <w:rPr>
          <w:rFonts w:cstheme="minorHAnsi"/>
          <w:b/>
          <w:bCs/>
          <w:sz w:val="22"/>
          <w:szCs w:val="22"/>
          <w:lang w:val="en-US"/>
        </w:rPr>
      </w:pPr>
    </w:p>
    <w:p w14:paraId="1B3B0DE7" w14:textId="7AC5426E" w:rsidR="00BA67BD" w:rsidRPr="00AD2821" w:rsidRDefault="00BA67BD" w:rsidP="00303F17">
      <w:pPr>
        <w:rPr>
          <w:rFonts w:cstheme="minorHAnsi"/>
          <w:b/>
          <w:bCs/>
          <w:sz w:val="22"/>
          <w:szCs w:val="22"/>
          <w:lang w:val="en-US"/>
        </w:rPr>
      </w:pPr>
    </w:p>
    <w:sectPr w:rsidR="00BA67BD" w:rsidRPr="00AD2821" w:rsidSect="008404CF">
      <w:headerReference w:type="even" r:id="rId17"/>
      <w:headerReference w:type="default" r:id="rId18"/>
      <w:footerReference w:type="even" r:id="rId19"/>
      <w:footerReference w:type="default" r:id="rId20"/>
      <w:headerReference w:type="first" r:id="rId21"/>
      <w:footerReference w:type="first" r:id="rId22"/>
      <w:pgSz w:w="11906" w:h="16838"/>
      <w:pgMar w:top="1440" w:right="1440" w:bottom="1440" w:left="101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2151B3" w14:textId="77777777" w:rsidR="0036317E" w:rsidRDefault="0036317E" w:rsidP="0073633C">
      <w:r>
        <w:separator/>
      </w:r>
    </w:p>
  </w:endnote>
  <w:endnote w:type="continuationSeparator" w:id="0">
    <w:p w14:paraId="417F8689" w14:textId="77777777" w:rsidR="0036317E" w:rsidRDefault="0036317E" w:rsidP="007363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290267783"/>
      <w:docPartObj>
        <w:docPartGallery w:val="Page Numbers (Bottom of Page)"/>
        <w:docPartUnique/>
      </w:docPartObj>
    </w:sdtPr>
    <w:sdtEndPr>
      <w:rPr>
        <w:rStyle w:val="PageNumber"/>
      </w:rPr>
    </w:sdtEndPr>
    <w:sdtContent>
      <w:p w14:paraId="62B3C511" w14:textId="6B5A6662" w:rsidR="0049724B" w:rsidRDefault="0049724B" w:rsidP="00B20B3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A51E464" w14:textId="77777777" w:rsidR="0049724B" w:rsidRDefault="0049724B" w:rsidP="0073633C">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445188776"/>
      <w:docPartObj>
        <w:docPartGallery w:val="Page Numbers (Bottom of Page)"/>
        <w:docPartUnique/>
      </w:docPartObj>
    </w:sdtPr>
    <w:sdtEndPr>
      <w:rPr>
        <w:rStyle w:val="PageNumber"/>
      </w:rPr>
    </w:sdtEndPr>
    <w:sdtContent>
      <w:p w14:paraId="2A9E22EA" w14:textId="0760A78C" w:rsidR="0049724B" w:rsidRDefault="0049724B" w:rsidP="00B20B3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6730DC">
          <w:rPr>
            <w:rStyle w:val="PageNumber"/>
            <w:noProof/>
          </w:rPr>
          <w:t>1</w:t>
        </w:r>
        <w:r>
          <w:rPr>
            <w:rStyle w:val="PageNumber"/>
          </w:rPr>
          <w:fldChar w:fldCharType="end"/>
        </w:r>
      </w:p>
    </w:sdtContent>
  </w:sdt>
  <w:p w14:paraId="7192DFBC" w14:textId="77777777" w:rsidR="0049724B" w:rsidRDefault="0049724B" w:rsidP="0073633C">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42E811" w14:textId="77777777" w:rsidR="00C833A3" w:rsidRDefault="00C833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771244" w14:textId="77777777" w:rsidR="0036317E" w:rsidRDefault="0036317E" w:rsidP="0073633C">
      <w:r>
        <w:separator/>
      </w:r>
    </w:p>
  </w:footnote>
  <w:footnote w:type="continuationSeparator" w:id="0">
    <w:p w14:paraId="63D3A468" w14:textId="77777777" w:rsidR="0036317E" w:rsidRDefault="0036317E" w:rsidP="0073633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FCB9E5" w14:textId="77777777" w:rsidR="00C833A3" w:rsidRDefault="00C833A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80C57C" w14:textId="77777777" w:rsidR="00C833A3" w:rsidRDefault="00C833A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FB2A57" w14:textId="77777777" w:rsidR="00C833A3" w:rsidRDefault="00C833A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30C7B"/>
    <w:multiLevelType w:val="multilevel"/>
    <w:tmpl w:val="D64A6530"/>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A67315"/>
    <w:multiLevelType w:val="hybridMultilevel"/>
    <w:tmpl w:val="116EEC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EE47DE6"/>
    <w:multiLevelType w:val="multilevel"/>
    <w:tmpl w:val="87400C7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2B05CE"/>
    <w:multiLevelType w:val="multilevel"/>
    <w:tmpl w:val="D9D6616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F80DD0"/>
    <w:multiLevelType w:val="multilevel"/>
    <w:tmpl w:val="4E3E378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E694B91"/>
    <w:multiLevelType w:val="multilevel"/>
    <w:tmpl w:val="9612A86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9832E0"/>
    <w:multiLevelType w:val="multilevel"/>
    <w:tmpl w:val="D96451C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3430BE7"/>
    <w:multiLevelType w:val="multilevel"/>
    <w:tmpl w:val="993E6474"/>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5F855A6"/>
    <w:multiLevelType w:val="multilevel"/>
    <w:tmpl w:val="F9B0747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79F2B2B"/>
    <w:multiLevelType w:val="multilevel"/>
    <w:tmpl w:val="B9187C0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9415A16"/>
    <w:multiLevelType w:val="multilevel"/>
    <w:tmpl w:val="9702D0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61F7D66"/>
    <w:multiLevelType w:val="multilevel"/>
    <w:tmpl w:val="1FB816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6A33F40"/>
    <w:multiLevelType w:val="multilevel"/>
    <w:tmpl w:val="7AB852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4020D6"/>
    <w:multiLevelType w:val="multilevel"/>
    <w:tmpl w:val="C748B0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F376281"/>
    <w:multiLevelType w:val="multilevel"/>
    <w:tmpl w:val="5952290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73D3BAE"/>
    <w:multiLevelType w:val="multilevel"/>
    <w:tmpl w:val="7320258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E513CF1"/>
    <w:multiLevelType w:val="multilevel"/>
    <w:tmpl w:val="2E06E18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F733A59"/>
    <w:multiLevelType w:val="hybridMultilevel"/>
    <w:tmpl w:val="4D0665DA"/>
    <w:lvl w:ilvl="0" w:tplc="6204C6EA">
      <w:start w:val="1"/>
      <w:numFmt w:val="bullet"/>
      <w:lvlText w:val=""/>
      <w:lvlJc w:val="left"/>
      <w:pPr>
        <w:ind w:left="720" w:hanging="360"/>
      </w:pPr>
      <w:rPr>
        <w:rFonts w:ascii="Wingdings" w:hAnsi="Wingdings" w:hint="default"/>
        <w:b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3FB7EBB"/>
    <w:multiLevelType w:val="multilevel"/>
    <w:tmpl w:val="5602023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7040696"/>
    <w:multiLevelType w:val="multilevel"/>
    <w:tmpl w:val="D6F6227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FFA31F8"/>
    <w:multiLevelType w:val="multilevel"/>
    <w:tmpl w:val="895AD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5B17E36"/>
    <w:multiLevelType w:val="multilevel"/>
    <w:tmpl w:val="4A54D5C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6371868"/>
    <w:multiLevelType w:val="multilevel"/>
    <w:tmpl w:val="2558E2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A842416"/>
    <w:multiLevelType w:val="multilevel"/>
    <w:tmpl w:val="432077E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B2126BE"/>
    <w:multiLevelType w:val="multilevel"/>
    <w:tmpl w:val="1B503D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E8913D6"/>
    <w:multiLevelType w:val="multilevel"/>
    <w:tmpl w:val="79064A8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7"/>
  </w:num>
  <w:num w:numId="2">
    <w:abstractNumId w:val="1"/>
  </w:num>
  <w:num w:numId="3">
    <w:abstractNumId w:val="20"/>
  </w:num>
  <w:num w:numId="4">
    <w:abstractNumId w:val="2"/>
    <w:lvlOverride w:ilvl="0">
      <w:lvl w:ilvl="0">
        <w:numFmt w:val="decimal"/>
        <w:lvlText w:val="%1."/>
        <w:lvlJc w:val="left"/>
      </w:lvl>
    </w:lvlOverride>
  </w:num>
  <w:num w:numId="5">
    <w:abstractNumId w:val="22"/>
    <w:lvlOverride w:ilvl="0">
      <w:lvl w:ilvl="0">
        <w:numFmt w:val="decimal"/>
        <w:lvlText w:val="%1."/>
        <w:lvlJc w:val="left"/>
      </w:lvl>
    </w:lvlOverride>
  </w:num>
  <w:num w:numId="6">
    <w:abstractNumId w:val="10"/>
    <w:lvlOverride w:ilvl="0">
      <w:lvl w:ilvl="0">
        <w:numFmt w:val="decimal"/>
        <w:lvlText w:val="%1."/>
        <w:lvlJc w:val="left"/>
      </w:lvl>
    </w:lvlOverride>
  </w:num>
  <w:num w:numId="7">
    <w:abstractNumId w:val="12"/>
    <w:lvlOverride w:ilvl="0">
      <w:lvl w:ilvl="0">
        <w:numFmt w:val="decimal"/>
        <w:lvlText w:val="%1."/>
        <w:lvlJc w:val="left"/>
      </w:lvl>
    </w:lvlOverride>
  </w:num>
  <w:num w:numId="8">
    <w:abstractNumId w:val="15"/>
    <w:lvlOverride w:ilvl="0">
      <w:lvl w:ilvl="0">
        <w:numFmt w:val="decimal"/>
        <w:lvlText w:val="%1."/>
        <w:lvlJc w:val="left"/>
      </w:lvl>
    </w:lvlOverride>
  </w:num>
  <w:num w:numId="9">
    <w:abstractNumId w:val="24"/>
    <w:lvlOverride w:ilvl="0">
      <w:lvl w:ilvl="0">
        <w:numFmt w:val="decimal"/>
        <w:lvlText w:val="%1."/>
        <w:lvlJc w:val="left"/>
      </w:lvl>
    </w:lvlOverride>
  </w:num>
  <w:num w:numId="10">
    <w:abstractNumId w:val="18"/>
    <w:lvlOverride w:ilvl="0">
      <w:lvl w:ilvl="0">
        <w:numFmt w:val="decimal"/>
        <w:lvlText w:val="%1."/>
        <w:lvlJc w:val="left"/>
      </w:lvl>
    </w:lvlOverride>
  </w:num>
  <w:num w:numId="11">
    <w:abstractNumId w:val="8"/>
    <w:lvlOverride w:ilvl="0">
      <w:lvl w:ilvl="0">
        <w:numFmt w:val="decimal"/>
        <w:lvlText w:val="%1."/>
        <w:lvlJc w:val="left"/>
      </w:lvl>
    </w:lvlOverride>
  </w:num>
  <w:num w:numId="12">
    <w:abstractNumId w:val="14"/>
    <w:lvlOverride w:ilvl="0">
      <w:lvl w:ilvl="0">
        <w:numFmt w:val="decimal"/>
        <w:lvlText w:val="%1."/>
        <w:lvlJc w:val="left"/>
      </w:lvl>
    </w:lvlOverride>
  </w:num>
  <w:num w:numId="13">
    <w:abstractNumId w:val="25"/>
    <w:lvlOverride w:ilvl="0">
      <w:lvl w:ilvl="0">
        <w:numFmt w:val="decimal"/>
        <w:lvlText w:val="%1."/>
        <w:lvlJc w:val="left"/>
      </w:lvl>
    </w:lvlOverride>
  </w:num>
  <w:num w:numId="14">
    <w:abstractNumId w:val="7"/>
    <w:lvlOverride w:ilvl="0">
      <w:lvl w:ilvl="0">
        <w:numFmt w:val="decimal"/>
        <w:lvlText w:val="%1."/>
        <w:lvlJc w:val="left"/>
      </w:lvl>
    </w:lvlOverride>
  </w:num>
  <w:num w:numId="15">
    <w:abstractNumId w:val="13"/>
  </w:num>
  <w:num w:numId="16">
    <w:abstractNumId w:val="11"/>
    <w:lvlOverride w:ilvl="0">
      <w:lvl w:ilvl="0">
        <w:numFmt w:val="decimal"/>
        <w:lvlText w:val="%1."/>
        <w:lvlJc w:val="left"/>
      </w:lvl>
    </w:lvlOverride>
  </w:num>
  <w:num w:numId="17">
    <w:abstractNumId w:val="5"/>
    <w:lvlOverride w:ilvl="0">
      <w:lvl w:ilvl="0">
        <w:numFmt w:val="decimal"/>
        <w:lvlText w:val="%1."/>
        <w:lvlJc w:val="left"/>
      </w:lvl>
    </w:lvlOverride>
  </w:num>
  <w:num w:numId="18">
    <w:abstractNumId w:val="19"/>
    <w:lvlOverride w:ilvl="0">
      <w:lvl w:ilvl="0">
        <w:numFmt w:val="decimal"/>
        <w:lvlText w:val="%1."/>
        <w:lvlJc w:val="left"/>
      </w:lvl>
    </w:lvlOverride>
  </w:num>
  <w:num w:numId="19">
    <w:abstractNumId w:val="6"/>
    <w:lvlOverride w:ilvl="0">
      <w:lvl w:ilvl="0">
        <w:numFmt w:val="decimal"/>
        <w:lvlText w:val="%1."/>
        <w:lvlJc w:val="left"/>
      </w:lvl>
    </w:lvlOverride>
  </w:num>
  <w:num w:numId="20">
    <w:abstractNumId w:val="21"/>
    <w:lvlOverride w:ilvl="0">
      <w:lvl w:ilvl="0">
        <w:numFmt w:val="decimal"/>
        <w:lvlText w:val="%1."/>
        <w:lvlJc w:val="left"/>
      </w:lvl>
    </w:lvlOverride>
  </w:num>
  <w:num w:numId="21">
    <w:abstractNumId w:val="4"/>
    <w:lvlOverride w:ilvl="0">
      <w:lvl w:ilvl="0">
        <w:numFmt w:val="decimal"/>
        <w:lvlText w:val="%1."/>
        <w:lvlJc w:val="left"/>
      </w:lvl>
    </w:lvlOverride>
  </w:num>
  <w:num w:numId="22">
    <w:abstractNumId w:val="9"/>
    <w:lvlOverride w:ilvl="0">
      <w:lvl w:ilvl="0">
        <w:numFmt w:val="decimal"/>
        <w:lvlText w:val="%1."/>
        <w:lvlJc w:val="left"/>
      </w:lvl>
    </w:lvlOverride>
  </w:num>
  <w:num w:numId="23">
    <w:abstractNumId w:val="23"/>
    <w:lvlOverride w:ilvl="0">
      <w:lvl w:ilvl="0">
        <w:numFmt w:val="decimal"/>
        <w:lvlText w:val="%1."/>
        <w:lvlJc w:val="left"/>
      </w:lvl>
    </w:lvlOverride>
  </w:num>
  <w:num w:numId="24">
    <w:abstractNumId w:val="16"/>
    <w:lvlOverride w:ilvl="0">
      <w:lvl w:ilvl="0">
        <w:numFmt w:val="decimal"/>
        <w:lvlText w:val="%1."/>
        <w:lvlJc w:val="left"/>
      </w:lvl>
    </w:lvlOverride>
  </w:num>
  <w:num w:numId="25">
    <w:abstractNumId w:val="3"/>
    <w:lvlOverride w:ilvl="0">
      <w:lvl w:ilvl="0">
        <w:numFmt w:val="decimal"/>
        <w:lvlText w:val="%1."/>
        <w:lvlJc w:val="left"/>
      </w:lvl>
    </w:lvlOverride>
  </w:num>
  <w:num w:numId="26">
    <w:abstractNumId w:val="0"/>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9"/>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470"/>
    <w:rsid w:val="00014489"/>
    <w:rsid w:val="00023C91"/>
    <w:rsid w:val="000827FC"/>
    <w:rsid w:val="00083A4A"/>
    <w:rsid w:val="00097D47"/>
    <w:rsid w:val="000A20E9"/>
    <w:rsid w:val="00106F29"/>
    <w:rsid w:val="0012077C"/>
    <w:rsid w:val="00151172"/>
    <w:rsid w:val="00166F29"/>
    <w:rsid w:val="00172010"/>
    <w:rsid w:val="00180DDE"/>
    <w:rsid w:val="001C1B66"/>
    <w:rsid w:val="001F47C8"/>
    <w:rsid w:val="00220515"/>
    <w:rsid w:val="00226591"/>
    <w:rsid w:val="00226BA6"/>
    <w:rsid w:val="00230B86"/>
    <w:rsid w:val="00262812"/>
    <w:rsid w:val="002665D0"/>
    <w:rsid w:val="002746B0"/>
    <w:rsid w:val="0027752A"/>
    <w:rsid w:val="002837F7"/>
    <w:rsid w:val="002B58D2"/>
    <w:rsid w:val="002C38BB"/>
    <w:rsid w:val="002C6388"/>
    <w:rsid w:val="002D6814"/>
    <w:rsid w:val="002F5710"/>
    <w:rsid w:val="00303F17"/>
    <w:rsid w:val="00321B20"/>
    <w:rsid w:val="00333333"/>
    <w:rsid w:val="0033381E"/>
    <w:rsid w:val="003542EF"/>
    <w:rsid w:val="0036317E"/>
    <w:rsid w:val="003765BC"/>
    <w:rsid w:val="003855F9"/>
    <w:rsid w:val="00396788"/>
    <w:rsid w:val="003B40DC"/>
    <w:rsid w:val="003C45EF"/>
    <w:rsid w:val="003D7562"/>
    <w:rsid w:val="003F59DC"/>
    <w:rsid w:val="00410092"/>
    <w:rsid w:val="00421B39"/>
    <w:rsid w:val="0042322F"/>
    <w:rsid w:val="00451A39"/>
    <w:rsid w:val="00455904"/>
    <w:rsid w:val="00462F61"/>
    <w:rsid w:val="0046713F"/>
    <w:rsid w:val="0049724B"/>
    <w:rsid w:val="004E0C60"/>
    <w:rsid w:val="005006D5"/>
    <w:rsid w:val="0052202A"/>
    <w:rsid w:val="00525501"/>
    <w:rsid w:val="00536261"/>
    <w:rsid w:val="005460AE"/>
    <w:rsid w:val="005471CA"/>
    <w:rsid w:val="005532CF"/>
    <w:rsid w:val="00555399"/>
    <w:rsid w:val="00562A28"/>
    <w:rsid w:val="005C1C5D"/>
    <w:rsid w:val="005E335C"/>
    <w:rsid w:val="006407ED"/>
    <w:rsid w:val="00661FF7"/>
    <w:rsid w:val="006730DC"/>
    <w:rsid w:val="00675020"/>
    <w:rsid w:val="006758E8"/>
    <w:rsid w:val="00677EDA"/>
    <w:rsid w:val="006932FE"/>
    <w:rsid w:val="006A1F9F"/>
    <w:rsid w:val="006A69CC"/>
    <w:rsid w:val="006F4EA4"/>
    <w:rsid w:val="006F55AB"/>
    <w:rsid w:val="00715470"/>
    <w:rsid w:val="007173D9"/>
    <w:rsid w:val="00722B4C"/>
    <w:rsid w:val="007357B8"/>
    <w:rsid w:val="0073633C"/>
    <w:rsid w:val="0074022E"/>
    <w:rsid w:val="007677E1"/>
    <w:rsid w:val="00772374"/>
    <w:rsid w:val="007D5290"/>
    <w:rsid w:val="007D6929"/>
    <w:rsid w:val="008101FE"/>
    <w:rsid w:val="00811DFE"/>
    <w:rsid w:val="008404CF"/>
    <w:rsid w:val="008518FA"/>
    <w:rsid w:val="008615B6"/>
    <w:rsid w:val="00862305"/>
    <w:rsid w:val="0087497B"/>
    <w:rsid w:val="008A26E1"/>
    <w:rsid w:val="008E6BBE"/>
    <w:rsid w:val="009455F0"/>
    <w:rsid w:val="009564DE"/>
    <w:rsid w:val="00965B4D"/>
    <w:rsid w:val="00971FD0"/>
    <w:rsid w:val="009804EA"/>
    <w:rsid w:val="009824A8"/>
    <w:rsid w:val="00990A47"/>
    <w:rsid w:val="00A04F3A"/>
    <w:rsid w:val="00A050C3"/>
    <w:rsid w:val="00A079E0"/>
    <w:rsid w:val="00A105FD"/>
    <w:rsid w:val="00A10F92"/>
    <w:rsid w:val="00A42E2F"/>
    <w:rsid w:val="00A50934"/>
    <w:rsid w:val="00A52EDE"/>
    <w:rsid w:val="00A65B53"/>
    <w:rsid w:val="00A870C7"/>
    <w:rsid w:val="00A90676"/>
    <w:rsid w:val="00AA260D"/>
    <w:rsid w:val="00AD2821"/>
    <w:rsid w:val="00AD50B4"/>
    <w:rsid w:val="00AE2C56"/>
    <w:rsid w:val="00B07CF2"/>
    <w:rsid w:val="00B11347"/>
    <w:rsid w:val="00B20B36"/>
    <w:rsid w:val="00B31308"/>
    <w:rsid w:val="00B50508"/>
    <w:rsid w:val="00B52062"/>
    <w:rsid w:val="00B64D09"/>
    <w:rsid w:val="00B74171"/>
    <w:rsid w:val="00B81F51"/>
    <w:rsid w:val="00B84732"/>
    <w:rsid w:val="00B978BD"/>
    <w:rsid w:val="00BA555E"/>
    <w:rsid w:val="00BA5610"/>
    <w:rsid w:val="00BA67BD"/>
    <w:rsid w:val="00BC1C35"/>
    <w:rsid w:val="00BE5B33"/>
    <w:rsid w:val="00BE61B6"/>
    <w:rsid w:val="00C00960"/>
    <w:rsid w:val="00C153D2"/>
    <w:rsid w:val="00C31116"/>
    <w:rsid w:val="00C50078"/>
    <w:rsid w:val="00C833A3"/>
    <w:rsid w:val="00CC7F5A"/>
    <w:rsid w:val="00D04DC6"/>
    <w:rsid w:val="00D05C84"/>
    <w:rsid w:val="00D31C0D"/>
    <w:rsid w:val="00D40CFD"/>
    <w:rsid w:val="00D53AED"/>
    <w:rsid w:val="00D556E6"/>
    <w:rsid w:val="00D70EFF"/>
    <w:rsid w:val="00D774EE"/>
    <w:rsid w:val="00E01251"/>
    <w:rsid w:val="00E34550"/>
    <w:rsid w:val="00E568DA"/>
    <w:rsid w:val="00E7177E"/>
    <w:rsid w:val="00E74699"/>
    <w:rsid w:val="00E93849"/>
    <w:rsid w:val="00EA535F"/>
    <w:rsid w:val="00EA68D9"/>
    <w:rsid w:val="00EA6A84"/>
    <w:rsid w:val="00EB647D"/>
    <w:rsid w:val="00EB6DCD"/>
    <w:rsid w:val="00EC7F89"/>
    <w:rsid w:val="00EF1EAB"/>
    <w:rsid w:val="00F0403A"/>
    <w:rsid w:val="00F15C84"/>
    <w:rsid w:val="00F51A6D"/>
    <w:rsid w:val="00F57E4B"/>
    <w:rsid w:val="00F87A59"/>
    <w:rsid w:val="00FA2403"/>
    <w:rsid w:val="00FA4A5E"/>
    <w:rsid w:val="00FA6FF5"/>
    <w:rsid w:val="00FC095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BE9E01"/>
  <w15:chartTrackingRefBased/>
  <w15:docId w15:val="{AA829D26-7A3F-5540-83A5-A4F92554A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007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3633C"/>
    <w:pPr>
      <w:tabs>
        <w:tab w:val="center" w:pos="4513"/>
        <w:tab w:val="right" w:pos="9026"/>
      </w:tabs>
    </w:pPr>
  </w:style>
  <w:style w:type="character" w:customStyle="1" w:styleId="FooterChar">
    <w:name w:val="Footer Char"/>
    <w:basedOn w:val="DefaultParagraphFont"/>
    <w:link w:val="Footer"/>
    <w:uiPriority w:val="99"/>
    <w:rsid w:val="0073633C"/>
  </w:style>
  <w:style w:type="character" w:styleId="PageNumber">
    <w:name w:val="page number"/>
    <w:basedOn w:val="DefaultParagraphFont"/>
    <w:uiPriority w:val="99"/>
    <w:semiHidden/>
    <w:unhideWhenUsed/>
    <w:rsid w:val="0073633C"/>
  </w:style>
  <w:style w:type="paragraph" w:styleId="ListParagraph">
    <w:name w:val="List Paragraph"/>
    <w:basedOn w:val="Normal"/>
    <w:uiPriority w:val="34"/>
    <w:qFormat/>
    <w:rsid w:val="00396788"/>
    <w:pPr>
      <w:spacing w:after="160" w:line="259" w:lineRule="auto"/>
      <w:ind w:left="720"/>
      <w:contextualSpacing/>
    </w:pPr>
    <w:rPr>
      <w:sz w:val="22"/>
      <w:szCs w:val="22"/>
    </w:rPr>
  </w:style>
  <w:style w:type="table" w:styleId="TableGrid">
    <w:name w:val="Table Grid"/>
    <w:basedOn w:val="TableNormal"/>
    <w:uiPriority w:val="39"/>
    <w:rsid w:val="0039678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65B53"/>
    <w:pPr>
      <w:spacing w:before="100" w:beforeAutospacing="1" w:after="100" w:afterAutospacing="1"/>
    </w:pPr>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6407ED"/>
    <w:rPr>
      <w:sz w:val="16"/>
      <w:szCs w:val="16"/>
    </w:rPr>
  </w:style>
  <w:style w:type="paragraph" w:styleId="CommentText">
    <w:name w:val="annotation text"/>
    <w:basedOn w:val="Normal"/>
    <w:link w:val="CommentTextChar"/>
    <w:uiPriority w:val="99"/>
    <w:unhideWhenUsed/>
    <w:rsid w:val="006407ED"/>
    <w:rPr>
      <w:sz w:val="20"/>
      <w:szCs w:val="20"/>
    </w:rPr>
  </w:style>
  <w:style w:type="character" w:customStyle="1" w:styleId="CommentTextChar">
    <w:name w:val="Comment Text Char"/>
    <w:basedOn w:val="DefaultParagraphFont"/>
    <w:link w:val="CommentText"/>
    <w:uiPriority w:val="99"/>
    <w:rsid w:val="006407ED"/>
    <w:rPr>
      <w:sz w:val="20"/>
      <w:szCs w:val="20"/>
    </w:rPr>
  </w:style>
  <w:style w:type="paragraph" w:styleId="CommentSubject">
    <w:name w:val="annotation subject"/>
    <w:basedOn w:val="CommentText"/>
    <w:next w:val="CommentText"/>
    <w:link w:val="CommentSubjectChar"/>
    <w:uiPriority w:val="99"/>
    <w:semiHidden/>
    <w:unhideWhenUsed/>
    <w:rsid w:val="006407ED"/>
    <w:rPr>
      <w:b/>
      <w:bCs/>
    </w:rPr>
  </w:style>
  <w:style w:type="character" w:customStyle="1" w:styleId="CommentSubjectChar">
    <w:name w:val="Comment Subject Char"/>
    <w:basedOn w:val="CommentTextChar"/>
    <w:link w:val="CommentSubject"/>
    <w:uiPriority w:val="99"/>
    <w:semiHidden/>
    <w:rsid w:val="006407ED"/>
    <w:rPr>
      <w:b/>
      <w:bCs/>
      <w:sz w:val="20"/>
      <w:szCs w:val="20"/>
    </w:rPr>
  </w:style>
  <w:style w:type="paragraph" w:styleId="NoSpacing">
    <w:name w:val="No Spacing"/>
    <w:uiPriority w:val="1"/>
    <w:qFormat/>
    <w:rsid w:val="00722B4C"/>
  </w:style>
  <w:style w:type="table" w:styleId="GridTable3">
    <w:name w:val="Grid Table 3"/>
    <w:basedOn w:val="TableNormal"/>
    <w:uiPriority w:val="48"/>
    <w:rsid w:val="008404CF"/>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
    <w:name w:val="Grid Table 7 Colorful"/>
    <w:basedOn w:val="TableNormal"/>
    <w:uiPriority w:val="52"/>
    <w:rsid w:val="003F59DC"/>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PlainTable2">
    <w:name w:val="Plain Table 2"/>
    <w:basedOn w:val="TableNormal"/>
    <w:uiPriority w:val="42"/>
    <w:rsid w:val="001F47C8"/>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2837F7"/>
    <w:rPr>
      <w:color w:val="0563C1" w:themeColor="hyperlink"/>
      <w:u w:val="single"/>
    </w:rPr>
  </w:style>
  <w:style w:type="table" w:styleId="GridTable5Dark-Accent3">
    <w:name w:val="Grid Table 5 Dark Accent 3"/>
    <w:basedOn w:val="TableNormal"/>
    <w:uiPriority w:val="50"/>
    <w:rsid w:val="002837F7"/>
    <w:rPr>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customStyle="1" w:styleId="apple-converted-space">
    <w:name w:val="apple-converted-space"/>
    <w:basedOn w:val="DefaultParagraphFont"/>
    <w:rsid w:val="002837F7"/>
  </w:style>
  <w:style w:type="paragraph" w:styleId="BalloonText">
    <w:name w:val="Balloon Text"/>
    <w:basedOn w:val="Normal"/>
    <w:link w:val="BalloonTextChar"/>
    <w:uiPriority w:val="99"/>
    <w:semiHidden/>
    <w:unhideWhenUsed/>
    <w:rsid w:val="00E7469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4699"/>
    <w:rPr>
      <w:rFonts w:ascii="Segoe UI" w:hAnsi="Segoe UI" w:cs="Segoe UI"/>
      <w:sz w:val="18"/>
      <w:szCs w:val="18"/>
    </w:rPr>
  </w:style>
  <w:style w:type="paragraph" w:styleId="Header">
    <w:name w:val="header"/>
    <w:basedOn w:val="Normal"/>
    <w:link w:val="HeaderChar"/>
    <w:uiPriority w:val="99"/>
    <w:unhideWhenUsed/>
    <w:rsid w:val="006F4EA4"/>
    <w:pPr>
      <w:tabs>
        <w:tab w:val="center" w:pos="4819"/>
        <w:tab w:val="right" w:pos="9638"/>
      </w:tabs>
    </w:pPr>
  </w:style>
  <w:style w:type="character" w:customStyle="1" w:styleId="HeaderChar">
    <w:name w:val="Header Char"/>
    <w:basedOn w:val="DefaultParagraphFont"/>
    <w:link w:val="Header"/>
    <w:uiPriority w:val="99"/>
    <w:rsid w:val="006F4EA4"/>
  </w:style>
  <w:style w:type="paragraph" w:styleId="Title">
    <w:name w:val="Title"/>
    <w:basedOn w:val="Normal"/>
    <w:next w:val="Normal"/>
    <w:link w:val="TitleChar"/>
    <w:uiPriority w:val="10"/>
    <w:qFormat/>
    <w:rsid w:val="002C38BB"/>
    <w:pPr>
      <w:spacing w:after="80"/>
      <w:contextualSpacing/>
    </w:pPr>
    <w:rPr>
      <w:rFonts w:asciiTheme="majorHAnsi" w:eastAsiaTheme="majorEastAsia" w:hAnsiTheme="majorHAnsi" w:cstheme="majorBidi"/>
      <w:spacing w:val="-10"/>
      <w:kern w:val="28"/>
      <w:sz w:val="56"/>
      <w:szCs w:val="56"/>
      <w:lang w:val="nl-NL"/>
      <w14:ligatures w14:val="standardContextual"/>
    </w:rPr>
  </w:style>
  <w:style w:type="character" w:customStyle="1" w:styleId="TitleChar">
    <w:name w:val="Title Char"/>
    <w:basedOn w:val="DefaultParagraphFont"/>
    <w:link w:val="Title"/>
    <w:uiPriority w:val="10"/>
    <w:rsid w:val="002C38BB"/>
    <w:rPr>
      <w:rFonts w:asciiTheme="majorHAnsi" w:eastAsiaTheme="majorEastAsia" w:hAnsiTheme="majorHAnsi" w:cstheme="majorBidi"/>
      <w:spacing w:val="-10"/>
      <w:kern w:val="28"/>
      <w:sz w:val="56"/>
      <w:szCs w:val="56"/>
      <w:lang w:val="nl-NL"/>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1804002">
      <w:bodyDiv w:val="1"/>
      <w:marLeft w:val="0"/>
      <w:marRight w:val="0"/>
      <w:marTop w:val="0"/>
      <w:marBottom w:val="0"/>
      <w:divBdr>
        <w:top w:val="none" w:sz="0" w:space="0" w:color="auto"/>
        <w:left w:val="none" w:sz="0" w:space="0" w:color="auto"/>
        <w:bottom w:val="none" w:sz="0" w:space="0" w:color="auto"/>
        <w:right w:val="none" w:sz="0" w:space="0" w:color="auto"/>
      </w:divBdr>
    </w:div>
    <w:div w:id="1138229803">
      <w:bodyDiv w:val="1"/>
      <w:marLeft w:val="0"/>
      <w:marRight w:val="0"/>
      <w:marTop w:val="0"/>
      <w:marBottom w:val="0"/>
      <w:divBdr>
        <w:top w:val="none" w:sz="0" w:space="0" w:color="auto"/>
        <w:left w:val="none" w:sz="0" w:space="0" w:color="auto"/>
        <w:bottom w:val="none" w:sz="0" w:space="0" w:color="auto"/>
        <w:right w:val="none" w:sz="0" w:space="0" w:color="auto"/>
      </w:divBdr>
    </w:div>
    <w:div w:id="1256356400">
      <w:bodyDiv w:val="1"/>
      <w:marLeft w:val="0"/>
      <w:marRight w:val="0"/>
      <w:marTop w:val="0"/>
      <w:marBottom w:val="0"/>
      <w:divBdr>
        <w:top w:val="none" w:sz="0" w:space="0" w:color="auto"/>
        <w:left w:val="none" w:sz="0" w:space="0" w:color="auto"/>
        <w:bottom w:val="none" w:sz="0" w:space="0" w:color="auto"/>
        <w:right w:val="none" w:sz="0" w:space="0" w:color="auto"/>
      </w:divBdr>
      <w:divsChild>
        <w:div w:id="734859625">
          <w:marLeft w:val="0"/>
          <w:marRight w:val="0"/>
          <w:marTop w:val="0"/>
          <w:marBottom w:val="0"/>
          <w:divBdr>
            <w:top w:val="none" w:sz="0" w:space="0" w:color="auto"/>
            <w:left w:val="none" w:sz="0" w:space="0" w:color="auto"/>
            <w:bottom w:val="none" w:sz="0" w:space="0" w:color="auto"/>
            <w:right w:val="none" w:sz="0" w:space="0" w:color="auto"/>
          </w:divBdr>
        </w:div>
        <w:div w:id="1923102494">
          <w:marLeft w:val="0"/>
          <w:marRight w:val="0"/>
          <w:marTop w:val="0"/>
          <w:marBottom w:val="0"/>
          <w:divBdr>
            <w:top w:val="none" w:sz="0" w:space="0" w:color="auto"/>
            <w:left w:val="none" w:sz="0" w:space="0" w:color="auto"/>
            <w:bottom w:val="none" w:sz="0" w:space="0" w:color="auto"/>
            <w:right w:val="none" w:sz="0" w:space="0" w:color="auto"/>
          </w:divBdr>
        </w:div>
        <w:div w:id="189296755">
          <w:marLeft w:val="0"/>
          <w:marRight w:val="0"/>
          <w:marTop w:val="0"/>
          <w:marBottom w:val="0"/>
          <w:divBdr>
            <w:top w:val="none" w:sz="0" w:space="0" w:color="auto"/>
            <w:left w:val="none" w:sz="0" w:space="0" w:color="auto"/>
            <w:bottom w:val="none" w:sz="0" w:space="0" w:color="auto"/>
            <w:right w:val="none" w:sz="0" w:space="0" w:color="auto"/>
          </w:divBdr>
        </w:div>
        <w:div w:id="533153589">
          <w:marLeft w:val="0"/>
          <w:marRight w:val="0"/>
          <w:marTop w:val="0"/>
          <w:marBottom w:val="0"/>
          <w:divBdr>
            <w:top w:val="none" w:sz="0" w:space="0" w:color="auto"/>
            <w:left w:val="none" w:sz="0" w:space="0" w:color="auto"/>
            <w:bottom w:val="none" w:sz="0" w:space="0" w:color="auto"/>
            <w:right w:val="none" w:sz="0" w:space="0" w:color="auto"/>
          </w:divBdr>
        </w:div>
        <w:div w:id="1562787846">
          <w:marLeft w:val="0"/>
          <w:marRight w:val="0"/>
          <w:marTop w:val="0"/>
          <w:marBottom w:val="0"/>
          <w:divBdr>
            <w:top w:val="none" w:sz="0" w:space="0" w:color="auto"/>
            <w:left w:val="none" w:sz="0" w:space="0" w:color="auto"/>
            <w:bottom w:val="none" w:sz="0" w:space="0" w:color="auto"/>
            <w:right w:val="none" w:sz="0" w:space="0" w:color="auto"/>
          </w:divBdr>
        </w:div>
      </w:divsChild>
    </w:div>
    <w:div w:id="2022775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yperlink" Target="mailto:abuhilal9@gmail.com" TargetMode="Externa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51</Pages>
  <Words>11455</Words>
  <Characters>65294</Characters>
  <Application>Microsoft Office Word</Application>
  <DocSecurity>0</DocSecurity>
  <Lines>544</Lines>
  <Paragraphs>153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76596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Lorenzon</dc:creator>
  <cp:keywords/>
  <dc:description/>
  <cp:lastModifiedBy>Microsoft account</cp:lastModifiedBy>
  <cp:revision>2</cp:revision>
  <cp:lastPrinted>2025-04-30T22:09:00Z</cp:lastPrinted>
  <dcterms:created xsi:type="dcterms:W3CDTF">2025-05-18T23:27:00Z</dcterms:created>
  <dcterms:modified xsi:type="dcterms:W3CDTF">2025-05-18T23:27:00Z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e5cb09a-2992-49d6-8ac9-5f63e7b1ad2f_Enabled">
    <vt:lpwstr>true</vt:lpwstr>
  </property>
  <property fmtid="{D5CDD505-2E9C-101B-9397-08002B2CF9AE}" pid="3" name="MSIP_Label_be5cb09a-2992-49d6-8ac9-5f63e7b1ad2f_SetDate">
    <vt:lpwstr>2022-06-27T13:25:36Z</vt:lpwstr>
  </property>
  <property fmtid="{D5CDD505-2E9C-101B-9397-08002B2CF9AE}" pid="4" name="MSIP_Label_be5cb09a-2992-49d6-8ac9-5f63e7b1ad2f_Method">
    <vt:lpwstr>Standard</vt:lpwstr>
  </property>
  <property fmtid="{D5CDD505-2E9C-101B-9397-08002B2CF9AE}" pid="5" name="MSIP_Label_be5cb09a-2992-49d6-8ac9-5f63e7b1ad2f_Name">
    <vt:lpwstr>Controlled</vt:lpwstr>
  </property>
  <property fmtid="{D5CDD505-2E9C-101B-9397-08002B2CF9AE}" pid="6" name="MSIP_Label_be5cb09a-2992-49d6-8ac9-5f63e7b1ad2f_SiteId">
    <vt:lpwstr>91761b62-4c45-43f5-9f0e-be8ad9b551ff</vt:lpwstr>
  </property>
  <property fmtid="{D5CDD505-2E9C-101B-9397-08002B2CF9AE}" pid="7" name="MSIP_Label_be5cb09a-2992-49d6-8ac9-5f63e7b1ad2f_ActionId">
    <vt:lpwstr>1f9d2863-bbf9-4942-adae-e903809cef95</vt:lpwstr>
  </property>
  <property fmtid="{D5CDD505-2E9C-101B-9397-08002B2CF9AE}" pid="8" name="MSIP_Label_be5cb09a-2992-49d6-8ac9-5f63e7b1ad2f_ContentBits">
    <vt:lpwstr>0</vt:lpwstr>
  </property>
</Properties>
</file>