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89BFE4" w14:textId="77777777" w:rsidR="00EF06D7" w:rsidRPr="00EB60C7" w:rsidRDefault="00EF06D7" w:rsidP="00EF06D7">
      <w:pPr>
        <w:spacing w:line="480" w:lineRule="auto"/>
        <w:jc w:val="center"/>
        <w:rPr>
          <w:rFonts w:ascii="Arial" w:hAnsi="Arial" w:cs="Arial"/>
          <w:b/>
          <w:bCs/>
          <w:color w:val="000000" w:themeColor="text1"/>
          <w:lang w:val="en-GB" w:eastAsia="zh-CN"/>
        </w:rPr>
      </w:pPr>
      <w:r>
        <w:rPr>
          <w:rFonts w:ascii="Arial" w:hAnsi="Arial" w:cs="Arial"/>
          <w:b/>
          <w:bCs/>
          <w:color w:val="000000" w:themeColor="text1"/>
          <w:lang w:val="en-GB" w:eastAsia="zh-CN"/>
        </w:rPr>
        <w:t>Chronic kidney disease classification according to different formulas and impact on adverse outcomes in patients with atrial fibrillation: a report from a prospective observational European registry</w:t>
      </w:r>
    </w:p>
    <w:p w14:paraId="19A093EE" w14:textId="77777777" w:rsidR="00292D7A" w:rsidRDefault="00292D7A" w:rsidP="00292D7A">
      <w:pPr>
        <w:spacing w:line="480" w:lineRule="auto"/>
        <w:jc w:val="center"/>
        <w:rPr>
          <w:rFonts w:ascii="Arial" w:hAnsi="Arial" w:cs="Arial"/>
          <w:b/>
          <w:bCs/>
          <w:lang w:val="en-GB" w:eastAsia="zh-CN"/>
        </w:rPr>
      </w:pPr>
    </w:p>
    <w:p w14:paraId="021C9D83" w14:textId="381D6D8B" w:rsidR="00292D7A" w:rsidRDefault="00292D7A" w:rsidP="00292D7A">
      <w:pPr>
        <w:spacing w:line="480" w:lineRule="auto"/>
        <w:jc w:val="center"/>
        <w:rPr>
          <w:rFonts w:ascii="Arial" w:hAnsi="Arial" w:cs="Arial"/>
          <w:b/>
          <w:bCs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t>Supplementary Materials</w:t>
      </w:r>
    </w:p>
    <w:p w14:paraId="5C003B7F" w14:textId="77777777" w:rsidR="00292D7A" w:rsidRDefault="00292D7A">
      <w:pPr>
        <w:spacing w:after="200" w:line="276" w:lineRule="auto"/>
        <w:rPr>
          <w:rFonts w:ascii="Arial" w:hAnsi="Arial" w:cs="Arial"/>
          <w:b/>
          <w:bCs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br w:type="page"/>
      </w:r>
    </w:p>
    <w:p w14:paraId="3BD812F7" w14:textId="77777777" w:rsidR="00EF06D7" w:rsidRDefault="00EF06D7" w:rsidP="00292D7A">
      <w:pPr>
        <w:spacing w:line="480" w:lineRule="auto"/>
        <w:rPr>
          <w:rFonts w:ascii="Arial" w:hAnsi="Arial" w:cs="Arial"/>
          <w:b/>
          <w:bCs/>
          <w:lang w:val="en-GB" w:eastAsia="zh-CN"/>
        </w:rPr>
        <w:sectPr w:rsidR="00EF06D7" w:rsidSect="00EF06D7">
          <w:pgSz w:w="11901" w:h="16817"/>
          <w:pgMar w:top="1418" w:right="1134" w:bottom="1134" w:left="1134" w:header="709" w:footer="709" w:gutter="0"/>
          <w:cols w:space="708"/>
          <w:docGrid w:linePitch="360"/>
        </w:sectPr>
      </w:pPr>
    </w:p>
    <w:p w14:paraId="38772366" w14:textId="109188A2" w:rsidR="0019522C" w:rsidRDefault="0019522C" w:rsidP="00292D7A">
      <w:pPr>
        <w:spacing w:line="480" w:lineRule="auto"/>
        <w:rPr>
          <w:rFonts w:ascii="Arial" w:hAnsi="Arial" w:cs="Arial"/>
          <w:b/>
          <w:bCs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lastRenderedPageBreak/>
        <w:t>TABLES</w:t>
      </w:r>
    </w:p>
    <w:p w14:paraId="41354D92" w14:textId="3E562E5B" w:rsidR="00E92E43" w:rsidRPr="00EF06D7" w:rsidRDefault="00E92E43" w:rsidP="00292D7A">
      <w:pPr>
        <w:spacing w:line="480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t>Supplementary Material</w:t>
      </w:r>
      <w:r w:rsidR="005B43F9">
        <w:rPr>
          <w:rFonts w:ascii="Arial" w:hAnsi="Arial" w:cs="Arial"/>
          <w:b/>
          <w:bCs/>
          <w:lang w:val="en-GB" w:eastAsia="zh-CN"/>
        </w:rPr>
        <w:t xml:space="preserve">. </w:t>
      </w:r>
      <w:r w:rsidR="00EF06D7" w:rsidRPr="00EF06D7">
        <w:rPr>
          <w:rFonts w:ascii="Arial" w:hAnsi="Arial" w:cs="Arial"/>
          <w:lang w:val="en-GB" w:eastAsia="zh-CN"/>
        </w:rPr>
        <w:t xml:space="preserve">Equation, advantages and </w:t>
      </w:r>
      <w:proofErr w:type="spellStart"/>
      <w:r w:rsidR="00EF06D7" w:rsidRPr="00EF06D7">
        <w:rPr>
          <w:rFonts w:ascii="Arial" w:hAnsi="Arial" w:cs="Arial"/>
          <w:lang w:val="en-GB" w:eastAsia="zh-CN"/>
        </w:rPr>
        <w:t>disadvatages</w:t>
      </w:r>
      <w:proofErr w:type="spellEnd"/>
      <w:r w:rsidR="00EF06D7" w:rsidRPr="00EF06D7">
        <w:rPr>
          <w:rFonts w:ascii="Arial" w:hAnsi="Arial" w:cs="Arial"/>
          <w:lang w:val="en-GB" w:eastAsia="zh-CN"/>
        </w:rPr>
        <w:t xml:space="preserve"> of different formulas considered.</w:t>
      </w:r>
    </w:p>
    <w:tbl>
      <w:tblPr>
        <w:tblStyle w:val="Tabellasemplice-3"/>
        <w:tblW w:w="0" w:type="auto"/>
        <w:tblLayout w:type="fixed"/>
        <w:tblLook w:val="04A0" w:firstRow="1" w:lastRow="0" w:firstColumn="1" w:lastColumn="0" w:noHBand="0" w:noVBand="1"/>
      </w:tblPr>
      <w:tblGrid>
        <w:gridCol w:w="1807"/>
        <w:gridCol w:w="2440"/>
        <w:gridCol w:w="2512"/>
        <w:gridCol w:w="3535"/>
        <w:gridCol w:w="2995"/>
      </w:tblGrid>
      <w:tr w:rsidR="00EF06D7" w:rsidRPr="00EF06D7" w14:paraId="697269BD" w14:textId="77777777" w:rsidTr="00CA09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807" w:type="dxa"/>
            <w:tcBorders>
              <w:bottom w:val="single" w:sz="24" w:space="0" w:color="000000"/>
            </w:tcBorders>
          </w:tcPr>
          <w:p w14:paraId="146E6990" w14:textId="77777777" w:rsidR="00EF06D7" w:rsidRPr="00EF06D7" w:rsidRDefault="00EF06D7" w:rsidP="00CA09DD">
            <w:pPr>
              <w:pStyle w:val="Nessunaspaziatura"/>
              <w:spacing w:after="240"/>
              <w:jc w:val="center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proofErr w:type="spellStart"/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eGFR</w:t>
            </w:r>
            <w:proofErr w:type="spellEnd"/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 xml:space="preserve"> Formula</w:t>
            </w:r>
          </w:p>
        </w:tc>
        <w:tc>
          <w:tcPr>
            <w:tcW w:w="4952" w:type="dxa"/>
            <w:gridSpan w:val="2"/>
            <w:tcBorders>
              <w:bottom w:val="single" w:sz="24" w:space="0" w:color="000000"/>
            </w:tcBorders>
          </w:tcPr>
          <w:p w14:paraId="6AD46C30" w14:textId="77777777" w:rsidR="00EF06D7" w:rsidRPr="00EF06D7" w:rsidRDefault="00EF06D7" w:rsidP="00CA09DD">
            <w:pPr>
              <w:spacing w:after="2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E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quation</w:t>
            </w:r>
          </w:p>
        </w:tc>
        <w:tc>
          <w:tcPr>
            <w:tcW w:w="3535" w:type="dxa"/>
            <w:tcBorders>
              <w:bottom w:val="single" w:sz="24" w:space="0" w:color="000000"/>
            </w:tcBorders>
          </w:tcPr>
          <w:p w14:paraId="72475416" w14:textId="77777777" w:rsidR="00EF06D7" w:rsidRPr="00EF06D7" w:rsidRDefault="00EF06D7" w:rsidP="00CA09DD">
            <w:pPr>
              <w:spacing w:after="2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A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dvantages</w:t>
            </w:r>
            <w:proofErr w:type="spellEnd"/>
          </w:p>
        </w:tc>
        <w:tc>
          <w:tcPr>
            <w:tcW w:w="2995" w:type="dxa"/>
            <w:tcBorders>
              <w:bottom w:val="single" w:sz="24" w:space="0" w:color="000000"/>
            </w:tcBorders>
          </w:tcPr>
          <w:p w14:paraId="3571CA80" w14:textId="77777777" w:rsidR="00EF06D7" w:rsidRPr="00EF06D7" w:rsidRDefault="00EF06D7" w:rsidP="00CA09DD">
            <w:pPr>
              <w:spacing w:after="24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D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isadvantages</w:t>
            </w:r>
            <w:proofErr w:type="spellEnd"/>
          </w:p>
        </w:tc>
      </w:tr>
      <w:tr w:rsidR="00EF06D7" w:rsidRPr="006A59B4" w14:paraId="05D3B82D" w14:textId="77777777" w:rsidTr="00CA09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654F5E4F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CKD-EPI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vertAlign w:val="subscript"/>
              </w:rPr>
              <w:t>2021</w:t>
            </w:r>
          </w:p>
        </w:tc>
        <w:tc>
          <w:tcPr>
            <w:tcW w:w="4952" w:type="dxa"/>
            <w:gridSpan w:val="2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30E1F70F" w14:textId="77777777" w:rsidR="00EF06D7" w:rsidRPr="00EF06D7" w:rsidRDefault="00EF06D7" w:rsidP="00CA09DD">
            <w:pPr>
              <w:pStyle w:val="Nessunaspaziatura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 xml:space="preserve">eGFR = 142 * </w:t>
            </w:r>
            <w:proofErr w:type="gramStart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min(</w:t>
            </w:r>
            <w:proofErr w:type="gramEnd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 xml:space="preserve">standardized </w:t>
            </w:r>
            <w:proofErr w:type="spellStart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/</w:t>
            </w:r>
            <w:r w:rsidRPr="00EF06D7">
              <w:rPr>
                <w:rFonts w:asciiTheme="majorHAnsi" w:hAnsiTheme="majorHAnsi" w:cstheme="majorHAnsi"/>
                <w:sz w:val="20"/>
                <w:szCs w:val="20"/>
              </w:rPr>
              <w:t>κ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,</w:t>
            </w:r>
            <w:proofErr w:type="gramStart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1)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vertAlign w:val="superscript"/>
              </w:rPr>
              <w:t>α</w:t>
            </w:r>
            <w:proofErr w:type="gramEnd"/>
            <w:r w:rsidRPr="00EF06D7">
              <w:rPr>
                <w:rStyle w:val="apple-converted-space"/>
                <w:rFonts w:asciiTheme="majorHAnsi" w:hAnsiTheme="majorHAnsi" w:cstheme="majorHAnsi"/>
                <w:color w:val="040C28"/>
                <w:sz w:val="20"/>
                <w:szCs w:val="20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 xml:space="preserve">x </w:t>
            </w:r>
            <w:proofErr w:type="gramStart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max(</w:t>
            </w:r>
            <w:proofErr w:type="gramEnd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 xml:space="preserve">standardized </w:t>
            </w:r>
            <w:proofErr w:type="spellStart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/</w:t>
            </w:r>
            <w:r w:rsidRPr="00EF06D7">
              <w:rPr>
                <w:rFonts w:asciiTheme="majorHAnsi" w:hAnsiTheme="majorHAnsi" w:cstheme="majorHAnsi"/>
                <w:sz w:val="20"/>
                <w:szCs w:val="20"/>
              </w:rPr>
              <w:t>κ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, 1)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vertAlign w:val="superscript"/>
                <w:lang w:val="en-US"/>
              </w:rPr>
              <w:t>-1.200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 xml:space="preserve"> x 0.9938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vertAlign w:val="superscript"/>
                <w:lang w:val="en-US"/>
              </w:rPr>
              <w:t>Age</w:t>
            </w:r>
            <w:r w:rsidRPr="00EF06D7">
              <w:rPr>
                <w:rStyle w:val="apple-converted-space"/>
                <w:rFonts w:asciiTheme="majorHAnsi" w:hAnsiTheme="majorHAnsi" w:cstheme="majorHAnsi"/>
                <w:color w:val="040C28"/>
                <w:sz w:val="20"/>
                <w:szCs w:val="20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x 1.012 [if female]</w:t>
            </w:r>
          </w:p>
          <w:p w14:paraId="67CFC5AD" w14:textId="77777777" w:rsidR="00EF06D7" w:rsidRPr="00EF06D7" w:rsidRDefault="00EF06D7" w:rsidP="00CA09DD">
            <w:pPr>
              <w:pStyle w:val="NormaleWeb"/>
              <w:spacing w:before="150" w:beforeAutospacing="0" w:after="150" w:afterAutospacing="0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</w:rPr>
              <w:t>κ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 xml:space="preserve"> = 0.7 (females) or 0.9 (males)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br/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α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= -0.241 (females) or -0.302 (males)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br/>
              <w:t xml:space="preserve">min = indicates the minimum of 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>/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</w:rPr>
              <w:t>κ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 xml:space="preserve"> or 1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br/>
              <w:t xml:space="preserve">max = indicates the maximum of 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>/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</w:rPr>
              <w:t>κ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 xml:space="preserve"> or 1</w:t>
            </w:r>
          </w:p>
          <w:p w14:paraId="28DF65C6" w14:textId="77777777" w:rsidR="00EF06D7" w:rsidRPr="00EF06D7" w:rsidRDefault="00EF06D7" w:rsidP="00CA09DD">
            <w:pPr>
              <w:pStyle w:val="NormaleWeb"/>
              <w:spacing w:before="150" w:beforeAutospacing="0" w:after="150" w:afterAutospacing="0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</w:pPr>
          </w:p>
        </w:tc>
        <w:tc>
          <w:tcPr>
            <w:tcW w:w="3535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1D50344C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Most accurate equation in different CKD stages and reference equation for GFR estimation</w:t>
            </w:r>
          </w:p>
          <w:p w14:paraId="28F31982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11265829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Large validation set</w:t>
            </w:r>
          </w:p>
          <w:p w14:paraId="0710DEC3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2D3E855B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Validated with different BMI</w:t>
            </w:r>
          </w:p>
          <w:p w14:paraId="528EB578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47D4AC63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Ending disparities (not considering race)</w:t>
            </w:r>
          </w:p>
          <w:p w14:paraId="44E62C1B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4D36CEFD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995" w:type="dxa"/>
            <w:tcBorders>
              <w:top w:val="single" w:sz="24" w:space="0" w:color="000000"/>
            </w:tcBorders>
            <w:shd w:val="clear" w:color="auto" w:fill="D9D9D9" w:themeFill="background1" w:themeFillShade="D9"/>
          </w:tcPr>
          <w:p w14:paraId="4AAFAF2E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 xml:space="preserve">Underestimates measured GFR in Blacks and overestimates measured GFR in non-Blacks, resulting in differences in CKD-staging in both groups </w:t>
            </w:r>
          </w:p>
          <w:p w14:paraId="50E0476F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Smaller number of Black participants than non-Black participants in the validation set, so the estimates of accuracy may be less precise in Black persons</w:t>
            </w:r>
          </w:p>
          <w:p w14:paraId="4721515A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Insufficient representation of racial and ethnic groups other than Black and White in validation set</w:t>
            </w:r>
          </w:p>
          <w:p w14:paraId="643AD657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 xml:space="preserve">Less accurate in older people </w:t>
            </w:r>
          </w:p>
          <w:p w14:paraId="403DAFFB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Less accurate than equation including both cystatin and creatinine</w:t>
            </w:r>
          </w:p>
          <w:p w14:paraId="19950B00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Performs worse than the CKD-EPI 2009 in white Europeans</w:t>
            </w:r>
          </w:p>
        </w:tc>
      </w:tr>
      <w:tr w:rsidR="00EF06D7" w:rsidRPr="00EF06D7" w14:paraId="7D134CCB" w14:textId="77777777" w:rsidTr="00CA09DD">
        <w:trPr>
          <w:trHeight w:val="5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</w:tcPr>
          <w:p w14:paraId="264D3A2A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C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ockcroft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-G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ault (CG) (1973)</w:t>
            </w:r>
          </w:p>
        </w:tc>
        <w:tc>
          <w:tcPr>
            <w:tcW w:w="4952" w:type="dxa"/>
            <w:gridSpan w:val="2"/>
          </w:tcPr>
          <w:p w14:paraId="7BBD305A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>eGFR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={((140–age) x weight)/(72xS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bscript"/>
                <w:lang w:val="en-US"/>
              </w:rPr>
              <w:t>Cr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)}x 0.85 (if female)</w:t>
            </w:r>
          </w:p>
        </w:tc>
        <w:tc>
          <w:tcPr>
            <w:tcW w:w="3535" w:type="dxa"/>
          </w:tcPr>
          <w:p w14:paraId="23F4D765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Reference equation for DOAC dosing</w:t>
            </w:r>
          </w:p>
        </w:tc>
        <w:tc>
          <w:tcPr>
            <w:tcW w:w="2995" w:type="dxa"/>
          </w:tcPr>
          <w:p w14:paraId="02F80A59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Estimates creatinine clearance, not GFR</w:t>
            </w:r>
          </w:p>
          <w:p w14:paraId="00B1A4D8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Less accurate than modern equations </w:t>
            </w:r>
          </w:p>
          <w:p w14:paraId="3A0DA1E7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3808E491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Small validation set</w:t>
            </w:r>
          </w:p>
          <w:p w14:paraId="48356A9D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4447DE01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Less precise in women, extreme BMI (high or low) </w:t>
            </w:r>
          </w:p>
          <w:p w14:paraId="141CA575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2A042BDB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Doesn’t account for height</w:t>
            </w:r>
          </w:p>
        </w:tc>
      </w:tr>
      <w:tr w:rsidR="00EF06D7" w:rsidRPr="00EF06D7" w14:paraId="5D8FBAD8" w14:textId="77777777" w:rsidTr="00CA09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shd w:val="clear" w:color="auto" w:fill="D9D9D9" w:themeFill="background1" w:themeFillShade="D9"/>
          </w:tcPr>
          <w:p w14:paraId="6875F896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lastRenderedPageBreak/>
              <w:t>CG-BSA</w:t>
            </w:r>
          </w:p>
        </w:tc>
        <w:tc>
          <w:tcPr>
            <w:tcW w:w="4952" w:type="dxa"/>
            <w:gridSpan w:val="2"/>
            <w:shd w:val="clear" w:color="auto" w:fill="D9D9D9" w:themeFill="background1" w:themeFillShade="D9"/>
          </w:tcPr>
          <w:p w14:paraId="10CE819D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eGFR= (1.73 m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vertAlign w:val="superscript"/>
                <w:lang w:val="en-US"/>
              </w:rPr>
              <w:t>2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 × GFR-CG)/BSA</w:t>
            </w:r>
          </w:p>
        </w:tc>
        <w:tc>
          <w:tcPr>
            <w:tcW w:w="3535" w:type="dxa"/>
            <w:shd w:val="clear" w:color="auto" w:fill="D9D9D9" w:themeFill="background1" w:themeFillShade="D9"/>
          </w:tcPr>
          <w:p w14:paraId="5D4F25D2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Accounts for BSA</w:t>
            </w:r>
          </w:p>
        </w:tc>
        <w:tc>
          <w:tcPr>
            <w:tcW w:w="2995" w:type="dxa"/>
            <w:shd w:val="clear" w:color="auto" w:fill="D9D9D9" w:themeFill="background1" w:themeFillShade="D9"/>
          </w:tcPr>
          <w:p w14:paraId="406AD590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Same as CG</w:t>
            </w:r>
          </w:p>
        </w:tc>
      </w:tr>
      <w:tr w:rsidR="00EF06D7" w:rsidRPr="006A59B4" w14:paraId="51D5B50D" w14:textId="77777777" w:rsidTr="00CA09DD">
        <w:trPr>
          <w:trHeight w:val="5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</w:tcPr>
          <w:p w14:paraId="6DFFDFE2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B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erlin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I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nitiative</w:t>
            </w:r>
            <w:proofErr w:type="spellEnd"/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 xml:space="preserve">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s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tudy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-1 (bis-1) (2010)</w:t>
            </w:r>
          </w:p>
        </w:tc>
        <w:tc>
          <w:tcPr>
            <w:tcW w:w="4952" w:type="dxa"/>
            <w:gridSpan w:val="2"/>
          </w:tcPr>
          <w:p w14:paraId="0C3CE521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eGFR= 3736 x 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bdr w:val="none" w:sz="0" w:space="0" w:color="auto" w:frame="1"/>
                <w:vertAlign w:val="superscript"/>
                <w:lang w:val="en-US"/>
              </w:rPr>
              <w:t>- 0.87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pacing w:val="4"/>
                <w:sz w:val="20"/>
                <w:szCs w:val="20"/>
                <w:lang w:val="en-US"/>
              </w:rPr>
              <w:t> x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Age </w:t>
            </w:r>
            <w:r w:rsidRPr="00EF06D7">
              <w:rPr>
                <w:rFonts w:asciiTheme="majorHAnsi" w:hAnsiTheme="majorHAnsi" w:cstheme="majorHAnsi"/>
                <w:color w:val="000000" w:themeColor="text1"/>
                <w:spacing w:val="4"/>
                <w:sz w:val="20"/>
                <w:szCs w:val="20"/>
                <w:bdr w:val="none" w:sz="0" w:space="0" w:color="auto" w:frame="1"/>
                <w:vertAlign w:val="superscript"/>
                <w:lang w:val="en-US"/>
              </w:rPr>
              <w:t xml:space="preserve">- 0.95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x (0.82 if female)</w:t>
            </w:r>
          </w:p>
        </w:tc>
        <w:tc>
          <w:tcPr>
            <w:tcW w:w="3535" w:type="dxa"/>
          </w:tcPr>
          <w:p w14:paraId="172ED891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More accurate than CDK-EPI for older people </w:t>
            </w:r>
          </w:p>
          <w:p w14:paraId="7B36E147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036D6040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Better than the CKD-EPI formula for risk stratification of CKD in elderly people with CV disease </w:t>
            </w:r>
          </w:p>
        </w:tc>
        <w:tc>
          <w:tcPr>
            <w:tcW w:w="2995" w:type="dxa"/>
          </w:tcPr>
          <w:p w14:paraId="161229AE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Not validated for young patients</w:t>
            </w:r>
          </w:p>
        </w:tc>
      </w:tr>
      <w:tr w:rsidR="00EF06D7" w:rsidRPr="00EF06D7" w14:paraId="7556025A" w14:textId="77777777" w:rsidTr="00CA09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shd w:val="clear" w:color="auto" w:fill="D9D9D9" w:themeFill="background1" w:themeFillShade="D9"/>
          </w:tcPr>
          <w:p w14:paraId="0E8FA072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f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ull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 xml:space="preserve"> a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ge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s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</w:rPr>
              <w:t>pectrum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 xml:space="preserve"> (FAS) (2016)</w:t>
            </w:r>
          </w:p>
        </w:tc>
        <w:tc>
          <w:tcPr>
            <w:tcW w:w="4952" w:type="dxa"/>
            <w:gridSpan w:val="2"/>
            <w:shd w:val="clear" w:color="auto" w:fill="D9D9D9" w:themeFill="background1" w:themeFillShade="D9"/>
          </w:tcPr>
          <w:p w14:paraId="370AFE65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2 ≤ age &lt; 40 years: eGFR = 107.3/(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/Q)</w:t>
            </w:r>
          </w:p>
          <w:p w14:paraId="3BCE3F62" w14:textId="77777777" w:rsidR="00EF06D7" w:rsidRPr="00EF06D7" w:rsidRDefault="00EF06D7" w:rsidP="00CA09DD">
            <w:pPr>
              <w:pStyle w:val="NormaleWeb"/>
              <w:shd w:val="clear" w:color="auto" w:fill="D9D9D9" w:themeFill="background1" w:themeFillShade="D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Age &gt; 40 years: eGFR = 107.3/(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/Q) × 0.988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shd w:val="clear" w:color="auto" w:fill="D9D9D9" w:themeFill="background1" w:themeFillShade="D9"/>
                <w:vertAlign w:val="superscript"/>
                <w:lang w:val="en-US"/>
              </w:rPr>
              <w:t>(Age−40)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 </w:t>
            </w:r>
          </w:p>
          <w:p w14:paraId="72627282" w14:textId="77777777" w:rsidR="00EF06D7" w:rsidRPr="00EF06D7" w:rsidRDefault="00EF06D7" w:rsidP="00CA09DD">
            <w:pPr>
              <w:pStyle w:val="NormaleWeb"/>
              <w:shd w:val="clear" w:color="auto" w:fill="D9D9D9" w:themeFill="background1" w:themeFillShade="D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 xml:space="preserve">males: Q= 62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</w:rPr>
              <w:t>μ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 xml:space="preserve">mol/L (0.70 mg/dL), females: Q= 80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</w:rPr>
              <w:t>μ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D9D9D9" w:themeFill="background1" w:themeFillShade="D9"/>
                <w:lang w:val="en-US"/>
              </w:rPr>
              <w:t>mol/L (0.90 mg/dL)</w:t>
            </w:r>
          </w:p>
        </w:tc>
        <w:tc>
          <w:tcPr>
            <w:tcW w:w="3535" w:type="dxa"/>
            <w:shd w:val="clear" w:color="auto" w:fill="D9D9D9" w:themeFill="background1" w:themeFillShade="D9"/>
          </w:tcPr>
          <w:p w14:paraId="45CFD23F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Improved validity and continuity across the full age-spectrum </w:t>
            </w:r>
          </w:p>
          <w:p w14:paraId="50C19FD0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Overcomes the needing of different equations in different age-subgroups</w:t>
            </w:r>
          </w:p>
          <w:p w14:paraId="2F1CE21A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Less biased and more accurate than CKD-EPI for older adults. </w:t>
            </w:r>
          </w:p>
        </w:tc>
        <w:tc>
          <w:tcPr>
            <w:tcW w:w="2995" w:type="dxa"/>
            <w:shd w:val="clear" w:color="auto" w:fill="D9D9D9" w:themeFill="background1" w:themeFillShade="D9"/>
          </w:tcPr>
          <w:p w14:paraId="021ADCBC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Does not improve imprecision of other equations</w:t>
            </w:r>
          </w:p>
          <w:p w14:paraId="5B92D13E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2A72132A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Validated for Caucasian only</w:t>
            </w:r>
          </w:p>
        </w:tc>
      </w:tr>
      <w:tr w:rsidR="00EF06D7" w:rsidRPr="006A59B4" w14:paraId="44860F06" w14:textId="77777777" w:rsidTr="00CA09DD">
        <w:trPr>
          <w:trHeight w:val="4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Merge w:val="restart"/>
          </w:tcPr>
          <w:p w14:paraId="7FA53D90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L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und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–M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almö 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r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evised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aps w:val="0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(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lmr) (2014)</w:t>
            </w:r>
          </w:p>
        </w:tc>
        <w:tc>
          <w:tcPr>
            <w:tcW w:w="4952" w:type="dxa"/>
            <w:gridSpan w:val="2"/>
            <w:tcBorders>
              <w:bottom w:val="single" w:sz="24" w:space="0" w:color="FFFFFF"/>
            </w:tcBorders>
          </w:tcPr>
          <w:p w14:paraId="0137BBB8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vertAlign w:val="superscript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eGFR = e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vertAlign w:val="superscript"/>
                <w:lang w:val="en-US"/>
              </w:rPr>
              <w:t>X – 0.0158 age x 0.438 x ln(age)</w:t>
            </w:r>
          </w:p>
          <w:p w14:paraId="522945CE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3535" w:type="dxa"/>
            <w:vMerge w:val="restart"/>
          </w:tcPr>
          <w:p w14:paraId="1467C003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Superior 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than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CDK-EPI in Swedish population</w:t>
            </w:r>
          </w:p>
        </w:tc>
        <w:tc>
          <w:tcPr>
            <w:tcW w:w="2995" w:type="dxa"/>
            <w:vMerge w:val="restart"/>
          </w:tcPr>
          <w:p w14:paraId="6B3DFFAA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Not validated for other populations</w:t>
            </w:r>
          </w:p>
        </w:tc>
      </w:tr>
      <w:tr w:rsidR="00EF06D7" w:rsidRPr="00EF06D7" w14:paraId="12ECFB89" w14:textId="77777777" w:rsidTr="00CA09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Merge/>
          </w:tcPr>
          <w:p w14:paraId="65FB332B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b w:val="0"/>
                <w:bCs w:val="0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440" w:type="dxa"/>
            <w:tcBorders>
              <w:top w:val="single" w:sz="24" w:space="0" w:color="FFFFFF"/>
              <w:right w:val="single" w:sz="8" w:space="0" w:color="000000"/>
            </w:tcBorders>
            <w:shd w:val="clear" w:color="auto" w:fill="FFFFFF" w:themeFill="background1"/>
          </w:tcPr>
          <w:p w14:paraId="70E6D83A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vertAlign w:val="superscript"/>
                <w:lang w:val="en-US"/>
              </w:rPr>
            </w:pPr>
          </w:p>
          <w:p w14:paraId="63022094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Female</w:t>
            </w:r>
          </w:p>
          <w:p w14:paraId="63A8C32D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5C548763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vertAlign w:val="superscript"/>
                <w:lang w:val="en-US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pCr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&lt; 150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mmol/L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: X = 2.50 + 0.0121 x (150-pCr)</w:t>
            </w:r>
          </w:p>
          <w:p w14:paraId="31DACC57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vertAlign w:val="superscript"/>
                <w:lang w:val="en-US"/>
              </w:rPr>
            </w:pPr>
          </w:p>
          <w:p w14:paraId="31DDE43F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pC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r≥ 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150 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mmol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/L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:   X = 2.50 - 0.926 x ln(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pCr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/150)</w:t>
            </w:r>
          </w:p>
          <w:p w14:paraId="288A1908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512" w:type="dxa"/>
            <w:tcBorders>
              <w:top w:val="single" w:sz="24" w:space="0" w:color="FFFFFF"/>
              <w:left w:val="single" w:sz="8" w:space="0" w:color="000000"/>
            </w:tcBorders>
            <w:shd w:val="clear" w:color="auto" w:fill="FFFFFF" w:themeFill="background1"/>
          </w:tcPr>
          <w:p w14:paraId="54EF2112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74D48F38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Male</w:t>
            </w:r>
          </w:p>
          <w:p w14:paraId="198755D3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</w:p>
          <w:p w14:paraId="77F44A81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pCr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 xml:space="preserve"> &lt; 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 xml:space="preserve">180 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mmol</w:t>
            </w:r>
            <w:proofErr w:type="spellEnd"/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/L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: X=2.56 + 0.00968 x (180-pCr)</w:t>
            </w:r>
          </w:p>
          <w:p w14:paraId="71DB224F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</w:p>
          <w:p w14:paraId="7EC01CD1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pCr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≥ 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180 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mmol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/L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:     X= 2.56- 0.926 x ln(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pCr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/180)</w:t>
            </w:r>
          </w:p>
        </w:tc>
        <w:tc>
          <w:tcPr>
            <w:tcW w:w="3535" w:type="dxa"/>
            <w:vMerge/>
          </w:tcPr>
          <w:p w14:paraId="2B1E8253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995" w:type="dxa"/>
            <w:vMerge/>
          </w:tcPr>
          <w:p w14:paraId="4C7A827E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</w:p>
        </w:tc>
      </w:tr>
      <w:tr w:rsidR="00EF06D7" w:rsidRPr="006A59B4" w14:paraId="0C6228D6" w14:textId="77777777" w:rsidTr="00CA09DD">
        <w:trPr>
          <w:trHeight w:val="12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shd w:val="clear" w:color="auto" w:fill="D9D9D9" w:themeFill="background1" w:themeFillShade="D9"/>
          </w:tcPr>
          <w:p w14:paraId="287A6F7E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lastRenderedPageBreak/>
              <w:t>M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lang w:val="en-US"/>
              </w:rPr>
              <w:t>odification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lang w:val="en-US"/>
              </w:rPr>
              <w:t>of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d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lang w:val="en-US"/>
              </w:rPr>
              <w:t xml:space="preserve">iet in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r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lang w:val="en-US"/>
              </w:rPr>
              <w:t>enal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d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lang w:val="en-US"/>
              </w:rPr>
              <w:t>isease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(MDRD) (1992)</w:t>
            </w:r>
          </w:p>
        </w:tc>
        <w:tc>
          <w:tcPr>
            <w:tcW w:w="4952" w:type="dxa"/>
            <w:gridSpan w:val="2"/>
            <w:shd w:val="clear" w:color="auto" w:fill="D9D9D9" w:themeFill="background1" w:themeFillShade="D9"/>
          </w:tcPr>
          <w:p w14:paraId="7C13FB81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sz w:val="20"/>
                <w:szCs w:val="20"/>
                <w:shd w:val="clear" w:color="auto" w:fill="D9D9D9" w:themeFill="background1" w:themeFillShade="D9"/>
                <w:lang w:val="en-US"/>
              </w:rPr>
              <w:t>eGFR = 175 x (</w:t>
            </w:r>
            <w:proofErr w:type="spellStart"/>
            <w:r w:rsidRPr="00EF06D7">
              <w:rPr>
                <w:rFonts w:asciiTheme="majorHAnsi" w:hAnsiTheme="majorHAnsi" w:cstheme="majorHAnsi"/>
                <w:sz w:val="20"/>
                <w:szCs w:val="20"/>
                <w:shd w:val="clear" w:color="auto" w:fill="D9D9D9" w:themeFill="background1" w:themeFillShade="D9"/>
                <w:lang w:val="en-US"/>
              </w:rPr>
              <w:t>PCr</w:t>
            </w:r>
            <w:proofErr w:type="spellEnd"/>
            <w:r w:rsidRPr="00EF06D7">
              <w:rPr>
                <w:rFonts w:asciiTheme="majorHAnsi" w:hAnsiTheme="majorHAnsi" w:cstheme="majorHAnsi"/>
                <w:sz w:val="20"/>
                <w:szCs w:val="20"/>
                <w:shd w:val="clear" w:color="auto" w:fill="D9D9D9" w:themeFill="background1" w:themeFillShade="D9"/>
                <w:lang w:val="en-US"/>
              </w:rPr>
              <w:t>)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shd w:val="clear" w:color="auto" w:fill="D9D9D9" w:themeFill="background1" w:themeFillShade="D9"/>
                <w:vertAlign w:val="superscript"/>
                <w:lang w:val="en-US"/>
              </w:rPr>
              <w:t>−1.154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shd w:val="clear" w:color="auto" w:fill="D9D9D9" w:themeFill="background1" w:themeFillShade="D9"/>
                <w:lang w:val="en-US"/>
              </w:rPr>
              <w:t>x age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shd w:val="clear" w:color="auto" w:fill="D9D9D9" w:themeFill="background1" w:themeFillShade="D9"/>
                <w:vertAlign w:val="superscript"/>
                <w:lang w:val="en-US"/>
              </w:rPr>
              <w:t>−0.203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sz w:val="20"/>
                <w:szCs w:val="20"/>
                <w:shd w:val="clear" w:color="auto" w:fill="D9D9D9" w:themeFill="background1" w:themeFillShade="D9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shd w:val="clear" w:color="auto" w:fill="D9D9D9" w:themeFill="background1" w:themeFillShade="D9"/>
                <w:lang w:val="en-US"/>
              </w:rPr>
              <w:t>x [0.742 if female] x [1.212 if black]</w:t>
            </w:r>
          </w:p>
        </w:tc>
        <w:tc>
          <w:tcPr>
            <w:tcW w:w="3535" w:type="dxa"/>
            <w:shd w:val="clear" w:color="auto" w:fill="D9D9D9" w:themeFill="background1" w:themeFillShade="D9"/>
          </w:tcPr>
          <w:p w14:paraId="25A46FB0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Similar 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accucary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than CDK-EPI</w:t>
            </w:r>
          </w:p>
        </w:tc>
        <w:tc>
          <w:tcPr>
            <w:tcW w:w="2995" w:type="dxa"/>
            <w:shd w:val="clear" w:color="auto" w:fill="D9D9D9" w:themeFill="background1" w:themeFillShade="D9"/>
          </w:tcPr>
          <w:p w14:paraId="305D751A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Does not account for BSA</w:t>
            </w:r>
          </w:p>
        </w:tc>
      </w:tr>
      <w:tr w:rsidR="00EF06D7" w:rsidRPr="00EF06D7" w14:paraId="42F223A0" w14:textId="77777777" w:rsidTr="00CA09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Merge w:val="restart"/>
            <w:shd w:val="clear" w:color="auto" w:fill="FFFFFF" w:themeFill="background1"/>
          </w:tcPr>
          <w:p w14:paraId="2CC54AAC" w14:textId="77777777" w:rsidR="00EF06D7" w:rsidRPr="00EF06D7" w:rsidRDefault="00EF06D7" w:rsidP="00CA09DD">
            <w:pPr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E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uropean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K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idney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F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unction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C</w:t>
            </w:r>
            <w:r w:rsidRPr="00EF06D7">
              <w:rPr>
                <w:rFonts w:asciiTheme="majorHAnsi" w:hAnsiTheme="majorHAnsi" w:cstheme="majorHAnsi"/>
                <w:caps w:val="0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onsortium </w:t>
            </w:r>
            <w:r w:rsidRPr="00EF06D7">
              <w:rPr>
                <w:rFonts w:asciiTheme="majorHAnsi" w:hAnsiTheme="majorHAnsi" w:cstheme="majorHAnsi"/>
                <w:color w:val="4D5156"/>
                <w:sz w:val="20"/>
                <w:szCs w:val="20"/>
                <w:shd w:val="clear" w:color="auto" w:fill="FFFFFF"/>
                <w:lang w:val="en-US"/>
              </w:rPr>
              <w:t>(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EKFC) (2023)</w:t>
            </w:r>
          </w:p>
        </w:tc>
        <w:tc>
          <w:tcPr>
            <w:tcW w:w="2440" w:type="dxa"/>
            <w:tcBorders>
              <w:bottom w:val="single" w:sz="24" w:space="0" w:color="FFFFFF"/>
              <w:right w:val="single" w:sz="8" w:space="0" w:color="000000"/>
            </w:tcBorders>
            <w:shd w:val="clear" w:color="auto" w:fill="FFFFFF" w:themeFill="background1"/>
          </w:tcPr>
          <w:p w14:paraId="27CE736A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Age 18-40 </w:t>
            </w:r>
          </w:p>
          <w:p w14:paraId="362E7590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2F60D6CD" w14:textId="77777777" w:rsidR="00EF06D7" w:rsidRPr="00EF06D7" w:rsidRDefault="00EF06D7" w:rsidP="00EF06D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 xml:space="preserve"> &lt; Q: 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eGFR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  <w:t>=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107.3 ×(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/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Q)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−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0.322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 </w:t>
            </w:r>
          </w:p>
          <w:p w14:paraId="311D46DF" w14:textId="77777777" w:rsidR="00EF06D7" w:rsidRPr="00EF06D7" w:rsidRDefault="00EF06D7" w:rsidP="00EF06D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 xml:space="preserve"> ≥ Q: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br/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eGFR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= 107.3 × (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/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Q)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−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1.132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 </w:t>
            </w:r>
          </w:p>
          <w:p w14:paraId="4B34AF07" w14:textId="77777777" w:rsidR="00EF06D7" w:rsidRPr="00EF06D7" w:rsidRDefault="00EF06D7" w:rsidP="00CA09DD">
            <w:pPr>
              <w:pStyle w:val="Paragrafoelenc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3F2B8D77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</w:p>
          <w:p w14:paraId="04DED39E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</w:p>
          <w:p w14:paraId="73690F84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</w:p>
          <w:p w14:paraId="208520DC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512" w:type="dxa"/>
            <w:tcBorders>
              <w:left w:val="single" w:sz="8" w:space="0" w:color="000000"/>
              <w:bottom w:val="single" w:sz="24" w:space="0" w:color="FFFFFF"/>
            </w:tcBorders>
            <w:shd w:val="clear" w:color="auto" w:fill="FFFFFF" w:themeFill="background1"/>
          </w:tcPr>
          <w:p w14:paraId="2E4A4C99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Age &gt; 40</w:t>
            </w:r>
          </w:p>
          <w:p w14:paraId="736957A8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2B54AC36" w14:textId="77777777" w:rsidR="00EF06D7" w:rsidRPr="00EF06D7" w:rsidRDefault="00EF06D7" w:rsidP="00EF06D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&lt; Q:</w:t>
            </w:r>
          </w:p>
          <w:p w14:paraId="6A5F67E9" w14:textId="77777777" w:rsidR="00EF06D7" w:rsidRPr="00EF06D7" w:rsidRDefault="00EF06D7" w:rsidP="00CA09DD">
            <w:pPr>
              <w:pStyle w:val="Paragrafoelenc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eGFR =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107.3 × (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/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Q)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−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0.322</w:t>
            </w:r>
            <w:r w:rsidRPr="00EF06D7">
              <w:rPr>
                <w:rStyle w:val="apple-converted-space"/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× 0.990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(Age−40)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 </w:t>
            </w:r>
          </w:p>
          <w:p w14:paraId="69223CBE" w14:textId="77777777" w:rsidR="00EF06D7" w:rsidRPr="00EF06D7" w:rsidRDefault="00EF06D7" w:rsidP="00CA09DD">
            <w:pPr>
              <w:pStyle w:val="Paragrafoelenc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618142D4" w14:textId="77777777" w:rsidR="00EF06D7" w:rsidRPr="00EF06D7" w:rsidRDefault="00EF06D7" w:rsidP="00EF06D7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 xml:space="preserve"> &gt; Q:</w:t>
            </w:r>
          </w:p>
          <w:p w14:paraId="36ED97E2" w14:textId="77777777" w:rsidR="00EF06D7" w:rsidRPr="00EF06D7" w:rsidRDefault="00EF06D7" w:rsidP="00CA09DD">
            <w:pPr>
              <w:pStyle w:val="Paragrafoelenc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</w:pP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eGFR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 xml:space="preserve"> = 107.3 × (</w:t>
            </w:r>
            <w:proofErr w:type="spell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SCr</w:t>
            </w:r>
            <w:proofErr w:type="spell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/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Q)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−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1.132</w:t>
            </w:r>
            <w:r w:rsidRPr="00EF06D7">
              <w:rPr>
                <w:rStyle w:val="apple-converted-space"/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× 0.990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</w:rPr>
              <w:t>(Age−40)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 </w:t>
            </w:r>
          </w:p>
          <w:p w14:paraId="53E87CE9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3535" w:type="dxa"/>
            <w:vMerge w:val="restart"/>
            <w:shd w:val="clear" w:color="auto" w:fill="FFFFFF" w:themeFill="background1"/>
          </w:tcPr>
          <w:p w14:paraId="190CDF3F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2A2A2A"/>
                <w:sz w:val="20"/>
                <w:szCs w:val="20"/>
                <w:shd w:val="clear" w:color="auto" w:fill="FFFFFF" w:themeFill="background1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2A2A2A"/>
                <w:sz w:val="20"/>
                <w:szCs w:val="20"/>
                <w:shd w:val="clear" w:color="auto" w:fill="FFFFFF" w:themeFill="background1"/>
                <w:lang w:val="en-US"/>
              </w:rPr>
              <w:t xml:space="preserve">Provides a continuity of eGFR at the transition between pediatric and adult </w:t>
            </w:r>
            <w:proofErr w:type="gramStart"/>
            <w:r w:rsidRPr="00EF06D7">
              <w:rPr>
                <w:rFonts w:asciiTheme="majorHAnsi" w:hAnsiTheme="majorHAnsi" w:cstheme="majorHAnsi"/>
                <w:color w:val="2A2A2A"/>
                <w:sz w:val="20"/>
                <w:szCs w:val="20"/>
                <w:shd w:val="clear" w:color="auto" w:fill="FFFFFF" w:themeFill="background1"/>
                <w:lang w:val="en-US"/>
              </w:rPr>
              <w:t>care, and</w:t>
            </w:r>
            <w:proofErr w:type="gramEnd"/>
            <w:r w:rsidRPr="00EF06D7">
              <w:rPr>
                <w:rFonts w:asciiTheme="majorHAnsi" w:hAnsiTheme="majorHAnsi" w:cstheme="majorHAnsi"/>
                <w:color w:val="2A2A2A"/>
                <w:sz w:val="20"/>
                <w:szCs w:val="20"/>
                <w:shd w:val="clear" w:color="auto" w:fill="FFFFFF" w:themeFill="background1"/>
                <w:lang w:val="en-US"/>
              </w:rPr>
              <w:t xml:space="preserve"> performs reasonably well in diverse populations. Overcomes the needing of different equations in different age-subgroups</w:t>
            </w:r>
          </w:p>
          <w:p w14:paraId="1DDD3D3E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  <w:p w14:paraId="4B8346B2" w14:textId="77777777" w:rsidR="00EF06D7" w:rsidRPr="00EF06D7" w:rsidRDefault="00EF06D7" w:rsidP="00CA09DD">
            <w:pPr>
              <w:pStyle w:val="NormaleWeb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Q integrates non</w:t>
            </w:r>
            <w:r w:rsidRPr="00EF06D7">
              <w:rPr>
                <w:rFonts w:asciiTheme="majorHAnsi" w:hAnsiTheme="majorHAnsi" w:cstheme="majorHAnsi"/>
                <w:sz w:val="20"/>
                <w:szCs w:val="20"/>
                <w:lang w:val="en-US"/>
              </w:rPr>
              <w:t>-GFR determinants of creatinine</w:t>
            </w:r>
          </w:p>
        </w:tc>
        <w:tc>
          <w:tcPr>
            <w:tcW w:w="2995" w:type="dxa"/>
            <w:vMerge w:val="restart"/>
            <w:shd w:val="clear" w:color="auto" w:fill="FFFFFF" w:themeFill="background1"/>
          </w:tcPr>
          <w:p w14:paraId="063BE5F9" w14:textId="77777777" w:rsidR="00EF06D7" w:rsidRPr="00EF06D7" w:rsidRDefault="00EF06D7" w:rsidP="00CA09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  <w:t>Needs more external validation</w:t>
            </w:r>
          </w:p>
        </w:tc>
      </w:tr>
      <w:tr w:rsidR="00EF06D7" w:rsidRPr="006A59B4" w14:paraId="414B5B6F" w14:textId="77777777" w:rsidTr="00CA09DD">
        <w:trPr>
          <w:trHeight w:val="22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7" w:type="dxa"/>
            <w:vMerge/>
            <w:shd w:val="clear" w:color="auto" w:fill="FFFFFF" w:themeFill="background1"/>
          </w:tcPr>
          <w:p w14:paraId="5E4D845E" w14:textId="77777777" w:rsidR="00EF06D7" w:rsidRPr="00EF06D7" w:rsidRDefault="00EF06D7" w:rsidP="00CA09DD">
            <w:pPr>
              <w:jc w:val="center"/>
              <w:rPr>
                <w:rFonts w:asciiTheme="majorHAnsi" w:hAnsiTheme="majorHAnsi" w:cstheme="majorHAnsi"/>
                <w:b w:val="0"/>
                <w:bCs w:val="0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4952" w:type="dxa"/>
            <w:gridSpan w:val="2"/>
            <w:tcBorders>
              <w:top w:val="single" w:sz="24" w:space="0" w:color="FFFFFF"/>
            </w:tcBorders>
            <w:shd w:val="clear" w:color="auto" w:fill="FFFFFF" w:themeFill="background1"/>
          </w:tcPr>
          <w:p w14:paraId="5EDC02C8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</w:pPr>
          </w:p>
          <w:p w14:paraId="39639D6E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Males: ln(Q) = 3.200 + 0.259 × Age−0.543 × 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ln(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Age)−0.00763 × Age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  <w:lang w:val="en-US"/>
              </w:rPr>
              <w:t>2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+ 0.0000790 × Age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  <w:lang w:val="en-US"/>
              </w:rPr>
              <w:t>3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(18–25 years); Q= 80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μ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mol/L (0.90 mg/dL) (&gt;25 years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);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 </w:t>
            </w:r>
          </w:p>
          <w:p w14:paraId="3D9B5895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</w:pPr>
          </w:p>
          <w:p w14:paraId="0BA21AE2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Females: ln(Q) = 3.080 + 0.177 × Age−0.223 × </w:t>
            </w:r>
            <w:proofErr w:type="gramStart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ln(</w:t>
            </w:r>
            <w:proofErr w:type="gramEnd"/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Age)−0.00596 × Age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  <w:lang w:val="en-US"/>
              </w:rPr>
              <w:t>2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+ 0.0000686 × Age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bdr w:val="none" w:sz="0" w:space="0" w:color="auto" w:frame="1"/>
                <w:vertAlign w:val="superscript"/>
                <w:lang w:val="en-US"/>
              </w:rPr>
              <w:t>3</w:t>
            </w:r>
            <w:r w:rsidRPr="00EF06D7">
              <w:rPr>
                <w:rStyle w:val="apple-converted-space"/>
                <w:rFonts w:asciiTheme="majorHAnsi" w:eastAsiaTheme="majorEastAsia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 xml:space="preserve">(18–25 years); Q= 62 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</w:rPr>
              <w:t>μ</w:t>
            </w:r>
            <w:r w:rsidRPr="00EF06D7"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mol/L (0.70 mg/dL) (&gt;25 years).</w:t>
            </w:r>
          </w:p>
        </w:tc>
        <w:tc>
          <w:tcPr>
            <w:tcW w:w="3535" w:type="dxa"/>
            <w:vMerge/>
            <w:shd w:val="clear" w:color="auto" w:fill="FFFFFF" w:themeFill="background1"/>
          </w:tcPr>
          <w:p w14:paraId="64EDFFE7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2995" w:type="dxa"/>
            <w:vMerge/>
            <w:shd w:val="clear" w:color="auto" w:fill="FFFFFF" w:themeFill="background1"/>
          </w:tcPr>
          <w:p w14:paraId="197F3CC7" w14:textId="77777777" w:rsidR="00EF06D7" w:rsidRPr="00EF06D7" w:rsidRDefault="00EF06D7" w:rsidP="00CA09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color w:val="000000" w:themeColor="text1"/>
                <w:sz w:val="20"/>
                <w:szCs w:val="20"/>
                <w:lang w:val="en-US"/>
              </w:rPr>
            </w:pPr>
          </w:p>
        </w:tc>
      </w:tr>
    </w:tbl>
    <w:p w14:paraId="02FF938F" w14:textId="77777777" w:rsidR="00EF06D7" w:rsidRPr="00A226B8" w:rsidRDefault="00EF06D7" w:rsidP="00EF06D7">
      <w:pPr>
        <w:rPr>
          <w:lang w:val="en-US"/>
        </w:rPr>
      </w:pPr>
    </w:p>
    <w:p w14:paraId="0C633ED5" w14:textId="0D866E8B" w:rsidR="00505013" w:rsidRDefault="00505013" w:rsidP="00292D7A">
      <w:pPr>
        <w:spacing w:line="480" w:lineRule="auto"/>
        <w:rPr>
          <w:rFonts w:ascii="Arial" w:hAnsi="Arial" w:cs="Arial"/>
          <w:b/>
          <w:bCs/>
          <w:lang w:val="en-GB" w:eastAsia="zh-CN"/>
        </w:rPr>
      </w:pPr>
    </w:p>
    <w:p w14:paraId="59307D80" w14:textId="77777777" w:rsidR="00561FEB" w:rsidRDefault="00561FEB" w:rsidP="00561FEB">
      <w:pPr>
        <w:spacing w:after="200" w:line="276" w:lineRule="auto"/>
        <w:rPr>
          <w:rFonts w:ascii="Arial" w:hAnsi="Arial" w:cs="Arial"/>
          <w:b/>
          <w:bCs/>
          <w:lang w:val="en-GB" w:eastAsia="zh-CN"/>
        </w:rPr>
        <w:sectPr w:rsidR="00561FEB" w:rsidSect="00EF06D7">
          <w:pgSz w:w="16817" w:h="11901" w:orient="landscape"/>
          <w:pgMar w:top="1134" w:right="1134" w:bottom="1134" w:left="1418" w:header="709" w:footer="709" w:gutter="0"/>
          <w:cols w:space="708"/>
          <w:docGrid w:linePitch="360"/>
        </w:sectPr>
      </w:pPr>
    </w:p>
    <w:p w14:paraId="07DB4DE3" w14:textId="1EE9E1AA" w:rsidR="007422F2" w:rsidRPr="007422F2" w:rsidRDefault="00505013" w:rsidP="007422F2">
      <w:pPr>
        <w:spacing w:after="200" w:line="276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lastRenderedPageBreak/>
        <w:t xml:space="preserve">Supplementary Table </w:t>
      </w:r>
      <w:r w:rsidR="005B43F9">
        <w:rPr>
          <w:rFonts w:ascii="Arial" w:hAnsi="Arial" w:cs="Arial"/>
          <w:b/>
          <w:bCs/>
          <w:lang w:val="en-GB" w:eastAsia="zh-CN"/>
        </w:rPr>
        <w:t>1</w:t>
      </w:r>
      <w:r>
        <w:rPr>
          <w:rFonts w:ascii="Arial" w:hAnsi="Arial" w:cs="Arial"/>
          <w:b/>
          <w:bCs/>
          <w:lang w:val="en-GB" w:eastAsia="zh-CN"/>
        </w:rPr>
        <w:t xml:space="preserve">. </w:t>
      </w:r>
      <w:r w:rsidR="007422F2">
        <w:rPr>
          <w:rFonts w:ascii="Arial" w:hAnsi="Arial" w:cs="Arial"/>
          <w:lang w:val="en-GB" w:eastAsia="zh-CN"/>
        </w:rPr>
        <w:t>Crude rate of events according to different stages of CKD</w:t>
      </w:r>
    </w:p>
    <w:tbl>
      <w:tblPr>
        <w:tblW w:w="5000" w:type="pct"/>
        <w:tblBorders>
          <w:top w:val="double" w:sz="6" w:space="0" w:color="111111"/>
          <w:bottom w:val="double" w:sz="6" w:space="0" w:color="111111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76"/>
        <w:gridCol w:w="1168"/>
        <w:gridCol w:w="1168"/>
        <w:gridCol w:w="1168"/>
        <w:gridCol w:w="1168"/>
        <w:gridCol w:w="1218"/>
        <w:gridCol w:w="967"/>
      </w:tblGrid>
      <w:tr w:rsidR="007422F2" w:rsidRPr="005255C9" w14:paraId="0EBC0C8E" w14:textId="77777777" w:rsidTr="00CA09DD">
        <w:trPr>
          <w:tblHeader/>
        </w:trPr>
        <w:tc>
          <w:tcPr>
            <w:tcW w:w="1441" w:type="pct"/>
            <w:tcBorders>
              <w:bottom w:val="single" w:sz="6" w:space="0" w:color="111111"/>
            </w:tcBorders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347A70E" w14:textId="77777777" w:rsidR="007422F2" w:rsidRPr="007422F2" w:rsidRDefault="007422F2" w:rsidP="00CA09DD">
            <w:pPr>
              <w:rPr>
                <w:lang w:val="en-US"/>
              </w:rPr>
            </w:pPr>
          </w:p>
        </w:tc>
        <w:tc>
          <w:tcPr>
            <w:tcW w:w="606" w:type="pct"/>
            <w:tcBorders>
              <w:bottom w:val="single" w:sz="6" w:space="0" w:color="111111"/>
            </w:tcBorders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EE0704B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Stage I </w:t>
            </w:r>
          </w:p>
        </w:tc>
        <w:tc>
          <w:tcPr>
            <w:tcW w:w="606" w:type="pct"/>
            <w:tcBorders>
              <w:bottom w:val="single" w:sz="6" w:space="0" w:color="111111"/>
            </w:tcBorders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340CD88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Stage II </w:t>
            </w:r>
          </w:p>
        </w:tc>
        <w:tc>
          <w:tcPr>
            <w:tcW w:w="606" w:type="pct"/>
            <w:tcBorders>
              <w:bottom w:val="single" w:sz="6" w:space="0" w:color="111111"/>
            </w:tcBorders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819B48B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Stage IIIa </w:t>
            </w:r>
          </w:p>
        </w:tc>
        <w:tc>
          <w:tcPr>
            <w:tcW w:w="606" w:type="pct"/>
            <w:tcBorders>
              <w:bottom w:val="single" w:sz="6" w:space="0" w:color="111111"/>
            </w:tcBorders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D30260A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Stage IIIb </w:t>
            </w:r>
          </w:p>
        </w:tc>
        <w:tc>
          <w:tcPr>
            <w:tcW w:w="632" w:type="pct"/>
            <w:tcBorders>
              <w:bottom w:val="single" w:sz="6" w:space="0" w:color="111111"/>
            </w:tcBorders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B303CE6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Stage IV/V </w:t>
            </w:r>
          </w:p>
        </w:tc>
        <w:tc>
          <w:tcPr>
            <w:tcW w:w="502" w:type="pct"/>
            <w:tcBorders>
              <w:bottom w:val="single" w:sz="6" w:space="0" w:color="111111"/>
            </w:tcBorders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49D39B8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>
              <w:rPr>
                <w:rFonts w:ascii="Arial" w:hAnsi="Arial" w:cs="Arial"/>
                <w:color w:val="222222"/>
                <w:sz w:val="23"/>
                <w:szCs w:val="23"/>
              </w:rPr>
              <w:t xml:space="preserve">P </w:t>
            </w:r>
            <w:proofErr w:type="spellStart"/>
            <w:r>
              <w:rPr>
                <w:rFonts w:ascii="Arial" w:hAnsi="Arial" w:cs="Arial"/>
                <w:color w:val="222222"/>
                <w:sz w:val="23"/>
                <w:szCs w:val="23"/>
              </w:rPr>
              <w:t>value</w:t>
            </w:r>
            <w:proofErr w:type="spellEnd"/>
          </w:p>
        </w:tc>
      </w:tr>
      <w:tr w:rsidR="007422F2" w:rsidRPr="005255C9" w14:paraId="06084100" w14:textId="77777777" w:rsidTr="00CA09DD">
        <w:tc>
          <w:tcPr>
            <w:tcW w:w="1441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F3A6CB7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n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F698D1C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1304 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F5742D6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4263 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1ABF984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1723 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D8FF47A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904 </w:t>
            </w:r>
          </w:p>
        </w:tc>
        <w:tc>
          <w:tcPr>
            <w:tcW w:w="632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56A2B6A7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322 </w:t>
            </w:r>
          </w:p>
        </w:tc>
        <w:tc>
          <w:tcPr>
            <w:tcW w:w="502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B45F657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</w:p>
        </w:tc>
      </w:tr>
      <w:tr w:rsidR="007422F2" w:rsidRPr="005255C9" w14:paraId="2CE8BA7C" w14:textId="77777777" w:rsidTr="00CA09DD">
        <w:tc>
          <w:tcPr>
            <w:tcW w:w="1441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05B244DE" w14:textId="77777777" w:rsidR="007422F2" w:rsidRPr="007422F2" w:rsidRDefault="007422F2" w:rsidP="00CA09DD">
            <w:pPr>
              <w:spacing w:after="150"/>
              <w:rPr>
                <w:rFonts w:ascii="Arial" w:hAnsi="Arial" w:cs="Arial"/>
                <w:b/>
                <w:bCs/>
                <w:color w:val="222222"/>
                <w:sz w:val="23"/>
                <w:szCs w:val="23"/>
              </w:rPr>
            </w:pPr>
            <w:r w:rsidRPr="007422F2">
              <w:rPr>
                <w:rFonts w:ascii="Arial" w:hAnsi="Arial" w:cs="Arial"/>
                <w:b/>
                <w:bCs/>
                <w:color w:val="222222"/>
                <w:sz w:val="23"/>
                <w:szCs w:val="23"/>
              </w:rPr>
              <w:t xml:space="preserve">Composite </w:t>
            </w:r>
            <w:proofErr w:type="spellStart"/>
            <w:r w:rsidRPr="007422F2">
              <w:rPr>
                <w:rFonts w:ascii="Arial" w:hAnsi="Arial" w:cs="Arial"/>
                <w:b/>
                <w:bCs/>
                <w:color w:val="222222"/>
                <w:sz w:val="23"/>
                <w:szCs w:val="23"/>
              </w:rPr>
              <w:t>outcome</w:t>
            </w:r>
            <w:proofErr w:type="spellEnd"/>
            <w:r w:rsidRPr="007422F2">
              <w:rPr>
                <w:rFonts w:ascii="Arial" w:hAnsi="Arial" w:cs="Arial"/>
                <w:b/>
                <w:bCs/>
                <w:color w:val="222222"/>
                <w:sz w:val="23"/>
                <w:szCs w:val="23"/>
              </w:rPr>
              <w:t>, N (%)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3089E0A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123 (10.5)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CA3B19D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519 (13.6)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4EE18E8E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305 (19.7)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E26B21B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221 (27.9) </w:t>
            </w:r>
          </w:p>
        </w:tc>
        <w:tc>
          <w:tcPr>
            <w:tcW w:w="632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D8B8B73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127 (43.5) </w:t>
            </w:r>
          </w:p>
        </w:tc>
        <w:tc>
          <w:tcPr>
            <w:tcW w:w="502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1D71AC39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&lt;0.001 </w:t>
            </w:r>
          </w:p>
        </w:tc>
      </w:tr>
      <w:tr w:rsidR="007422F2" w:rsidRPr="005255C9" w14:paraId="25513574" w14:textId="77777777" w:rsidTr="00CA09DD">
        <w:tc>
          <w:tcPr>
            <w:tcW w:w="1441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746EE3A" w14:textId="77777777" w:rsidR="007422F2" w:rsidRPr="007422F2" w:rsidRDefault="007422F2" w:rsidP="00CA09DD">
            <w:pPr>
              <w:spacing w:after="150"/>
              <w:rPr>
                <w:rFonts w:ascii="Arial" w:hAnsi="Arial" w:cs="Arial"/>
                <w:b/>
                <w:bCs/>
                <w:color w:val="222222"/>
                <w:sz w:val="23"/>
                <w:szCs w:val="23"/>
              </w:rPr>
            </w:pPr>
            <w:proofErr w:type="spellStart"/>
            <w:r w:rsidRPr="007422F2">
              <w:rPr>
                <w:rFonts w:ascii="Arial" w:hAnsi="Arial" w:cs="Arial"/>
                <w:b/>
                <w:bCs/>
                <w:color w:val="222222"/>
                <w:sz w:val="23"/>
                <w:szCs w:val="23"/>
              </w:rPr>
              <w:t>All</w:t>
            </w:r>
            <w:proofErr w:type="spellEnd"/>
            <w:r w:rsidRPr="007422F2">
              <w:rPr>
                <w:rFonts w:ascii="Arial" w:hAnsi="Arial" w:cs="Arial"/>
                <w:b/>
                <w:bCs/>
                <w:color w:val="222222"/>
                <w:sz w:val="23"/>
                <w:szCs w:val="23"/>
              </w:rPr>
              <w:t>-cause Death, N (%)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772E1656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64 (5.2)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E1BD768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288 (7.1)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4D23757D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195 (12.0) </w:t>
            </w:r>
          </w:p>
        </w:tc>
        <w:tc>
          <w:tcPr>
            <w:tcW w:w="606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645F2BE7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164 (19.6) </w:t>
            </w:r>
          </w:p>
        </w:tc>
        <w:tc>
          <w:tcPr>
            <w:tcW w:w="632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3224218C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111 (36.8) </w:t>
            </w:r>
          </w:p>
        </w:tc>
        <w:tc>
          <w:tcPr>
            <w:tcW w:w="502" w:type="pct"/>
            <w:shd w:val="clear" w:color="auto" w:fill="FFFFFF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14:paraId="2F27CF87" w14:textId="77777777" w:rsidR="007422F2" w:rsidRPr="005255C9" w:rsidRDefault="007422F2" w:rsidP="00CA09DD">
            <w:pPr>
              <w:spacing w:after="150"/>
              <w:rPr>
                <w:rFonts w:ascii="Arial" w:hAnsi="Arial" w:cs="Arial"/>
                <w:color w:val="222222"/>
                <w:sz w:val="23"/>
                <w:szCs w:val="23"/>
              </w:rPr>
            </w:pPr>
            <w:r w:rsidRPr="005255C9">
              <w:rPr>
                <w:rFonts w:ascii="Arial" w:hAnsi="Arial" w:cs="Arial"/>
                <w:color w:val="222222"/>
                <w:sz w:val="23"/>
                <w:szCs w:val="23"/>
              </w:rPr>
              <w:t>&lt;0.001 </w:t>
            </w:r>
          </w:p>
        </w:tc>
      </w:tr>
    </w:tbl>
    <w:p w14:paraId="791EF51F" w14:textId="77777777" w:rsidR="00505013" w:rsidRDefault="00505013" w:rsidP="00CC35A0">
      <w:pPr>
        <w:spacing w:line="480" w:lineRule="auto"/>
        <w:rPr>
          <w:rFonts w:ascii="Arial" w:hAnsi="Arial" w:cs="Arial"/>
          <w:b/>
          <w:bCs/>
          <w:lang w:val="en-GB" w:eastAsia="zh-CN"/>
        </w:rPr>
      </w:pPr>
    </w:p>
    <w:p w14:paraId="4C5D8A30" w14:textId="5E102371" w:rsidR="00505013" w:rsidRDefault="00505013">
      <w:pPr>
        <w:spacing w:after="200" w:line="276" w:lineRule="auto"/>
        <w:rPr>
          <w:rFonts w:ascii="Arial" w:hAnsi="Arial" w:cs="Arial"/>
          <w:b/>
          <w:bCs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br w:type="page"/>
      </w:r>
    </w:p>
    <w:p w14:paraId="0BC2D8B1" w14:textId="7682A1E0" w:rsidR="008B1747" w:rsidRDefault="00CC35A0" w:rsidP="008B1747">
      <w:pPr>
        <w:spacing w:line="480" w:lineRule="auto"/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GB" w:eastAsia="zh-CN"/>
        </w:rPr>
        <w:lastRenderedPageBreak/>
        <w:t xml:space="preserve">Supplementary Table </w:t>
      </w:r>
      <w:r w:rsidR="005B43F9">
        <w:rPr>
          <w:rFonts w:ascii="Arial" w:hAnsi="Arial" w:cs="Arial"/>
          <w:b/>
          <w:bCs/>
          <w:lang w:val="en-GB" w:eastAsia="zh-CN"/>
        </w:rPr>
        <w:t>2</w:t>
      </w:r>
      <w:r w:rsidR="008B1747">
        <w:rPr>
          <w:rFonts w:ascii="Arial" w:hAnsi="Arial" w:cs="Arial"/>
          <w:b/>
          <w:bCs/>
          <w:lang w:val="en-GB" w:eastAsia="zh-CN"/>
        </w:rPr>
        <w:t>.</w:t>
      </w:r>
      <w:r w:rsidR="008B1747">
        <w:rPr>
          <w:rFonts w:ascii="Arial" w:hAnsi="Arial" w:cs="Arial"/>
          <w:b/>
          <w:bCs/>
          <w:lang w:val="en-US"/>
        </w:rPr>
        <w:t xml:space="preserve"> </w:t>
      </w:r>
      <w:r w:rsidR="008B1747" w:rsidRPr="008B1747">
        <w:rPr>
          <w:rFonts w:ascii="Arial" w:hAnsi="Arial" w:cs="Arial"/>
          <w:lang w:val="en-US"/>
        </w:rPr>
        <w:t>De-Long test for comparison between ROC of different formulas</w:t>
      </w:r>
    </w:p>
    <w:p w14:paraId="4CFFBC6A" w14:textId="77777777" w:rsidR="008B1747" w:rsidRDefault="008B1747" w:rsidP="008B1747">
      <w:pPr>
        <w:rPr>
          <w:rFonts w:ascii="Arial" w:hAnsi="Arial" w:cs="Arial"/>
          <w:b/>
          <w:bCs/>
          <w:lang w:val="en-US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30"/>
        <w:gridCol w:w="1140"/>
        <w:gridCol w:w="1141"/>
        <w:gridCol w:w="1141"/>
        <w:gridCol w:w="1141"/>
        <w:gridCol w:w="1141"/>
        <w:gridCol w:w="1358"/>
        <w:gridCol w:w="1141"/>
      </w:tblGrid>
      <w:tr w:rsidR="008B1747" w:rsidRPr="0005061A" w14:paraId="32852065" w14:textId="77777777" w:rsidTr="00CA09DD"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EC1E9B" w14:textId="77777777" w:rsidR="008B1747" w:rsidRPr="0005061A" w:rsidRDefault="008B1747" w:rsidP="00CA09DD">
            <w:pPr>
              <w:spacing w:line="276" w:lineRule="auto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CKD-EPI</w:t>
            </w:r>
          </w:p>
        </w:tc>
        <w:tc>
          <w:tcPr>
            <w:tcW w:w="592" w:type="pct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5EC998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68A948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F32F98F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9CCAF2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722AA9D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70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7F816E2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392D1BE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</w:tr>
      <w:tr w:rsidR="008B1747" w:rsidRPr="0005061A" w14:paraId="70417229" w14:textId="77777777" w:rsidTr="00CA09DD"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388946" w14:textId="77777777" w:rsidR="008B1747" w:rsidRPr="0005061A" w:rsidRDefault="008B1747" w:rsidP="00CA09DD">
            <w:pPr>
              <w:spacing w:line="276" w:lineRule="auto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CG</w:t>
            </w:r>
          </w:p>
        </w:tc>
        <w:tc>
          <w:tcPr>
            <w:tcW w:w="592" w:type="pct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BF72050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0.015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9F8DC2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E0E0625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B0E9BE6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A7FAAF6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0.044</w:t>
            </w:r>
          </w:p>
        </w:tc>
        <w:tc>
          <w:tcPr>
            <w:tcW w:w="70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ECE6221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color w:val="333333"/>
                <w:sz w:val="23"/>
                <w:szCs w:val="23"/>
              </w:rPr>
              <w:t>0.786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E975FC2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</w:tr>
      <w:tr w:rsidR="008B1747" w:rsidRPr="0005061A" w14:paraId="790AE108" w14:textId="77777777" w:rsidTr="00CA09DD"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9C58330" w14:textId="77777777" w:rsidR="008B1747" w:rsidRPr="0005061A" w:rsidRDefault="008B1747" w:rsidP="00CA09DD">
            <w:pPr>
              <w:spacing w:line="276" w:lineRule="auto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CG-BSA</w:t>
            </w:r>
          </w:p>
        </w:tc>
        <w:tc>
          <w:tcPr>
            <w:tcW w:w="592" w:type="pct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9467851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F8297E3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09BED9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0EB6D70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D23D06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70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67BF922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D113AD5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</w:tr>
      <w:tr w:rsidR="008B1747" w:rsidRPr="0005061A" w14:paraId="6C6A641C" w14:textId="77777777" w:rsidTr="00CA09DD"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67E013" w14:textId="77777777" w:rsidR="008B1747" w:rsidRPr="0005061A" w:rsidRDefault="008B1747" w:rsidP="00CA09DD">
            <w:pPr>
              <w:spacing w:line="276" w:lineRule="auto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BIS1</w:t>
            </w:r>
          </w:p>
        </w:tc>
        <w:tc>
          <w:tcPr>
            <w:tcW w:w="592" w:type="pct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0C0F97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color w:val="333333"/>
                <w:sz w:val="23"/>
                <w:szCs w:val="23"/>
              </w:rPr>
              <w:t>0.110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EBF1A20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45A2AA5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22E0CB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F16B851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70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5A9DCE8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8C962F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</w:tr>
      <w:tr w:rsidR="008B1747" w:rsidRPr="0005061A" w14:paraId="2635B263" w14:textId="77777777" w:rsidTr="00CA09DD"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88F7A9C" w14:textId="77777777" w:rsidR="008B1747" w:rsidRPr="0005061A" w:rsidRDefault="008B1747" w:rsidP="00CA09DD">
            <w:pPr>
              <w:spacing w:line="276" w:lineRule="auto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FAS</w:t>
            </w:r>
          </w:p>
        </w:tc>
        <w:tc>
          <w:tcPr>
            <w:tcW w:w="592" w:type="pct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35F9700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color w:val="333333"/>
                <w:sz w:val="23"/>
                <w:szCs w:val="23"/>
              </w:rPr>
              <w:t>0.967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30BD28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D57F6B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color w:val="333333"/>
                <w:sz w:val="23"/>
                <w:szCs w:val="23"/>
              </w:rPr>
              <w:t>0.398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862E8D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B4824E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70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3F7D52F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5BA46AA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</w:tr>
      <w:tr w:rsidR="008B1747" w:rsidRPr="0005061A" w14:paraId="50645677" w14:textId="77777777" w:rsidTr="00CA09DD"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5095681" w14:textId="77777777" w:rsidR="008B1747" w:rsidRPr="0005061A" w:rsidRDefault="008B1747" w:rsidP="00CA09DD">
            <w:pPr>
              <w:spacing w:line="276" w:lineRule="auto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LMR</w:t>
            </w:r>
          </w:p>
        </w:tc>
        <w:tc>
          <w:tcPr>
            <w:tcW w:w="592" w:type="pct"/>
            <w:tcBorders>
              <w:lef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488B34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color w:val="333333"/>
                <w:sz w:val="23"/>
                <w:szCs w:val="23"/>
              </w:rPr>
              <w:t>0.801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10F294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36E373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9C0686E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572F98A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705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DBD1BD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A0A18C0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</w:tr>
      <w:tr w:rsidR="008B1747" w:rsidRPr="0005061A" w14:paraId="7CFAC646" w14:textId="77777777" w:rsidTr="00CA09DD">
        <w:tc>
          <w:tcPr>
            <w:tcW w:w="743" w:type="pct"/>
            <w:tcBorders>
              <w:right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55EF78" w14:textId="77777777" w:rsidR="008B1747" w:rsidRPr="0005061A" w:rsidRDefault="008B1747" w:rsidP="00CA09DD">
            <w:pPr>
              <w:spacing w:line="276" w:lineRule="auto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MDRD</w:t>
            </w:r>
          </w:p>
        </w:tc>
        <w:tc>
          <w:tcPr>
            <w:tcW w:w="592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FD09912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&lt;0.001</w:t>
            </w:r>
          </w:p>
        </w:tc>
        <w:tc>
          <w:tcPr>
            <w:tcW w:w="592" w:type="pct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08D3682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470F371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C380434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C0603AD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705" w:type="pct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C7D3F1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tcBorders>
              <w:bottom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61ACB6B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</w:tr>
      <w:tr w:rsidR="008B1747" w:rsidRPr="0005061A" w14:paraId="150C3B14" w14:textId="77777777" w:rsidTr="00CA09DD">
        <w:tc>
          <w:tcPr>
            <w:tcW w:w="743" w:type="pct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9555C1" w14:textId="77777777" w:rsidR="008B1747" w:rsidRPr="0005061A" w:rsidRDefault="008B1747" w:rsidP="00CA09DD">
            <w:pPr>
              <w:spacing w:line="276" w:lineRule="auto"/>
              <w:rPr>
                <w:rFonts w:ascii="Arial" w:hAnsi="Arial" w:cs="Arial"/>
                <w:color w:val="333333"/>
                <w:sz w:val="23"/>
                <w:szCs w:val="23"/>
              </w:rPr>
            </w:pPr>
          </w:p>
        </w:tc>
        <w:tc>
          <w:tcPr>
            <w:tcW w:w="592" w:type="pct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079D5C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EKFC</w:t>
            </w:r>
          </w:p>
        </w:tc>
        <w:tc>
          <w:tcPr>
            <w:tcW w:w="592" w:type="pct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2CC0DE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MDRD</w:t>
            </w:r>
          </w:p>
        </w:tc>
        <w:tc>
          <w:tcPr>
            <w:tcW w:w="592" w:type="pct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EFD499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LMR</w:t>
            </w:r>
          </w:p>
        </w:tc>
        <w:tc>
          <w:tcPr>
            <w:tcW w:w="592" w:type="pct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BBC427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FAS</w:t>
            </w:r>
          </w:p>
        </w:tc>
        <w:tc>
          <w:tcPr>
            <w:tcW w:w="592" w:type="pct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60EC73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BIS1</w:t>
            </w:r>
          </w:p>
        </w:tc>
        <w:tc>
          <w:tcPr>
            <w:tcW w:w="705" w:type="pct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5BE147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CG</w:t>
            </w:r>
            <w:r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-</w:t>
            </w: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BSA</w:t>
            </w:r>
          </w:p>
        </w:tc>
        <w:tc>
          <w:tcPr>
            <w:tcW w:w="592" w:type="pct"/>
            <w:tcBorders>
              <w:top w:val="single" w:sz="4" w:space="0" w:color="auto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DE310C" w14:textId="77777777" w:rsidR="008B1747" w:rsidRPr="0005061A" w:rsidRDefault="008B1747" w:rsidP="00CA09DD">
            <w:pPr>
              <w:spacing w:line="276" w:lineRule="auto"/>
              <w:jc w:val="center"/>
              <w:rPr>
                <w:rFonts w:ascii="Arial" w:hAnsi="Arial" w:cs="Arial"/>
                <w:color w:val="333333"/>
                <w:sz w:val="23"/>
                <w:szCs w:val="23"/>
              </w:rPr>
            </w:pPr>
            <w:r w:rsidRPr="0005061A">
              <w:rPr>
                <w:rFonts w:ascii="Arial" w:hAnsi="Arial" w:cs="Arial"/>
                <w:b/>
                <w:bCs/>
                <w:color w:val="333333"/>
                <w:sz w:val="23"/>
                <w:szCs w:val="23"/>
              </w:rPr>
              <w:t>CG</w:t>
            </w:r>
          </w:p>
        </w:tc>
      </w:tr>
    </w:tbl>
    <w:p w14:paraId="11433E11" w14:textId="77777777" w:rsidR="008B1747" w:rsidRDefault="008B1747" w:rsidP="008B1747">
      <w:pPr>
        <w:rPr>
          <w:rFonts w:ascii="Arial" w:hAnsi="Arial" w:cs="Arial"/>
          <w:b/>
          <w:bCs/>
          <w:lang w:val="en-US"/>
        </w:rPr>
      </w:pPr>
    </w:p>
    <w:p w14:paraId="10CEDFEF" w14:textId="77777777" w:rsidR="008B1747" w:rsidRDefault="008B1747" w:rsidP="008B1747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  <w:r w:rsidRPr="00295393">
        <w:rPr>
          <w:rFonts w:ascii="Arial" w:hAnsi="Arial" w:cs="Arial"/>
          <w:b/>
          <w:bCs/>
          <w:lang w:val="en-GB" w:eastAsia="zh-CN"/>
        </w:rPr>
        <w:t>Legend.</w:t>
      </w:r>
      <w:r>
        <w:rPr>
          <w:rFonts w:ascii="Arial" w:hAnsi="Arial" w:cs="Arial"/>
          <w:lang w:val="en-GB" w:eastAsia="zh-CN"/>
        </w:rPr>
        <w:t xml:space="preserve"> BIS1 Berlin Initiative Study; </w:t>
      </w:r>
      <w:r w:rsidRPr="00295393">
        <w:rPr>
          <w:rFonts w:ascii="Arial" w:hAnsi="Arial" w:cs="Arial"/>
          <w:lang w:val="en-GB" w:eastAsia="zh-CN"/>
        </w:rPr>
        <w:t>CG</w:t>
      </w:r>
      <w:r>
        <w:rPr>
          <w:rFonts w:ascii="Arial" w:hAnsi="Arial" w:cs="Arial"/>
          <w:lang w:val="en-GB" w:eastAsia="zh-CN"/>
        </w:rPr>
        <w:t xml:space="preserve">, Cockcroft Gault; CG-BSA, Cockcroft Gault adjusted for body surface area; </w:t>
      </w:r>
      <w:r w:rsidRPr="00295393">
        <w:rPr>
          <w:rFonts w:ascii="Arial" w:hAnsi="Arial" w:cs="Arial"/>
          <w:lang w:val="en-GB" w:eastAsia="zh-CN"/>
        </w:rPr>
        <w:t>CKD-EPI</w:t>
      </w:r>
      <w:r>
        <w:rPr>
          <w:rFonts w:ascii="Arial" w:hAnsi="Arial" w:cs="Arial"/>
          <w:lang w:val="en-GB" w:eastAsia="zh-CN"/>
        </w:rPr>
        <w:t xml:space="preserve">, </w:t>
      </w:r>
      <w:r w:rsidRPr="00295393">
        <w:rPr>
          <w:rFonts w:ascii="Arial" w:hAnsi="Arial" w:cs="Arial"/>
          <w:lang w:val="en-GB" w:eastAsia="zh-CN"/>
        </w:rPr>
        <w:t>Chronic Kidney Disease Epidemiology Collaboration</w:t>
      </w:r>
      <w:r>
        <w:rPr>
          <w:rFonts w:ascii="Arial" w:hAnsi="Arial" w:cs="Arial"/>
          <w:lang w:val="en-GB" w:eastAsia="zh-CN"/>
        </w:rPr>
        <w:t xml:space="preserve">; EKFC, European Kidney Function </w:t>
      </w:r>
      <w:proofErr w:type="gramStart"/>
      <w:r>
        <w:rPr>
          <w:rFonts w:ascii="Arial" w:hAnsi="Arial" w:cs="Arial"/>
          <w:lang w:val="en-GB" w:eastAsia="zh-CN"/>
        </w:rPr>
        <w:t>Consortium ;</w:t>
      </w:r>
      <w:proofErr w:type="gramEnd"/>
      <w:r>
        <w:rPr>
          <w:rFonts w:ascii="Arial" w:hAnsi="Arial" w:cs="Arial"/>
          <w:lang w:val="en-GB" w:eastAsia="zh-CN"/>
        </w:rPr>
        <w:t xml:space="preserve"> FAS, Full Age Spectrum; LMR, Liquidity Maintenance Ratio; MDRD, </w:t>
      </w:r>
      <w:r w:rsidRPr="00295393">
        <w:rPr>
          <w:rFonts w:ascii="Arial" w:hAnsi="Arial" w:cs="Arial"/>
          <w:lang w:val="en-GB" w:eastAsia="zh-CN"/>
        </w:rPr>
        <w:t>Modification of Diet in Renal Disease</w:t>
      </w:r>
      <w:r>
        <w:rPr>
          <w:rFonts w:ascii="Arial" w:hAnsi="Arial" w:cs="Arial"/>
          <w:lang w:val="en-GB" w:eastAsia="zh-CN"/>
        </w:rPr>
        <w:t>.</w:t>
      </w:r>
    </w:p>
    <w:p w14:paraId="50060351" w14:textId="77777777" w:rsidR="007827FC" w:rsidRPr="008B1747" w:rsidRDefault="007827FC" w:rsidP="007827FC">
      <w:pPr>
        <w:rPr>
          <w:lang w:val="en-GB"/>
        </w:rPr>
      </w:pPr>
    </w:p>
    <w:p w14:paraId="771C1654" w14:textId="77777777" w:rsidR="00561FEB" w:rsidRDefault="00561FEB" w:rsidP="00F333E6">
      <w:pPr>
        <w:spacing w:line="480" w:lineRule="auto"/>
        <w:rPr>
          <w:rFonts w:ascii="Arial" w:hAnsi="Arial" w:cs="Arial"/>
          <w:b/>
          <w:bCs/>
          <w:lang w:val="en-GB" w:eastAsia="zh-CN"/>
        </w:rPr>
        <w:sectPr w:rsidR="00561FEB" w:rsidSect="00EF06D7">
          <w:pgSz w:w="11901" w:h="16817"/>
          <w:pgMar w:top="1418" w:right="1134" w:bottom="1134" w:left="1134" w:header="709" w:footer="709" w:gutter="0"/>
          <w:cols w:space="708"/>
          <w:docGrid w:linePitch="360"/>
        </w:sectPr>
      </w:pPr>
    </w:p>
    <w:p w14:paraId="195A21A0" w14:textId="6D8B9BFE" w:rsidR="00F333E6" w:rsidRDefault="0002438A" w:rsidP="00F333E6">
      <w:pPr>
        <w:spacing w:line="480" w:lineRule="auto"/>
        <w:rPr>
          <w:rFonts w:ascii="Arial" w:hAnsi="Arial" w:cs="Arial"/>
          <w:b/>
          <w:bCs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lastRenderedPageBreak/>
        <w:t>FIGURES</w:t>
      </w:r>
    </w:p>
    <w:p w14:paraId="5039158D" w14:textId="3B542820" w:rsidR="004A2E4C" w:rsidRDefault="00F333E6" w:rsidP="004A2E4C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t xml:space="preserve">Supplementary Figure </w:t>
      </w:r>
      <w:r w:rsidR="003B07CC">
        <w:rPr>
          <w:rFonts w:ascii="Arial" w:hAnsi="Arial" w:cs="Arial"/>
          <w:b/>
          <w:bCs/>
          <w:lang w:val="en-GB" w:eastAsia="zh-CN"/>
        </w:rPr>
        <w:t>1</w:t>
      </w:r>
      <w:r w:rsidR="00D426B0">
        <w:rPr>
          <w:rFonts w:ascii="Arial" w:hAnsi="Arial" w:cs="Arial"/>
          <w:b/>
          <w:bCs/>
          <w:lang w:val="en-GB" w:eastAsia="zh-CN"/>
        </w:rPr>
        <w:t>.</w:t>
      </w:r>
      <w:r w:rsidR="00A3286E">
        <w:rPr>
          <w:rFonts w:ascii="Arial" w:hAnsi="Arial" w:cs="Arial"/>
          <w:lang w:val="en-GB" w:eastAsia="zh-CN"/>
        </w:rPr>
        <w:t xml:space="preserve"> </w:t>
      </w:r>
      <w:r w:rsidR="004A2E4C">
        <w:rPr>
          <w:rFonts w:ascii="Arial" w:hAnsi="Arial" w:cs="Arial"/>
          <w:lang w:val="en-GB" w:eastAsia="zh-CN"/>
        </w:rPr>
        <w:t>Kaplan-Meier curves for all-cause death according to CKD stages.</w:t>
      </w:r>
    </w:p>
    <w:p w14:paraId="745D8183" w14:textId="1B341BD7" w:rsidR="004A2E4C" w:rsidRDefault="004A2E4C" w:rsidP="00CD1A64">
      <w:pPr>
        <w:spacing w:line="480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noProof/>
          <w:lang w:val="en-GB" w:eastAsia="zh-CN"/>
        </w:rPr>
        <w:drawing>
          <wp:inline distT="0" distB="0" distL="0" distR="0" wp14:anchorId="391CC1ED" wp14:editId="6E8D0780">
            <wp:extent cx="6116955" cy="6553835"/>
            <wp:effectExtent l="0" t="0" r="4445" b="0"/>
            <wp:docPr id="120498245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4982450" name="Immagine 1204982450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955" cy="655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AD64DB" w14:textId="77777777" w:rsidR="004A2E4C" w:rsidRDefault="004A2E4C" w:rsidP="00CD1A64">
      <w:pPr>
        <w:spacing w:line="480" w:lineRule="auto"/>
        <w:rPr>
          <w:rFonts w:ascii="Arial" w:hAnsi="Arial" w:cs="Arial"/>
          <w:lang w:val="en-GB" w:eastAsia="zh-CN"/>
        </w:rPr>
      </w:pPr>
    </w:p>
    <w:p w14:paraId="1522E325" w14:textId="77777777" w:rsidR="004A2E4C" w:rsidRDefault="004A2E4C" w:rsidP="00CD1A64">
      <w:pPr>
        <w:spacing w:line="480" w:lineRule="auto"/>
        <w:rPr>
          <w:rFonts w:ascii="Arial" w:hAnsi="Arial" w:cs="Arial"/>
          <w:lang w:val="en-GB" w:eastAsia="zh-CN"/>
        </w:rPr>
      </w:pPr>
    </w:p>
    <w:p w14:paraId="5EDFD472" w14:textId="77777777" w:rsidR="004A2E4C" w:rsidRDefault="004A2E4C" w:rsidP="00CD1A64">
      <w:pPr>
        <w:spacing w:line="480" w:lineRule="auto"/>
        <w:rPr>
          <w:rFonts w:ascii="Arial" w:hAnsi="Arial" w:cs="Arial"/>
          <w:lang w:val="en-GB" w:eastAsia="zh-CN"/>
        </w:rPr>
      </w:pPr>
    </w:p>
    <w:p w14:paraId="4FFC92EC" w14:textId="77777777" w:rsidR="004A2E4C" w:rsidRDefault="004A2E4C" w:rsidP="00CD1A64">
      <w:pPr>
        <w:spacing w:line="480" w:lineRule="auto"/>
        <w:rPr>
          <w:rFonts w:ascii="Arial" w:hAnsi="Arial" w:cs="Arial"/>
          <w:lang w:val="en-GB" w:eastAsia="zh-CN"/>
        </w:rPr>
      </w:pPr>
    </w:p>
    <w:p w14:paraId="5D14041F" w14:textId="65C84AA2" w:rsidR="005A5654" w:rsidRDefault="002A40D1" w:rsidP="00CD1A64">
      <w:pPr>
        <w:spacing w:line="480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lastRenderedPageBreak/>
        <w:t xml:space="preserve">Supplementary Figure </w:t>
      </w:r>
      <w:r w:rsidR="00E46F41">
        <w:rPr>
          <w:rFonts w:ascii="Arial" w:hAnsi="Arial" w:cs="Arial"/>
          <w:b/>
          <w:bCs/>
          <w:lang w:val="en-GB" w:eastAsia="zh-CN"/>
        </w:rPr>
        <w:t>2</w:t>
      </w:r>
      <w:r>
        <w:rPr>
          <w:rFonts w:ascii="Arial" w:hAnsi="Arial" w:cs="Arial"/>
          <w:b/>
          <w:bCs/>
          <w:lang w:val="en-GB" w:eastAsia="zh-CN"/>
        </w:rPr>
        <w:t>.</w:t>
      </w:r>
      <w:r>
        <w:rPr>
          <w:rFonts w:ascii="Arial" w:hAnsi="Arial" w:cs="Arial"/>
          <w:lang w:val="en-GB" w:eastAsia="zh-CN"/>
        </w:rPr>
        <w:t xml:space="preserve"> </w:t>
      </w:r>
      <w:r w:rsidR="003B07CC">
        <w:rPr>
          <w:rFonts w:ascii="Arial" w:hAnsi="Arial" w:cs="Arial"/>
          <w:lang w:val="en-GB" w:eastAsia="zh-CN"/>
        </w:rPr>
        <w:t>Cox regression analysis for association between stages of CKD and the primary composite outcome. Results are expressed as Hazard ratio and 95% confidence interval.</w:t>
      </w:r>
    </w:p>
    <w:p w14:paraId="67FF576F" w14:textId="306D37EF" w:rsidR="00F333E6" w:rsidRDefault="003B07CC" w:rsidP="00F333E6">
      <w:pPr>
        <w:spacing w:line="480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noProof/>
          <w:lang w:val="en-US"/>
        </w:rPr>
        <w:drawing>
          <wp:inline distT="0" distB="0" distL="0" distR="0" wp14:anchorId="69078B36" wp14:editId="29249C45">
            <wp:extent cx="6116955" cy="3058175"/>
            <wp:effectExtent l="0" t="0" r="4445" b="2540"/>
            <wp:docPr id="1984938447" name="Immagine 2" descr="Immagine che contiene testo, schermata, numer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4938447" name="Immagine 2" descr="Immagine che contiene testo, schermata, numero, Carattere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955" cy="305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80C00" w14:textId="735CC94D" w:rsidR="002A40D1" w:rsidRDefault="003B07CC" w:rsidP="00CF634E">
      <w:pPr>
        <w:spacing w:line="480" w:lineRule="auto"/>
        <w:rPr>
          <w:rFonts w:ascii="Arial" w:hAnsi="Arial" w:cs="Arial"/>
          <w:lang w:val="en-GB" w:eastAsia="zh-CN"/>
        </w:rPr>
      </w:pPr>
      <w:r w:rsidRPr="003B07CC">
        <w:rPr>
          <w:rFonts w:ascii="Arial" w:hAnsi="Arial" w:cs="Arial"/>
          <w:b/>
          <w:bCs/>
          <w:lang w:val="en-GB" w:eastAsia="zh-CN"/>
        </w:rPr>
        <w:t>Legend.</w:t>
      </w:r>
      <w:r>
        <w:rPr>
          <w:rFonts w:ascii="Arial" w:hAnsi="Arial" w:cs="Arial"/>
          <w:lang w:val="en-GB" w:eastAsia="zh-CN"/>
        </w:rPr>
        <w:t xml:space="preserve"> BIS1 Berlin Initiative Study; </w:t>
      </w:r>
      <w:r w:rsidRPr="00295393">
        <w:rPr>
          <w:rFonts w:ascii="Arial" w:hAnsi="Arial" w:cs="Arial"/>
          <w:lang w:val="en-GB" w:eastAsia="zh-CN"/>
        </w:rPr>
        <w:t>CG</w:t>
      </w:r>
      <w:r>
        <w:rPr>
          <w:rFonts w:ascii="Arial" w:hAnsi="Arial" w:cs="Arial"/>
          <w:lang w:val="en-GB" w:eastAsia="zh-CN"/>
        </w:rPr>
        <w:t xml:space="preserve">, Cockcroft Gault; CG-BSA, Cockcroft Gault adjusted for body surface area; </w:t>
      </w:r>
      <w:r w:rsidRPr="00295393">
        <w:rPr>
          <w:rFonts w:ascii="Arial" w:hAnsi="Arial" w:cs="Arial"/>
          <w:lang w:val="en-GB" w:eastAsia="zh-CN"/>
        </w:rPr>
        <w:t>CKD-EPI</w:t>
      </w:r>
      <w:r>
        <w:rPr>
          <w:rFonts w:ascii="Arial" w:hAnsi="Arial" w:cs="Arial"/>
          <w:lang w:val="en-GB" w:eastAsia="zh-CN"/>
        </w:rPr>
        <w:t xml:space="preserve">, </w:t>
      </w:r>
      <w:r w:rsidRPr="00295393">
        <w:rPr>
          <w:rFonts w:ascii="Arial" w:hAnsi="Arial" w:cs="Arial"/>
          <w:lang w:val="en-GB" w:eastAsia="zh-CN"/>
        </w:rPr>
        <w:t>Chronic Kidney Disease Epidemiology Collaboration</w:t>
      </w:r>
      <w:r>
        <w:rPr>
          <w:rFonts w:ascii="Arial" w:hAnsi="Arial" w:cs="Arial"/>
          <w:lang w:val="en-GB" w:eastAsia="zh-CN"/>
        </w:rPr>
        <w:t xml:space="preserve">; EKFC, European Kidney Function </w:t>
      </w:r>
      <w:proofErr w:type="gramStart"/>
      <w:r>
        <w:rPr>
          <w:rFonts w:ascii="Arial" w:hAnsi="Arial" w:cs="Arial"/>
          <w:lang w:val="en-GB" w:eastAsia="zh-CN"/>
        </w:rPr>
        <w:t>Consortium ;</w:t>
      </w:r>
      <w:proofErr w:type="gramEnd"/>
      <w:r>
        <w:rPr>
          <w:rFonts w:ascii="Arial" w:hAnsi="Arial" w:cs="Arial"/>
          <w:lang w:val="en-GB" w:eastAsia="zh-CN"/>
        </w:rPr>
        <w:t xml:space="preserve"> FAS, Full Age Spectrum; LMR, Liquidity Maintenance Ratio; MDRD, </w:t>
      </w:r>
      <w:r w:rsidRPr="00295393">
        <w:rPr>
          <w:rFonts w:ascii="Arial" w:hAnsi="Arial" w:cs="Arial"/>
          <w:lang w:val="en-GB" w:eastAsia="zh-CN"/>
        </w:rPr>
        <w:t>Modification of Diet in Renal Disease</w:t>
      </w:r>
      <w:r>
        <w:rPr>
          <w:rFonts w:ascii="Arial" w:hAnsi="Arial" w:cs="Arial"/>
          <w:lang w:val="en-GB" w:eastAsia="zh-CN"/>
        </w:rPr>
        <w:t>.</w:t>
      </w:r>
    </w:p>
    <w:p w14:paraId="49A37F24" w14:textId="00EAF41C" w:rsidR="002A40D1" w:rsidRDefault="002A40D1">
      <w:pPr>
        <w:spacing w:after="200" w:line="276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lang w:val="en-GB" w:eastAsia="zh-CN"/>
        </w:rPr>
        <w:br w:type="page"/>
      </w:r>
    </w:p>
    <w:p w14:paraId="20515EC6" w14:textId="5FD30454" w:rsidR="002A40D1" w:rsidRDefault="002A40D1" w:rsidP="002A40D1">
      <w:pPr>
        <w:spacing w:line="480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lastRenderedPageBreak/>
        <w:t>Supplementary Figure 3.</w:t>
      </w:r>
      <w:r>
        <w:rPr>
          <w:rFonts w:ascii="Arial" w:hAnsi="Arial" w:cs="Arial"/>
          <w:lang w:val="en-GB" w:eastAsia="zh-CN"/>
        </w:rPr>
        <w:t xml:space="preserve"> Cox regression analysis for association between stages of CKD and All-cause death. Results are expressed as Hazard ratio and 95% confidence interval.</w:t>
      </w:r>
    </w:p>
    <w:p w14:paraId="6CAD8B79" w14:textId="50A3897F" w:rsidR="002A40D1" w:rsidRDefault="00F84CCB" w:rsidP="002A40D1">
      <w:pPr>
        <w:spacing w:line="480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noProof/>
          <w:lang w:val="en-GB" w:eastAsia="zh-CN"/>
        </w:rPr>
        <w:drawing>
          <wp:inline distT="0" distB="0" distL="0" distR="0" wp14:anchorId="2CDEB73D" wp14:editId="771CDBAE">
            <wp:extent cx="6116955" cy="3058795"/>
            <wp:effectExtent l="0" t="0" r="4445" b="1905"/>
            <wp:docPr id="1835579658" name="Immagine 2" descr="Immagine che contiene testo, schermata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5579658" name="Immagine 2" descr="Immagine che contiene testo, schermata, numero&#10;&#10;Descrizione generata automaticament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955" cy="3058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CC8DFA" w14:textId="21621DEC" w:rsidR="00F84CCB" w:rsidRDefault="002A40D1" w:rsidP="002A40D1">
      <w:pPr>
        <w:spacing w:line="480" w:lineRule="auto"/>
        <w:rPr>
          <w:rFonts w:ascii="Arial" w:hAnsi="Arial" w:cs="Arial"/>
          <w:lang w:val="en-GB" w:eastAsia="zh-CN"/>
        </w:rPr>
      </w:pPr>
      <w:r w:rsidRPr="003B07CC">
        <w:rPr>
          <w:rFonts w:ascii="Arial" w:hAnsi="Arial" w:cs="Arial"/>
          <w:b/>
          <w:bCs/>
          <w:lang w:val="en-GB" w:eastAsia="zh-CN"/>
        </w:rPr>
        <w:t>Legend.</w:t>
      </w:r>
      <w:r>
        <w:rPr>
          <w:rFonts w:ascii="Arial" w:hAnsi="Arial" w:cs="Arial"/>
          <w:lang w:val="en-GB" w:eastAsia="zh-CN"/>
        </w:rPr>
        <w:t xml:space="preserve"> BIS1 Berlin Initiative Study; </w:t>
      </w:r>
      <w:r w:rsidRPr="00295393">
        <w:rPr>
          <w:rFonts w:ascii="Arial" w:hAnsi="Arial" w:cs="Arial"/>
          <w:lang w:val="en-GB" w:eastAsia="zh-CN"/>
        </w:rPr>
        <w:t>CG</w:t>
      </w:r>
      <w:r>
        <w:rPr>
          <w:rFonts w:ascii="Arial" w:hAnsi="Arial" w:cs="Arial"/>
          <w:lang w:val="en-GB" w:eastAsia="zh-CN"/>
        </w:rPr>
        <w:t xml:space="preserve">, Cockcroft Gault; CG-BSA, Cockcroft Gault adjusted for body surface area; </w:t>
      </w:r>
      <w:r w:rsidRPr="00295393">
        <w:rPr>
          <w:rFonts w:ascii="Arial" w:hAnsi="Arial" w:cs="Arial"/>
          <w:lang w:val="en-GB" w:eastAsia="zh-CN"/>
        </w:rPr>
        <w:t>CKD-EPI</w:t>
      </w:r>
      <w:r>
        <w:rPr>
          <w:rFonts w:ascii="Arial" w:hAnsi="Arial" w:cs="Arial"/>
          <w:lang w:val="en-GB" w:eastAsia="zh-CN"/>
        </w:rPr>
        <w:t xml:space="preserve">, </w:t>
      </w:r>
      <w:r w:rsidRPr="00295393">
        <w:rPr>
          <w:rFonts w:ascii="Arial" w:hAnsi="Arial" w:cs="Arial"/>
          <w:lang w:val="en-GB" w:eastAsia="zh-CN"/>
        </w:rPr>
        <w:t>Chronic Kidney Disease Epidemiology Collaboration</w:t>
      </w:r>
      <w:r>
        <w:rPr>
          <w:rFonts w:ascii="Arial" w:hAnsi="Arial" w:cs="Arial"/>
          <w:lang w:val="en-GB" w:eastAsia="zh-CN"/>
        </w:rPr>
        <w:t xml:space="preserve">; EKFC, European Kidney Function </w:t>
      </w:r>
      <w:proofErr w:type="gramStart"/>
      <w:r>
        <w:rPr>
          <w:rFonts w:ascii="Arial" w:hAnsi="Arial" w:cs="Arial"/>
          <w:lang w:val="en-GB" w:eastAsia="zh-CN"/>
        </w:rPr>
        <w:t>Consortium ;</w:t>
      </w:r>
      <w:proofErr w:type="gramEnd"/>
      <w:r>
        <w:rPr>
          <w:rFonts w:ascii="Arial" w:hAnsi="Arial" w:cs="Arial"/>
          <w:lang w:val="en-GB" w:eastAsia="zh-CN"/>
        </w:rPr>
        <w:t xml:space="preserve"> FAS, Full Age Spectrum; LMR, Liquidity Maintenance Ratio; MDRD, </w:t>
      </w:r>
      <w:r w:rsidRPr="00295393">
        <w:rPr>
          <w:rFonts w:ascii="Arial" w:hAnsi="Arial" w:cs="Arial"/>
          <w:lang w:val="en-GB" w:eastAsia="zh-CN"/>
        </w:rPr>
        <w:t>Modification of Diet in Renal Disease</w:t>
      </w:r>
      <w:r>
        <w:rPr>
          <w:rFonts w:ascii="Arial" w:hAnsi="Arial" w:cs="Arial"/>
          <w:lang w:val="en-GB" w:eastAsia="zh-CN"/>
        </w:rPr>
        <w:t>.</w:t>
      </w:r>
    </w:p>
    <w:p w14:paraId="4C22B748" w14:textId="77777777" w:rsidR="00F84CCB" w:rsidRDefault="00F84CCB">
      <w:pPr>
        <w:spacing w:after="200" w:line="276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lang w:val="en-GB" w:eastAsia="zh-CN"/>
        </w:rPr>
        <w:br w:type="page"/>
      </w:r>
    </w:p>
    <w:p w14:paraId="0E90E2FF" w14:textId="774FFDA4" w:rsidR="00F84CCB" w:rsidRDefault="00F84CCB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  <w:r>
        <w:rPr>
          <w:rFonts w:ascii="Arial" w:hAnsi="Arial" w:cs="Arial"/>
          <w:b/>
          <w:bCs/>
          <w:lang w:val="en-GB" w:eastAsia="zh-CN"/>
        </w:rPr>
        <w:lastRenderedPageBreak/>
        <w:t>Supplementary Figure</w:t>
      </w:r>
      <w:r w:rsidRPr="00292A31">
        <w:rPr>
          <w:rFonts w:ascii="Arial" w:hAnsi="Arial" w:cs="Arial"/>
          <w:b/>
          <w:bCs/>
          <w:lang w:val="en-GB" w:eastAsia="zh-CN"/>
        </w:rPr>
        <w:t xml:space="preserve"> </w:t>
      </w:r>
      <w:r>
        <w:rPr>
          <w:rFonts w:ascii="Arial" w:hAnsi="Arial" w:cs="Arial"/>
          <w:b/>
          <w:bCs/>
          <w:lang w:val="en-GB" w:eastAsia="zh-CN"/>
        </w:rPr>
        <w:t>4</w:t>
      </w:r>
      <w:r w:rsidRPr="00292A31">
        <w:rPr>
          <w:rFonts w:ascii="Arial" w:hAnsi="Arial" w:cs="Arial"/>
          <w:b/>
          <w:bCs/>
          <w:lang w:val="en-GB" w:eastAsia="zh-CN"/>
        </w:rPr>
        <w:t>.</w:t>
      </w:r>
      <w:r>
        <w:rPr>
          <w:rFonts w:ascii="Arial" w:hAnsi="Arial" w:cs="Arial"/>
          <w:lang w:val="en-GB" w:eastAsia="zh-CN"/>
        </w:rPr>
        <w:t xml:space="preserve"> Spline curves expressing the non-linear association between eGFR (or </w:t>
      </w:r>
      <w:proofErr w:type="spellStart"/>
      <w:r>
        <w:rPr>
          <w:rFonts w:ascii="Arial" w:hAnsi="Arial" w:cs="Arial"/>
          <w:lang w:val="en-GB" w:eastAsia="zh-CN"/>
        </w:rPr>
        <w:t>CrCl</w:t>
      </w:r>
      <w:proofErr w:type="spellEnd"/>
      <w:r>
        <w:rPr>
          <w:rFonts w:ascii="Arial" w:hAnsi="Arial" w:cs="Arial"/>
          <w:lang w:val="en-GB" w:eastAsia="zh-CN"/>
        </w:rPr>
        <w:t xml:space="preserve">) and all-cause death. </w:t>
      </w:r>
    </w:p>
    <w:p w14:paraId="676116B1" w14:textId="77777777" w:rsidR="00F84CCB" w:rsidRDefault="00F84CCB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</w:p>
    <w:p w14:paraId="12B07E23" w14:textId="0D6A7961" w:rsidR="00F84CCB" w:rsidRDefault="006A59B4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  <w:r>
        <w:rPr>
          <w:rFonts w:ascii="Arial" w:hAnsi="Arial" w:cs="Arial"/>
          <w:noProof/>
          <w:lang w:val="en-GB" w:eastAsia="zh-CN"/>
        </w:rPr>
        <w:drawing>
          <wp:inline distT="0" distB="0" distL="0" distR="0" wp14:anchorId="48BF3396" wp14:editId="492DA4EC">
            <wp:extent cx="6116955" cy="3058795"/>
            <wp:effectExtent l="0" t="0" r="4445" b="1905"/>
            <wp:docPr id="1725604583" name="Immagine 1" descr="Immagine che contiene linea, diagramma, Diagramma, schermat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5604583" name="Immagine 1" descr="Immagine che contiene linea, diagramma, Diagramma, schermata&#10;&#10;Il contenuto generato dall'IA potrebbe non essere corretto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955" cy="3058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E3C588" w14:textId="77777777" w:rsidR="00F84CCB" w:rsidRDefault="00F84CCB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  <w:r w:rsidRPr="00292A31">
        <w:rPr>
          <w:rFonts w:ascii="Arial" w:hAnsi="Arial" w:cs="Arial"/>
          <w:b/>
          <w:bCs/>
          <w:lang w:val="en-GB" w:eastAsia="zh-CN"/>
        </w:rPr>
        <w:t>Legend.</w:t>
      </w:r>
      <w:r>
        <w:rPr>
          <w:rFonts w:ascii="Arial" w:hAnsi="Arial" w:cs="Arial"/>
          <w:lang w:val="en-GB" w:eastAsia="zh-CN"/>
        </w:rPr>
        <w:t xml:space="preserve"> BIS1 Berlin Initiative Study; </w:t>
      </w:r>
      <w:r w:rsidRPr="00295393">
        <w:rPr>
          <w:rFonts w:ascii="Arial" w:hAnsi="Arial" w:cs="Arial"/>
          <w:lang w:val="en-GB" w:eastAsia="zh-CN"/>
        </w:rPr>
        <w:t>CG</w:t>
      </w:r>
      <w:r>
        <w:rPr>
          <w:rFonts w:ascii="Arial" w:hAnsi="Arial" w:cs="Arial"/>
          <w:lang w:val="en-GB" w:eastAsia="zh-CN"/>
        </w:rPr>
        <w:t xml:space="preserve">, Cockcroft Gault; CG-BSA, Cockcroft Gault adjusted for body surface area; </w:t>
      </w:r>
      <w:r w:rsidRPr="00295393">
        <w:rPr>
          <w:rFonts w:ascii="Arial" w:hAnsi="Arial" w:cs="Arial"/>
          <w:lang w:val="en-GB" w:eastAsia="zh-CN"/>
        </w:rPr>
        <w:t>CKD-EPI</w:t>
      </w:r>
      <w:r>
        <w:rPr>
          <w:rFonts w:ascii="Arial" w:hAnsi="Arial" w:cs="Arial"/>
          <w:lang w:val="en-GB" w:eastAsia="zh-CN"/>
        </w:rPr>
        <w:t xml:space="preserve">, </w:t>
      </w:r>
      <w:r w:rsidRPr="00295393">
        <w:rPr>
          <w:rFonts w:ascii="Arial" w:hAnsi="Arial" w:cs="Arial"/>
          <w:lang w:val="en-GB" w:eastAsia="zh-CN"/>
        </w:rPr>
        <w:t>Chronic Kidney Disease Epidemiology Collaboration</w:t>
      </w:r>
      <w:r>
        <w:rPr>
          <w:rFonts w:ascii="Arial" w:hAnsi="Arial" w:cs="Arial"/>
          <w:lang w:val="en-GB" w:eastAsia="zh-CN"/>
        </w:rPr>
        <w:t xml:space="preserve">; EKFC, European Kidney Function </w:t>
      </w:r>
      <w:proofErr w:type="gramStart"/>
      <w:r>
        <w:rPr>
          <w:rFonts w:ascii="Arial" w:hAnsi="Arial" w:cs="Arial"/>
          <w:lang w:val="en-GB" w:eastAsia="zh-CN"/>
        </w:rPr>
        <w:t>Consortium ;</w:t>
      </w:r>
      <w:proofErr w:type="gramEnd"/>
      <w:r>
        <w:rPr>
          <w:rFonts w:ascii="Arial" w:hAnsi="Arial" w:cs="Arial"/>
          <w:lang w:val="en-GB" w:eastAsia="zh-CN"/>
        </w:rPr>
        <w:t xml:space="preserve"> FAS, Full Age Spectrum; LMR, Liquidity Maintenance Ratio; MDRD, </w:t>
      </w:r>
      <w:r w:rsidRPr="00295393">
        <w:rPr>
          <w:rFonts w:ascii="Arial" w:hAnsi="Arial" w:cs="Arial"/>
          <w:lang w:val="en-GB" w:eastAsia="zh-CN"/>
        </w:rPr>
        <w:t>Modification of Diet in Renal Disease</w:t>
      </w:r>
      <w:r>
        <w:rPr>
          <w:rFonts w:ascii="Arial" w:hAnsi="Arial" w:cs="Arial"/>
          <w:lang w:val="en-GB" w:eastAsia="zh-CN"/>
        </w:rPr>
        <w:t>.</w:t>
      </w:r>
    </w:p>
    <w:p w14:paraId="37945FD4" w14:textId="77777777" w:rsidR="005B43F9" w:rsidRDefault="005B43F9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</w:p>
    <w:p w14:paraId="24AD0BF2" w14:textId="77777777" w:rsidR="005B43F9" w:rsidRDefault="005B43F9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</w:p>
    <w:p w14:paraId="04411859" w14:textId="77777777" w:rsidR="005B43F9" w:rsidRDefault="005B43F9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</w:p>
    <w:p w14:paraId="1CD6CA60" w14:textId="77777777" w:rsidR="005B43F9" w:rsidRDefault="005B43F9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</w:p>
    <w:p w14:paraId="6AE4395C" w14:textId="77777777" w:rsidR="005B43F9" w:rsidRDefault="005B43F9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</w:p>
    <w:p w14:paraId="5DBCABBC" w14:textId="77777777" w:rsidR="005B43F9" w:rsidRDefault="005B43F9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</w:p>
    <w:p w14:paraId="72DFD206" w14:textId="026CA0A0" w:rsidR="005B43F9" w:rsidRPr="00A35EF2" w:rsidRDefault="005B43F9" w:rsidP="00A35EF2">
      <w:pPr>
        <w:spacing w:after="200" w:line="276" w:lineRule="auto"/>
        <w:rPr>
          <w:rFonts w:ascii="Arial" w:hAnsi="Arial" w:cs="Arial"/>
          <w:lang w:val="en-GB" w:eastAsia="zh-CN"/>
        </w:rPr>
      </w:pPr>
      <w:r>
        <w:rPr>
          <w:rFonts w:ascii="Arial" w:hAnsi="Arial" w:cs="Arial"/>
          <w:lang w:val="en-GB" w:eastAsia="zh-CN"/>
        </w:rPr>
        <w:br w:type="page"/>
      </w:r>
    </w:p>
    <w:p w14:paraId="6656770F" w14:textId="1A2DD22A" w:rsidR="00E46F41" w:rsidRPr="001D27C1" w:rsidRDefault="00E46F41" w:rsidP="00E46F41">
      <w:pPr>
        <w:rPr>
          <w:rFonts w:ascii="Arial" w:hAnsi="Arial" w:cs="Arial"/>
          <w:color w:val="000000" w:themeColor="text1"/>
          <w:lang w:val="en-US"/>
        </w:rPr>
      </w:pPr>
      <w:r>
        <w:rPr>
          <w:rFonts w:ascii="Arial" w:hAnsi="Arial" w:cs="Arial"/>
          <w:b/>
          <w:bCs/>
          <w:lang w:val="en-GB" w:eastAsia="zh-CN"/>
        </w:rPr>
        <w:lastRenderedPageBreak/>
        <w:t xml:space="preserve">Supplementary </w:t>
      </w:r>
      <w:r w:rsidRPr="001D27C1">
        <w:rPr>
          <w:rFonts w:ascii="Arial" w:hAnsi="Arial" w:cs="Arial"/>
          <w:b/>
          <w:bCs/>
          <w:lang w:val="en-GB" w:eastAsia="zh-CN"/>
        </w:rPr>
        <w:t>Figure 5.</w:t>
      </w:r>
      <w:r w:rsidRPr="001D27C1">
        <w:rPr>
          <w:rFonts w:ascii="Arial" w:hAnsi="Arial" w:cs="Arial"/>
          <w:lang w:val="en-GB" w:eastAsia="zh-CN"/>
        </w:rPr>
        <w:t xml:space="preserve"> </w:t>
      </w:r>
      <w:r w:rsidRPr="001D27C1">
        <w:rPr>
          <w:rFonts w:ascii="Arial" w:hAnsi="Arial" w:cs="Arial"/>
          <w:color w:val="000000" w:themeColor="text1"/>
          <w:lang w:val="en-US"/>
        </w:rPr>
        <w:t xml:space="preserve">Area under the curve for prediction of </w:t>
      </w:r>
      <w:r>
        <w:rPr>
          <w:rFonts w:ascii="Arial" w:hAnsi="Arial" w:cs="Arial"/>
          <w:color w:val="000000" w:themeColor="text1"/>
          <w:lang w:val="en-US"/>
        </w:rPr>
        <w:t>thromboembolic events</w:t>
      </w:r>
      <w:r w:rsidRPr="001D27C1">
        <w:rPr>
          <w:rFonts w:ascii="Arial" w:hAnsi="Arial" w:cs="Arial"/>
          <w:color w:val="000000" w:themeColor="text1"/>
          <w:lang w:val="en-US"/>
        </w:rPr>
        <w:t xml:space="preserve"> for different equations.</w:t>
      </w:r>
      <w:r>
        <w:rPr>
          <w:rFonts w:ascii="Arial" w:hAnsi="Arial" w:cs="Arial"/>
          <w:color w:val="000000" w:themeColor="text1"/>
          <w:lang w:val="en-US"/>
        </w:rPr>
        <w:t xml:space="preserve"> </w:t>
      </w:r>
    </w:p>
    <w:p w14:paraId="1E225DE2" w14:textId="77777777" w:rsidR="00E46F41" w:rsidRDefault="00E46F41" w:rsidP="00E46F41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US" w:eastAsia="zh-CN"/>
        </w:rPr>
      </w:pPr>
    </w:p>
    <w:p w14:paraId="535C9F3E" w14:textId="33EF918F" w:rsidR="00E46F41" w:rsidRPr="001D27C1" w:rsidRDefault="00E46F41" w:rsidP="00E46F41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US" w:eastAsia="zh-CN"/>
        </w:rPr>
      </w:pPr>
      <w:r>
        <w:rPr>
          <w:rFonts w:ascii="Arial" w:hAnsi="Arial" w:cs="Arial"/>
          <w:noProof/>
          <w:lang w:val="en-US" w:eastAsia="zh-CN"/>
        </w:rPr>
        <w:drawing>
          <wp:inline distT="0" distB="0" distL="0" distR="0" wp14:anchorId="08AFE728" wp14:editId="35350290">
            <wp:extent cx="5351262" cy="5016843"/>
            <wp:effectExtent l="0" t="0" r="0" b="0"/>
            <wp:docPr id="188782735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7827353" name="Immagine 188782735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7015" cy="5022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785C01" w14:textId="77777777" w:rsidR="00E46F41" w:rsidRPr="001D27C1" w:rsidRDefault="00E46F41" w:rsidP="00E46F41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</w:p>
    <w:p w14:paraId="4F6E4EFB" w14:textId="77777777" w:rsidR="00E46F41" w:rsidRPr="00D3145F" w:rsidRDefault="00E46F41" w:rsidP="00E46F41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lang w:val="en-GB" w:eastAsia="zh-CN"/>
        </w:rPr>
      </w:pPr>
      <w:r w:rsidRPr="001D27C1">
        <w:rPr>
          <w:rFonts w:ascii="Arial" w:hAnsi="Arial" w:cs="Arial"/>
          <w:b/>
          <w:bCs/>
          <w:lang w:val="en-GB" w:eastAsia="zh-CN"/>
        </w:rPr>
        <w:t xml:space="preserve">Legend. </w:t>
      </w:r>
      <w:r w:rsidRPr="001D27C1">
        <w:rPr>
          <w:rFonts w:ascii="Arial" w:hAnsi="Arial" w:cs="Arial"/>
          <w:lang w:val="en-GB" w:eastAsia="zh-CN"/>
        </w:rPr>
        <w:t xml:space="preserve">AUC, area under the curve; BIS1 Berlin Initiative Study; CI, confidence interval; CG, Cockcroft Gault; CG-BSA, Cockcroft Gault adjusted for body surface area; CKD-EPI, Chronic Kidney Disease Epidemiology Collaboration; EKFC, European Kidney Function </w:t>
      </w:r>
      <w:proofErr w:type="gramStart"/>
      <w:r w:rsidRPr="001D27C1">
        <w:rPr>
          <w:rFonts w:ascii="Arial" w:hAnsi="Arial" w:cs="Arial"/>
          <w:lang w:val="en-GB" w:eastAsia="zh-CN"/>
        </w:rPr>
        <w:t>Consortium ;</w:t>
      </w:r>
      <w:proofErr w:type="gramEnd"/>
      <w:r w:rsidRPr="001D27C1">
        <w:rPr>
          <w:rFonts w:ascii="Arial" w:hAnsi="Arial" w:cs="Arial"/>
          <w:lang w:val="en-GB" w:eastAsia="zh-CN"/>
        </w:rPr>
        <w:t xml:space="preserve"> FAS, Full Age Spectrum; LMR, Liquidity Maintenance Ratio; MDRD, Modification of Diet in Renal Disease.</w:t>
      </w:r>
    </w:p>
    <w:p w14:paraId="3E504136" w14:textId="77777777" w:rsidR="005B43F9" w:rsidRPr="005B43F9" w:rsidRDefault="005B43F9" w:rsidP="00F84CCB">
      <w:pPr>
        <w:pStyle w:val="NormaleWeb"/>
        <w:shd w:val="clear" w:color="auto" w:fill="FFFFFF"/>
        <w:spacing w:before="0" w:beforeAutospacing="0" w:after="360" w:afterAutospacing="0"/>
        <w:contextualSpacing/>
        <w:rPr>
          <w:rFonts w:ascii="Arial" w:hAnsi="Arial" w:cs="Arial"/>
          <w:b/>
          <w:bCs/>
          <w:lang w:val="en-GB" w:eastAsia="zh-CN"/>
        </w:rPr>
      </w:pPr>
    </w:p>
    <w:p w14:paraId="7B0C493A" w14:textId="77777777" w:rsidR="002A40D1" w:rsidRDefault="002A40D1" w:rsidP="002A40D1">
      <w:pPr>
        <w:spacing w:line="480" w:lineRule="auto"/>
        <w:rPr>
          <w:rFonts w:ascii="Arial" w:hAnsi="Arial" w:cs="Arial"/>
          <w:lang w:val="en-GB" w:eastAsia="zh-CN"/>
        </w:rPr>
      </w:pPr>
    </w:p>
    <w:p w14:paraId="269D15DF" w14:textId="77777777" w:rsidR="003B07CC" w:rsidRDefault="003B07CC" w:rsidP="00CF634E">
      <w:pPr>
        <w:spacing w:line="480" w:lineRule="auto"/>
        <w:rPr>
          <w:rFonts w:ascii="Arial" w:hAnsi="Arial" w:cs="Arial"/>
          <w:lang w:val="en-GB" w:eastAsia="zh-CN"/>
        </w:rPr>
      </w:pPr>
    </w:p>
    <w:p w14:paraId="39A2851C" w14:textId="7E091CD4" w:rsidR="001F4B54" w:rsidRPr="00561FEB" w:rsidRDefault="001F4B54" w:rsidP="00561FEB">
      <w:pPr>
        <w:spacing w:line="480" w:lineRule="auto"/>
        <w:rPr>
          <w:rFonts w:ascii="Arial" w:hAnsi="Arial" w:cs="Arial"/>
          <w:lang w:val="en-GB" w:eastAsia="zh-CN"/>
        </w:rPr>
      </w:pPr>
    </w:p>
    <w:sectPr w:rsidR="001F4B54" w:rsidRPr="00561FEB" w:rsidSect="00EF06D7">
      <w:pgSz w:w="11901" w:h="16817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238F0"/>
    <w:multiLevelType w:val="multilevel"/>
    <w:tmpl w:val="0054D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5205FC"/>
    <w:multiLevelType w:val="hybridMultilevel"/>
    <w:tmpl w:val="E4A061DA"/>
    <w:lvl w:ilvl="0" w:tplc="86086C2A">
      <w:start w:val="1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0156957">
    <w:abstractNumId w:val="1"/>
  </w:num>
  <w:num w:numId="2" w16cid:durableId="20864896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D7A"/>
    <w:rsid w:val="0002438A"/>
    <w:rsid w:val="00041E27"/>
    <w:rsid w:val="00056D07"/>
    <w:rsid w:val="00083527"/>
    <w:rsid w:val="00090915"/>
    <w:rsid w:val="000B526E"/>
    <w:rsid w:val="000D38AB"/>
    <w:rsid w:val="000D3A1E"/>
    <w:rsid w:val="00121E76"/>
    <w:rsid w:val="001545D5"/>
    <w:rsid w:val="00155856"/>
    <w:rsid w:val="0019522C"/>
    <w:rsid w:val="001F4B54"/>
    <w:rsid w:val="0021191E"/>
    <w:rsid w:val="00215941"/>
    <w:rsid w:val="00215F77"/>
    <w:rsid w:val="00216FF2"/>
    <w:rsid w:val="002246F6"/>
    <w:rsid w:val="00261B86"/>
    <w:rsid w:val="00273BD7"/>
    <w:rsid w:val="0027721E"/>
    <w:rsid w:val="00292D7A"/>
    <w:rsid w:val="002955E2"/>
    <w:rsid w:val="002A40D1"/>
    <w:rsid w:val="002C4E2C"/>
    <w:rsid w:val="002C56B4"/>
    <w:rsid w:val="002D76C7"/>
    <w:rsid w:val="002F4039"/>
    <w:rsid w:val="00347042"/>
    <w:rsid w:val="00370F34"/>
    <w:rsid w:val="003764B9"/>
    <w:rsid w:val="003A4021"/>
    <w:rsid w:val="003B07CC"/>
    <w:rsid w:val="003B5070"/>
    <w:rsid w:val="00421CD1"/>
    <w:rsid w:val="0043371D"/>
    <w:rsid w:val="0049382F"/>
    <w:rsid w:val="004A2E4C"/>
    <w:rsid w:val="004B30A8"/>
    <w:rsid w:val="004C3055"/>
    <w:rsid w:val="004E54A5"/>
    <w:rsid w:val="004F1607"/>
    <w:rsid w:val="004F294F"/>
    <w:rsid w:val="004F6F93"/>
    <w:rsid w:val="00505013"/>
    <w:rsid w:val="005238B4"/>
    <w:rsid w:val="005347B9"/>
    <w:rsid w:val="005416CA"/>
    <w:rsid w:val="005539E6"/>
    <w:rsid w:val="00554749"/>
    <w:rsid w:val="00561FEB"/>
    <w:rsid w:val="00596A9C"/>
    <w:rsid w:val="005A5654"/>
    <w:rsid w:val="005B43F9"/>
    <w:rsid w:val="005C4B53"/>
    <w:rsid w:val="005F0E4A"/>
    <w:rsid w:val="005F78F5"/>
    <w:rsid w:val="006204F8"/>
    <w:rsid w:val="00623BD0"/>
    <w:rsid w:val="006503C4"/>
    <w:rsid w:val="00696E2E"/>
    <w:rsid w:val="006A59B4"/>
    <w:rsid w:val="00702629"/>
    <w:rsid w:val="00731EB9"/>
    <w:rsid w:val="00736817"/>
    <w:rsid w:val="007422F2"/>
    <w:rsid w:val="007610AE"/>
    <w:rsid w:val="007704C4"/>
    <w:rsid w:val="00775265"/>
    <w:rsid w:val="007827FC"/>
    <w:rsid w:val="007B4AE8"/>
    <w:rsid w:val="007C502D"/>
    <w:rsid w:val="007E6976"/>
    <w:rsid w:val="008644CE"/>
    <w:rsid w:val="00877138"/>
    <w:rsid w:val="00877D0D"/>
    <w:rsid w:val="00885542"/>
    <w:rsid w:val="00897D89"/>
    <w:rsid w:val="008A61C5"/>
    <w:rsid w:val="008B1747"/>
    <w:rsid w:val="008D3C60"/>
    <w:rsid w:val="009029C8"/>
    <w:rsid w:val="00965D44"/>
    <w:rsid w:val="00A04E2C"/>
    <w:rsid w:val="00A3286E"/>
    <w:rsid w:val="00A35EF2"/>
    <w:rsid w:val="00A40B90"/>
    <w:rsid w:val="00A665AA"/>
    <w:rsid w:val="00A74393"/>
    <w:rsid w:val="00A77D1F"/>
    <w:rsid w:val="00AB649E"/>
    <w:rsid w:val="00AC3B7F"/>
    <w:rsid w:val="00AD3B5D"/>
    <w:rsid w:val="00AE3725"/>
    <w:rsid w:val="00AE6DD9"/>
    <w:rsid w:val="00B123A1"/>
    <w:rsid w:val="00B35A1E"/>
    <w:rsid w:val="00B42EF2"/>
    <w:rsid w:val="00B53072"/>
    <w:rsid w:val="00B55669"/>
    <w:rsid w:val="00B67CC5"/>
    <w:rsid w:val="00B87037"/>
    <w:rsid w:val="00BC5767"/>
    <w:rsid w:val="00BC655F"/>
    <w:rsid w:val="00C005E3"/>
    <w:rsid w:val="00C260D4"/>
    <w:rsid w:val="00C566C6"/>
    <w:rsid w:val="00C754AD"/>
    <w:rsid w:val="00CB6948"/>
    <w:rsid w:val="00CC35A0"/>
    <w:rsid w:val="00CD1A64"/>
    <w:rsid w:val="00CE081F"/>
    <w:rsid w:val="00CF2CC6"/>
    <w:rsid w:val="00CF634E"/>
    <w:rsid w:val="00D426B0"/>
    <w:rsid w:val="00D6088B"/>
    <w:rsid w:val="00D85166"/>
    <w:rsid w:val="00DA0F2C"/>
    <w:rsid w:val="00DA3E39"/>
    <w:rsid w:val="00DD088E"/>
    <w:rsid w:val="00DD7151"/>
    <w:rsid w:val="00DE5404"/>
    <w:rsid w:val="00DE765E"/>
    <w:rsid w:val="00E05D58"/>
    <w:rsid w:val="00E137E1"/>
    <w:rsid w:val="00E31A7F"/>
    <w:rsid w:val="00E46F41"/>
    <w:rsid w:val="00E6727C"/>
    <w:rsid w:val="00E92E43"/>
    <w:rsid w:val="00ED24D3"/>
    <w:rsid w:val="00EE6C01"/>
    <w:rsid w:val="00EE7708"/>
    <w:rsid w:val="00EF06D7"/>
    <w:rsid w:val="00EF64D2"/>
    <w:rsid w:val="00F22243"/>
    <w:rsid w:val="00F333E6"/>
    <w:rsid w:val="00F653E3"/>
    <w:rsid w:val="00F84CCB"/>
    <w:rsid w:val="00F92086"/>
    <w:rsid w:val="00F944C5"/>
    <w:rsid w:val="00FA52CC"/>
    <w:rsid w:val="00FB7278"/>
    <w:rsid w:val="00FC7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EB61E"/>
  <w15:chartTrackingRefBased/>
  <w15:docId w15:val="{63E2C038-3499-8843-8368-99F3C8DC7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F64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83527"/>
    <w:pPr>
      <w:spacing w:before="600" w:after="200" w:line="360" w:lineRule="auto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083527"/>
    <w:pPr>
      <w:spacing w:before="320" w:after="200" w:line="36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083527"/>
    <w:pPr>
      <w:spacing w:before="320" w:after="200" w:line="360" w:lineRule="auto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  <w:lang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83527"/>
    <w:pPr>
      <w:spacing w:before="280" w:after="200" w:line="360" w:lineRule="auto"/>
      <w:outlineLvl w:val="3"/>
    </w:pPr>
    <w:rPr>
      <w:rFonts w:asciiTheme="majorHAnsi" w:eastAsiaTheme="majorEastAsia" w:hAnsiTheme="majorHAnsi" w:cstheme="majorBidi"/>
      <w:b/>
      <w:bCs/>
      <w:i/>
      <w:iCs/>
      <w:lang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83527"/>
    <w:pPr>
      <w:spacing w:before="280" w:after="200" w:line="360" w:lineRule="auto"/>
      <w:outlineLvl w:val="4"/>
    </w:pPr>
    <w:rPr>
      <w:rFonts w:asciiTheme="majorHAnsi" w:eastAsiaTheme="majorEastAsia" w:hAnsiTheme="majorHAnsi" w:cstheme="majorBidi"/>
      <w:b/>
      <w:bCs/>
      <w:i/>
      <w:iCs/>
      <w:sz w:val="22"/>
      <w:szCs w:val="22"/>
      <w:lang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83527"/>
    <w:pPr>
      <w:spacing w:before="280" w:after="80" w:line="360" w:lineRule="auto"/>
      <w:outlineLvl w:val="5"/>
    </w:pPr>
    <w:rPr>
      <w:rFonts w:asciiTheme="majorHAnsi" w:eastAsiaTheme="majorEastAsia" w:hAnsiTheme="majorHAnsi" w:cstheme="majorBidi"/>
      <w:b/>
      <w:bCs/>
      <w:i/>
      <w:iCs/>
      <w:sz w:val="22"/>
      <w:szCs w:val="22"/>
      <w:lang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83527"/>
    <w:pPr>
      <w:spacing w:before="280" w:after="200" w:line="360" w:lineRule="auto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  <w:lang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83527"/>
    <w:pPr>
      <w:spacing w:before="280" w:after="200" w:line="360" w:lineRule="auto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  <w:lang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83527"/>
    <w:pPr>
      <w:spacing w:before="280" w:after="200" w:line="360" w:lineRule="auto"/>
      <w:outlineLvl w:val="8"/>
    </w:pPr>
    <w:rPr>
      <w:rFonts w:asciiTheme="majorHAnsi" w:eastAsiaTheme="majorEastAsia" w:hAnsiTheme="majorHAnsi" w:cstheme="majorBidi"/>
      <w:i/>
      <w:iCs/>
      <w:sz w:val="18"/>
      <w:szCs w:val="1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83527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083527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083527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83527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83527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83527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83527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83527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83527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083527"/>
    <w:pPr>
      <w:spacing w:after="200" w:line="276" w:lineRule="auto"/>
    </w:pPr>
    <w:rPr>
      <w:rFonts w:asciiTheme="minorHAnsi" w:eastAsiaTheme="minorHAnsi" w:hAnsiTheme="minorHAnsi" w:cstheme="minorBidi"/>
      <w:b/>
      <w:bCs/>
      <w:sz w:val="18"/>
      <w:szCs w:val="18"/>
      <w:lang w:eastAsia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083527"/>
    <w:pPr>
      <w:spacing w:after="200" w:line="276" w:lineRule="auto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083527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83527"/>
    <w:pPr>
      <w:spacing w:after="320" w:line="276" w:lineRule="auto"/>
      <w:jc w:val="right"/>
    </w:pPr>
    <w:rPr>
      <w:rFonts w:asciiTheme="minorHAnsi" w:eastAsiaTheme="minorHAnsi" w:hAnsiTheme="minorHAnsi" w:cstheme="minorBidi"/>
      <w:i/>
      <w:iCs/>
      <w:color w:val="808080" w:themeColor="text1" w:themeTint="7F"/>
      <w:spacing w:val="10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83527"/>
    <w:rPr>
      <w:i/>
      <w:iCs/>
      <w:color w:val="808080" w:themeColor="text1" w:themeTint="7F"/>
      <w:spacing w:val="10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083527"/>
    <w:rPr>
      <w:b/>
      <w:bCs/>
      <w:spacing w:val="0"/>
    </w:rPr>
  </w:style>
  <w:style w:type="character" w:styleId="Enfasicorsivo">
    <w:name w:val="Emphasis"/>
    <w:uiPriority w:val="20"/>
    <w:qFormat/>
    <w:rsid w:val="00083527"/>
    <w:rPr>
      <w:b/>
      <w:bCs/>
      <w:i/>
      <w:iCs/>
      <w:color w:val="auto"/>
    </w:rPr>
  </w:style>
  <w:style w:type="paragraph" w:styleId="Nessunaspaziatura">
    <w:name w:val="No Spacing"/>
    <w:basedOn w:val="Normale"/>
    <w:link w:val="NessunaspaziaturaCarattere"/>
    <w:uiPriority w:val="1"/>
    <w:qFormat/>
    <w:rsid w:val="00083527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083527"/>
  </w:style>
  <w:style w:type="paragraph" w:styleId="Paragrafoelenco">
    <w:name w:val="List Paragraph"/>
    <w:basedOn w:val="Normale"/>
    <w:uiPriority w:val="34"/>
    <w:qFormat/>
    <w:rsid w:val="00083527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83527"/>
    <w:pPr>
      <w:spacing w:after="200" w:line="276" w:lineRule="auto"/>
    </w:pPr>
    <w:rPr>
      <w:rFonts w:asciiTheme="minorHAnsi" w:eastAsiaTheme="minorHAnsi" w:hAnsiTheme="minorHAnsi" w:cstheme="minorBidi"/>
      <w:color w:val="5A5A5A" w:themeColor="text1" w:themeTint="A5"/>
      <w:sz w:val="22"/>
      <w:szCs w:val="22"/>
      <w:lang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83527"/>
    <w:rPr>
      <w:color w:val="5A5A5A" w:themeColor="text1" w:themeTint="A5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83527"/>
    <w:pPr>
      <w:spacing w:before="320" w:after="480" w:line="276" w:lineRule="auto"/>
      <w:ind w:left="720" w:right="720"/>
      <w:jc w:val="center"/>
    </w:pPr>
    <w:rPr>
      <w:rFonts w:asciiTheme="majorHAnsi" w:eastAsiaTheme="majorEastAsia" w:hAnsiTheme="majorHAnsi" w:cstheme="majorBidi"/>
      <w:i/>
      <w:iCs/>
      <w:sz w:val="20"/>
      <w:szCs w:val="20"/>
      <w:lang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83527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Enfasidelicata">
    <w:name w:val="Subtle Emphasis"/>
    <w:uiPriority w:val="19"/>
    <w:qFormat/>
    <w:rsid w:val="00083527"/>
    <w:rPr>
      <w:i/>
      <w:iCs/>
      <w:color w:val="5A5A5A" w:themeColor="text1" w:themeTint="A5"/>
    </w:rPr>
  </w:style>
  <w:style w:type="character" w:styleId="Enfasiintensa">
    <w:name w:val="Intense Emphasis"/>
    <w:uiPriority w:val="21"/>
    <w:qFormat/>
    <w:rsid w:val="00083527"/>
    <w:rPr>
      <w:b/>
      <w:bCs/>
      <w:i/>
      <w:iCs/>
      <w:color w:val="auto"/>
      <w:u w:val="single"/>
    </w:rPr>
  </w:style>
  <w:style w:type="character" w:styleId="Riferimentodelicato">
    <w:name w:val="Subtle Reference"/>
    <w:uiPriority w:val="31"/>
    <w:qFormat/>
    <w:rsid w:val="00083527"/>
    <w:rPr>
      <w:smallCaps/>
    </w:rPr>
  </w:style>
  <w:style w:type="character" w:styleId="Riferimentointenso">
    <w:name w:val="Intense Reference"/>
    <w:uiPriority w:val="32"/>
    <w:qFormat/>
    <w:rsid w:val="00083527"/>
    <w:rPr>
      <w:b/>
      <w:bCs/>
      <w:smallCaps/>
      <w:color w:val="auto"/>
    </w:rPr>
  </w:style>
  <w:style w:type="character" w:styleId="Titolodellibro">
    <w:name w:val="Book Title"/>
    <w:uiPriority w:val="33"/>
    <w:qFormat/>
    <w:rsid w:val="00083527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083527"/>
    <w:pPr>
      <w:outlineLvl w:val="9"/>
    </w:pPr>
  </w:style>
  <w:style w:type="character" w:customStyle="1" w:styleId="apple-converted-space">
    <w:name w:val="apple-converted-space"/>
    <w:basedOn w:val="Carpredefinitoparagrafo"/>
    <w:rsid w:val="00292D7A"/>
  </w:style>
  <w:style w:type="character" w:styleId="Rimandocommento">
    <w:name w:val="annotation reference"/>
    <w:basedOn w:val="Carpredefinitoparagrafo"/>
    <w:uiPriority w:val="99"/>
    <w:semiHidden/>
    <w:unhideWhenUsed/>
    <w:rsid w:val="007C502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C502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C502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C502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C502D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table" w:styleId="Grigliatabella">
    <w:name w:val="Table Grid"/>
    <w:basedOn w:val="Tabellanormale"/>
    <w:uiPriority w:val="39"/>
    <w:rsid w:val="005050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elenco1chiara">
    <w:name w:val="List Table 1 Light"/>
    <w:basedOn w:val="Tabellanormale"/>
    <w:uiPriority w:val="46"/>
    <w:rsid w:val="0050501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semplice-3">
    <w:name w:val="Plain Table 3"/>
    <w:basedOn w:val="Tabellanormale"/>
    <w:uiPriority w:val="43"/>
    <w:rsid w:val="00EF06D7"/>
    <w:pPr>
      <w:spacing w:after="0" w:line="240" w:lineRule="auto"/>
    </w:pPr>
    <w:rPr>
      <w:kern w:val="2"/>
      <w:sz w:val="24"/>
      <w:szCs w:val="24"/>
      <w14:ligatures w14:val="standardContextual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NormaleWeb">
    <w:name w:val="Normal (Web)"/>
    <w:basedOn w:val="Normale"/>
    <w:uiPriority w:val="99"/>
    <w:unhideWhenUsed/>
    <w:rsid w:val="00EF06D7"/>
    <w:pPr>
      <w:spacing w:before="100" w:beforeAutospacing="1" w:after="100" w:afterAutospacing="1"/>
    </w:pPr>
  </w:style>
  <w:style w:type="table" w:styleId="Tabellasemplice-2">
    <w:name w:val="Plain Table 2"/>
    <w:basedOn w:val="Tabellanormale"/>
    <w:uiPriority w:val="42"/>
    <w:rsid w:val="00EF06D7"/>
    <w:pPr>
      <w:spacing w:after="0" w:line="240" w:lineRule="auto"/>
    </w:pPr>
    <w:rPr>
      <w:kern w:val="2"/>
      <w:sz w:val="24"/>
      <w:szCs w:val="24"/>
      <w14:ligatures w14:val="standardContextual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ellasemplice5">
    <w:name w:val="Plain Table 5"/>
    <w:basedOn w:val="Tabellanormale"/>
    <w:uiPriority w:val="45"/>
    <w:rsid w:val="00EF06D7"/>
    <w:pPr>
      <w:spacing w:after="0" w:line="240" w:lineRule="auto"/>
    </w:pPr>
    <w:rPr>
      <w:kern w:val="2"/>
      <w:sz w:val="24"/>
      <w:szCs w:val="24"/>
      <w14:ligatures w14:val="standardContextual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7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5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4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83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3" Type="http://schemas.openxmlformats.org/officeDocument/2006/relationships/styles" Target="styles.xml"/><Relationship Id="rId7" Type="http://schemas.openxmlformats.org/officeDocument/2006/relationships/image" Target="media/image2.tiff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tiff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tiff"/><Relationship Id="rId4" Type="http://schemas.openxmlformats.org/officeDocument/2006/relationships/settings" Target="settings.xml"/><Relationship Id="rId9" Type="http://schemas.openxmlformats.org/officeDocument/2006/relationships/image" Target="media/image4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-Times New Roman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AEC85D9-743B-8444-8667-AE44052EDD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1049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DAVIDE - ANTONIO MEI</dc:creator>
  <cp:keywords/>
  <dc:description/>
  <cp:lastModifiedBy>DAVIDE - ANTONIO MEI</cp:lastModifiedBy>
  <cp:revision>3</cp:revision>
  <dcterms:created xsi:type="dcterms:W3CDTF">2025-04-22T09:18:00Z</dcterms:created>
  <dcterms:modified xsi:type="dcterms:W3CDTF">2025-04-22T09:24:00Z</dcterms:modified>
</cp:coreProperties>
</file>