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9DD122" w14:textId="011F9687" w:rsidR="00376A8B" w:rsidRPr="00BF5BBB" w:rsidRDefault="00376A8B" w:rsidP="00376A8B">
      <w:pPr>
        <w:jc w:val="center"/>
        <w:rPr>
          <w:rFonts w:ascii="Times New Roman" w:hAnsi="Times New Roman" w:cs="Times New Roman"/>
          <w:b/>
          <w:bCs/>
        </w:rPr>
      </w:pPr>
      <w:r w:rsidRPr="00BF5BBB">
        <w:rPr>
          <w:rFonts w:ascii="Times New Roman" w:hAnsi="Times New Roman" w:cs="Times New Roman"/>
          <w:b/>
          <w:bCs/>
        </w:rPr>
        <w:t>Supplementary document 1</w:t>
      </w:r>
      <w:r w:rsidR="00056083" w:rsidRPr="00BF5BBB">
        <w:rPr>
          <w:rFonts w:ascii="Times New Roman" w:hAnsi="Times New Roman" w:cs="Times New Roman"/>
          <w:b/>
          <w:bCs/>
        </w:rPr>
        <w:t xml:space="preserve"> - rationale for excluding each study</w:t>
      </w:r>
    </w:p>
    <w:tbl>
      <w:tblPr>
        <w:tblStyle w:val="Grigliatabella"/>
        <w:tblW w:w="14596" w:type="dxa"/>
        <w:jc w:val="center"/>
        <w:tblBorders>
          <w:left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16"/>
        <w:gridCol w:w="1956"/>
        <w:gridCol w:w="9105"/>
        <w:gridCol w:w="3119"/>
      </w:tblGrid>
      <w:tr w:rsidR="00376A8B" w:rsidRPr="00BF5BBB" w14:paraId="5B018651" w14:textId="77777777" w:rsidTr="00603259">
        <w:trPr>
          <w:trHeight w:val="454"/>
          <w:jc w:val="center"/>
        </w:trPr>
        <w:tc>
          <w:tcPr>
            <w:tcW w:w="0" w:type="auto"/>
            <w:tcBorders>
              <w:top w:val="single" w:sz="4" w:space="0" w:color="auto"/>
              <w:bottom w:val="single" w:sz="4" w:space="0" w:color="auto"/>
            </w:tcBorders>
            <w:shd w:val="clear" w:color="auto" w:fill="D0CECE" w:themeFill="background2" w:themeFillShade="E6"/>
          </w:tcPr>
          <w:p w14:paraId="416CB262" w14:textId="77777777" w:rsidR="00376A8B" w:rsidRPr="00BF5BBB" w:rsidRDefault="00376A8B" w:rsidP="00603259">
            <w:pPr>
              <w:jc w:val="center"/>
              <w:rPr>
                <w:rFonts w:ascii="Times New Roman" w:hAnsi="Times New Roman" w:cs="Times New Roman"/>
                <w:b/>
                <w:bCs/>
                <w:sz w:val="20"/>
                <w:szCs w:val="20"/>
              </w:rPr>
            </w:pPr>
            <w:r w:rsidRPr="00BF5BBB">
              <w:rPr>
                <w:rFonts w:ascii="Times New Roman" w:hAnsi="Times New Roman" w:cs="Times New Roman"/>
                <w:b/>
                <w:bCs/>
                <w:sz w:val="20"/>
                <w:szCs w:val="20"/>
              </w:rPr>
              <w:t>N</w:t>
            </w:r>
          </w:p>
        </w:tc>
        <w:tc>
          <w:tcPr>
            <w:tcW w:w="0" w:type="auto"/>
            <w:tcBorders>
              <w:top w:val="single" w:sz="4" w:space="0" w:color="auto"/>
              <w:bottom w:val="single" w:sz="4" w:space="0" w:color="auto"/>
            </w:tcBorders>
            <w:shd w:val="clear" w:color="auto" w:fill="D0CECE" w:themeFill="background2" w:themeFillShade="E6"/>
          </w:tcPr>
          <w:p w14:paraId="020439D1" w14:textId="77777777" w:rsidR="00376A8B" w:rsidRPr="00BF5BBB" w:rsidRDefault="00376A8B" w:rsidP="00603259">
            <w:pPr>
              <w:jc w:val="center"/>
              <w:rPr>
                <w:rFonts w:ascii="Times New Roman" w:hAnsi="Times New Roman" w:cs="Times New Roman"/>
                <w:b/>
                <w:bCs/>
                <w:sz w:val="20"/>
                <w:szCs w:val="20"/>
              </w:rPr>
            </w:pPr>
            <w:r w:rsidRPr="00BF5BBB">
              <w:rPr>
                <w:rFonts w:ascii="Times New Roman" w:hAnsi="Times New Roman" w:cs="Times New Roman"/>
                <w:b/>
                <w:bCs/>
                <w:sz w:val="20"/>
                <w:szCs w:val="20"/>
              </w:rPr>
              <w:t>study</w:t>
            </w:r>
          </w:p>
        </w:tc>
        <w:tc>
          <w:tcPr>
            <w:tcW w:w="9105" w:type="dxa"/>
            <w:tcBorders>
              <w:top w:val="single" w:sz="4" w:space="0" w:color="auto"/>
              <w:bottom w:val="single" w:sz="4" w:space="0" w:color="auto"/>
            </w:tcBorders>
            <w:shd w:val="clear" w:color="auto" w:fill="D0CECE" w:themeFill="background2" w:themeFillShade="E6"/>
          </w:tcPr>
          <w:p w14:paraId="772AA831" w14:textId="77777777" w:rsidR="00376A8B" w:rsidRPr="00BF5BBB" w:rsidRDefault="00376A8B" w:rsidP="00603259">
            <w:pPr>
              <w:jc w:val="center"/>
              <w:rPr>
                <w:rFonts w:ascii="Times New Roman" w:hAnsi="Times New Roman" w:cs="Times New Roman"/>
                <w:b/>
                <w:bCs/>
                <w:sz w:val="20"/>
                <w:szCs w:val="20"/>
              </w:rPr>
            </w:pPr>
            <w:r w:rsidRPr="00BF5BBB">
              <w:rPr>
                <w:rFonts w:ascii="Times New Roman" w:hAnsi="Times New Roman" w:cs="Times New Roman"/>
                <w:b/>
                <w:bCs/>
                <w:sz w:val="20"/>
                <w:szCs w:val="20"/>
              </w:rPr>
              <w:t xml:space="preserve">Title </w:t>
            </w:r>
          </w:p>
        </w:tc>
        <w:tc>
          <w:tcPr>
            <w:tcW w:w="3119" w:type="dxa"/>
            <w:tcBorders>
              <w:top w:val="single" w:sz="4" w:space="0" w:color="auto"/>
              <w:bottom w:val="single" w:sz="4" w:space="0" w:color="auto"/>
            </w:tcBorders>
            <w:shd w:val="clear" w:color="auto" w:fill="D0CECE" w:themeFill="background2" w:themeFillShade="E6"/>
          </w:tcPr>
          <w:p w14:paraId="3A835285" w14:textId="77777777" w:rsidR="00376A8B" w:rsidRPr="00BF5BBB" w:rsidRDefault="00376A8B" w:rsidP="00603259">
            <w:pPr>
              <w:jc w:val="center"/>
              <w:rPr>
                <w:rFonts w:ascii="Times New Roman" w:hAnsi="Times New Roman" w:cs="Times New Roman"/>
                <w:b/>
                <w:bCs/>
                <w:sz w:val="20"/>
                <w:szCs w:val="20"/>
              </w:rPr>
            </w:pPr>
            <w:r w:rsidRPr="00BF5BBB">
              <w:rPr>
                <w:rFonts w:ascii="Times New Roman" w:hAnsi="Times New Roman" w:cs="Times New Roman"/>
                <w:b/>
                <w:bCs/>
                <w:sz w:val="20"/>
                <w:szCs w:val="20"/>
              </w:rPr>
              <w:t>Reason for exclusion</w:t>
            </w:r>
          </w:p>
        </w:tc>
      </w:tr>
      <w:tr w:rsidR="00376A8B" w:rsidRPr="00BF5BBB" w14:paraId="153858D2" w14:textId="77777777" w:rsidTr="00603259">
        <w:trPr>
          <w:trHeight w:val="454"/>
          <w:jc w:val="center"/>
        </w:trPr>
        <w:tc>
          <w:tcPr>
            <w:tcW w:w="0" w:type="auto"/>
            <w:tcBorders>
              <w:top w:val="single" w:sz="4" w:space="0" w:color="auto"/>
            </w:tcBorders>
            <w:shd w:val="clear" w:color="auto" w:fill="FFFFFF" w:themeFill="background1"/>
          </w:tcPr>
          <w:p w14:paraId="648AAEA2"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w:t>
            </w:r>
          </w:p>
        </w:tc>
        <w:tc>
          <w:tcPr>
            <w:tcW w:w="0" w:type="auto"/>
            <w:tcBorders>
              <w:top w:val="single" w:sz="4" w:space="0" w:color="auto"/>
            </w:tcBorders>
            <w:shd w:val="clear" w:color="auto" w:fill="FFFFFF" w:themeFill="background1"/>
          </w:tcPr>
          <w:p w14:paraId="375A7B8E"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fldChar w:fldCharType="begin"/>
            </w:r>
            <w:r w:rsidRPr="00BF5BBB">
              <w:rPr>
                <w:rFonts w:ascii="Times New Roman" w:hAnsi="Times New Roman" w:cs="Times New Roman"/>
                <w:sz w:val="20"/>
                <w:szCs w:val="20"/>
              </w:rPr>
              <w:instrText xml:space="preserve"> ADDIN ZOTERO_ITEM CSL_CITATION {"citationID":"YONjBCHa","properties":{"formattedCitation":"(Mehta and Agnew 2012a)","plainCitation":"(Mehta and Agnew 2012a)","noteIndex":0},"citationItems":[{"id":1240,"uris":["http://zotero.org/users/local/saSzV5IY/items/XKZ9RJKN"],"itemData":{"id":1240,"type":"article-journal","container-title":"European Journal of Applied Physiology","DOI":"10.1007/s00421-011-2264-x","ISSN":"1439-6319, 1439-6327","issue":"8","journalAbbreviation":"Eur J Appl Physiol","language":"en","license":"http://www.springer.com/tdm","page":"2891-2902","source":"DOI.org (Crossref)","title":"Influence of mental workload on muscle endurance, fatigue, and recovery during intermittent static work","volume":"112","author":[{"family":"Mehta","given":"Ranjana K."},{"family":"Agnew","given":"Michael J."}],"issued":{"date-parts":[["2012",8]]}}}],"schema":"https://github.com/citation-style-language/schema/raw/master/csl-citation.json"} </w:instrText>
            </w:r>
            <w:r w:rsidRPr="00BF5BBB">
              <w:rPr>
                <w:rFonts w:ascii="Times New Roman" w:hAnsi="Times New Roman" w:cs="Times New Roman"/>
                <w:sz w:val="20"/>
                <w:szCs w:val="20"/>
              </w:rPr>
              <w:fldChar w:fldCharType="separate"/>
            </w:r>
            <w:r w:rsidRPr="00BF5BBB">
              <w:rPr>
                <w:rFonts w:ascii="Times New Roman" w:hAnsi="Times New Roman" w:cs="Times New Roman"/>
                <w:sz w:val="20"/>
                <w:szCs w:val="20"/>
              </w:rPr>
              <w:t>(Mehta and Agnew 2012a)</w:t>
            </w:r>
            <w:r w:rsidRPr="00BF5BBB">
              <w:rPr>
                <w:rFonts w:ascii="Times New Roman" w:hAnsi="Times New Roman" w:cs="Times New Roman"/>
                <w:sz w:val="20"/>
                <w:szCs w:val="20"/>
              </w:rPr>
              <w:fldChar w:fldCharType="end"/>
            </w:r>
          </w:p>
        </w:tc>
        <w:tc>
          <w:tcPr>
            <w:tcW w:w="9105" w:type="dxa"/>
            <w:tcBorders>
              <w:top w:val="single" w:sz="4" w:space="0" w:color="auto"/>
            </w:tcBorders>
            <w:shd w:val="clear" w:color="auto" w:fill="FFFFFF" w:themeFill="background1"/>
          </w:tcPr>
          <w:p w14:paraId="2542D659"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Influence of mental workload on muscle endurance, fatigue, and recovery during intermittent static work</w:t>
            </w:r>
          </w:p>
        </w:tc>
        <w:tc>
          <w:tcPr>
            <w:tcW w:w="3119" w:type="dxa"/>
            <w:tcBorders>
              <w:top w:val="single" w:sz="4" w:space="0" w:color="auto"/>
            </w:tcBorders>
            <w:shd w:val="clear" w:color="auto" w:fill="FFFFFF" w:themeFill="background1"/>
          </w:tcPr>
          <w:p w14:paraId="1025CD0E"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5C162624" w14:textId="77777777" w:rsidTr="00603259">
        <w:trPr>
          <w:trHeight w:val="454"/>
          <w:jc w:val="center"/>
        </w:trPr>
        <w:tc>
          <w:tcPr>
            <w:tcW w:w="0" w:type="auto"/>
            <w:shd w:val="clear" w:color="auto" w:fill="E7E6E6" w:themeFill="background2"/>
          </w:tcPr>
          <w:p w14:paraId="2DB435C0"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2</w:t>
            </w:r>
          </w:p>
        </w:tc>
        <w:tc>
          <w:tcPr>
            <w:tcW w:w="0" w:type="auto"/>
            <w:shd w:val="clear" w:color="auto" w:fill="E7E6E6" w:themeFill="background2"/>
          </w:tcPr>
          <w:p w14:paraId="757EC8D5"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{"citationID":"aeM1QBxR","properties":{"formattedCitation":"(Ramsay et al. 2023)","plainCitation":"(Ramsay et al. 2023)","noteIndex":0},"citationItems":[{"id":1241,"uris":["http://zotero.org/users/local/saSzV5IY/items/ZLXYK8LS"],"itemData":{"id":1241,"type":"article-journal","abstract":"Non-local muscle fatigue (NLMF) has been attributed to both physical and mental fatigue. The purpose of this study was to investigate the effects of mental exertion versus unilateral physical fatigue on NLMF. Sixteen recreationally active participants completed a physical task (2-sets of 100-s unilateral knee extension (KE) maximal voluntary isometric contractions (MVIC) with the dominant leg with 40-s recovery between sets, mental task (4-minute Stroop task), and control condition. Before and after each condition, blood lactate was collected, and contralateral 5-s KE, flexion (KF) and bilateral lateral trunk flexors MVIC (measure of trunk stability strength) was performed. Following the post-test 5-s MVICs, participants performed 12 non-dominant KE MVICs with a work-to-rest ratio of 5/10-s. Electromyography was monitored during the MVICs. Neither the 4-minute Stroop test or the unilateral KE physical fatigue intervention adversely affected the non-dominant KE forces or EMG activity with a single MVIC or 12 repetition MVICs. Although the non-dominant KF fatigue index forces and hamstrings EMG were not impaired by the interventions, there was a significant interaction (p = 0.001) small magnitude (d = 0.42) decrease in the non-dominant KF single MVIC force following the contralateral fatigue intervention, albeit with no significant change in hamstrings EMG. This MVIC deficit may be related to the significant decrease in dominant (p = 0.046, d = 2.6) and non-dominant external obliques (p = 0.048, d = 0.57) activation adversely affecting trunk stability. In conclusion, a 4-minute Stroop test or unilateral KE physical fatigue intervention did not impair non-dominant KE single or repeated 12 repetition MVIC forces or EMG activity. The small magnitude deficit in the non-dominant KF single MVIC force following the contralateral fatigue intervention are in accord with the heterogenous findings common in the literature.","container-title":"Journal of Sports Science and Medicine","DOI":"10.52082/jssm.2023.549","ISSN":"1303-2968","journalAbbreviation":"jsportscimed","language":"en","license":"http://creativecommons.org/licenses/by-nc-nd/4.0/","page":"549-558","source":"DOI.org (Crossref)","title":"The Effect of a Mental Task Versus Unilateral Physical Fatigue on Non-Local Muscle Fatigue in Recreationally Active Young Adults","author":[{"family":"Ramsay","given":"Emma"},{"family":"Alizadeh","given":"Shahab"},{"family":"Summers","given":"David"},{"family":"Hodder","given":"Alexandra"},{"family":"Behm","given":"David G."}],"issued":{"date-parts":[["2023",9,1]]}}}],"schema":"https://github.com/citation-style-language/schema/raw/master/csl-citation.json"}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(Ramsay et al. 2023)</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1BEB9B87"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The Effect of a Mental Task Versus Unilateral Physical Fatigue on Non-Local Muscle Fatigue in Recreationally Active Young Adults.</w:t>
            </w:r>
          </w:p>
        </w:tc>
        <w:tc>
          <w:tcPr>
            <w:tcW w:w="3119" w:type="dxa"/>
            <w:shd w:val="clear" w:color="auto" w:fill="E7E6E6" w:themeFill="background2"/>
          </w:tcPr>
          <w:p w14:paraId="38BA3F2B"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0DE09DA3" w14:textId="77777777" w:rsidTr="00603259">
        <w:trPr>
          <w:trHeight w:val="454"/>
          <w:jc w:val="center"/>
        </w:trPr>
        <w:tc>
          <w:tcPr>
            <w:tcW w:w="0" w:type="auto"/>
            <w:shd w:val="clear" w:color="auto" w:fill="FFFFFF" w:themeFill="background1"/>
          </w:tcPr>
          <w:p w14:paraId="58C224E5"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3</w:t>
            </w:r>
          </w:p>
        </w:tc>
        <w:tc>
          <w:tcPr>
            <w:tcW w:w="0" w:type="auto"/>
            <w:shd w:val="clear" w:color="auto" w:fill="FFFFFF" w:themeFill="background1"/>
          </w:tcPr>
          <w:p w14:paraId="2B0E3BA9"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{"citationID":"W2JP1Cbl","properties":{"formattedCitation":"(Alix-Fages et al. 2023a)","plainCitation":"(Alix-Fages et al. 2023a)","noteIndex":0},"citationItems":[{"id":1078,"uris":["http://zotero.org/users/local/saSzV5IY/items/EC299JBT"],"itemData":{"id":1078,"type":"article-journal","abstract":"The aim of this study was to explore the effects of mental fatigue from smartphone use and Stroop task on bench press force–velocity (F-V) proﬁle, one-repetition maximum (1RM), and countermovement jump (CMJ) performance. Twenty-ﬁve trained subjects (age = 25.8 ± 5.7 years) completed three sessions separated by 1 week following a randomized double-blinded crossover design. Each session consisted of F-V relationship, 1RM, and CMJ measurements after performing 30 min of control, social media, or Stroop task. Perceived mental fatigue and motivation were recorded. Mental fatigue, motivation, CMJ height, bench press 1RM, and F-V proﬁle variables (maximal force, maximal velocity, and maximal power) were compared between interventions. Signiﬁcant differences were found for mental fatigue between interventions (p ≤ .001). Both ST (p ≤ .001) and SM (p = .007) induced higher mental fatigue than control. However, no signiﬁcant differences between interventions were observed for any other variable (p = .056–.723). The magnitude of the differences between interventions ranged from negligible to small (effect sizes ≤ 0.24). These results suggest that although both ST and SM were effective to induce mental fatigue, neither ST nor SM affected CMJ performance, bench press 1RM, or any variable of the F-V proﬁle compared with the control task.","container-title":"Motor Control","DOI":"10.1123/mc.2022-0133","ISSN":"1087-1640, 1543-2696","issue":"3","language":"en","page":"631-644","source":"DOI.org (Crossref)","title":"Mental Fatigue From Smartphone Use or Stroop Task Does Not Affect Bench Press Force–Velocity Profile, One-Repetition Maximum, or Vertical Jump Performance","volume":"27","author":[{"family":"Alix-Fages","given":"Carlos"},{"family":"Baz-Valle","given":"Eneko"},{"family":"González-Cano","given":"Henar"},{"family":"Jiménez-Martínez","given":"Pablo"},{"family":"Balsalobre-Fernández","given":"Carlos"}],"issued":{"date-parts":[["2023",7,1]]}}}],"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(Alix-Fages et al. 2023a)</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5C138D65"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Mental Fatigue From Smartphone Use or Stroop Task Does Not Affect Bench Press Force–Velocity Profile, One-Repetition Maximum, or Vertical Jump Performance.</w:t>
            </w:r>
          </w:p>
        </w:tc>
        <w:tc>
          <w:tcPr>
            <w:tcW w:w="3119" w:type="dxa"/>
            <w:shd w:val="clear" w:color="auto" w:fill="FFFFFF" w:themeFill="background1"/>
          </w:tcPr>
          <w:p w14:paraId="75245513"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03D06EB5" w14:textId="77777777" w:rsidTr="00603259">
        <w:trPr>
          <w:trHeight w:val="454"/>
          <w:jc w:val="center"/>
        </w:trPr>
        <w:tc>
          <w:tcPr>
            <w:tcW w:w="0" w:type="auto"/>
            <w:shd w:val="clear" w:color="auto" w:fill="E7E6E6" w:themeFill="background2"/>
          </w:tcPr>
          <w:p w14:paraId="7D0C20B2"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4</w:t>
            </w:r>
          </w:p>
        </w:tc>
        <w:tc>
          <w:tcPr>
            <w:tcW w:w="0" w:type="auto"/>
            <w:shd w:val="clear" w:color="auto" w:fill="E7E6E6" w:themeFill="background2"/>
          </w:tcPr>
          <w:p w14:paraId="554F4C7E"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{"citationID":"BoleRopV","properties":{"formattedCitation":"(Alix-Fages et al. 2023b)","plainCitation":"(Alix-Fages et al. 2023b)","noteIndex":0},"citationItems":[{"id":1080,"uris":["http://zotero.org/users/local/saSzV5IY/items/SYKLYGIW"],"itemData":{"id":1080,"type":"article-journal","abstract":"Mental fatigue (MF) does not only affect cognitive but also physical performance. This study aimed to explore the effects of MF on muscle endurance, rate of perceived exertion (RPE), and motor units’ activity. Ten healthy males participated in a randomised crossover study. The subjects attended two identical experimental sessions separated by 3 days with the only difference of a cognitive task (incongruent Stroop task [ST]) and a control condition (watching a documentary). Perceived MF and motivation were measured for each session at baseline and after each cognitive task. Four contractions at 20% of maximal voluntary contraction (MVIC) were performed at baseline, after each cognitive and after muscle endurance task while measuring motor units by high-density surface electromyography. Muscle endurance until failure at 50% of MVIC was measured after each cognitive task and the RPE was measured right after failure. ST significantly increased MF (p = 0.001) reduced the motivation (p = 0.008) for the subsequent physical task and also impaired physical performance (p = 0.044). However, estimates of common synaptic inputs and motor unit discharge rates as well as RPE were not affected by MF (p &gt; 0.11). In conclusion, MF impairs muscle endurance and motivation for the physical task but not the neural drive to the muscle at any frequency bands. Although it is physiologically possible for mentally fatigued subjects to generate an optimal neuromuscular function, the altered motivation seems to limit physical performance. Preliminarily, our results suggest that the corticospinal pathways are not affected by MF.","container-title":"European Journal of Applied Physiology","DOI":"10.1007/s00421-023-05189-1","ISSN":"1439-6319, 1439-6327","issue":"8","journalAbbreviation":"Eur J Appl Physiol","language":"en","page":"1671-1684","source":"DOI.org (Crossref)","title":"Mental fatigue impairs physical performance but not the neural drive to the muscle: a preliminary analysis","title-short":"Mental fatigue impairs physical performance but not the neural drive to the muscle","volume":"123","author":[{"family":"Alix-Fages","given":"Carlos"},{"family":"Jiménez-Martínez","given":"Pablo"},{"family":"De Oliveira","given":"Daniela Souza"},{"family":"Möck","given":"Sebastian"},{"family":"Balsalobre-Fernández","given":"Carlos"},{"family":"Del Vecchio","given":"Alessandro"}],"issued":{"date-parts":[["2023",8]]}}}],"schema":"https://github.com/citation-style-language/schema/raw/master/csl-citation.json"}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(Alix-Fages et al. 2023b)</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5E36531E"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Mental fatigue impairs physical performance but not the neural drive to the muscle: a preliminary analysis.</w:t>
            </w:r>
          </w:p>
        </w:tc>
        <w:tc>
          <w:tcPr>
            <w:tcW w:w="3119" w:type="dxa"/>
            <w:shd w:val="clear" w:color="auto" w:fill="E7E6E6" w:themeFill="background2"/>
          </w:tcPr>
          <w:p w14:paraId="651F7B77"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2388B2F1" w14:textId="77777777" w:rsidTr="00603259">
        <w:trPr>
          <w:trHeight w:val="454"/>
          <w:jc w:val="center"/>
        </w:trPr>
        <w:tc>
          <w:tcPr>
            <w:tcW w:w="0" w:type="auto"/>
            <w:shd w:val="clear" w:color="auto" w:fill="FFFFFF" w:themeFill="background1"/>
          </w:tcPr>
          <w:p w14:paraId="6E33CD80"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5</w:t>
            </w:r>
          </w:p>
        </w:tc>
        <w:tc>
          <w:tcPr>
            <w:tcW w:w="0" w:type="auto"/>
            <w:shd w:val="clear" w:color="auto" w:fill="FFFFFF" w:themeFill="background1"/>
          </w:tcPr>
          <w:p w14:paraId="545F86BC"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{"citationID":"JV5Oj4k9","properties":{"formattedCitation":"(Dallaway et al. 2022)","plainCitation":"(Dallaway et al. 2022)","noteIndex":0},"citationItems":[{"id":1244,"uris":["http://zotero.org/users/local/saSzV5IY/items/AY5MDDXF"],"itemData":{"id":1244,"type":"article-journal","abstract":"Although mentally fatiguing cognitive tasks can impair subsequent physical endurance, the importance of cognitive task duration and the role of response inhibition remain unclear. This study compared the effects of a serial incongruent Stroop color-­classification task (i.e., with response inhibition) and N-­back memory updating task (i.e., without response inhibition) on mental fatigue and subsequent rhythmic handgrip exercise. Participants (N = 90) were randomly assigned to one of three cognitive task groups (Stroop, 2-­back, control) and completed four 10-­min blocks of one cognitive task followed by a 5-­min physical endurance task (self-­paced rhythmic handgrip exercise). Heart rate, heart rate variability, electromyographic forearm activity, and force were recorded throughout along with self-­reported measures of fatigue, exertion, and motivation. From the start, the Stroop and 2-b­ ack tasks elicited higher heart rate and lower heart rate variability as well as greater fatigue, effort, and interest/enjoyment than the control task. From the second block onwards, the Stroop and 2-­back groups produced less force than the control group. There were no group differences in forearm muscle activity. In sum, mental fatigue was induced after performing a cognitive task for 10 mins, whereas muscular endurance was impaired after performing a cognitive task for 20 mins. That these effects were observed for both types of cognitive task indicates that response inhibition is not a necessary condition. The cognitive task duration required to induce mental fatigue and impair rhythmic handgrip endurance performance lay between the durations reported previously for isometric (a few minutes) and whole-­body (half an hour) endurance exercise.","container-title":"Psychophysiology","DOI":"10.1111/psyp.14126","ISSN":"0048-5772, 1469-8986","issue":"12","journalAbbreviation":"Psychophysiology","language":"en","page":"e14126","source":"DOI.org (Crossref)","title":"Cognitive tasks elicit mental fatigue and impair subsequent physical task endurance: Effects of task duration and type","title-short":"Cognitive tasks elicit mental fatigue and impair subsequent physical task endurance","volume":"59","author":[{"family":"Dallaway","given":"Neil"},{"family":"Lucas","given":"Samuel J. E."},{"family":"Ring","given":"Christopher"}],"issued":{"date-parts":[["2022",12]]}}}],"schema":"https://github.com/citation-style-language/schema/raw/master/csl-citation.json"}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(Dallaway et al. 2022)</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6FC0AF0A"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Cognitive tasks elicit mental fatigue and impair subsequent physical task endurance: Effects of task duration and type.</w:t>
            </w:r>
          </w:p>
        </w:tc>
        <w:tc>
          <w:tcPr>
            <w:tcW w:w="3119" w:type="dxa"/>
            <w:shd w:val="clear" w:color="auto" w:fill="FFFFFF" w:themeFill="background1"/>
          </w:tcPr>
          <w:p w14:paraId="4E07FD2E"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49785865" w14:textId="77777777" w:rsidTr="00603259">
        <w:trPr>
          <w:trHeight w:val="454"/>
          <w:jc w:val="center"/>
        </w:trPr>
        <w:tc>
          <w:tcPr>
            <w:tcW w:w="0" w:type="auto"/>
            <w:shd w:val="clear" w:color="auto" w:fill="E7E6E6" w:themeFill="background2"/>
          </w:tcPr>
          <w:p w14:paraId="4E458A3D"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6</w:t>
            </w:r>
          </w:p>
        </w:tc>
        <w:tc>
          <w:tcPr>
            <w:tcW w:w="0" w:type="auto"/>
            <w:shd w:val="clear" w:color="auto" w:fill="E7E6E6" w:themeFill="background2"/>
          </w:tcPr>
          <w:p w14:paraId="5CD512F6"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{"citationID":"bbRYyC2c","properties":{"formattedCitation":"(Rozand et al. 2014)","plainCitation":"(Rozand et al. 2014)","noteIndex":0},"citationItems":[{"id":1245,"uris":["http://zotero.org/users/local/saSzV5IY/items/TFCHGG5E"],"itemData":{"id":1245,"type":"article-journal","container-title":"Medicine &amp; Science in Sports &amp; Exercise","DOI":"10.1249/MSS.0000000000000327","ISSN":"0195-9131","issue":"10","language":"en","page":"1981-1989","source":"DOI.org (Crossref)","title":"Does a Mental Training Session Induce Neuromuscular Fatigue?","volume":"46","author":[{"family":"Rozand","given":"Vianney"},{"family":"Lebon","given":"Florent"},{"family":"Papaxanthis","given":"Charalambos"},{"family":"Lepers","given":"Romuald"}],"issued":{"date-parts":[["2014",10]]}}}],"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(Rozand et al. 2014)</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7545482C"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Does a Mental Training Session Induce Neuromuscular Fatigue?</w:t>
            </w:r>
          </w:p>
        </w:tc>
        <w:tc>
          <w:tcPr>
            <w:tcW w:w="3119" w:type="dxa"/>
            <w:shd w:val="clear" w:color="auto" w:fill="E7E6E6" w:themeFill="background2"/>
          </w:tcPr>
          <w:p w14:paraId="7DEEB3E5"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intervention</w:t>
            </w:r>
          </w:p>
        </w:tc>
      </w:tr>
      <w:tr w:rsidR="00376A8B" w:rsidRPr="00BF5BBB" w14:paraId="02F6CDE2" w14:textId="77777777" w:rsidTr="00603259">
        <w:trPr>
          <w:trHeight w:val="454"/>
          <w:jc w:val="center"/>
        </w:trPr>
        <w:tc>
          <w:tcPr>
            <w:tcW w:w="0" w:type="auto"/>
            <w:shd w:val="clear" w:color="auto" w:fill="FFFFFF" w:themeFill="background1"/>
          </w:tcPr>
          <w:p w14:paraId="28E3EC71"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7</w:t>
            </w:r>
          </w:p>
        </w:tc>
        <w:tc>
          <w:tcPr>
            <w:tcW w:w="0" w:type="auto"/>
            <w:shd w:val="clear" w:color="auto" w:fill="FFFFFF" w:themeFill="background1"/>
          </w:tcPr>
          <w:p w14:paraId="4AF2650C"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{"citationID":"MeF7cpVX","properties":{"formattedCitation":"(Proost et al. 2023)","plainCitation":"(Proost et al. 2023)","noteIndex":0},"citationItems":[{"id":1246,"uris":["http://zotero.org/users/local/saSzV5IY/items/WYYJREGG"],"itemData":{"id":1246,"type":"article-journal","abstract":"ABSTRACT\n            \n              Purpose\n              Several mechanisms have been proposed to explain how mental fatigue degrades sport performance. In terms of endurance performance, a role for an increased perceived exertion has been demonstrated. Utilizing electroencephalography (EEG) and, more specifically, the movement-related cortical potential (MRCP), the present study explored the neural mechanisms that could underly the mental fatigue-associated increase in perceived exertion.\n            \n            \n              Methods\n              Fourteen participants (age: 23 ± 2 y, 5 females, 9 males) performed one familiarisation and two experimental trials in a randomised, blinded, cross-over study design. Participants had to complete a submaximal leg extension task after a mentally fatiguing task (EXP; individualized 60-min Stroop task) or control task (CON; documentary). The leg extension task consisted of performing 100 extensions at 35% of 1RM, during which multiple physiological (heart rate, EEG, ratings of perceived exertion) and psychological measures (self-reported feeling of mental fatigue, cognitive load, motivation) were assessed.\n            \n            \n              Results\n              Self-reported feeling of mental fatigue was higher in EXP (72 ± 18) compared to CON (37 ± 17; p &lt; 0.001). A decrease in flanker accuracy was detected only in EXP (from 0.96 ± 0.03 to 0.94 ± 0.03; p &lt; 0.05). No significant differences between conditions were found in MRCP characteristics and perceived exertion. Specifically in EXP, alpha wave power increased during the leg extension task (p &lt; 0.01).\n            \n            \n              Conclusions\n              Mental fatigue did not impact the perceived exertion or MRCP characteristics during the leg extension task. This could be related to low perceived exertion and/or the absence of a performance outcome during the leg extension task. The increase in alpha power during the leg extension task in EXP, suggests participants may engage a focused internal attention mechanism to maintain performance and mitigate feelings of fatigue.","container-title":"Medicine &amp; Science in Sports &amp; Exercise","DOI":"10.1249/MSS.0000000000003322","ISSN":"1530-0315, 0195-9131","language":"en","source":"DOI.org (Crossref)","title":"The Impact of Mental Fatigue on a Strength Endurance Task: Is there a Role for the Movement-Related Cortical Potential?","title-short":"The Impact of Mental Fatigue on a Strength Endurance Task","URL":"https://journals.lww.com/10.1249/MSS.0000000000003322","author":[{"family":"Proost","given":"Matthias"},{"family":"Habay","given":"Jelle"},{"family":"De Wachter","given":"Jonas"},{"family":"De Pauw","given":"Kevin"},{"family":"Marusic","given":"Uros"},{"family":"Meeusen","given":"Romain"},{"family":"De Bock","given":"Sander"},{"family":"Roelands","given":"Bart"},{"family":"Van Cutsem","given":"Jeroen"}],"accessed":{"date-parts":[["2024",10,29]]},"issued":{"date-parts":[["2023",10,17]]}}}],"schema":"https://github.com/citation-style-language/schema/raw/master/csl-citation.json"}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(Proost et al. 2023)</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501B4776"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The Impact of Mental Fatigue on a Strength Endurance Task: Is There a Role for the Movement-Related Cortical Potential?</w:t>
            </w:r>
          </w:p>
        </w:tc>
        <w:tc>
          <w:tcPr>
            <w:tcW w:w="3119" w:type="dxa"/>
            <w:shd w:val="clear" w:color="auto" w:fill="FFFFFF" w:themeFill="background1"/>
          </w:tcPr>
          <w:p w14:paraId="41916C5C"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4C2C3452" w14:textId="77777777" w:rsidTr="00603259">
        <w:trPr>
          <w:trHeight w:val="454"/>
          <w:jc w:val="center"/>
        </w:trPr>
        <w:tc>
          <w:tcPr>
            <w:tcW w:w="0" w:type="auto"/>
            <w:shd w:val="clear" w:color="auto" w:fill="E7E6E6" w:themeFill="background2"/>
          </w:tcPr>
          <w:p w14:paraId="5144FD04"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8</w:t>
            </w:r>
          </w:p>
        </w:tc>
        <w:tc>
          <w:tcPr>
            <w:tcW w:w="0" w:type="auto"/>
            <w:shd w:val="clear" w:color="auto" w:fill="E7E6E6" w:themeFill="background2"/>
          </w:tcPr>
          <w:p w14:paraId="5EAB58D9"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{"citationID":"KpR1TOGY","properties":{"formattedCitation":"(Ferris et al. 2021)","plainCitation":"(Ferris et al. 2021)","noteIndex":0},"citationItems":[{"id":1247,"uris":["http://zotero.org/users/local/saSzV5IY/items/GQXTPF9U"],"itemData":{"id":1247,"type":"article-journal","abstract":"Cognitive fatigue tasks performed prior to exercise may reduce exercise capacity. The electromyographic fatigue threshold (EMGFT) is the highest exercise intensity that can be maintained without significant increase in the EMG amplitude versus time relationship. To date, no studies have examined the effect of cognitive fatigue on the estimation of the EMGFT. The purpose of this study, therefore, was to determine whether or not cognitive fatigue prior to performing exercise reduces the estimated EMGFT. Eight healthy college-aged men were D recruited from a university student population and visited the laboratory on multiple occasions.","container-title":"Journal of Strength and Conditioning Research","DOI":"10.1519/JSC.0000000000002490","ISSN":"1064-8011","issue":"1","language":"en","page":"267-274","source":"DOI.org (Crossref)","title":"Reduced Electromyographic Fatigue Threshold After Performing a Cognitive Fatiguing Task","volume":"35","author":[{"family":"Ferris","given":"Justine R."},{"family":"Tomlinson","given":"Mary A."},{"family":"Ward","given":"Tayler N."},{"family":"Pepin","given":"Marie E."},{"family":"Malek","given":"Moh H."}],"issued":{"date-parts":[["2021",1]]}}}],"schema":"https://github.com/citation-style-language/schema/raw/master/csl-citation.json"}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(Ferris et al. 2021)</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6E7C57DE"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Reduced Electromyographic Fatigue Threshold After Performing a Cognitive Fatiguing Task.</w:t>
            </w:r>
          </w:p>
        </w:tc>
        <w:tc>
          <w:tcPr>
            <w:tcW w:w="3119" w:type="dxa"/>
            <w:shd w:val="clear" w:color="auto" w:fill="E7E6E6" w:themeFill="background2"/>
          </w:tcPr>
          <w:p w14:paraId="3343D417"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6CA9B218" w14:textId="77777777" w:rsidTr="00603259">
        <w:trPr>
          <w:trHeight w:val="454"/>
          <w:jc w:val="center"/>
        </w:trPr>
        <w:tc>
          <w:tcPr>
            <w:tcW w:w="0" w:type="auto"/>
            <w:shd w:val="clear" w:color="auto" w:fill="FFFFFF" w:themeFill="background1"/>
          </w:tcPr>
          <w:p w14:paraId="56E00FF2"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9</w:t>
            </w:r>
          </w:p>
        </w:tc>
        <w:tc>
          <w:tcPr>
            <w:tcW w:w="0" w:type="auto"/>
            <w:shd w:val="clear" w:color="auto" w:fill="FFFFFF" w:themeFill="background1"/>
          </w:tcPr>
          <w:p w14:paraId="6CD08ECD"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{"citationID":"09WxTDYJ","properties":{"formattedCitation":"(Romagnoli et al. 2024)","plainCitation":"(Romagnoli et al. 2024)","noteIndex":0},"citationItems":[{"id":1249,"uris":["http://zotero.org/users/local/saSzV5IY/items/S2SUI5YX"],"itemData":{"id":1249,"type":"article-journal","abstract":"Perception of Velocity (PV) is the ability to estimate single repetition velocity during resistance training (RT) exercises. The main purpose of the study was to evaluate the effects of Mental Fatigue (MF) on the accuracy of barbell PV. The secondary aims were to evaluate whether MF affected RT performance and ratings of perceived exertion (RPE; OMNI‐RES) in the back squat. Twenty‐four (14 Females, 10 Males) resistance‐trained participants underwent 2 familiarization sessions and 1RM test for the back squat. In two separate sessions, PV was tested for light, medium, and heavy loads in 2 conditions in random order: at rest (REST) and in MF condition (POST‐MF) induced by previous incongruent Stroop color‐word task. MF and Motivation were assessed through visual analog scales (VAS; 0–100) before and after the Stroop task. For each load subjects performed 2 repetitions and reported the RPE value. Mean propulsive velocity (Vr) of the barbell was recorded with a linear encoder, while the perceived velocity (Vp) of the subjects was self‐reported using the Squat‐PV scale. The PV accuracy was calculated through the delta score (ds: Vp–Vr). Following the Stroop task MF increased significantly (p &lt; 0.001; F (1, 23) = 52.572), while motivation decreased (p &lt; 0.05; F (1, 23) = 7.401). Ds, Vr, and RPE did not show significant differences between conditions (p &gt; 0.05) for the three loads analyzed. MF induced by previous demanding cognitive task did not affect PV accuracy. Furthermore, subjects maintained unchanged both RT performance and RPE values associated with each load, even when mentally fatigued.","container-title":"European Journal of Sport Science","DOI":"10.1002/ejsc.12105","ISSN":"1746-1391, 1536-7290","issue":"6","journalAbbreviation":"European Journal of Sport Science","language":"en","license":"http://creativecommons.org/licenses/by/4.0/","page":"732-739","source":"DOI.org (Crossref)","title":"Can mental fatigue affect perception of barbell velocity in resistance training?","volume":"24","author":[{"family":"Romagnoli","given":"Ruggero"},{"family":"Filipas","given":"Luca"},{"family":"Piacentini","given":"Maria Francesca"}],"issued":{"date-parts":[["2024",6]]}}}],"schema":"https://github.com/citation-style-language/schema/raw/master/csl-citation.json"}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(Romagnoli et al. 2024)</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18035126"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Can mental fatigue affect perception of barbell velocity in resistance training?</w:t>
            </w:r>
          </w:p>
        </w:tc>
        <w:tc>
          <w:tcPr>
            <w:tcW w:w="3119" w:type="dxa"/>
            <w:shd w:val="clear" w:color="auto" w:fill="FFFFFF" w:themeFill="background1"/>
          </w:tcPr>
          <w:p w14:paraId="524CF040"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134E9F44" w14:textId="77777777" w:rsidTr="00603259">
        <w:trPr>
          <w:trHeight w:val="454"/>
          <w:jc w:val="center"/>
        </w:trPr>
        <w:tc>
          <w:tcPr>
            <w:tcW w:w="0" w:type="auto"/>
            <w:shd w:val="clear" w:color="auto" w:fill="E7E6E6" w:themeFill="background2"/>
          </w:tcPr>
          <w:p w14:paraId="452243AC"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10</w:t>
            </w:r>
          </w:p>
        </w:tc>
        <w:tc>
          <w:tcPr>
            <w:tcW w:w="0" w:type="auto"/>
            <w:shd w:val="clear" w:color="auto" w:fill="E7E6E6" w:themeFill="background2"/>
          </w:tcPr>
          <w:p w14:paraId="4E8AE830"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{"citationID":"kVC3iLoX","properties":{"formattedCitation":"(Harris and Bray 2021)","plainCitation":"(Harris and Bray 2021)","noteIndex":0},"citationItems":[{"id":1250,"uris":["http://zotero.org/users/local/saSzV5IY/items/BWF8PLHS"],"itemData":{"id":1250,"type":"article-journal","abstract":"Objectives: This study examined the effects of mental fatigue on people’s decisions to engage in an acute bout of exercise quantitatively, through a sequentially mediated pathway consisting of perceived effort and benefit vs. cost valuations and qualitatively, using exit interviews to survey the conscious reasoning behind participants’ choices. Design: Mixed methods, randomized, experimenter blind to group.\nMethod: Participants (N = 84, Mage = 19.07 ± 1.86 years) completed either a high cognitive demand (incongruent Stroop) task or low cognitive demand (documentary viewing) task for 12 min. Before and after the cognitive task, participants rated their anticipated effort and subjective evaluations (benefits and costs) of engaging in a 20-min moderate-to-vigorous intensity exercise task. After completing the latter ratings, participants chose between the exercise task or a non-exercise task (seated “free time” and use of smartphone or computer). Participants were led to believe they would actually engage in the task; however, once their choice was made, they were not required to complete the task but were invited to complete a semi-structured interview to probe the reasoning behind their choice.\nResults: Serial mediation analyses revealed a significant indirect effect from mental fatigue to choice through perceived effort and benefit vs. cost valuations (95% C.I. = − 0.01 to − 0.0004). Qualitative data, organized by categories based on group/choice pairings, yielded twelve unique codes explaining how the cognitive tasks affected choice.\nConclusions: Results demonstrate mental fatigue alters decision-making through a sequentially mediated process including subjective perceptions of effort, benefits, and costs. Interview responses also highlight the individuallevel consequences of completing cognitively demanding and non-demanding tasks on effort-based decisionmaking. Future research should explore additional feeling states as they relate to people’s choices to engage in exercise or sedentary behaviors.","container-title":"Psychology of Sport and Exercise","DOI":"10.1016/j.psychsport.2021.101924","ISSN":"14690292","journalAbbreviation":"Psychology of Sport and Exercise","language":"en","page":"101924","source":"DOI.org (Crossref)","title":"Mental fatigue, anticipated effort, and subjective valuations of exercising predict choice to exercise or not: A mixed-methods study","title-short":"Mental fatigue, anticipated effort, and subjective valuations of exercising predict choice to exercise or not","volume":"54","author":[{"family":"Harris","given":"Sheereen"},{"family":"Bray","given":"Steven R."}],"issued":{"date-parts":[["2021",5]]}}}],"schema":"https://github.com/citation-style-language/schema/raw/master/csl-citation.json"}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(Harris and Bray 2021)</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41FA56F3"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Mental fatigue, anticipated effort, and subjective valuations of exercising predict choice to exercise or not: A mixed-methods study</w:t>
            </w:r>
          </w:p>
        </w:tc>
        <w:tc>
          <w:tcPr>
            <w:tcW w:w="3119" w:type="dxa"/>
            <w:shd w:val="clear" w:color="auto" w:fill="E7E6E6" w:themeFill="background2"/>
          </w:tcPr>
          <w:p w14:paraId="3BE67621"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63AC0476" w14:textId="77777777" w:rsidTr="00603259">
        <w:trPr>
          <w:trHeight w:val="454"/>
          <w:jc w:val="center"/>
        </w:trPr>
        <w:tc>
          <w:tcPr>
            <w:tcW w:w="0" w:type="auto"/>
            <w:shd w:val="clear" w:color="auto" w:fill="FFFFFF" w:themeFill="background1"/>
          </w:tcPr>
          <w:p w14:paraId="4A40ADEC"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11</w:t>
            </w:r>
          </w:p>
        </w:tc>
        <w:tc>
          <w:tcPr>
            <w:tcW w:w="0" w:type="auto"/>
            <w:shd w:val="clear" w:color="auto" w:fill="FFFFFF" w:themeFill="background1"/>
          </w:tcPr>
          <w:p w14:paraId="2E5D15BF"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{"citationID":"tZt9V0Lf","properties":{"formattedCitation":"(Wolff et al. 2018)","plainCitation":"(Wolff et al. 2018)","noteIndex":0},"citationItems":[{"id":1251,"uris":["http://zotero.org/users/local/saSzV5IY/items/8FXYEBHG"],"itemData":{"id":1251,"type":"article-journal","abstract":"Abstract\n            Enduring physical strain is an important ability and prototypically required in athletic activities. However, little is known about the psychological determinants of endurance performance and their underlying neural mechanisms. Here, we investigated self-regulation as one such factor. We recruited 60 participants who hold intertwined rings for as long as possible while avoiding contacts between them, either with a goal intention or an implementation intention to perform well. Performance was measured in terms of time-to-failure and contact errors. Additionally, we repeatedly assessed ratings of perceived exertion (RPE) and pain (RPP) and used functional near-infrared spectroscopy (fNIRS) to continuously monitor cerebral oxygenation in dorsal and ventral parts of the lateral prefrontal cortex (LPFC), brain regions associated with effortful attentional control and response inhibition, respectively. Performance, RPE and RPP were similar in the goal and the implementation intention condition. LPFC activity increased over time, but its activation level was generally lower in the implementation intention condition. Both effects were particularly pronounced in the dorsal LPFC. Moreover, the balance between effortful and more automatic regulation seems to differ between self-regulation strategies. Our results indicate that self-regulation plays an important role in endurance performance and that self-regulatory processes during endurance performance might be reflected in LPFC activation.","container-title":"Scientific Reports","DOI":"10.1038/s41598-018-34009-2","ISSN":"2045-2322","issue":"1","journalAbbreviation":"Sci Rep","language":"en","page":"15756","source":"DOI.org (Crossref)","title":"Increase in prefrontal cortex oxygenation during static muscular endurance performance is modulated by self-regulation strategies","volume":"8","author":[{"family":"Wolff","given":"Wanja"},{"family":"Bieleke","given":"Maik"},{"family":"Hirsch","given":"Anna"},{"family":"Wienbruch","given":"Christian"},{"family":"Gollwitzer","given":"Peter M."},{"family":"Schüler","given":"Julia"}],"issued":{"date-parts":[["2018",10,25]]}}}],"schema":"https://github.com/citation-style-language/schema/raw/master/csl-citation.json"}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(Wolff et al. 2018)</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44180027"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Increase in prefrontal cortex oxygenation during static muscular endurance performance is modulated by self-regulation strategies</w:t>
            </w:r>
          </w:p>
        </w:tc>
        <w:tc>
          <w:tcPr>
            <w:tcW w:w="3119" w:type="dxa"/>
            <w:shd w:val="clear" w:color="auto" w:fill="FFFFFF" w:themeFill="background1"/>
          </w:tcPr>
          <w:p w14:paraId="67CAA1BF"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3DB328ED" w14:textId="77777777" w:rsidTr="00603259">
        <w:trPr>
          <w:trHeight w:val="454"/>
          <w:jc w:val="center"/>
        </w:trPr>
        <w:tc>
          <w:tcPr>
            <w:tcW w:w="0" w:type="auto"/>
            <w:shd w:val="clear" w:color="auto" w:fill="E7E6E6" w:themeFill="background2"/>
          </w:tcPr>
          <w:p w14:paraId="5934082B"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12</w:t>
            </w:r>
          </w:p>
        </w:tc>
        <w:tc>
          <w:tcPr>
            <w:tcW w:w="0" w:type="auto"/>
            <w:shd w:val="clear" w:color="auto" w:fill="E7E6E6" w:themeFill="background2"/>
          </w:tcPr>
          <w:p w14:paraId="3C2A49A4"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{"citationID":"VaxsDbvS","properties":{"formattedCitation":"(O\\uc0\\u8217{}Brien et al. 2020)","plainCitation":"(O’Brien et al. 2020)","noteIndex":0},"citationItems":[{"id":1252,"uris":["http://zotero.org/users/local/saSzV5IY/items/8X7UX862"],"itemData":{"id":1252,"type":"article-journal","container-title":"Sport, Exercise, and Performance Psychology","DOI":"10.1037/spy0000199","ISSN":"2157-3913, 2157-3905","issue":"2","journalAbbreviation":"Sport, Exercise, and Performance Psychology","language":"en","page":"183-196","source":"DOI.org (Crossref)","title":"Cardiovascular and cerebral hemodynamic responses to ego depletion in a pressurized sporting task.","volume":"9","author":[{"family":"O'Brien","given":"Jessica"},{"family":"Parker","given":"John"},{"family":"Moore","given":"Lee"},{"family":"Fryer","given":"Simon"}],"issued":{"date-parts":[["2020",5]]}}}],"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(O’Brien et al. 2020)</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3D57E142"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Cardiovascular and cerebral hemodynamic responses to ego depletion in a pressurized sporting task</w:t>
            </w:r>
          </w:p>
        </w:tc>
        <w:tc>
          <w:tcPr>
            <w:tcW w:w="3119" w:type="dxa"/>
            <w:shd w:val="clear" w:color="auto" w:fill="E7E6E6" w:themeFill="background2"/>
          </w:tcPr>
          <w:p w14:paraId="6F698228"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397065CB" w14:textId="77777777" w:rsidTr="00603259">
        <w:trPr>
          <w:trHeight w:val="454"/>
          <w:jc w:val="center"/>
        </w:trPr>
        <w:tc>
          <w:tcPr>
            <w:tcW w:w="0" w:type="auto"/>
            <w:shd w:val="clear" w:color="auto" w:fill="FFFFFF" w:themeFill="background1"/>
          </w:tcPr>
          <w:p w14:paraId="1D35D142"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13</w:t>
            </w:r>
          </w:p>
        </w:tc>
        <w:tc>
          <w:tcPr>
            <w:tcW w:w="0" w:type="auto"/>
            <w:shd w:val="clear" w:color="auto" w:fill="FFFFFF" w:themeFill="background1"/>
          </w:tcPr>
          <w:p w14:paraId="34A99D8E"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{"citationID":"gSDfPqXm","properties":{"formattedCitation":"(Fortes et al. 2022)","plainCitation":"(Fortes et al. 2022)","noteIndex":0},"citationItems":[{"id":1054,"uris":["http://zotero.org/users/local/saSzV5IY/items/2H7CVZ6S"],"itemData":{"id":1054,"type":"article-journal","abstract":"The purpose is to analyze the effect of social networks on smartphones before and during velocity-based resistance exercise on the internal training load, heart rate variability (HRV), and cognitive interference control. Twelve trained adults volunteered to participate in this randomized and crossover design research study with three experimental conditions. The participants randomly performed a resistance exercise session, watching TV before (CON) the session or using social networks on a smartphone prior to (30SMA-P) and intra-session (SMA-INT). The participants underwent sets with repetitions [15RM load] up to 20% mean velocity loss. HRV indicators and cognitive interference control were measured before and 30-min after each experimental session. Internal training load was evaluated 30-min after each experimental session, which was calculated by the product between resistance exercise volume and RPE. No condition versus time interaction for HRV indicators (p &gt; 0.05) was observed. It was not revealed a condition versus time interaction for cognitive interference control (p &gt; 0.05). No condition effect for internal training load (p &gt; 0.05) was observed. It was concluded that 30-min of social networks on smartphones before or intrasession resistance exercise had no effects on HRV indicators, cognitive interference control, and internal training load in trained adults.","container-title":"Applied Neuropsychology: Adult","DOI":"10.1080/23279095.2020.1863796","ISSN":"2327-9095, 2327-9109","issue":"5","journalAbbreviation":"Applied Neuropsychology: Adult","language":"en","page":"1188-1197","source":"DOI.org (Crossref)","title":"Effects of social media on smartphone use before and during velocity-based resistance exercise on cognitive interference control and physiological measures in trained adults","volume":"29","author":[{"family":"Fortes","given":"Leonardo Sousa"},{"family":"Lima Júnior","given":"Dalton"},{"family":"Costa","given":"Yago Pessoa"},{"family":"Albuquerque","given":"Maicon Rodrigues"},{"family":"Nakamura","given":"Fabio Yuzo"},{"family":"Fonseca","given":"Fabiano Souza"}],"issued":{"date-parts":[["2022",9,3]]}}}],"schema":"https://github.com/citation-style-language/schema/raw/master/csl-citation.json"}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(Fortes et al. 2022)</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6A0E1C7C"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Effects of social media on smartphone use before and during velocity-based resistance exercise on cognitive interference control and physiological measures in trained adults.</w:t>
            </w:r>
          </w:p>
        </w:tc>
        <w:tc>
          <w:tcPr>
            <w:tcW w:w="3119" w:type="dxa"/>
            <w:shd w:val="clear" w:color="auto" w:fill="FFFFFF" w:themeFill="background1"/>
          </w:tcPr>
          <w:p w14:paraId="3A67C153"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training approach with velocity loss)</w:t>
            </w:r>
          </w:p>
        </w:tc>
      </w:tr>
      <w:tr w:rsidR="00376A8B" w:rsidRPr="00BF5BBB" w14:paraId="0E4DA7A7" w14:textId="77777777" w:rsidTr="00603259">
        <w:trPr>
          <w:trHeight w:val="454"/>
          <w:jc w:val="center"/>
        </w:trPr>
        <w:tc>
          <w:tcPr>
            <w:tcW w:w="0" w:type="auto"/>
            <w:shd w:val="clear" w:color="auto" w:fill="E7E6E6" w:themeFill="background2"/>
          </w:tcPr>
          <w:p w14:paraId="27FDF204"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14</w:t>
            </w:r>
          </w:p>
        </w:tc>
        <w:tc>
          <w:tcPr>
            <w:tcW w:w="0" w:type="auto"/>
            <w:shd w:val="clear" w:color="auto" w:fill="E7E6E6" w:themeFill="background2"/>
          </w:tcPr>
          <w:p w14:paraId="543A520D"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{"citationID":"gLg2Nhhj","properties":{"formattedCitation":"(Lima-Junior et al. 2024)","plainCitation":"(Lima-Junior et al. 2024)","noteIndex":0},"citationItems":[{"id":1253,"uris":["http://zotero.org/users/local/saSzV5IY/items/JJLLHU4W"],"itemData":{"id":1253,"type":"article-journal","abstract":"Background: The effect of MF induced by exposure time to social media smartphone apps on inhibitory control, heart rate variability (HRV), and high-intensity physical effort following a resistance exercise session might indicate whether strength and conditioning professionals should suggest avoiding smartphone usage before a resistance exercise session. Aim: The objective of this study was to analyze the effect of mental fatigue on inhibitory control, HRV, and countermovement jump (CMJ) in trained adults after resistance exercise.\nMethods: A total of 16 trained males (21.4 ± 3.3 years) volunteered in this study. The participants performed resistance exercises with and without mental fatigue. The Stroop Task, countermovement jump, and heart rate variability were evaluated before and after the resistance exercise. The participants used smartphones in the mental fatigue condition, whereas the participants watched TV in the control condition.\nResults: No condition Â time interaction was found for the Stroop accuracy (p ¼ 0.87), CMJ (p ¼ 0.68), SDNN (p ¼ 0.15), or pNN50 (p ¼ 0.15) in the heart rate variability. An interaction was found for Stroop response time (p ¼ 0.01) with a higher response time for the mental fatigue condition (p ¼ 0.01).\nConclusions: Mental fatigue impaired the inhibitory control performance after a resistance exercise session in trained adults.","container-title":"Applied Neuropsychology: Adult","DOI":"10.1080/23279095.2021.1990927","ISSN":"2327-9095, 2327-9109","issue":"1","journalAbbreviation":"Applied Neuropsychology: Adult","language":"en","page":"48-55","source":"DOI.org (Crossref)","title":"Effects of smartphone use before resistance exercise on inhibitory control, heart rate variability, and countermovement jump","volume":"31","author":[{"family":"Lima-Junior","given":"Dalton De"},{"family":"Fortes","given":"Leonardo S."},{"family":"Ferreira","given":"Maria E. C."},{"family":"Gantois","given":"Petrus"},{"family":"Barbosa","given":"Bruno Teixeira"},{"family":"Albuquerque","given":"Maicon R."},{"family":"Fonseca","given":"Fabiano S."}],"issued":{"date-parts":[["2024",1,2]]}}}],"schema":"https://github.com/citation-style-language/schema/raw/master/csl-citation.json"}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(Lima-Junior et al. 2024)</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5C6AAB51"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Effects of smartphone use before resistance exercise on inhibitory control, heart rate variability, and countermovement jump</w:t>
            </w:r>
          </w:p>
        </w:tc>
        <w:tc>
          <w:tcPr>
            <w:tcW w:w="3119" w:type="dxa"/>
            <w:shd w:val="clear" w:color="auto" w:fill="E7E6E6" w:themeFill="background2"/>
          </w:tcPr>
          <w:p w14:paraId="033B202A"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579F413E" w14:textId="77777777" w:rsidTr="00603259">
        <w:trPr>
          <w:trHeight w:val="454"/>
          <w:jc w:val="center"/>
        </w:trPr>
        <w:tc>
          <w:tcPr>
            <w:tcW w:w="0" w:type="auto"/>
            <w:shd w:val="clear" w:color="auto" w:fill="FFFFFF" w:themeFill="background1"/>
          </w:tcPr>
          <w:p w14:paraId="54257495"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15</w:t>
            </w:r>
          </w:p>
        </w:tc>
        <w:tc>
          <w:tcPr>
            <w:tcW w:w="0" w:type="auto"/>
            <w:shd w:val="clear" w:color="auto" w:fill="FFFFFF" w:themeFill="background1"/>
          </w:tcPr>
          <w:p w14:paraId="3BF64A7A"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{"citationID":"wM3ZYXkJ","properties":{"formattedCitation":"(Hussain et al. 2020)","plainCitation":"(Hussain et al. 2020)","noteIndex":0},"citationItems":[{"id":1254,"uris":["http://zotero.org/users/local/saSzV5IY/items/CN9CIAWV"],"itemData":{"id":1254,"type":"article-journal","abstract":"Methods Twenty-five young and healthy university students performed a triceps push-down exercise at 45% one repetition maximum (1RM) with and without CS until task failure, and the rate of fatigue (ROF), endurance time (ET) and number of repetitions (NR) for both exercises were analyzed. In addition, the first and last six repetitions of each exercise were considered nonfatiguing (NF) and fatiguing (Fa), respectively, and the root mean square (RMS), mean power frequency (MPF) and median frequency (MDF) for each exercise repetition were evaluated.\nResults The lateral and long head showed significant differences (P&lt;0.05) in the ROF between the two exercises, and all the heads showed significant (P&lt;0.05) differences in the RMS between the two exercises under NF conditions. Only the long head showed a significant difference (P&lt;0.05) in the MPF and MDF between the two exercises. CS increases the ET (24.74%) and NR (27%) of the exercise. The three heads showed significant differences (P&lt;0.05) in the RMS, MPF and MDF under all exercise conditions.\nConclusion A lower ROF was obtained with CS. In addition, the RMS was found to be better approximator of CS, whereas MPF and MDF were more resistant to the effect of CS. The results showed that the three heads worked independently under all conditions, and the non-","container-title":"PLOS ONE","DOI":"10.1371/journal.pone.0228089","ISSN":"1932-6203","issue":"1","journalAbbreviation":"PLoS ONE","language":"en","page":"e0228089","source":"DOI.org (Crossref)","title":"Cognitive stress changes the attributes of the three heads of the triceps brachii during muscle fatigue","volume":"15","author":[{"family":"Hussain","given":"Jawad"},{"family":"Sundaraj","given":"Kenneth"},{"family":"Subramaniam","given":"Indra Devi"}],"editor":[{"family":"Ahamed","given":"Nizam Uddin"}],"issued":{"date-parts":[["2020",1,30]]}}}],"schema":"https://github.com/citation-style-language/schema/raw/master/csl-citation.json"}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(Hussain et al. 2020)</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7293F5B2"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Cognitive stress changes the attributes of the three heads of the triceps brachii during muscle fatigue</w:t>
            </w:r>
          </w:p>
        </w:tc>
        <w:tc>
          <w:tcPr>
            <w:tcW w:w="3119" w:type="dxa"/>
            <w:shd w:val="clear" w:color="auto" w:fill="FFFFFF" w:themeFill="background1"/>
          </w:tcPr>
          <w:p w14:paraId="3145A387"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intervention</w:t>
            </w:r>
          </w:p>
        </w:tc>
      </w:tr>
      <w:tr w:rsidR="00376A8B" w:rsidRPr="00BF5BBB" w14:paraId="44721084" w14:textId="77777777" w:rsidTr="00603259">
        <w:trPr>
          <w:trHeight w:val="454"/>
          <w:jc w:val="center"/>
        </w:trPr>
        <w:tc>
          <w:tcPr>
            <w:tcW w:w="0" w:type="auto"/>
            <w:shd w:val="clear" w:color="auto" w:fill="E7E6E6" w:themeFill="background2"/>
          </w:tcPr>
          <w:p w14:paraId="1396C124"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16</w:t>
            </w:r>
          </w:p>
        </w:tc>
        <w:tc>
          <w:tcPr>
            <w:tcW w:w="0" w:type="auto"/>
            <w:shd w:val="clear" w:color="auto" w:fill="E7E6E6" w:themeFill="background2"/>
          </w:tcPr>
          <w:p w14:paraId="197C3ED9"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{"citationID":"RVaDpsPD","properties":{"formattedCitation":"(Lydakis et al. 2008)","plainCitation":"(Lydakis et al. 2008)","noteIndex":0},"citationItems":[{"id":1255,"uris":["http://zotero.org/users/local/saSzV5IY/items/IDISGHZC"],"itemData":{"id":1255,"type":"article-journal","container-title":"Journal of Human Hypertension","DOI":"10.1038/jhh.2008.4","ISSN":"0950-9240, 1476-5527","issue":"5","journalAbbreviation":"J Hum Hypertens","language":"en","page":"320-328","source":"DOI.org (Crossref)","title":"Changes of central haemodynamic parameters during mental stress and acute bouts of static and dynamic exercise","volume":"22","author":[{"family":"Lydakis","given":"C"},{"family":"Momen","given":"A"},{"family":"Blaha","given":"C"},{"family":"Gugoff","given":"S"},{"family":"Gray","given":"K"},{"family":"Herr","given":"M"},{"family":"Leuenberger","given":"U A"},{"family":"Sinoway","given":"L I"}],"issued":{"date-parts":[["2008",5]]}}}],"schema":"https://github.com/citation-style-language/schema/raw/master/csl-citation.json"}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(Lydakis et al. 2008)</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4E83CA39"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Changes of central haemodynamic parameters during mental stress and acute bouts of static and dynamic exercise.</w:t>
            </w:r>
          </w:p>
        </w:tc>
        <w:tc>
          <w:tcPr>
            <w:tcW w:w="3119" w:type="dxa"/>
            <w:shd w:val="clear" w:color="auto" w:fill="E7E6E6" w:themeFill="background2"/>
          </w:tcPr>
          <w:p w14:paraId="30F1B9CF"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5FB591A8" w14:textId="77777777" w:rsidTr="00603259">
        <w:trPr>
          <w:trHeight w:val="454"/>
          <w:jc w:val="center"/>
        </w:trPr>
        <w:tc>
          <w:tcPr>
            <w:tcW w:w="0" w:type="auto"/>
            <w:shd w:val="clear" w:color="auto" w:fill="FFFFFF" w:themeFill="background1"/>
          </w:tcPr>
          <w:p w14:paraId="66F07B62"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17</w:t>
            </w:r>
          </w:p>
        </w:tc>
        <w:tc>
          <w:tcPr>
            <w:tcW w:w="0" w:type="auto"/>
            <w:shd w:val="clear" w:color="auto" w:fill="FFFFFF" w:themeFill="background1"/>
          </w:tcPr>
          <w:p w14:paraId="32BA39DE"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{"citationID":"PfcHI7xy","properties":{"formattedCitation":"(Holgado et al. 2023)","plainCitation":"(Holgado et al. 2023)","noteIndex":0},"citationItems":[{"id":1231,"uris":["http://zotero.org/users/local/saSzV5IY/items/K7LM4Q87"],"itemData":{"id":1231,"type":"article-journal","abstract":"ABSTRACT\n            \n              Introduction\n              Recent studies have questioned previous empirical evidence that mental fatigue negatively impacts physical performance. The purpose of this study is to investigate the critical role of individual differences in mental fatigue susceptibility by analyzing the neurophysiological and physical responses to an individualized mental fatigue task.\n            \n            \n              Methods\n              \n                In a pre-registered (https://osf.io/xc8nr/), randomized, within-participant design experiment, twenty-two recreational athletes completed a time to failure test at 80% of their peak power output under mental fatigue (individual mental effort) or control (low mental effort). Before and after the cognitive tasks, subjective feeling of mental fatigue, neuromuscular function of the knee extensors, and corticospinal excitability were measured. Sequential Bayesian analysis until it reached strong evidence in favor of the alternative hypothesis (BF\n                10\n                &gt; 6) or the null hypothesis (BF\n                10\n                &lt; 1/6) were conducted.\n              \n            \n            \n              Results\n              \n                The individualized mental effort task resulted in a higher subjective feeling of mental fatigue in the mental fatigue condition: 0.50 (95%CI 0.39 - 0.62) AU compared to control: 0.19 (95%CI 0.06 - 0.339) AU. However, exercise performance was similar in both conditions (control; 410 (95%CI 357 – 463) vs. mental fatigue 422 (95%CI 367 – 477) seconds, BF\n                10\n                = 0.15). Likewise, mental fatigue did not impair knee extensor maximal force generating capacity (BF\n                10\n                = 0.928) and did not change the extent of fatigability or its origin after the cycling exercise.\n              \n            \n            \n              Conclusions\n              There is no evidence that mental fatigue adversely affects neuromuscular function or physical exercise, even if mental fatigue is individualized, computerized tasks seem not to affect physical performance.","container-title":"Medicine &amp; Science in Sports &amp; Exercise","DOI":"10.1249/MSS.0000000000003221","ISSN":"1530-0315, 0195-9131","language":"en","source":"DOI.org (Crossref)","title":"Individualized Mental Fatigue Does Not Impact Neuromuscular Function and Exercise Performance","URL":"https://journals.lww.com/10.1249/MSS.0000000000003221","author":[{"family":"Holgado","given":"Darías"},{"family":"Jolidon","given":"Léo"},{"family":"Borragán","given":"Guillermo"},{"family":"Sanabria","given":"Daniel"},{"family":"Place","given":"Nicolas"}],"accessed":{"date-parts":[["2024",10,29]]},"issued":{"date-parts":[["2023",5,22]]}}}],"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(Holgado et al. 2023)</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2D4AB644"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Individualized Mental Fatigue Does Not Impact Neuromuscular Function and Exercise Performance</w:t>
            </w:r>
          </w:p>
        </w:tc>
        <w:tc>
          <w:tcPr>
            <w:tcW w:w="3119" w:type="dxa"/>
            <w:shd w:val="clear" w:color="auto" w:fill="FFFFFF" w:themeFill="background1"/>
          </w:tcPr>
          <w:p w14:paraId="263F2685"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11F5C0A8" w14:textId="77777777" w:rsidTr="00603259">
        <w:trPr>
          <w:trHeight w:val="454"/>
          <w:jc w:val="center"/>
        </w:trPr>
        <w:tc>
          <w:tcPr>
            <w:tcW w:w="0" w:type="auto"/>
            <w:shd w:val="clear" w:color="auto" w:fill="E7E6E6" w:themeFill="background2"/>
          </w:tcPr>
          <w:p w14:paraId="53A1D5F6"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lastRenderedPageBreak/>
              <w:t>18</w:t>
            </w:r>
          </w:p>
        </w:tc>
        <w:tc>
          <w:tcPr>
            <w:tcW w:w="0" w:type="auto"/>
            <w:shd w:val="clear" w:color="auto" w:fill="E7E6E6" w:themeFill="background2"/>
          </w:tcPr>
          <w:p w14:paraId="029A28D8"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{"citationID":"KF2alc9D","properties":{"formattedCitation":"(Brown and Bray 2015)","plainCitation":"(Brown and Bray 2015)","noteIndex":0},"citationItems":[{"id":1232,"uris":["http://zotero.org/users/local/saSzV5IY/items/SNSXVTUE"],"itemData":{"id":1232,"type":"article-journal","abstract":"The purpose of this study was to explore the dose–response relationship between exercise and cognitive performance using an acute bout of isometric exercise. University students (N = 55) were randomly assigned to control, 30%, 50% and 70% of maximum voluntary handgrip contraction groups. Participants performed a modiﬁed Stroop task before and after completion of an isometric handgrip endurance trial at their assigned exercise intensity. Ratings of perceived exertion (RPE) and forearm muscle activation (EMG) showed linear trends of progressively greater RPE and muscle activation at greater exercise intensity levels. Regression analysis showed signiﬁcant (P &lt; .05) linear degradations in frequency of errors on the Stroop task with increasing exercise intensity. We conclude that performing isometric exercise until exhaustion is associated with reduced cognitive performance and that higher intensity isometric exercise leads to greater performance impairments in a linear dose–response manner.","container-title":"Journal of Sports Sciences","DOI":"10.1080/02640414.2014.947524","ISSN":"0264-0414, 1466-447X","issue":"5","journalAbbreviation":"Journal of Sports Sciences","language":"en","page":"487-497","source":"DOI.org (Crossref)","title":"Isometric exercise and cognitive function: an investigation of acute dose–response effects during submaximal fatiguing contractions","title-short":"Isometric exercise and cognitive function","volume":"33","author":[{"family":"Brown","given":"Denver M. Y."},{"family":"Bray","given":"Steven R."}],"issued":{"date-parts":[["2015",3,16]]}}}],"schema":"https://github.com/citation-style-language/schema/raw/master/csl-citation.json"}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(Brown and Bray 2015)</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6F1D9E36"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Isometric exercise and cognitive function: an investigation of acute dose-response effects during submaximal fatiguing contractions.</w:t>
            </w:r>
          </w:p>
        </w:tc>
        <w:tc>
          <w:tcPr>
            <w:tcW w:w="3119" w:type="dxa"/>
            <w:shd w:val="clear" w:color="auto" w:fill="E7E6E6" w:themeFill="background2"/>
          </w:tcPr>
          <w:p w14:paraId="5E4B8337"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5DFF3926" w14:textId="77777777" w:rsidTr="00603259">
        <w:trPr>
          <w:trHeight w:val="454"/>
          <w:jc w:val="center"/>
        </w:trPr>
        <w:tc>
          <w:tcPr>
            <w:tcW w:w="0" w:type="auto"/>
            <w:shd w:val="clear" w:color="auto" w:fill="FFFFFF" w:themeFill="background1"/>
          </w:tcPr>
          <w:p w14:paraId="1BECA12F"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19</w:t>
            </w:r>
          </w:p>
        </w:tc>
        <w:tc>
          <w:tcPr>
            <w:tcW w:w="0" w:type="auto"/>
            <w:shd w:val="clear" w:color="auto" w:fill="FFFFFF" w:themeFill="background1"/>
          </w:tcPr>
          <w:p w14:paraId="5FF04BBC"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{"citationID":"UwvWFOug","properties":{"formattedCitation":"(Singh et al. 2002)","plainCitation":"(Singh et al. 2002)","noteIndex":0},"citationItems":[{"id":1233,"uris":["http://zotero.org/users/local/saSzV5IY/items/TL6DB9AU"],"itemData":{"id":1233,"type":"article-journal","container-title":"International Journal of Occupational Safety and Ergonomics","DOI":"10.1080/10803548.2002.11076547","ISSN":"1080-3548, 2376-9130","issue":"4","journalAbbreviation":"International Journal of Occupational Safety and Ergonomics","language":"en","page":"451-463","source":"DOI.org (Crossref)","title":"Interaction of Physical and Mental Work","volume":"8","author":[{"family":"Singh","given":"Sukhvinder"},{"family":"Aghazadeh","given":"Fereydoun"},{"family":"Ray","given":"Thomas G."}],"issued":{"date-parts":[["2002",1]]}}}],"schema":"https://github.com/citation-style-language/schema/raw/master/csl-citation.json"}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(Singh et al. 2002)</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209645F6"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Interaction of physical and mental work</w:t>
            </w:r>
          </w:p>
        </w:tc>
        <w:tc>
          <w:tcPr>
            <w:tcW w:w="3119" w:type="dxa"/>
            <w:shd w:val="clear" w:color="auto" w:fill="FFFFFF" w:themeFill="background1"/>
          </w:tcPr>
          <w:p w14:paraId="4006BFF7"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4BC8F44D" w14:textId="77777777" w:rsidTr="00603259">
        <w:trPr>
          <w:trHeight w:val="454"/>
          <w:jc w:val="center"/>
        </w:trPr>
        <w:tc>
          <w:tcPr>
            <w:tcW w:w="0" w:type="auto"/>
            <w:shd w:val="clear" w:color="auto" w:fill="E7E6E6" w:themeFill="background2"/>
          </w:tcPr>
          <w:p w14:paraId="23405F84"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20</w:t>
            </w:r>
          </w:p>
        </w:tc>
        <w:tc>
          <w:tcPr>
            <w:tcW w:w="0" w:type="auto"/>
            <w:shd w:val="clear" w:color="auto" w:fill="E7E6E6" w:themeFill="background2"/>
          </w:tcPr>
          <w:p w14:paraId="779D1654"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{"citationID":"rkBcwEpB","properties":{"formattedCitation":"(Mehta and Agnew 2012b)","plainCitation":"(Mehta and Agnew 2012b)","noteIndex":0},"citationItems":[{"id":1234,"uris":["http://zotero.org/users/local/saSzV5IY/items/Z7RHX6VW"],"itemData":{"id":1234,"type":"article-journal","abstract":"Mental demands have been associated with increased risk of injuries; however, its influence on muscle fatigability remains unclear. The aim of this study was to investigate the interaction of mental workload and physical workload on muscle fatigability during repetitive shoulder work. Twelve young participants, balanced by gender, performed shoulder abduction exercises until exhaustions at three levels of physical workload (low (5% maximum voluntary contraction (MVC)), moderate (35% MVC), and high (55% MVC)) in the absence and presence of a mental arithmetic test. Endurance time and rate of strength decline were employed as indicators of muscle fatigue. Concurrent physical and mental processing was found to adversely decrease muscle endurance by ~25% at the moderate intensity level. Furthermore, concurrent demands were associated with faster rate of strength decline compared to the control, irrespective of the physical intensity level. Findings from the current study provide evidence of the adverse effects of mental workload on muscle capacity (i.e., endurance and fatigue). It is therefore important to consider potential changes in worker capacity with concurrent physical and cognitive demands before designing work tasks/products.","container-title":"Work","DOI":"10.3233/WOR-2012-0541-2897","ISSN":"18759270, 10519815","language":"en","page":"2897-2901","source":"DOI.org (Crossref)","title":"Effects of physical and mental demands on shoulder muscle fatigue","volume":"41","author":[{"family":"Mehta","given":"Ranjana K."},{"family":"Agnew","given":"Michael J."}],"issued":{"date-parts":[["2012"]]}}}],"schema":"https://github.com/citation-style-language/schema/raw/master/csl-citation.json"}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(Mehta and Agnew 2012b)</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606E8A60"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Effects of physical and mental demands on shoulder muscle fatigue</w:t>
            </w:r>
          </w:p>
        </w:tc>
        <w:tc>
          <w:tcPr>
            <w:tcW w:w="3119" w:type="dxa"/>
            <w:shd w:val="clear" w:color="auto" w:fill="E7E6E6" w:themeFill="background2"/>
          </w:tcPr>
          <w:p w14:paraId="0BBF7A71"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181864EC" w14:textId="77777777" w:rsidTr="00603259">
        <w:trPr>
          <w:trHeight w:val="454"/>
          <w:jc w:val="center"/>
        </w:trPr>
        <w:tc>
          <w:tcPr>
            <w:tcW w:w="0" w:type="auto"/>
            <w:shd w:val="clear" w:color="auto" w:fill="FFFFFF" w:themeFill="background1"/>
          </w:tcPr>
          <w:p w14:paraId="7751111A"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21</w:t>
            </w:r>
          </w:p>
        </w:tc>
        <w:tc>
          <w:tcPr>
            <w:tcW w:w="0" w:type="auto"/>
            <w:shd w:val="clear" w:color="auto" w:fill="FFFFFF" w:themeFill="background1"/>
          </w:tcPr>
          <w:p w14:paraId="7C09F832"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{"citationID":"QxGq7KvJ","properties":{"formattedCitation":"(Larsson et al. 1995)","plainCitation":"(Larsson et al. 1995)","noteIndex":0},"citationItems":[{"id":1235,"uris":["http://zotero.org/users/local/saSzV5IY/items/P7YJFECI"],"itemData":{"id":1235,"type":"article-journal","container-title":"European Journal of Applied Physiology and Occupational Physiology","DOI":"10.1007/BF00238550","ISSN":"0301-5548, 1439-6327","issue":"6","journalAbbreviation":"Eur J Appl Physiol","language":"en","license":"http://www.springer.com/tdm","page":"493-498","source":"DOI.org (Crossref)","title":"Effects of psychophysiological stress on trapezius muscles blood flow and electromyography during static load","volume":"71","author":[{"family":"Larsson","given":"Sven-Erik"},{"family":"Larsson","given":"Romy"},{"family":"Zhang","given":"Qiuxia"},{"family":"Cai","given":"Hongming"},{"family":"�Ke �Berg","given":"P."}],"issued":{"date-parts":[["1995",11]]}}}],"schema":"https://github.com/citation-style-language/schema/raw/master/csl-citation.json"}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(Larsson et al. 1995)</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258389C8"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Effects of psychophysiological stress on trapezius muscles blood flow and electromyography during static load.</w:t>
            </w:r>
          </w:p>
        </w:tc>
        <w:tc>
          <w:tcPr>
            <w:tcW w:w="3119" w:type="dxa"/>
            <w:shd w:val="clear" w:color="auto" w:fill="FFFFFF" w:themeFill="background1"/>
          </w:tcPr>
          <w:p w14:paraId="42497B9F"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376A8B" w:rsidRPr="00BF5BBB" w14:paraId="7EEDCA30" w14:textId="77777777" w:rsidTr="00603259">
        <w:trPr>
          <w:trHeight w:val="454"/>
          <w:jc w:val="center"/>
        </w:trPr>
        <w:tc>
          <w:tcPr>
            <w:tcW w:w="0" w:type="auto"/>
            <w:shd w:val="clear" w:color="auto" w:fill="E7E6E6" w:themeFill="background2"/>
          </w:tcPr>
          <w:p w14:paraId="7AE46342"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22</w:t>
            </w:r>
          </w:p>
        </w:tc>
        <w:tc>
          <w:tcPr>
            <w:tcW w:w="0" w:type="auto"/>
            <w:shd w:val="clear" w:color="auto" w:fill="E7E6E6" w:themeFill="background2"/>
          </w:tcPr>
          <w:p w14:paraId="26C0DDA7"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{"citationID":"7hlZ0kZf","properties":{"formattedCitation":"(Stock et al. 2011)","plainCitation":"(Stock et al. 2011)","noteIndex":0},"citationItems":[{"id":1236,"uris":["http://zotero.org/users/local/saSzV5IY/items/YIG9C7SJ"],"itemData":{"id":1236,"type":"article-journal","abstract":"Stock, MS, Beck, TW, and DeFreitas, JM. The effects of diverting activities on recovery from fatiguing concentric isokinetic muscle actions. J Strength Cond Res 25(7): 1911–1917, 2011—The purpose of this study was to examine the effects of diverting activities on recovery from fatiguing concentric isokinetic muscle actions. On 3 separate occasions, 11 men (mean 6 SD age = 22.2 6 1.5 years) and 8 women (mean 6 SD age = 22.2 6 2.1 years) performed 2 bouts of 50 consecutive maximal concentric isokinetic muscle actions of the dominant leg extensors. Between these bouts, the subjects either performed math problems (mental diverting activity), contralateral dynamic constant external resistance (DCER) leg extensions (physical diverting activity), or rested quietly (control). For each trial, the peak torque data from the ﬁrst and second bouts of 50 muscle actions served as the pretest (Pre) and posttest (Post) data, respectively. The results indicated that when the subjects rested quietly or performed contralateral DCER leg extensions between the fatiguing bouts, the initial peak torque values observed for Post were signiﬁcantly less than those for Pre. When the subjects performed math problems, however, no decline in the initial peak torque values was observed, thus indicating better recovery. In addition, a decline in the average torque values was observed from Pre to Post for the control trial but not for the math problem or contralateral exercise trials. No differences were observed among the trials for ﬁnal peak torque, percent decline, or the linear slope of the decline in peak torque. These ﬁndings demonstrated that performing either mental or physical diverting activities after fatiguing isokinetic muscle actions enhanced recovery.","container-title":"Journal of Strength and Conditioning Research","DOI":"10.1519/JSC.0b013e318220d8dc","ISSN":"1064-8011","issue":"7","language":"en","page":"1911-1917","source":"DOI.org (Crossref)","title":"The Effects of Diverting Activities on Recovery from Fatiguing Concentric Isokinetic Muscle Actions","volume":"25","author":[{"family":"Stock","given":"Matt S"},{"family":"Beck","given":"Travis W"},{"family":"DeFreitas","given":"Jason M"}],"issued":{"date-parts":[["2011",7]]}}}],"schema":"https://github.com/citation-style-language/schema/raw/master/csl-citation.json"}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(Stock et al. 2011)</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5004211D"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The effects of diverting activities on recovery from fatiguing concentric isokinetic muscle actions</w:t>
            </w:r>
          </w:p>
        </w:tc>
        <w:tc>
          <w:tcPr>
            <w:tcW w:w="3119" w:type="dxa"/>
            <w:shd w:val="clear" w:color="auto" w:fill="E7E6E6" w:themeFill="background2"/>
          </w:tcPr>
          <w:p w14:paraId="49774062"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number of standardized repetitions)</w:t>
            </w:r>
          </w:p>
        </w:tc>
      </w:tr>
      <w:tr w:rsidR="00376A8B" w:rsidRPr="00BF5BBB" w14:paraId="6F3B0BAE" w14:textId="77777777" w:rsidTr="00603259">
        <w:trPr>
          <w:trHeight w:val="454"/>
          <w:jc w:val="center"/>
        </w:trPr>
        <w:tc>
          <w:tcPr>
            <w:tcW w:w="0" w:type="auto"/>
            <w:shd w:val="clear" w:color="auto" w:fill="FFFFFF" w:themeFill="background1"/>
          </w:tcPr>
          <w:p w14:paraId="0372846F"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23</w:t>
            </w:r>
          </w:p>
        </w:tc>
        <w:tc>
          <w:tcPr>
            <w:tcW w:w="0" w:type="auto"/>
            <w:shd w:val="clear" w:color="auto" w:fill="FFFFFF" w:themeFill="background1"/>
          </w:tcPr>
          <w:p w14:paraId="5B4F4680"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{"citationID":"kapu3W4R","properties":{"formattedCitation":"(Staiano et al. 2023)","plainCitation":"(Staiano et al. 2023)","noteIndex":0},"citationItems":[{"id":1237,"uris":["http://zotero.org/users/local/saSzV5IY/items/B24IMSFG"],"itemData":{"id":1237,"type":"article-journal","abstract":"Objectives: We tested whether mental fatigue (MF), induced by a cognitively-demanding task, would impair repeated sprint ability (RSA) and repeated jump ability (RJA) performance, and whether physical fatigue and MF would impair psychomotor vigilance. Design: Randomized within-participant design. Methods: After establishing baseline peak countermovement jump (CMJ), 18 male participants performed 12 maximal 20-m (10-m linear + 10-m directional) repeated sprints (RSA random test) followed by 12 maximal repeated CMJs (RJA test) subsequent to 30-min Stroop task (MF) or a documentary (Control). Peak and mean running time and height, percent decrement score (Sdec), blood lactate, heart rate and RPE were measured for CMJ, RSA, and RJA tests. MF (M-VAS) and psychomotor vigilance [psychomotor vigilance test (PVT)] were measured at baseline, after each condition, and after the RSA/RJA tests. Results: Compared to Control, the Stroop task elevated MF (p =.001), RPE ratings (all p &lt; .031), and mean and Sdec performance in directional (but not linear) RSA (all p &lt;.032) and RJA tests (all p &lt; .034). PVT score worsened after Stroop task (p =.011) but not Control, declined after RSA/RJA tests in both conditions (all p &lt; .023) and was lower in the MF condition (p =.029). No condition differences were noted for peak (CMJ, RSA and RJA tests) performance, blood lactate, and heart rate. Conclusion: MF impairs directional RSA, and RJA performance. This impairment was linked with increased RPE and without physiological changes. The progressive impairment in PVT score suggests a cumulatively negative effect of mental and physical fatigue on psychomotor vigilance.","container-title":"Journal of Science and Medicine in Sport","DOI":"10.1016/j.jsams.2023.10.016","ISSN":"14402440","journalAbbreviation":"Journal of Science and Medicine in Sport","language":"en","page":"S1440244023004589","source":"DOI.org (Crossref)","title":"Mental fatigue impairs repeated sprint and jump performance in team sport athletes","author":[{"family":"Staiano","given":"Walter"},{"family":"Bonet","given":"Luis Raimon Salazar"},{"family":"Romagnoli","given":"Marco"},{"family":"Ring","given":"Christopher"}],"issued":{"date-parts":[["2023",11]]}}}],"schema":"https://github.com/citation-style-language/schema/raw/master/csl-citation.json"}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(Staiano et al. 2023)</w:t>
            </w:r>
            <w:r w:rsidRPr="00BF5BBB">
              <w:rPr>
                <w:rFonts w:ascii="Times New Roman" w:hAnsi="Times New Roman" w:cs="Times New Roman"/>
                <w:sz w:val="20"/>
                <w:szCs w:val="20"/>
                <w:shd w:val="clear" w:color="auto" w:fill="FFFFFF"/>
              </w:rPr>
              <w:fldChar w:fldCharType="end"/>
            </w:r>
          </w:p>
        </w:tc>
        <w:tc>
          <w:tcPr>
            <w:tcW w:w="9105" w:type="dxa"/>
            <w:shd w:val="clear" w:color="auto" w:fill="FFFFFF" w:themeFill="background1"/>
          </w:tcPr>
          <w:p w14:paraId="0B5094D7"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Mental fatigue impairs repeated sprint and jump performance in team sport athletes.</w:t>
            </w:r>
          </w:p>
        </w:tc>
        <w:tc>
          <w:tcPr>
            <w:tcW w:w="3119" w:type="dxa"/>
            <w:shd w:val="clear" w:color="auto" w:fill="FFFFFF" w:themeFill="background1"/>
          </w:tcPr>
          <w:p w14:paraId="2D6AA4A5"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0FC6F774" w14:textId="77777777" w:rsidTr="00603259">
        <w:trPr>
          <w:trHeight w:val="454"/>
          <w:jc w:val="center"/>
        </w:trPr>
        <w:tc>
          <w:tcPr>
            <w:tcW w:w="0" w:type="auto"/>
            <w:shd w:val="clear" w:color="auto" w:fill="E7E6E6" w:themeFill="background2"/>
          </w:tcPr>
          <w:p w14:paraId="473C05D3"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24</w:t>
            </w:r>
          </w:p>
        </w:tc>
        <w:tc>
          <w:tcPr>
            <w:tcW w:w="0" w:type="auto"/>
            <w:shd w:val="clear" w:color="auto" w:fill="E7E6E6" w:themeFill="background2"/>
          </w:tcPr>
          <w:p w14:paraId="64B853FB"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{"citationID":"e8XuiTSU","properties":{"formattedCitation":"(Magnuson et al. 2021)","plainCitation":"(Magnuson et al. 2021)","noteIndex":0},"citationItems":[{"id":1238,"uris":["http://zotero.org/users/local/saSzV5IY/items/AF5S8SAI"],"itemData":{"id":1238,"type":"article-journal","abstract":"Mental fatigue is commonplace but there is limited understanding of the neural underpinnings of its develop­ ment, the time course of its recovery, and its impact on motor function. Hence, this study used neural (elec­ troencephalography) and motor measures to investigate the development and recovery of mental fatigue. Twenty participants performed a 60-min N-back task, with neural activity compared within the task. Additionally, pretask neural and motor measures were compared to assessments beginning at 0, 30 and 60 min post-task. Alpha power increased during the task and was greater than baseline at 30 and 60 min post-task. Motor skills were impaired at ~10–17 min post-task but recovered at ~40–47 min. Using a unique combination of neural and motor measures, our results suggest that attentiveness and, possibly, selectiveness in inhibiting irrelevant in­ formation are impaired after an acute mentally-fatiguing task. Notably, recovery time differed for neural and motor measures.","container-title":"Biological Psychology","DOI":"10.1016/j.biopsycho.2021.108076","ISSN":"03010511","journalAbbreviation":"Biological Psychology","language":"en","page":"108076","source":"DOI.org (Crossref)","title":"Development and recovery time of mental fatigue and its impact on motor function","volume":"161","author":[{"family":"Magnuson","given":"Justine R."},{"family":"Doesburg","given":"Sam M."},{"family":"McNeil","given":"Chris J."}],"issued":{"date-parts":[["2021",4]]}}}],"schema":"https://github.com/citation-style-language/schema/raw/master/csl-citation.json"}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(Magnuson et al. 2021)</w:t>
            </w:r>
            <w:r w:rsidRPr="00BF5BBB">
              <w:rPr>
                <w:rFonts w:ascii="Times New Roman" w:hAnsi="Times New Roman" w:cs="Times New Roman"/>
                <w:sz w:val="20"/>
                <w:szCs w:val="20"/>
                <w:shd w:val="clear" w:color="auto" w:fill="FFFFFF"/>
              </w:rPr>
              <w:fldChar w:fldCharType="end"/>
            </w:r>
          </w:p>
        </w:tc>
        <w:tc>
          <w:tcPr>
            <w:tcW w:w="9105" w:type="dxa"/>
            <w:shd w:val="clear" w:color="auto" w:fill="E7E6E6" w:themeFill="background2"/>
          </w:tcPr>
          <w:p w14:paraId="0E7AA658"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rPr>
              <w:t>Development and recovery time of mental fatigue and its impact on motor function</w:t>
            </w:r>
          </w:p>
        </w:tc>
        <w:tc>
          <w:tcPr>
            <w:tcW w:w="3119" w:type="dxa"/>
            <w:shd w:val="clear" w:color="auto" w:fill="E7E6E6" w:themeFill="background2"/>
          </w:tcPr>
          <w:p w14:paraId="124C2F80"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Wrong outcome variable (i.e., did not involve training volume)</w:t>
            </w:r>
          </w:p>
        </w:tc>
      </w:tr>
      <w:tr w:rsidR="00376A8B" w:rsidRPr="00BF5BBB" w14:paraId="6591D83B" w14:textId="77777777" w:rsidTr="00603259">
        <w:trPr>
          <w:trHeight w:val="454"/>
          <w:jc w:val="center"/>
        </w:trPr>
        <w:tc>
          <w:tcPr>
            <w:tcW w:w="0" w:type="auto"/>
          </w:tcPr>
          <w:p w14:paraId="5F0FC839"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25</w:t>
            </w:r>
          </w:p>
        </w:tc>
        <w:tc>
          <w:tcPr>
            <w:tcW w:w="0" w:type="auto"/>
          </w:tcPr>
          <w:p w14:paraId="7B811D8D" w14:textId="77777777" w:rsidR="00376A8B" w:rsidRPr="00BF5BBB" w:rsidRDefault="00376A8B" w:rsidP="00603259">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fldChar w:fldCharType="begin"/>
            </w:r>
            <w:r w:rsidRPr="00BF5BBB">
              <w:rPr>
                <w:rFonts w:ascii="Times New Roman" w:hAnsi="Times New Roman" w:cs="Times New Roman"/>
                <w:sz w:val="20"/>
                <w:szCs w:val="20"/>
                <w:shd w:val="clear" w:color="auto" w:fill="FFFFFF"/>
              </w:rPr>
              <w:instrText xml:space="preserve"> ADDIN ZOTERO_ITEM CSL_CITATION {"citationID":"7mFGEoVa","properties":{"formattedCitation":"(Cruz-Montecinos et al. 2018)","plainCitation":"(Cruz-Montecinos et al. 2018)","noteIndex":0},"citationItems":[{"id":1239,"uris":["http://zotero.org/users/local/saSzV5IY/items/ZQDQFVRM"],"itemData":{"id":1239,"type":"article-journal","abstract":"Purpose  To determine the effects of performing a self-regulated cognitive dual task on time to failure and neuromuscular force control during submaximal isometric contractions.\nMethods  Fifteen young sedentary males performed isometric contractions at 50% of each individual’s maximal voluntary contraction (MVC) under single-task (without cognitive load) and dual-task (with self-regulated mathematical task) conditions. Force signal complexity and biceps brachialis muscle activity were determined at the start, middle, and end of each trial. The slope of the linear regression of median frequency determined the rate of muscle fatigue. Force-task error was established as any amplitude percentage greater or less than 50% MVC.\nResults  The dual-task condition resulted in a 42 s longer time to failure than the single-task condition. EMG amplitude did not differ between conditions. The rate of muscle fatigue was higher in the single-task (− 0.35%/s) than the dual-task (− 0.2%/s) condition. Force signal complexity was, on average, 22% lower in the dual-task condition. The dual-task condition, as compared to the single-task condition, elicited a higher rate of force-task error below (6.37 versus 4.76%) and over (2.11 versus 1.68%) the force threshold.\nConclusion  The dual-task condition resulted in a longer time to failure and decreased motor output complexity and fatigue rate when performing a submaximal force task. As the dual task also increased the force-task error, we suggest cognitive dual tasks as a possible strategy for delaying fatigue in sedentary young males when exerting submaximal isometric force, contributing to neuromuscular training when error in force control can be ignored.","container-title":"European Journal of Applied Physiology","DOI":"10.1007/s00421-018-3936-6","ISSN":"1439-6319, 1439-6327","issue":"9","journalAbbreviation":"Eur J Appl Physiol","language":"en","page":"2021-2027","source":"DOI.org (Crossref)","title":"Influence of a self-regulated cognitive dual task on time to failure and complexity of submaximal isometric force control","volume":"118","author":[{"family":"Cruz-Montecinos","given":"Carlos"},{"family":"Calatayud","given":"Joaquín"},{"family":"Iturriaga","given":"Carolina"},{"family":"Bustos","given":"Claudio"},{"family":"Mena","given":"Benjamín"},{"family":"España-Romero","given":"Vanesa"},{"family":"Carpes","given":"Felipe P."}],"issued":{"date-parts":[["2018",9]]}}}],"schema":"https://github.com/citation-style-language/schema/raw/master/csl-citation.json"} </w:instrText>
            </w:r>
            <w:r w:rsidRPr="00BF5BBB">
              <w:rPr>
                <w:rFonts w:ascii="Times New Roman" w:hAnsi="Times New Roman" w:cs="Times New Roman"/>
                <w:sz w:val="20"/>
                <w:szCs w:val="20"/>
                <w:shd w:val="clear" w:color="auto" w:fill="FFFFFF"/>
              </w:rPr>
              <w:fldChar w:fldCharType="separate"/>
            </w:r>
            <w:r w:rsidRPr="00BF5BBB">
              <w:rPr>
                <w:rFonts w:ascii="Times New Roman" w:hAnsi="Times New Roman" w:cs="Times New Roman"/>
                <w:sz w:val="20"/>
                <w:szCs w:val="20"/>
              </w:rPr>
              <w:t>(Cruz-Montecinos et al. 2018)</w:t>
            </w:r>
            <w:r w:rsidRPr="00BF5BBB">
              <w:rPr>
                <w:rFonts w:ascii="Times New Roman" w:hAnsi="Times New Roman" w:cs="Times New Roman"/>
                <w:sz w:val="20"/>
                <w:szCs w:val="20"/>
                <w:shd w:val="clear" w:color="auto" w:fill="FFFFFF"/>
              </w:rPr>
              <w:fldChar w:fldCharType="end"/>
            </w:r>
          </w:p>
        </w:tc>
        <w:tc>
          <w:tcPr>
            <w:tcW w:w="9105" w:type="dxa"/>
          </w:tcPr>
          <w:p w14:paraId="2357AB2D"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Influence of a self-regulated cognitive dual task on time to failure and complexity of submaximal isometric force control.</w:t>
            </w:r>
          </w:p>
        </w:tc>
        <w:tc>
          <w:tcPr>
            <w:tcW w:w="3119" w:type="dxa"/>
          </w:tcPr>
          <w:p w14:paraId="754EA80C" w14:textId="77777777" w:rsidR="00376A8B" w:rsidRPr="00BF5BBB" w:rsidRDefault="00376A8B" w:rsidP="00603259">
            <w:pPr>
              <w:rPr>
                <w:rFonts w:ascii="Times New Roman" w:hAnsi="Times New Roman" w:cs="Times New Roman"/>
                <w:sz w:val="20"/>
                <w:szCs w:val="20"/>
              </w:rPr>
            </w:pPr>
            <w:r w:rsidRPr="00BF5BBB">
              <w:rPr>
                <w:rFonts w:ascii="Times New Roman" w:hAnsi="Times New Roman" w:cs="Times New Roman"/>
                <w:sz w:val="20"/>
                <w:szCs w:val="20"/>
              </w:rPr>
              <w:t>Not dynamic exercise</w:t>
            </w:r>
          </w:p>
        </w:tc>
      </w:tr>
      <w:tr w:rsidR="00F820BF" w:rsidRPr="00BF5BBB" w14:paraId="3F173AC4" w14:textId="77777777" w:rsidTr="00F820BF">
        <w:trPr>
          <w:trHeight w:val="454"/>
          <w:jc w:val="center"/>
        </w:trPr>
        <w:tc>
          <w:tcPr>
            <w:tcW w:w="0" w:type="auto"/>
            <w:shd w:val="clear" w:color="auto" w:fill="E7E6E6" w:themeFill="background2"/>
          </w:tcPr>
          <w:p w14:paraId="2F0D1234" w14:textId="460BD214" w:rsidR="00F820BF" w:rsidRPr="00BF5BBB" w:rsidRDefault="00F820BF" w:rsidP="00F820BF">
            <w:pPr>
              <w:rPr>
                <w:rFonts w:ascii="Times New Roman" w:hAnsi="Times New Roman" w:cs="Times New Roman"/>
                <w:sz w:val="20"/>
                <w:szCs w:val="20"/>
              </w:rPr>
            </w:pPr>
            <w:r w:rsidRPr="00BF5BBB">
              <w:rPr>
                <w:rFonts w:ascii="Times New Roman" w:hAnsi="Times New Roman" w:cs="Times New Roman"/>
                <w:sz w:val="20"/>
                <w:szCs w:val="20"/>
              </w:rPr>
              <w:t>26</w:t>
            </w:r>
          </w:p>
        </w:tc>
        <w:tc>
          <w:tcPr>
            <w:tcW w:w="0" w:type="auto"/>
            <w:shd w:val="clear" w:color="auto" w:fill="E7E6E6" w:themeFill="background2"/>
          </w:tcPr>
          <w:p w14:paraId="23801C13" w14:textId="4E871338" w:rsidR="00F820BF" w:rsidRPr="00BF5BBB" w:rsidRDefault="00F820BF" w:rsidP="00F820BF">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t>(</w:t>
            </w:r>
            <w:proofErr w:type="spellStart"/>
            <w:r w:rsidRPr="00BF5BBB">
              <w:rPr>
                <w:rFonts w:ascii="Times New Roman" w:hAnsi="Times New Roman" w:cs="Times New Roman"/>
                <w:sz w:val="20"/>
                <w:szCs w:val="20"/>
                <w:shd w:val="clear" w:color="auto" w:fill="FFFFFF"/>
              </w:rPr>
              <w:t>Dıaz-Garcıa</w:t>
            </w:r>
            <w:proofErr w:type="spellEnd"/>
            <w:r w:rsidRPr="00BF5BBB">
              <w:rPr>
                <w:rFonts w:ascii="Times New Roman" w:hAnsi="Times New Roman" w:cs="Times New Roman"/>
                <w:sz w:val="20"/>
                <w:szCs w:val="20"/>
                <w:shd w:val="clear" w:color="auto" w:fill="FFFFFF"/>
              </w:rPr>
              <w:t xml:space="preserve"> et al., 2024)</w:t>
            </w:r>
          </w:p>
        </w:tc>
        <w:tc>
          <w:tcPr>
            <w:tcW w:w="9105" w:type="dxa"/>
            <w:shd w:val="clear" w:color="auto" w:fill="E7E6E6" w:themeFill="background2"/>
          </w:tcPr>
          <w:p w14:paraId="2EF92FE6" w14:textId="77777777" w:rsidR="00F820BF" w:rsidRPr="00BF5BBB" w:rsidRDefault="00F820BF" w:rsidP="00F820BF">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t>Brain Endurance Training Improves and Maintains</w:t>
            </w:r>
          </w:p>
          <w:p w14:paraId="28AF5B41" w14:textId="77777777" w:rsidR="00F820BF" w:rsidRPr="00BF5BBB" w:rsidRDefault="00F820BF" w:rsidP="00F820BF">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t>Chest Press and Squat Jump Performance</w:t>
            </w:r>
          </w:p>
          <w:p w14:paraId="04C1CDD0" w14:textId="6A4C9824" w:rsidR="00F820BF" w:rsidRPr="00BF5BBB" w:rsidRDefault="00F820BF" w:rsidP="00F820BF">
            <w:pPr>
              <w:rPr>
                <w:rFonts w:ascii="Times New Roman" w:hAnsi="Times New Roman" w:cs="Times New Roman"/>
                <w:sz w:val="20"/>
                <w:szCs w:val="20"/>
              </w:rPr>
            </w:pPr>
            <w:r w:rsidRPr="00BF5BBB">
              <w:rPr>
                <w:rFonts w:ascii="Times New Roman" w:hAnsi="Times New Roman" w:cs="Times New Roman"/>
                <w:sz w:val="20"/>
                <w:szCs w:val="20"/>
                <w:shd w:val="clear" w:color="auto" w:fill="FFFFFF"/>
              </w:rPr>
              <w:t>When Fatigued</w:t>
            </w:r>
          </w:p>
        </w:tc>
        <w:tc>
          <w:tcPr>
            <w:tcW w:w="3119" w:type="dxa"/>
            <w:shd w:val="clear" w:color="auto" w:fill="E7E6E6" w:themeFill="background2"/>
          </w:tcPr>
          <w:p w14:paraId="17757A84" w14:textId="77777777" w:rsidR="00F820BF" w:rsidRPr="00BF5BBB" w:rsidRDefault="00F820BF" w:rsidP="00F820BF">
            <w:pPr>
              <w:rPr>
                <w:rFonts w:ascii="Times New Roman" w:hAnsi="Times New Roman" w:cs="Times New Roman"/>
                <w:sz w:val="20"/>
                <w:szCs w:val="20"/>
              </w:rPr>
            </w:pPr>
            <w:r w:rsidRPr="00BF5BBB">
              <w:rPr>
                <w:rFonts w:ascii="Times New Roman" w:hAnsi="Times New Roman" w:cs="Times New Roman"/>
                <w:sz w:val="20"/>
                <w:szCs w:val="20"/>
              </w:rPr>
              <w:t>Wrong design</w:t>
            </w:r>
          </w:p>
          <w:p w14:paraId="1A014DED" w14:textId="77777777" w:rsidR="00F820BF" w:rsidRPr="00BF5BBB" w:rsidRDefault="00F820BF" w:rsidP="00F820BF">
            <w:pPr>
              <w:rPr>
                <w:rFonts w:ascii="Times New Roman" w:hAnsi="Times New Roman" w:cs="Times New Roman"/>
                <w:sz w:val="20"/>
                <w:szCs w:val="20"/>
              </w:rPr>
            </w:pPr>
          </w:p>
        </w:tc>
      </w:tr>
      <w:tr w:rsidR="00F820BF" w:rsidRPr="00BF5BBB" w14:paraId="59F2EF14" w14:textId="77777777" w:rsidTr="00F820BF">
        <w:trPr>
          <w:trHeight w:val="454"/>
          <w:jc w:val="center"/>
        </w:trPr>
        <w:tc>
          <w:tcPr>
            <w:tcW w:w="0" w:type="auto"/>
            <w:shd w:val="clear" w:color="auto" w:fill="FFFFFF" w:themeFill="background1"/>
          </w:tcPr>
          <w:p w14:paraId="272143A6" w14:textId="295EEC84" w:rsidR="00F820BF" w:rsidRPr="00BF5BBB" w:rsidRDefault="00F820BF" w:rsidP="00F820BF">
            <w:pPr>
              <w:rPr>
                <w:rFonts w:ascii="Times New Roman" w:hAnsi="Times New Roman" w:cs="Times New Roman"/>
                <w:sz w:val="20"/>
                <w:szCs w:val="20"/>
              </w:rPr>
            </w:pPr>
            <w:r w:rsidRPr="00BF5BBB">
              <w:rPr>
                <w:rFonts w:ascii="Times New Roman" w:hAnsi="Times New Roman" w:cs="Times New Roman"/>
                <w:sz w:val="20"/>
                <w:szCs w:val="20"/>
              </w:rPr>
              <w:t>27</w:t>
            </w:r>
          </w:p>
        </w:tc>
        <w:tc>
          <w:tcPr>
            <w:tcW w:w="0" w:type="auto"/>
            <w:shd w:val="clear" w:color="auto" w:fill="FFFFFF" w:themeFill="background1"/>
          </w:tcPr>
          <w:p w14:paraId="422D0694" w14:textId="05FF023C" w:rsidR="00F820BF" w:rsidRPr="00BF5BBB" w:rsidRDefault="00F820BF" w:rsidP="00F820BF">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t>(Marcos-Frutos et al. 2025)</w:t>
            </w:r>
          </w:p>
        </w:tc>
        <w:tc>
          <w:tcPr>
            <w:tcW w:w="9105" w:type="dxa"/>
            <w:shd w:val="clear" w:color="auto" w:fill="FFFFFF" w:themeFill="background1"/>
          </w:tcPr>
          <w:p w14:paraId="62EA4CBB" w14:textId="5F63D5E1" w:rsidR="00F820BF" w:rsidRPr="00BF5BBB" w:rsidRDefault="00F820BF" w:rsidP="00F820BF">
            <w:pPr>
              <w:rPr>
                <w:rFonts w:ascii="Times New Roman" w:hAnsi="Times New Roman" w:cs="Times New Roman"/>
                <w:sz w:val="20"/>
                <w:szCs w:val="20"/>
                <w:shd w:val="clear" w:color="auto" w:fill="FFFFFF"/>
              </w:rPr>
            </w:pPr>
            <w:r w:rsidRPr="00BF5BBB">
              <w:rPr>
                <w:rFonts w:ascii="Times New Roman" w:hAnsi="Times New Roman" w:cs="Times New Roman"/>
                <w:sz w:val="20"/>
                <w:szCs w:val="20"/>
                <w:shd w:val="clear" w:color="auto" w:fill="FFFFFF"/>
              </w:rPr>
              <w:t>The Impact of Rhodiola Rosea Extract on Strength Performance in Alternative Bench-Press and Bench-Pull Exercises Under Resting and Mental Fatigue Conditions: A Randomized, Triple-Blinded, Placebo-Controlled, Crossover Trial</w:t>
            </w:r>
          </w:p>
        </w:tc>
        <w:tc>
          <w:tcPr>
            <w:tcW w:w="3119" w:type="dxa"/>
            <w:shd w:val="clear" w:color="auto" w:fill="FFFFFF" w:themeFill="background1"/>
          </w:tcPr>
          <w:p w14:paraId="657F2673" w14:textId="333E8190" w:rsidR="00F820BF" w:rsidRPr="00BF5BBB" w:rsidRDefault="00F820BF" w:rsidP="00F820BF">
            <w:pPr>
              <w:rPr>
                <w:rFonts w:ascii="Times New Roman" w:hAnsi="Times New Roman" w:cs="Times New Roman"/>
                <w:sz w:val="20"/>
                <w:szCs w:val="20"/>
              </w:rPr>
            </w:pPr>
            <w:r w:rsidRPr="00BF5BBB">
              <w:rPr>
                <w:rFonts w:ascii="Times New Roman" w:hAnsi="Times New Roman" w:cs="Times New Roman"/>
                <w:sz w:val="20"/>
                <w:szCs w:val="20"/>
              </w:rPr>
              <w:t>Wrong intervention</w:t>
            </w:r>
          </w:p>
        </w:tc>
      </w:tr>
    </w:tbl>
    <w:p w14:paraId="57CAC248" w14:textId="77777777" w:rsidR="00376A8B" w:rsidRPr="00B75341" w:rsidRDefault="00376A8B" w:rsidP="00376A8B"/>
    <w:p w14:paraId="188C3334" w14:textId="77777777" w:rsidR="00376A8B" w:rsidRPr="00B75341" w:rsidRDefault="00376A8B" w:rsidP="00376A8B"/>
    <w:p w14:paraId="65CDDA97" w14:textId="5CBBA7C1" w:rsidR="003252E6" w:rsidRPr="00376A8B" w:rsidRDefault="003252E6" w:rsidP="00376A8B"/>
    <w:sectPr w:rsidR="003252E6" w:rsidRPr="00376A8B" w:rsidSect="00376A8B">
      <w:headerReference w:type="first" r:id="rId7"/>
      <w:pgSz w:w="16840" w:h="11900" w:orient="landscape"/>
      <w:pgMar w:top="1418" w:right="1418" w:bottom="1418" w:left="1418"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C72D41" w14:textId="77777777" w:rsidR="00B66903" w:rsidRDefault="00B66903" w:rsidP="006E7BAE">
      <w:pPr>
        <w:spacing w:after="0" w:line="240" w:lineRule="auto"/>
      </w:pPr>
      <w:r>
        <w:separator/>
      </w:r>
    </w:p>
  </w:endnote>
  <w:endnote w:type="continuationSeparator" w:id="0">
    <w:p w14:paraId="465E4F10" w14:textId="77777777" w:rsidR="00B66903" w:rsidRDefault="00B66903" w:rsidP="006E7B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TimesNewRomanPSMT">
    <w:altName w:val="Times New Roman"/>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1938C8" w14:textId="77777777" w:rsidR="00B66903" w:rsidRDefault="00B66903" w:rsidP="006E7BAE">
      <w:pPr>
        <w:spacing w:after="0" w:line="240" w:lineRule="auto"/>
      </w:pPr>
      <w:r>
        <w:separator/>
      </w:r>
    </w:p>
  </w:footnote>
  <w:footnote w:type="continuationSeparator" w:id="0">
    <w:p w14:paraId="32D2CD41" w14:textId="77777777" w:rsidR="00B66903" w:rsidRDefault="00B66903" w:rsidP="006E7B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A2D9F" w14:textId="27E58872" w:rsidR="003252E6" w:rsidRPr="00F97923" w:rsidRDefault="003252E6" w:rsidP="00F97923">
    <w:pPr>
      <w:pStyle w:val="Intestazione"/>
      <w:tabs>
        <w:tab w:val="clear" w:pos="9026"/>
      </w:tabs>
      <w:ind w:right="-46" w:firstLine="2880"/>
      <w:rPr>
        <w:i/>
        <w:color w:val="808080" w:themeColor="background1" w:themeShade="8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F181A"/>
    <w:multiLevelType w:val="hybridMultilevel"/>
    <w:tmpl w:val="5F780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1A0396"/>
    <w:multiLevelType w:val="hybridMultilevel"/>
    <w:tmpl w:val="93E6493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2D026DD8"/>
    <w:multiLevelType w:val="hybridMultilevel"/>
    <w:tmpl w:val="B09E09C2"/>
    <w:lvl w:ilvl="0" w:tplc="BEE4BAA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EB40C1"/>
    <w:multiLevelType w:val="multilevel"/>
    <w:tmpl w:val="EF764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395B16"/>
    <w:multiLevelType w:val="hybridMultilevel"/>
    <w:tmpl w:val="BAD29286"/>
    <w:lvl w:ilvl="0" w:tplc="3A66CC56">
      <w:start w:val="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4B6195"/>
    <w:multiLevelType w:val="hybridMultilevel"/>
    <w:tmpl w:val="117C2C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D377502"/>
    <w:multiLevelType w:val="hybridMultilevel"/>
    <w:tmpl w:val="2A5425E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4FFE0052"/>
    <w:multiLevelType w:val="hybridMultilevel"/>
    <w:tmpl w:val="FA0EA82C"/>
    <w:lvl w:ilvl="0" w:tplc="20DC027E">
      <w:start w:val="1"/>
      <w:numFmt w:val="bullet"/>
      <w:lvlText w:val=""/>
      <w:lvlJc w:val="left"/>
      <w:pPr>
        <w:ind w:left="720" w:hanging="360"/>
      </w:pPr>
      <w:rPr>
        <w:rFonts w:ascii="Wingdings" w:hAnsi="Wingdings" w:hint="default"/>
        <w:color w:val="auto"/>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8" w15:restartNumberingAfterBreak="0">
    <w:nsid w:val="525432AC"/>
    <w:multiLevelType w:val="hybridMultilevel"/>
    <w:tmpl w:val="53FA33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63F90FC6"/>
    <w:multiLevelType w:val="hybridMultilevel"/>
    <w:tmpl w:val="5AD28E64"/>
    <w:lvl w:ilvl="0" w:tplc="0416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69274746"/>
    <w:multiLevelType w:val="hybridMultilevel"/>
    <w:tmpl w:val="1624DB98"/>
    <w:lvl w:ilvl="0" w:tplc="313AC81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85101B4"/>
    <w:multiLevelType w:val="hybridMultilevel"/>
    <w:tmpl w:val="5E8235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BD4489E"/>
    <w:multiLevelType w:val="hybridMultilevel"/>
    <w:tmpl w:val="117C2C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D020347"/>
    <w:multiLevelType w:val="hybridMultilevel"/>
    <w:tmpl w:val="E1A6451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737892470">
    <w:abstractNumId w:val="10"/>
  </w:num>
  <w:num w:numId="2" w16cid:durableId="1336151686">
    <w:abstractNumId w:val="6"/>
  </w:num>
  <w:num w:numId="3" w16cid:durableId="1232161178">
    <w:abstractNumId w:val="12"/>
  </w:num>
  <w:num w:numId="4" w16cid:durableId="690305175">
    <w:abstractNumId w:val="0"/>
  </w:num>
  <w:num w:numId="5" w16cid:durableId="669261900">
    <w:abstractNumId w:val="11"/>
  </w:num>
  <w:num w:numId="6" w16cid:durableId="1541746492">
    <w:abstractNumId w:val="3"/>
  </w:num>
  <w:num w:numId="7" w16cid:durableId="1695620032">
    <w:abstractNumId w:val="7"/>
  </w:num>
  <w:num w:numId="8" w16cid:durableId="1950314998">
    <w:abstractNumId w:val="2"/>
  </w:num>
  <w:num w:numId="9" w16cid:durableId="1824732709">
    <w:abstractNumId w:val="5"/>
  </w:num>
  <w:num w:numId="10" w16cid:durableId="1002970594">
    <w:abstractNumId w:val="4"/>
  </w:num>
  <w:num w:numId="11" w16cid:durableId="1790780243">
    <w:abstractNumId w:val="1"/>
  </w:num>
  <w:num w:numId="12" w16cid:durableId="409618816">
    <w:abstractNumId w:val="13"/>
  </w:num>
  <w:num w:numId="13" w16cid:durableId="1908685442">
    <w:abstractNumId w:val="8"/>
  </w:num>
  <w:num w:numId="14" w16cid:durableId="137180877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1A66"/>
    <w:rsid w:val="00005F64"/>
    <w:rsid w:val="00007A9B"/>
    <w:rsid w:val="000107B2"/>
    <w:rsid w:val="00010F8C"/>
    <w:rsid w:val="00013A1D"/>
    <w:rsid w:val="00015A96"/>
    <w:rsid w:val="00020A0D"/>
    <w:rsid w:val="00027ED5"/>
    <w:rsid w:val="000313D1"/>
    <w:rsid w:val="000313EB"/>
    <w:rsid w:val="000370F9"/>
    <w:rsid w:val="0004075A"/>
    <w:rsid w:val="000467C0"/>
    <w:rsid w:val="00056083"/>
    <w:rsid w:val="000672BD"/>
    <w:rsid w:val="000713A5"/>
    <w:rsid w:val="0008053B"/>
    <w:rsid w:val="000875A3"/>
    <w:rsid w:val="00087FB2"/>
    <w:rsid w:val="00093381"/>
    <w:rsid w:val="000A1A65"/>
    <w:rsid w:val="000A2A68"/>
    <w:rsid w:val="000A501A"/>
    <w:rsid w:val="000B0831"/>
    <w:rsid w:val="000B153C"/>
    <w:rsid w:val="000C48B6"/>
    <w:rsid w:val="000D2D02"/>
    <w:rsid w:val="000D72A5"/>
    <w:rsid w:val="000E60EB"/>
    <w:rsid w:val="000F7AA7"/>
    <w:rsid w:val="001013D8"/>
    <w:rsid w:val="00133929"/>
    <w:rsid w:val="00134637"/>
    <w:rsid w:val="00134AB5"/>
    <w:rsid w:val="00137463"/>
    <w:rsid w:val="00140D5A"/>
    <w:rsid w:val="00147586"/>
    <w:rsid w:val="00153D40"/>
    <w:rsid w:val="001547CA"/>
    <w:rsid w:val="00155040"/>
    <w:rsid w:val="00161F2C"/>
    <w:rsid w:val="00164819"/>
    <w:rsid w:val="00166351"/>
    <w:rsid w:val="001727F3"/>
    <w:rsid w:val="00174D95"/>
    <w:rsid w:val="001956A1"/>
    <w:rsid w:val="001A08FF"/>
    <w:rsid w:val="001A1383"/>
    <w:rsid w:val="001A27DF"/>
    <w:rsid w:val="001B20D5"/>
    <w:rsid w:val="001B438C"/>
    <w:rsid w:val="001D2FBF"/>
    <w:rsid w:val="001D7FB2"/>
    <w:rsid w:val="001E36C3"/>
    <w:rsid w:val="001E3D99"/>
    <w:rsid w:val="001F0BC0"/>
    <w:rsid w:val="001F128F"/>
    <w:rsid w:val="001F2053"/>
    <w:rsid w:val="001F6F67"/>
    <w:rsid w:val="00200329"/>
    <w:rsid w:val="0020425D"/>
    <w:rsid w:val="00204705"/>
    <w:rsid w:val="00206F19"/>
    <w:rsid w:val="00223D7F"/>
    <w:rsid w:val="00225562"/>
    <w:rsid w:val="0023340E"/>
    <w:rsid w:val="00245E7D"/>
    <w:rsid w:val="0025141D"/>
    <w:rsid w:val="002521D9"/>
    <w:rsid w:val="00252FF2"/>
    <w:rsid w:val="002677D0"/>
    <w:rsid w:val="002711E0"/>
    <w:rsid w:val="00295332"/>
    <w:rsid w:val="002C05C3"/>
    <w:rsid w:val="002C6BFB"/>
    <w:rsid w:val="002D620D"/>
    <w:rsid w:val="002D7DAB"/>
    <w:rsid w:val="002E037F"/>
    <w:rsid w:val="002E4C5C"/>
    <w:rsid w:val="0031029B"/>
    <w:rsid w:val="00315267"/>
    <w:rsid w:val="00321258"/>
    <w:rsid w:val="00322E63"/>
    <w:rsid w:val="003252E6"/>
    <w:rsid w:val="00326E49"/>
    <w:rsid w:val="00327980"/>
    <w:rsid w:val="003325E5"/>
    <w:rsid w:val="0033717F"/>
    <w:rsid w:val="00341788"/>
    <w:rsid w:val="003444CF"/>
    <w:rsid w:val="00376812"/>
    <w:rsid w:val="00376A8B"/>
    <w:rsid w:val="003905E2"/>
    <w:rsid w:val="00392A82"/>
    <w:rsid w:val="0039370F"/>
    <w:rsid w:val="003A04BA"/>
    <w:rsid w:val="003C2343"/>
    <w:rsid w:val="003D474E"/>
    <w:rsid w:val="003E25F1"/>
    <w:rsid w:val="003E4B33"/>
    <w:rsid w:val="003F6B8E"/>
    <w:rsid w:val="00405B7A"/>
    <w:rsid w:val="00405C7C"/>
    <w:rsid w:val="004156CD"/>
    <w:rsid w:val="00421AEF"/>
    <w:rsid w:val="00436156"/>
    <w:rsid w:val="00445206"/>
    <w:rsid w:val="00447513"/>
    <w:rsid w:val="00452791"/>
    <w:rsid w:val="004563E8"/>
    <w:rsid w:val="00456702"/>
    <w:rsid w:val="0046346E"/>
    <w:rsid w:val="004841F6"/>
    <w:rsid w:val="00491615"/>
    <w:rsid w:val="00497D45"/>
    <w:rsid w:val="004B2A60"/>
    <w:rsid w:val="004B3CE4"/>
    <w:rsid w:val="004C248C"/>
    <w:rsid w:val="004C3039"/>
    <w:rsid w:val="004D2853"/>
    <w:rsid w:val="004D40A8"/>
    <w:rsid w:val="004D5095"/>
    <w:rsid w:val="004D6126"/>
    <w:rsid w:val="004E07A1"/>
    <w:rsid w:val="004E1C30"/>
    <w:rsid w:val="004E2E28"/>
    <w:rsid w:val="004E7C6B"/>
    <w:rsid w:val="00500370"/>
    <w:rsid w:val="00504319"/>
    <w:rsid w:val="005123E3"/>
    <w:rsid w:val="00521043"/>
    <w:rsid w:val="00541C38"/>
    <w:rsid w:val="00550AC9"/>
    <w:rsid w:val="005543A3"/>
    <w:rsid w:val="0055578F"/>
    <w:rsid w:val="00564754"/>
    <w:rsid w:val="0057492C"/>
    <w:rsid w:val="00575FD5"/>
    <w:rsid w:val="00576582"/>
    <w:rsid w:val="005848FF"/>
    <w:rsid w:val="00587515"/>
    <w:rsid w:val="005A2844"/>
    <w:rsid w:val="005A2A11"/>
    <w:rsid w:val="005A7F20"/>
    <w:rsid w:val="005D0047"/>
    <w:rsid w:val="005E23E2"/>
    <w:rsid w:val="005E4222"/>
    <w:rsid w:val="005E6778"/>
    <w:rsid w:val="005F3BC2"/>
    <w:rsid w:val="005F4A33"/>
    <w:rsid w:val="005F6393"/>
    <w:rsid w:val="006052BB"/>
    <w:rsid w:val="0061195E"/>
    <w:rsid w:val="00612840"/>
    <w:rsid w:val="00612FC6"/>
    <w:rsid w:val="0061452F"/>
    <w:rsid w:val="00626256"/>
    <w:rsid w:val="00635351"/>
    <w:rsid w:val="006353AC"/>
    <w:rsid w:val="00635B10"/>
    <w:rsid w:val="00643A95"/>
    <w:rsid w:val="0065406E"/>
    <w:rsid w:val="0065459B"/>
    <w:rsid w:val="006569BE"/>
    <w:rsid w:val="00657B99"/>
    <w:rsid w:val="00670D75"/>
    <w:rsid w:val="00673319"/>
    <w:rsid w:val="00680870"/>
    <w:rsid w:val="00683F44"/>
    <w:rsid w:val="0069165F"/>
    <w:rsid w:val="00694372"/>
    <w:rsid w:val="006A0159"/>
    <w:rsid w:val="006A123D"/>
    <w:rsid w:val="006A2C46"/>
    <w:rsid w:val="006B445F"/>
    <w:rsid w:val="006C219F"/>
    <w:rsid w:val="006C7EE7"/>
    <w:rsid w:val="006D10FD"/>
    <w:rsid w:val="006D3B4D"/>
    <w:rsid w:val="006E095F"/>
    <w:rsid w:val="006E6B42"/>
    <w:rsid w:val="006E7BAE"/>
    <w:rsid w:val="006F4550"/>
    <w:rsid w:val="006F598D"/>
    <w:rsid w:val="0070490C"/>
    <w:rsid w:val="0070569D"/>
    <w:rsid w:val="007063C4"/>
    <w:rsid w:val="007064B3"/>
    <w:rsid w:val="0070659C"/>
    <w:rsid w:val="00707BBD"/>
    <w:rsid w:val="00713D19"/>
    <w:rsid w:val="00725B5B"/>
    <w:rsid w:val="007461BC"/>
    <w:rsid w:val="0075288D"/>
    <w:rsid w:val="00754F63"/>
    <w:rsid w:val="00763DE7"/>
    <w:rsid w:val="0077449A"/>
    <w:rsid w:val="0077462E"/>
    <w:rsid w:val="0077642A"/>
    <w:rsid w:val="00790C27"/>
    <w:rsid w:val="00791F3A"/>
    <w:rsid w:val="00795844"/>
    <w:rsid w:val="007B0E6A"/>
    <w:rsid w:val="007B67EB"/>
    <w:rsid w:val="007C0C44"/>
    <w:rsid w:val="007C0F1A"/>
    <w:rsid w:val="007D165C"/>
    <w:rsid w:val="007D3805"/>
    <w:rsid w:val="007D6BBB"/>
    <w:rsid w:val="007E71BE"/>
    <w:rsid w:val="00801532"/>
    <w:rsid w:val="00814F8A"/>
    <w:rsid w:val="00815902"/>
    <w:rsid w:val="00821601"/>
    <w:rsid w:val="0082320F"/>
    <w:rsid w:val="00824BED"/>
    <w:rsid w:val="008261B7"/>
    <w:rsid w:val="008323F7"/>
    <w:rsid w:val="00841921"/>
    <w:rsid w:val="008434E2"/>
    <w:rsid w:val="008449C2"/>
    <w:rsid w:val="0084589C"/>
    <w:rsid w:val="00847A65"/>
    <w:rsid w:val="008543F0"/>
    <w:rsid w:val="0086347A"/>
    <w:rsid w:val="00880811"/>
    <w:rsid w:val="008818F4"/>
    <w:rsid w:val="00881D16"/>
    <w:rsid w:val="008867E7"/>
    <w:rsid w:val="008A0439"/>
    <w:rsid w:val="008A5B36"/>
    <w:rsid w:val="008A600E"/>
    <w:rsid w:val="008B3288"/>
    <w:rsid w:val="008C0AE8"/>
    <w:rsid w:val="008C58A0"/>
    <w:rsid w:val="008D6CDA"/>
    <w:rsid w:val="008E3769"/>
    <w:rsid w:val="008E5030"/>
    <w:rsid w:val="008F46D2"/>
    <w:rsid w:val="00903B58"/>
    <w:rsid w:val="00903FDB"/>
    <w:rsid w:val="00907D72"/>
    <w:rsid w:val="009239BF"/>
    <w:rsid w:val="00925BF2"/>
    <w:rsid w:val="00925DB5"/>
    <w:rsid w:val="00925DD9"/>
    <w:rsid w:val="00931BF5"/>
    <w:rsid w:val="00937E9A"/>
    <w:rsid w:val="00941A87"/>
    <w:rsid w:val="00951455"/>
    <w:rsid w:val="009637BF"/>
    <w:rsid w:val="00966F64"/>
    <w:rsid w:val="00972238"/>
    <w:rsid w:val="00977513"/>
    <w:rsid w:val="00984DF4"/>
    <w:rsid w:val="00985C4C"/>
    <w:rsid w:val="00991BC1"/>
    <w:rsid w:val="009A29D3"/>
    <w:rsid w:val="009A7C4C"/>
    <w:rsid w:val="009B0E02"/>
    <w:rsid w:val="009B449C"/>
    <w:rsid w:val="009C0F18"/>
    <w:rsid w:val="009D3877"/>
    <w:rsid w:val="009E05D3"/>
    <w:rsid w:val="009E7D16"/>
    <w:rsid w:val="009F56AB"/>
    <w:rsid w:val="00A07DB3"/>
    <w:rsid w:val="00A22D4D"/>
    <w:rsid w:val="00A26E5D"/>
    <w:rsid w:val="00A35899"/>
    <w:rsid w:val="00A403F8"/>
    <w:rsid w:val="00A410C9"/>
    <w:rsid w:val="00A45684"/>
    <w:rsid w:val="00A47DF0"/>
    <w:rsid w:val="00A606E6"/>
    <w:rsid w:val="00A61E38"/>
    <w:rsid w:val="00A80D83"/>
    <w:rsid w:val="00A80E57"/>
    <w:rsid w:val="00A839D8"/>
    <w:rsid w:val="00A91C8A"/>
    <w:rsid w:val="00A92447"/>
    <w:rsid w:val="00A93527"/>
    <w:rsid w:val="00AA0159"/>
    <w:rsid w:val="00AA0496"/>
    <w:rsid w:val="00AA3762"/>
    <w:rsid w:val="00AA5E98"/>
    <w:rsid w:val="00AA6C1F"/>
    <w:rsid w:val="00AC2888"/>
    <w:rsid w:val="00AD5059"/>
    <w:rsid w:val="00AD7110"/>
    <w:rsid w:val="00AD7412"/>
    <w:rsid w:val="00AE09FA"/>
    <w:rsid w:val="00AE526B"/>
    <w:rsid w:val="00AF0580"/>
    <w:rsid w:val="00AF1780"/>
    <w:rsid w:val="00AF3BC6"/>
    <w:rsid w:val="00B101B8"/>
    <w:rsid w:val="00B1386D"/>
    <w:rsid w:val="00B156F6"/>
    <w:rsid w:val="00B21A66"/>
    <w:rsid w:val="00B21E03"/>
    <w:rsid w:val="00B3226D"/>
    <w:rsid w:val="00B42A6A"/>
    <w:rsid w:val="00B42D2E"/>
    <w:rsid w:val="00B464AE"/>
    <w:rsid w:val="00B51404"/>
    <w:rsid w:val="00B610DB"/>
    <w:rsid w:val="00B61BE6"/>
    <w:rsid w:val="00B65B23"/>
    <w:rsid w:val="00B66903"/>
    <w:rsid w:val="00B81886"/>
    <w:rsid w:val="00B87002"/>
    <w:rsid w:val="00B871E6"/>
    <w:rsid w:val="00B91FCA"/>
    <w:rsid w:val="00B94686"/>
    <w:rsid w:val="00BA5005"/>
    <w:rsid w:val="00BB0AED"/>
    <w:rsid w:val="00BC3618"/>
    <w:rsid w:val="00BC77F6"/>
    <w:rsid w:val="00BE3A5F"/>
    <w:rsid w:val="00BF0AD7"/>
    <w:rsid w:val="00BF5BBB"/>
    <w:rsid w:val="00C02A02"/>
    <w:rsid w:val="00C06302"/>
    <w:rsid w:val="00C20DD8"/>
    <w:rsid w:val="00C35399"/>
    <w:rsid w:val="00C52C23"/>
    <w:rsid w:val="00C6439B"/>
    <w:rsid w:val="00C75862"/>
    <w:rsid w:val="00C8202F"/>
    <w:rsid w:val="00C90D6E"/>
    <w:rsid w:val="00C913A1"/>
    <w:rsid w:val="00C97184"/>
    <w:rsid w:val="00CA7A52"/>
    <w:rsid w:val="00CB3367"/>
    <w:rsid w:val="00CB4C25"/>
    <w:rsid w:val="00CC2180"/>
    <w:rsid w:val="00CC5323"/>
    <w:rsid w:val="00CC7D48"/>
    <w:rsid w:val="00CD157C"/>
    <w:rsid w:val="00CD4135"/>
    <w:rsid w:val="00CE5B90"/>
    <w:rsid w:val="00CF7DDA"/>
    <w:rsid w:val="00D06ECA"/>
    <w:rsid w:val="00D14554"/>
    <w:rsid w:val="00D16F46"/>
    <w:rsid w:val="00D34561"/>
    <w:rsid w:val="00D42475"/>
    <w:rsid w:val="00D47C39"/>
    <w:rsid w:val="00D504F7"/>
    <w:rsid w:val="00D66460"/>
    <w:rsid w:val="00D7526D"/>
    <w:rsid w:val="00D776FA"/>
    <w:rsid w:val="00D77857"/>
    <w:rsid w:val="00DA3A7F"/>
    <w:rsid w:val="00DA4CD1"/>
    <w:rsid w:val="00DA6224"/>
    <w:rsid w:val="00DA69C5"/>
    <w:rsid w:val="00DB35B3"/>
    <w:rsid w:val="00DB5296"/>
    <w:rsid w:val="00DB56C3"/>
    <w:rsid w:val="00DB7FB8"/>
    <w:rsid w:val="00DC093A"/>
    <w:rsid w:val="00DC6045"/>
    <w:rsid w:val="00DE41C1"/>
    <w:rsid w:val="00DF295F"/>
    <w:rsid w:val="00DF3E65"/>
    <w:rsid w:val="00E00283"/>
    <w:rsid w:val="00E06735"/>
    <w:rsid w:val="00E174E3"/>
    <w:rsid w:val="00E30B8A"/>
    <w:rsid w:val="00E34775"/>
    <w:rsid w:val="00E43B61"/>
    <w:rsid w:val="00E45611"/>
    <w:rsid w:val="00E46B7C"/>
    <w:rsid w:val="00E505DB"/>
    <w:rsid w:val="00E536EE"/>
    <w:rsid w:val="00E561F6"/>
    <w:rsid w:val="00E57529"/>
    <w:rsid w:val="00E63AA3"/>
    <w:rsid w:val="00E65541"/>
    <w:rsid w:val="00E65B40"/>
    <w:rsid w:val="00E738CB"/>
    <w:rsid w:val="00E97B02"/>
    <w:rsid w:val="00EC51CC"/>
    <w:rsid w:val="00ED3922"/>
    <w:rsid w:val="00ED4CA2"/>
    <w:rsid w:val="00ED6B36"/>
    <w:rsid w:val="00EE0A97"/>
    <w:rsid w:val="00EE0E8E"/>
    <w:rsid w:val="00EF2739"/>
    <w:rsid w:val="00EF6194"/>
    <w:rsid w:val="00F10F53"/>
    <w:rsid w:val="00F22C62"/>
    <w:rsid w:val="00F2515F"/>
    <w:rsid w:val="00F267FD"/>
    <w:rsid w:val="00F4437A"/>
    <w:rsid w:val="00F44C49"/>
    <w:rsid w:val="00F500A3"/>
    <w:rsid w:val="00F500B2"/>
    <w:rsid w:val="00F51963"/>
    <w:rsid w:val="00F53B94"/>
    <w:rsid w:val="00F54175"/>
    <w:rsid w:val="00F57B12"/>
    <w:rsid w:val="00F73844"/>
    <w:rsid w:val="00F772BA"/>
    <w:rsid w:val="00F80232"/>
    <w:rsid w:val="00F820BF"/>
    <w:rsid w:val="00F82209"/>
    <w:rsid w:val="00F8715E"/>
    <w:rsid w:val="00F93056"/>
    <w:rsid w:val="00F959C5"/>
    <w:rsid w:val="00F97923"/>
    <w:rsid w:val="00FB04D1"/>
    <w:rsid w:val="00FB1411"/>
    <w:rsid w:val="00FB2728"/>
    <w:rsid w:val="00FB57C9"/>
    <w:rsid w:val="00FD2E02"/>
    <w:rsid w:val="00FF40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9CD6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3" w:uiPriority="43"/>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21A66"/>
  </w:style>
  <w:style w:type="paragraph" w:styleId="Titolo1">
    <w:name w:val="heading 1"/>
    <w:basedOn w:val="Normale"/>
    <w:next w:val="Normale"/>
    <w:link w:val="Titolo1Carattere"/>
    <w:uiPriority w:val="9"/>
    <w:qFormat/>
    <w:rsid w:val="001547CA"/>
    <w:pPr>
      <w:keepNext/>
      <w:keepLines/>
      <w:spacing w:before="360" w:after="120"/>
      <w:jc w:val="center"/>
      <w:outlineLvl w:val="0"/>
    </w:pPr>
    <w:rPr>
      <w:rFonts w:ascii="Arial" w:eastAsiaTheme="majorEastAsia" w:hAnsi="Arial" w:cstheme="majorBidi"/>
      <w:b/>
      <w:sz w:val="24"/>
      <w:szCs w:val="32"/>
      <w:lang w:val="en-US"/>
    </w:rPr>
  </w:style>
  <w:style w:type="paragraph" w:styleId="Titolo2">
    <w:name w:val="heading 2"/>
    <w:basedOn w:val="Normale"/>
    <w:next w:val="Normale"/>
    <w:link w:val="Titolo2Carattere"/>
    <w:uiPriority w:val="9"/>
    <w:unhideWhenUsed/>
    <w:qFormat/>
    <w:rsid w:val="001547CA"/>
    <w:pPr>
      <w:keepNext/>
      <w:keepLines/>
      <w:spacing w:before="160" w:after="120"/>
      <w:outlineLvl w:val="1"/>
    </w:pPr>
    <w:rPr>
      <w:rFonts w:ascii="Arial" w:eastAsiaTheme="majorEastAsia" w:hAnsi="Arial" w:cstheme="majorBidi"/>
      <w:b/>
      <w:sz w:val="24"/>
      <w:szCs w:val="26"/>
      <w:lang w:val="en-US"/>
    </w:rPr>
  </w:style>
  <w:style w:type="paragraph" w:styleId="Titolo3">
    <w:name w:val="heading 3"/>
    <w:basedOn w:val="Normale"/>
    <w:next w:val="Normale"/>
    <w:link w:val="Titolo3Carattere"/>
    <w:uiPriority w:val="9"/>
    <w:unhideWhenUsed/>
    <w:qFormat/>
    <w:rsid w:val="001547CA"/>
    <w:pPr>
      <w:keepNext/>
      <w:keepLines/>
      <w:spacing w:before="160" w:after="120"/>
      <w:outlineLvl w:val="2"/>
    </w:pPr>
    <w:rPr>
      <w:rFonts w:ascii="Arial" w:eastAsiaTheme="majorEastAsia" w:hAnsi="Arial" w:cstheme="majorBidi"/>
      <w:b/>
      <w:i/>
      <w:sz w:val="24"/>
      <w:szCs w:val="24"/>
      <w:lang w:val="en-US"/>
    </w:rPr>
  </w:style>
  <w:style w:type="paragraph" w:styleId="Titolo4">
    <w:name w:val="heading 4"/>
    <w:basedOn w:val="Normale"/>
    <w:next w:val="Normale"/>
    <w:link w:val="Titolo4Carattere"/>
    <w:uiPriority w:val="9"/>
    <w:unhideWhenUsed/>
    <w:qFormat/>
    <w:rsid w:val="001547CA"/>
    <w:pPr>
      <w:keepNext/>
      <w:keepLines/>
      <w:spacing w:before="40" w:after="0"/>
      <w:ind w:left="720"/>
      <w:outlineLvl w:val="3"/>
    </w:pPr>
    <w:rPr>
      <w:rFonts w:ascii="Arial" w:eastAsiaTheme="majorEastAsia" w:hAnsi="Arial" w:cstheme="majorBidi"/>
      <w:b/>
      <w:iCs/>
      <w:sz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B21A66"/>
    <w:rPr>
      <w:sz w:val="16"/>
      <w:szCs w:val="16"/>
    </w:rPr>
  </w:style>
  <w:style w:type="paragraph" w:styleId="Testocommento">
    <w:name w:val="annotation text"/>
    <w:basedOn w:val="Normale"/>
    <w:link w:val="TestocommentoCarattere"/>
    <w:uiPriority w:val="99"/>
    <w:unhideWhenUsed/>
    <w:rsid w:val="00B21A66"/>
    <w:pPr>
      <w:spacing w:line="240" w:lineRule="auto"/>
    </w:pPr>
    <w:rPr>
      <w:sz w:val="20"/>
      <w:szCs w:val="20"/>
    </w:rPr>
  </w:style>
  <w:style w:type="character" w:customStyle="1" w:styleId="TestocommentoCarattere">
    <w:name w:val="Testo commento Carattere"/>
    <w:basedOn w:val="Carpredefinitoparagrafo"/>
    <w:link w:val="Testocommento"/>
    <w:uiPriority w:val="99"/>
    <w:rsid w:val="00B21A66"/>
    <w:rPr>
      <w:sz w:val="20"/>
      <w:szCs w:val="20"/>
    </w:rPr>
  </w:style>
  <w:style w:type="paragraph" w:styleId="Soggettocommento">
    <w:name w:val="annotation subject"/>
    <w:basedOn w:val="Testocommento"/>
    <w:next w:val="Testocommento"/>
    <w:link w:val="SoggettocommentoCarattere"/>
    <w:uiPriority w:val="99"/>
    <w:semiHidden/>
    <w:unhideWhenUsed/>
    <w:rsid w:val="0023340E"/>
    <w:rPr>
      <w:b/>
      <w:bCs/>
    </w:rPr>
  </w:style>
  <w:style w:type="character" w:customStyle="1" w:styleId="SoggettocommentoCarattere">
    <w:name w:val="Soggetto commento Carattere"/>
    <w:basedOn w:val="TestocommentoCarattere"/>
    <w:link w:val="Soggettocommento"/>
    <w:uiPriority w:val="99"/>
    <w:semiHidden/>
    <w:rsid w:val="0023340E"/>
    <w:rPr>
      <w:b/>
      <w:bCs/>
      <w:sz w:val="20"/>
      <w:szCs w:val="20"/>
    </w:rPr>
  </w:style>
  <w:style w:type="paragraph" w:styleId="Testofumetto">
    <w:name w:val="Balloon Text"/>
    <w:basedOn w:val="Normale"/>
    <w:link w:val="TestofumettoCarattere"/>
    <w:uiPriority w:val="99"/>
    <w:semiHidden/>
    <w:unhideWhenUsed/>
    <w:rsid w:val="0023340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3340E"/>
    <w:rPr>
      <w:rFonts w:ascii="Segoe UI" w:hAnsi="Segoe UI" w:cs="Segoe UI"/>
      <w:sz w:val="18"/>
      <w:szCs w:val="18"/>
    </w:rPr>
  </w:style>
  <w:style w:type="character" w:styleId="Numeroriga">
    <w:name w:val="line number"/>
    <w:basedOn w:val="Carpredefinitoparagrafo"/>
    <w:uiPriority w:val="99"/>
    <w:semiHidden/>
    <w:unhideWhenUsed/>
    <w:rsid w:val="006E7BAE"/>
  </w:style>
  <w:style w:type="paragraph" w:styleId="Intestazione">
    <w:name w:val="header"/>
    <w:basedOn w:val="Normale"/>
    <w:link w:val="IntestazioneCarattere"/>
    <w:uiPriority w:val="99"/>
    <w:unhideWhenUsed/>
    <w:rsid w:val="006E7BAE"/>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6E7BAE"/>
  </w:style>
  <w:style w:type="paragraph" w:styleId="Pidipagina">
    <w:name w:val="footer"/>
    <w:basedOn w:val="Normale"/>
    <w:link w:val="PidipaginaCarattere"/>
    <w:uiPriority w:val="99"/>
    <w:unhideWhenUsed/>
    <w:rsid w:val="006E7BAE"/>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6E7BAE"/>
  </w:style>
  <w:style w:type="paragraph" w:styleId="Nessunaspaziatura">
    <w:name w:val="No Spacing"/>
    <w:link w:val="NessunaspaziaturaCarattere"/>
    <w:uiPriority w:val="1"/>
    <w:qFormat/>
    <w:rsid w:val="006B445F"/>
    <w:pPr>
      <w:spacing w:after="0" w:line="240" w:lineRule="auto"/>
    </w:pPr>
    <w:rPr>
      <w:rFonts w:eastAsiaTheme="minorEastAsia"/>
      <w:lang w:val="en-US"/>
    </w:rPr>
  </w:style>
  <w:style w:type="character" w:customStyle="1" w:styleId="NessunaspaziaturaCarattere">
    <w:name w:val="Nessuna spaziatura Carattere"/>
    <w:basedOn w:val="Carpredefinitoparagrafo"/>
    <w:link w:val="Nessunaspaziatura"/>
    <w:uiPriority w:val="1"/>
    <w:rsid w:val="006B445F"/>
    <w:rPr>
      <w:rFonts w:eastAsiaTheme="minorEastAsia"/>
      <w:lang w:val="en-US"/>
    </w:rPr>
  </w:style>
  <w:style w:type="paragraph" w:styleId="Paragrafoelenco">
    <w:name w:val="List Paragraph"/>
    <w:basedOn w:val="Normale"/>
    <w:uiPriority w:val="34"/>
    <w:qFormat/>
    <w:rsid w:val="00D66460"/>
    <w:pPr>
      <w:ind w:left="720"/>
      <w:contextualSpacing/>
    </w:pPr>
  </w:style>
  <w:style w:type="paragraph" w:styleId="Bibliografia">
    <w:name w:val="Bibliography"/>
    <w:basedOn w:val="Normale"/>
    <w:next w:val="Normale"/>
    <w:uiPriority w:val="37"/>
    <w:unhideWhenUsed/>
    <w:rsid w:val="000313EB"/>
    <w:pPr>
      <w:spacing w:after="0" w:line="480" w:lineRule="auto"/>
      <w:ind w:left="720" w:hanging="720"/>
    </w:pPr>
  </w:style>
  <w:style w:type="table" w:styleId="Grigliatabella">
    <w:name w:val="Table Grid"/>
    <w:basedOn w:val="Tabellanormale"/>
    <w:uiPriority w:val="39"/>
    <w:rsid w:val="00E1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sc">
    <w:name w:val="desc"/>
    <w:basedOn w:val="Normale"/>
    <w:rsid w:val="00A80E5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Carpredefinitoparagrafo"/>
    <w:rsid w:val="00A80E57"/>
  </w:style>
  <w:style w:type="paragraph" w:customStyle="1" w:styleId="details">
    <w:name w:val="details"/>
    <w:basedOn w:val="Normale"/>
    <w:rsid w:val="00A80E5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Carpredefinitoparagrafo"/>
    <w:rsid w:val="00A80E57"/>
  </w:style>
  <w:style w:type="character" w:styleId="Collegamentoipertestuale">
    <w:name w:val="Hyperlink"/>
    <w:basedOn w:val="Carpredefinitoparagrafo"/>
    <w:uiPriority w:val="99"/>
    <w:unhideWhenUsed/>
    <w:rsid w:val="00903B58"/>
    <w:rPr>
      <w:color w:val="0000FF"/>
      <w:u w:val="single"/>
    </w:rPr>
  </w:style>
  <w:style w:type="character" w:styleId="Collegamentovisitato">
    <w:name w:val="FollowedHyperlink"/>
    <w:basedOn w:val="Carpredefinitoparagrafo"/>
    <w:uiPriority w:val="99"/>
    <w:semiHidden/>
    <w:unhideWhenUsed/>
    <w:rsid w:val="00EF6194"/>
    <w:rPr>
      <w:color w:val="954F72" w:themeColor="followedHyperlink"/>
      <w:u w:val="single"/>
    </w:rPr>
  </w:style>
  <w:style w:type="character" w:styleId="Menzionenonrisolta">
    <w:name w:val="Unresolved Mention"/>
    <w:basedOn w:val="Carpredefinitoparagrafo"/>
    <w:uiPriority w:val="99"/>
    <w:semiHidden/>
    <w:unhideWhenUsed/>
    <w:rsid w:val="00EF6194"/>
    <w:rPr>
      <w:color w:val="605E5C"/>
      <w:shd w:val="clear" w:color="auto" w:fill="E1DFDD"/>
    </w:rPr>
  </w:style>
  <w:style w:type="character" w:styleId="Enfasicorsivo">
    <w:name w:val="Emphasis"/>
    <w:basedOn w:val="Carpredefinitoparagrafo"/>
    <w:uiPriority w:val="20"/>
    <w:qFormat/>
    <w:rsid w:val="00550AC9"/>
    <w:rPr>
      <w:i/>
      <w:iCs/>
    </w:rPr>
  </w:style>
  <w:style w:type="paragraph" w:customStyle="1" w:styleId="Teaser">
    <w:name w:val="Teaser"/>
    <w:basedOn w:val="Normale"/>
    <w:rsid w:val="000A1A65"/>
    <w:pPr>
      <w:spacing w:before="120" w:after="0" w:line="240" w:lineRule="auto"/>
    </w:pPr>
    <w:rPr>
      <w:rFonts w:ascii="Times New Roman" w:eastAsia="Times New Roman" w:hAnsi="Times New Roman" w:cs="Times New Roman"/>
      <w:sz w:val="24"/>
      <w:szCs w:val="24"/>
      <w:lang w:val="en-US"/>
    </w:rPr>
  </w:style>
  <w:style w:type="paragraph" w:styleId="Revisione">
    <w:name w:val="Revision"/>
    <w:hidden/>
    <w:uiPriority w:val="99"/>
    <w:semiHidden/>
    <w:rsid w:val="0008053B"/>
    <w:pPr>
      <w:spacing w:after="0" w:line="240" w:lineRule="auto"/>
    </w:pPr>
  </w:style>
  <w:style w:type="character" w:customStyle="1" w:styleId="Titolo1Carattere">
    <w:name w:val="Titolo 1 Carattere"/>
    <w:basedOn w:val="Carpredefinitoparagrafo"/>
    <w:link w:val="Titolo1"/>
    <w:uiPriority w:val="9"/>
    <w:rsid w:val="001547CA"/>
    <w:rPr>
      <w:rFonts w:ascii="Arial" w:eastAsiaTheme="majorEastAsia" w:hAnsi="Arial" w:cstheme="majorBidi"/>
      <w:b/>
      <w:sz w:val="24"/>
      <w:szCs w:val="32"/>
      <w:lang w:val="en-US"/>
    </w:rPr>
  </w:style>
  <w:style w:type="character" w:customStyle="1" w:styleId="Titolo2Carattere">
    <w:name w:val="Titolo 2 Carattere"/>
    <w:basedOn w:val="Carpredefinitoparagrafo"/>
    <w:link w:val="Titolo2"/>
    <w:uiPriority w:val="9"/>
    <w:rsid w:val="001547CA"/>
    <w:rPr>
      <w:rFonts w:ascii="Arial" w:eastAsiaTheme="majorEastAsia" w:hAnsi="Arial" w:cstheme="majorBidi"/>
      <w:b/>
      <w:sz w:val="24"/>
      <w:szCs w:val="26"/>
      <w:lang w:val="en-US"/>
    </w:rPr>
  </w:style>
  <w:style w:type="character" w:customStyle="1" w:styleId="Titolo3Carattere">
    <w:name w:val="Titolo 3 Carattere"/>
    <w:basedOn w:val="Carpredefinitoparagrafo"/>
    <w:link w:val="Titolo3"/>
    <w:uiPriority w:val="9"/>
    <w:rsid w:val="001547CA"/>
    <w:rPr>
      <w:rFonts w:ascii="Arial" w:eastAsiaTheme="majorEastAsia" w:hAnsi="Arial" w:cstheme="majorBidi"/>
      <w:b/>
      <w:i/>
      <w:sz w:val="24"/>
      <w:szCs w:val="24"/>
      <w:lang w:val="en-US"/>
    </w:rPr>
  </w:style>
  <w:style w:type="character" w:customStyle="1" w:styleId="Titolo4Carattere">
    <w:name w:val="Titolo 4 Carattere"/>
    <w:basedOn w:val="Carpredefinitoparagrafo"/>
    <w:link w:val="Titolo4"/>
    <w:uiPriority w:val="9"/>
    <w:rsid w:val="001547CA"/>
    <w:rPr>
      <w:rFonts w:ascii="Arial" w:eastAsiaTheme="majorEastAsia" w:hAnsi="Arial" w:cstheme="majorBidi"/>
      <w:b/>
      <w:iCs/>
      <w:sz w:val="24"/>
      <w:lang w:val="en-US"/>
    </w:rPr>
  </w:style>
  <w:style w:type="table" w:styleId="Tabellasemplice-3">
    <w:name w:val="Plain Table 3"/>
    <w:basedOn w:val="Tabellanormale"/>
    <w:uiPriority w:val="43"/>
    <w:rsid w:val="001547CA"/>
    <w:pPr>
      <w:spacing w:after="0" w:line="240" w:lineRule="auto"/>
    </w:pPr>
    <w:rPr>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elenco2">
    <w:name w:val="List Table 2"/>
    <w:basedOn w:val="Tabellanormale"/>
    <w:uiPriority w:val="47"/>
    <w:rsid w:val="001547CA"/>
    <w:pPr>
      <w:spacing w:after="0" w:line="240" w:lineRule="auto"/>
    </w:pPr>
    <w:rPr>
      <w:lang w:val="en-US"/>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ellaelenco6acolori">
    <w:name w:val="List Table 6 Colorful"/>
    <w:basedOn w:val="Tabellanormale"/>
    <w:uiPriority w:val="51"/>
    <w:rsid w:val="001547CA"/>
    <w:pPr>
      <w:spacing w:after="0" w:line="240" w:lineRule="auto"/>
    </w:pPr>
    <w:rPr>
      <w:color w:val="000000" w:themeColor="text1"/>
      <w:lang w:val="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eWeb">
    <w:name w:val="Normal (Web)"/>
    <w:basedOn w:val="Normale"/>
    <w:uiPriority w:val="99"/>
    <w:semiHidden/>
    <w:unhideWhenUsed/>
    <w:rsid w:val="001547CA"/>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nova-e-listitem">
    <w:name w:val="nova-e-list__item"/>
    <w:basedOn w:val="Normale"/>
    <w:rsid w:val="001547CA"/>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fontstyle01">
    <w:name w:val="fontstyle01"/>
    <w:rsid w:val="001547CA"/>
    <w:rPr>
      <w:rFonts w:ascii="TimesNewRomanPSMT" w:hAnsi="TimesNewRomanPSMT" w:hint="default"/>
      <w:b w:val="0"/>
      <w:bCs w:val="0"/>
      <w:i w:val="0"/>
      <w:iCs w:val="0"/>
      <w:color w:val="000000"/>
      <w:sz w:val="24"/>
      <w:szCs w:val="24"/>
    </w:rPr>
  </w:style>
  <w:style w:type="paragraph" w:styleId="Titolosommario">
    <w:name w:val="TOC Heading"/>
    <w:basedOn w:val="Titolo1"/>
    <w:next w:val="Normale"/>
    <w:uiPriority w:val="39"/>
    <w:unhideWhenUsed/>
    <w:qFormat/>
    <w:rsid w:val="001547CA"/>
    <w:pPr>
      <w:outlineLvl w:val="9"/>
    </w:pPr>
  </w:style>
  <w:style w:type="paragraph" w:styleId="Sommario1">
    <w:name w:val="toc 1"/>
    <w:basedOn w:val="Normale"/>
    <w:next w:val="Normale"/>
    <w:autoRedefine/>
    <w:uiPriority w:val="39"/>
    <w:unhideWhenUsed/>
    <w:rsid w:val="001547CA"/>
    <w:pPr>
      <w:spacing w:before="240" w:after="100"/>
    </w:pPr>
    <w:rPr>
      <w:rFonts w:ascii="Arial" w:hAnsi="Arial"/>
      <w:sz w:val="24"/>
      <w:lang w:val="en-US"/>
    </w:rPr>
  </w:style>
  <w:style w:type="paragraph" w:styleId="Sommario2">
    <w:name w:val="toc 2"/>
    <w:basedOn w:val="Normale"/>
    <w:next w:val="Normale"/>
    <w:autoRedefine/>
    <w:uiPriority w:val="39"/>
    <w:unhideWhenUsed/>
    <w:rsid w:val="001547CA"/>
    <w:pPr>
      <w:spacing w:before="240" w:after="100"/>
      <w:ind w:left="220"/>
    </w:pPr>
    <w:rPr>
      <w:rFonts w:ascii="Arial" w:hAnsi="Arial"/>
      <w:sz w:val="24"/>
      <w:lang w:val="en-US"/>
    </w:rPr>
  </w:style>
  <w:style w:type="paragraph" w:styleId="Sommario3">
    <w:name w:val="toc 3"/>
    <w:basedOn w:val="Normale"/>
    <w:next w:val="Normale"/>
    <w:autoRedefine/>
    <w:uiPriority w:val="39"/>
    <w:unhideWhenUsed/>
    <w:rsid w:val="001547CA"/>
    <w:pPr>
      <w:spacing w:before="240" w:after="100"/>
      <w:ind w:left="440"/>
    </w:pPr>
    <w:rPr>
      <w:rFonts w:ascii="Arial" w:hAnsi="Arial"/>
      <w:sz w:val="24"/>
      <w:lang w:val="en-US"/>
    </w:rPr>
  </w:style>
  <w:style w:type="paragraph" w:styleId="Didascalia">
    <w:name w:val="caption"/>
    <w:basedOn w:val="Normale"/>
    <w:next w:val="Normale"/>
    <w:uiPriority w:val="35"/>
    <w:unhideWhenUsed/>
    <w:qFormat/>
    <w:rsid w:val="001547CA"/>
    <w:pPr>
      <w:spacing w:before="240" w:after="200" w:line="360" w:lineRule="auto"/>
      <w:jc w:val="both"/>
    </w:pPr>
    <w:rPr>
      <w:rFonts w:ascii="Arial" w:hAnsi="Arial"/>
      <w:b/>
      <w:iCs/>
      <w:sz w:val="24"/>
      <w:szCs w:val="18"/>
      <w:lang w:val="en-US"/>
    </w:rPr>
  </w:style>
  <w:style w:type="paragraph" w:styleId="Indicedellefigure">
    <w:name w:val="table of figures"/>
    <w:basedOn w:val="Normale"/>
    <w:next w:val="Normale"/>
    <w:uiPriority w:val="99"/>
    <w:unhideWhenUsed/>
    <w:rsid w:val="001547CA"/>
    <w:pPr>
      <w:spacing w:before="240" w:after="0"/>
    </w:pPr>
    <w:rPr>
      <w:rFonts w:ascii="Arial" w:hAnsi="Arial"/>
      <w:sz w:val="24"/>
      <w:lang w:val="en-US"/>
    </w:rPr>
  </w:style>
  <w:style w:type="table" w:styleId="Tabellaelenco1chiara">
    <w:name w:val="List Table 1 Light"/>
    <w:basedOn w:val="Tabellanormale"/>
    <w:uiPriority w:val="46"/>
    <w:rsid w:val="001547CA"/>
    <w:pPr>
      <w:spacing w:after="0" w:line="240" w:lineRule="auto"/>
    </w:pPr>
    <w:rPr>
      <w:lang w:val="en-US"/>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Sommario4">
    <w:name w:val="toc 4"/>
    <w:basedOn w:val="Normale"/>
    <w:next w:val="Normale"/>
    <w:autoRedefine/>
    <w:uiPriority w:val="39"/>
    <w:unhideWhenUsed/>
    <w:rsid w:val="001547CA"/>
    <w:pPr>
      <w:spacing w:after="100"/>
      <w:ind w:left="660"/>
    </w:pPr>
    <w:rPr>
      <w:rFonts w:eastAsiaTheme="minorEastAsia"/>
      <w:lang w:val="en-US"/>
    </w:rPr>
  </w:style>
  <w:style w:type="paragraph" w:styleId="Sommario5">
    <w:name w:val="toc 5"/>
    <w:basedOn w:val="Normale"/>
    <w:next w:val="Normale"/>
    <w:autoRedefine/>
    <w:uiPriority w:val="39"/>
    <w:unhideWhenUsed/>
    <w:rsid w:val="001547CA"/>
    <w:pPr>
      <w:spacing w:after="100"/>
      <w:ind w:left="880"/>
    </w:pPr>
    <w:rPr>
      <w:rFonts w:eastAsiaTheme="minorEastAsia"/>
      <w:lang w:val="en-US"/>
    </w:rPr>
  </w:style>
  <w:style w:type="paragraph" w:styleId="Sommario6">
    <w:name w:val="toc 6"/>
    <w:basedOn w:val="Normale"/>
    <w:next w:val="Normale"/>
    <w:autoRedefine/>
    <w:uiPriority w:val="39"/>
    <w:unhideWhenUsed/>
    <w:rsid w:val="001547CA"/>
    <w:pPr>
      <w:spacing w:after="100"/>
      <w:ind w:left="1100"/>
    </w:pPr>
    <w:rPr>
      <w:rFonts w:eastAsiaTheme="minorEastAsia"/>
      <w:lang w:val="en-US"/>
    </w:rPr>
  </w:style>
  <w:style w:type="paragraph" w:styleId="Sommario7">
    <w:name w:val="toc 7"/>
    <w:basedOn w:val="Normale"/>
    <w:next w:val="Normale"/>
    <w:autoRedefine/>
    <w:uiPriority w:val="39"/>
    <w:unhideWhenUsed/>
    <w:rsid w:val="001547CA"/>
    <w:pPr>
      <w:spacing w:after="100"/>
      <w:ind w:left="1320"/>
    </w:pPr>
    <w:rPr>
      <w:rFonts w:eastAsiaTheme="minorEastAsia"/>
      <w:lang w:val="en-US"/>
    </w:rPr>
  </w:style>
  <w:style w:type="paragraph" w:styleId="Sommario8">
    <w:name w:val="toc 8"/>
    <w:basedOn w:val="Normale"/>
    <w:next w:val="Normale"/>
    <w:autoRedefine/>
    <w:uiPriority w:val="39"/>
    <w:unhideWhenUsed/>
    <w:rsid w:val="001547CA"/>
    <w:pPr>
      <w:spacing w:after="100"/>
      <w:ind w:left="1540"/>
    </w:pPr>
    <w:rPr>
      <w:rFonts w:eastAsiaTheme="minorEastAsia"/>
      <w:lang w:val="en-US"/>
    </w:rPr>
  </w:style>
  <w:style w:type="paragraph" w:styleId="Sommario9">
    <w:name w:val="toc 9"/>
    <w:basedOn w:val="Normale"/>
    <w:next w:val="Normale"/>
    <w:autoRedefine/>
    <w:uiPriority w:val="39"/>
    <w:unhideWhenUsed/>
    <w:rsid w:val="001547CA"/>
    <w:pPr>
      <w:spacing w:after="100"/>
      <w:ind w:left="1760"/>
    </w:pPr>
    <w:rPr>
      <w:rFonts w:eastAsiaTheme="minorEastAsia"/>
      <w:lang w:val="en-US"/>
    </w:rPr>
  </w:style>
  <w:style w:type="character" w:styleId="Numeropagina">
    <w:name w:val="page number"/>
    <w:basedOn w:val="Carpredefinitoparagrafo"/>
    <w:uiPriority w:val="99"/>
    <w:semiHidden/>
    <w:unhideWhenUsed/>
    <w:rsid w:val="001547CA"/>
  </w:style>
  <w:style w:type="character" w:customStyle="1" w:styleId="anchor-text">
    <w:name w:val="anchor-text"/>
    <w:basedOn w:val="Carpredefinitoparagrafo"/>
    <w:rsid w:val="001547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834658">
      <w:bodyDiv w:val="1"/>
      <w:marLeft w:val="0"/>
      <w:marRight w:val="0"/>
      <w:marTop w:val="0"/>
      <w:marBottom w:val="0"/>
      <w:divBdr>
        <w:top w:val="none" w:sz="0" w:space="0" w:color="auto"/>
        <w:left w:val="none" w:sz="0" w:space="0" w:color="auto"/>
        <w:bottom w:val="none" w:sz="0" w:space="0" w:color="auto"/>
        <w:right w:val="none" w:sz="0" w:space="0" w:color="auto"/>
      </w:divBdr>
    </w:div>
    <w:div w:id="345714061">
      <w:bodyDiv w:val="1"/>
      <w:marLeft w:val="0"/>
      <w:marRight w:val="0"/>
      <w:marTop w:val="0"/>
      <w:marBottom w:val="0"/>
      <w:divBdr>
        <w:top w:val="none" w:sz="0" w:space="0" w:color="auto"/>
        <w:left w:val="none" w:sz="0" w:space="0" w:color="auto"/>
        <w:bottom w:val="none" w:sz="0" w:space="0" w:color="auto"/>
        <w:right w:val="none" w:sz="0" w:space="0" w:color="auto"/>
      </w:divBdr>
    </w:div>
    <w:div w:id="778450189">
      <w:bodyDiv w:val="1"/>
      <w:marLeft w:val="0"/>
      <w:marRight w:val="0"/>
      <w:marTop w:val="0"/>
      <w:marBottom w:val="0"/>
      <w:divBdr>
        <w:top w:val="none" w:sz="0" w:space="0" w:color="auto"/>
        <w:left w:val="none" w:sz="0" w:space="0" w:color="auto"/>
        <w:bottom w:val="none" w:sz="0" w:space="0" w:color="auto"/>
        <w:right w:val="none" w:sz="0" w:space="0" w:color="auto"/>
      </w:divBdr>
    </w:div>
    <w:div w:id="797454244">
      <w:bodyDiv w:val="1"/>
      <w:marLeft w:val="0"/>
      <w:marRight w:val="0"/>
      <w:marTop w:val="0"/>
      <w:marBottom w:val="0"/>
      <w:divBdr>
        <w:top w:val="none" w:sz="0" w:space="0" w:color="auto"/>
        <w:left w:val="none" w:sz="0" w:space="0" w:color="auto"/>
        <w:bottom w:val="none" w:sz="0" w:space="0" w:color="auto"/>
        <w:right w:val="none" w:sz="0" w:space="0" w:color="auto"/>
      </w:divBdr>
    </w:div>
    <w:div w:id="823132167">
      <w:bodyDiv w:val="1"/>
      <w:marLeft w:val="0"/>
      <w:marRight w:val="0"/>
      <w:marTop w:val="0"/>
      <w:marBottom w:val="0"/>
      <w:divBdr>
        <w:top w:val="none" w:sz="0" w:space="0" w:color="auto"/>
        <w:left w:val="none" w:sz="0" w:space="0" w:color="auto"/>
        <w:bottom w:val="none" w:sz="0" w:space="0" w:color="auto"/>
        <w:right w:val="none" w:sz="0" w:space="0" w:color="auto"/>
      </w:divBdr>
    </w:div>
    <w:div w:id="895121499">
      <w:bodyDiv w:val="1"/>
      <w:marLeft w:val="0"/>
      <w:marRight w:val="0"/>
      <w:marTop w:val="0"/>
      <w:marBottom w:val="0"/>
      <w:divBdr>
        <w:top w:val="none" w:sz="0" w:space="0" w:color="auto"/>
        <w:left w:val="none" w:sz="0" w:space="0" w:color="auto"/>
        <w:bottom w:val="none" w:sz="0" w:space="0" w:color="auto"/>
        <w:right w:val="none" w:sz="0" w:space="0" w:color="auto"/>
      </w:divBdr>
    </w:div>
    <w:div w:id="910694405">
      <w:bodyDiv w:val="1"/>
      <w:marLeft w:val="0"/>
      <w:marRight w:val="0"/>
      <w:marTop w:val="0"/>
      <w:marBottom w:val="0"/>
      <w:divBdr>
        <w:top w:val="none" w:sz="0" w:space="0" w:color="auto"/>
        <w:left w:val="none" w:sz="0" w:space="0" w:color="auto"/>
        <w:bottom w:val="none" w:sz="0" w:space="0" w:color="auto"/>
        <w:right w:val="none" w:sz="0" w:space="0" w:color="auto"/>
      </w:divBdr>
    </w:div>
    <w:div w:id="1766724866">
      <w:bodyDiv w:val="1"/>
      <w:marLeft w:val="0"/>
      <w:marRight w:val="0"/>
      <w:marTop w:val="0"/>
      <w:marBottom w:val="0"/>
      <w:divBdr>
        <w:top w:val="none" w:sz="0" w:space="0" w:color="auto"/>
        <w:left w:val="none" w:sz="0" w:space="0" w:color="auto"/>
        <w:bottom w:val="none" w:sz="0" w:space="0" w:color="auto"/>
        <w:right w:val="none" w:sz="0" w:space="0" w:color="auto"/>
      </w:divBdr>
    </w:div>
    <w:div w:id="1770857818">
      <w:bodyDiv w:val="1"/>
      <w:marLeft w:val="0"/>
      <w:marRight w:val="0"/>
      <w:marTop w:val="0"/>
      <w:marBottom w:val="0"/>
      <w:divBdr>
        <w:top w:val="none" w:sz="0" w:space="0" w:color="auto"/>
        <w:left w:val="none" w:sz="0" w:space="0" w:color="auto"/>
        <w:bottom w:val="none" w:sz="0" w:space="0" w:color="auto"/>
        <w:right w:val="none" w:sz="0" w:space="0" w:color="auto"/>
      </w:divBdr>
    </w:div>
    <w:div w:id="1936012983">
      <w:bodyDiv w:val="1"/>
      <w:marLeft w:val="0"/>
      <w:marRight w:val="0"/>
      <w:marTop w:val="0"/>
      <w:marBottom w:val="0"/>
      <w:divBdr>
        <w:top w:val="none" w:sz="0" w:space="0" w:color="auto"/>
        <w:left w:val="none" w:sz="0" w:space="0" w:color="auto"/>
        <w:bottom w:val="none" w:sz="0" w:space="0" w:color="auto"/>
        <w:right w:val="none" w:sz="0" w:space="0" w:color="auto"/>
      </w:divBdr>
    </w:div>
    <w:div w:id="1987931238">
      <w:bodyDiv w:val="1"/>
      <w:marLeft w:val="0"/>
      <w:marRight w:val="0"/>
      <w:marTop w:val="0"/>
      <w:marBottom w:val="0"/>
      <w:divBdr>
        <w:top w:val="none" w:sz="0" w:space="0" w:color="auto"/>
        <w:left w:val="none" w:sz="0" w:space="0" w:color="auto"/>
        <w:bottom w:val="none" w:sz="0" w:space="0" w:color="auto"/>
        <w:right w:val="none" w:sz="0" w:space="0" w:color="auto"/>
      </w:divBdr>
    </w:div>
    <w:div w:id="2126727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8951</Words>
  <Characters>51026</Characters>
  <Application>Microsoft Office Word</Application>
  <DocSecurity>0</DocSecurity>
  <Lines>425</Lines>
  <Paragraphs>119</Paragraphs>
  <ScaleCrop>false</ScaleCrop>
  <Company/>
  <LinksUpToDate>false</LinksUpToDate>
  <CharactersWithSpaces>59858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2026-06-03T15:39:00Z</dcterms:created>
  <dcterms:modified xsi:type="dcterms:W3CDTF">2026-06-03T15:39:00Z</dcterms:modified>
</cp:coreProperties>
</file>