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1E54AB" w14:textId="61BC9FBD" w:rsidR="00654E8F" w:rsidRDefault="00654E8F" w:rsidP="0001436A">
      <w:pPr>
        <w:pStyle w:val="SupplementaryMaterial"/>
      </w:pPr>
      <w:r w:rsidRPr="001549D3">
        <w:t>Supplementary Material</w:t>
      </w:r>
    </w:p>
    <w:p w14:paraId="1C48F98B" w14:textId="445DAE79" w:rsidR="00DA70E5" w:rsidRPr="00DA70E5" w:rsidRDefault="00DA70E5" w:rsidP="00DA70E5">
      <w:pPr>
        <w:pStyle w:val="Titolo"/>
      </w:pPr>
      <w:r w:rsidRPr="00DA70E5">
        <w:t>The Overview, Design concepts, and Details (ODD) Protocol Document</w:t>
      </w:r>
    </w:p>
    <w:p w14:paraId="29026311" w14:textId="3921E771" w:rsidR="00EA3D3C" w:rsidRPr="00994A3D" w:rsidRDefault="00DA70E5" w:rsidP="0001436A">
      <w:pPr>
        <w:pStyle w:val="Titolo1"/>
      </w:pPr>
      <w:r>
        <w:t>Overview</w:t>
      </w:r>
    </w:p>
    <w:p w14:paraId="08451C38" w14:textId="05BFD1E3" w:rsidR="00994A3D" w:rsidRDefault="00DA70E5" w:rsidP="00DA70E5">
      <w:pPr>
        <w:rPr>
          <w:rFonts w:eastAsia="Times New Roman" w:cs="Times New Roman"/>
          <w:szCs w:val="24"/>
          <w:lang w:val="en-GB" w:eastAsia="en-GB"/>
        </w:rPr>
      </w:pPr>
      <w:r>
        <w:t xml:space="preserve">In what follows we provide a detailed description of the model based on the standard Overview, Design concepts, and Details (ODD) protocol by </w:t>
      </w:r>
      <w:r>
        <w:fldChar w:fldCharType="begin"/>
      </w:r>
      <w:r>
        <w:instrText xml:space="preserve"> ADDIN ZOTERO_ITEM CSL_CITATION {"citationID":"cooWL2vo","properties":{"formattedCitation":"(Grimm et al., 2010)","plainCitation":"(Grimm et al., 2010)","dontUpdate":true,"noteIndex":0},"citationItems":[{"id":475,"uris":["http://zotero.org/users/9003255/items/JXYYN4IU"],"itemData":{"id":475,"type":"article-journal","abstract":"The ‘ODD’ (Overview, Design concepts, and Details) protocol was published in 2006 to standardize the published descriptions of individual-based and agent-based models (ABMs). The primary objectives of ODD are to make model descriptions more understandable and complete, thereby making ABMs less subject to criticism for being irreproducible. We have systematically evaluated existing uses of the ODD protocol and identiﬁed, as expected, parts of ODD needing improvement and clariﬁcation. Accordingly, we revise the deﬁnition of ODD to clarify aspects of the original version and thereby facilitate future standardization of ABM descriptions. We discuss frequently raised critiques in ODD but also two emerging, and unanticipated, beneﬁts: ODD improves the rigorous formulation of models and helps make the theoretical foundations of large models more visible. Although the protocol was designed for ABMs, it can help with documenting any large, complex model, alleviating some general objections against such models.","container-title":"Ecological Modelling","DOI":"10.1016/j.ecolmodel.2010.08.019","ISSN":"03043800","issue":"23","journalAbbreviation":"Ecological Modelling","language":"en","page":"2760-2768","source":"DOI.org (Crossref)","title":"The ODD protocol: A review and first update","title-short":"The ODD protocol","volume":"221","author":[{"family":"Grimm","given":"Volker"},{"family":"Berger","given":"Uta"},{"family":"DeAngelis","given":"Donald L."},{"family":"Polhill","given":"J. Gary"},{"family":"Giske","given":"Jarl"},{"family":"Railsback","given":"Steven F."}],"issued":{"date-parts":[["2010",11]]}}}],"schema":"https://github.com/citation-style-language/schema/raw/master/csl-citation.json"} </w:instrText>
      </w:r>
      <w:r>
        <w:fldChar w:fldCharType="separate"/>
      </w:r>
      <w:r>
        <w:rPr>
          <w:noProof/>
        </w:rPr>
        <w:t>Grimm et al. (2010)</w:t>
      </w:r>
      <w:r>
        <w:fldChar w:fldCharType="end"/>
      </w:r>
      <w:r>
        <w:t xml:space="preserve">. We provide this documentation in order to provide more details about the model and aid others in replicating and extending the model. Figure 1 shows the graphical user interface of the model. On the left-hand side, we have user-specified inputs along with model outputs. </w:t>
      </w:r>
      <w:proofErr w:type="spellStart"/>
      <w:r>
        <w:rPr>
          <w:iCs/>
        </w:rPr>
        <w:t>NetLogo</w:t>
      </w:r>
      <w:proofErr w:type="spellEnd"/>
      <w:r>
        <w:rPr>
          <w:iCs/>
        </w:rPr>
        <w:t xml:space="preserve"> version 6.3.0 </w:t>
      </w:r>
      <w:r>
        <w:rPr>
          <w:iCs/>
        </w:rPr>
        <w:fldChar w:fldCharType="begin"/>
      </w:r>
      <w:r>
        <w:rPr>
          <w:iCs/>
        </w:rPr>
        <w:instrText xml:space="preserve"> ADDIN ZOTERO_ITEM CSL_CITATION {"citationID":"sQDQUfcv","properties":{"formattedCitation":"(Wilensky, 1999)","plainCitation":"(Wilensky, 1999)","noteIndex":0},"citationItems":[{"id":842,"uris":["http://zotero.org/users/9003255/items/BPMIVAGI"],"itemData":{"id":842,"type":"report","event-place":"Evanston","publisher":"Northwestern University","publisher-place":"Evanston","title":"NetLogo. Center for Connected Learning and Computer-Based Modeling","URL":"http://ccl.northwestern.edu/netlogo/","author":[{"family":"Wilensky","given":"U."}],"issued":{"date-parts":[["1999"]]}}}],"schema":"https://github.com/citation-style-language/schema/raw/master/csl-citation.json"} </w:instrText>
      </w:r>
      <w:r>
        <w:rPr>
          <w:iCs/>
        </w:rPr>
        <w:fldChar w:fldCharType="separate"/>
      </w:r>
      <w:r w:rsidR="002A3FF3">
        <w:rPr>
          <w:iCs/>
          <w:noProof/>
        </w:rPr>
        <w:t>(Wilensky, 1999)</w:t>
      </w:r>
      <w:r>
        <w:rPr>
          <w:iCs/>
        </w:rPr>
        <w:fldChar w:fldCharType="end"/>
      </w:r>
      <w:r>
        <w:t xml:space="preserve"> was used to implement the model</w:t>
      </w:r>
      <w:r w:rsidR="00994A3D" w:rsidRPr="00994A3D">
        <w:rPr>
          <w:rFonts w:eastAsia="Times New Roman" w:cs="Times New Roman"/>
          <w:szCs w:val="24"/>
          <w:lang w:val="en-GB" w:eastAsia="en-GB"/>
        </w:rPr>
        <w:t xml:space="preserve">. </w:t>
      </w:r>
    </w:p>
    <w:p w14:paraId="79333501" w14:textId="4D2E472F" w:rsidR="00DA70E5" w:rsidRDefault="00DA70E5" w:rsidP="00DA70E5">
      <w:r>
        <w:rPr>
          <w:noProof/>
          <w:lang w:val="it-IT"/>
        </w:rPr>
        <w:drawing>
          <wp:inline distT="0" distB="0" distL="0" distR="0" wp14:anchorId="77541567" wp14:editId="5D23D2C4">
            <wp:extent cx="5850467" cy="2734600"/>
            <wp:effectExtent l="0" t="0" r="4445" b="0"/>
            <wp:docPr id="3" name="Immagine 3" descr="Immagine che contiene testo, schermata, mappa, softwa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testo, schermata, mappa, software&#10;&#10;Descrizione generata automa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l="1102" t="15512" r="12019" b="12115"/>
                    <a:stretch>
                      <a:fillRect/>
                    </a:stretch>
                  </pic:blipFill>
                  <pic:spPr bwMode="auto">
                    <a:xfrm>
                      <a:off x="0" y="0"/>
                      <a:ext cx="5922791" cy="2768406"/>
                    </a:xfrm>
                    <a:prstGeom prst="rect">
                      <a:avLst/>
                    </a:prstGeom>
                    <a:noFill/>
                    <a:ln>
                      <a:noFill/>
                    </a:ln>
                  </pic:spPr>
                </pic:pic>
              </a:graphicData>
            </a:graphic>
          </wp:inline>
        </w:drawing>
      </w:r>
    </w:p>
    <w:p w14:paraId="036DB28A" w14:textId="58E584A7" w:rsidR="00F24938" w:rsidRPr="00F24938" w:rsidRDefault="00F24938" w:rsidP="00DA70E5">
      <w:pPr>
        <w:rPr>
          <w:rFonts w:eastAsia="Times New Roman" w:cs="Times New Roman"/>
          <w:b/>
          <w:bCs/>
          <w:szCs w:val="24"/>
          <w:lang w:eastAsia="en-GB"/>
        </w:rPr>
      </w:pPr>
      <w:r w:rsidRPr="00DA70E5">
        <w:rPr>
          <w:rFonts w:eastAsia="Times New Roman" w:cs="Times New Roman"/>
          <w:b/>
          <w:bCs/>
          <w:szCs w:val="24"/>
          <w:lang w:eastAsia="en-GB"/>
        </w:rPr>
        <w:t xml:space="preserve">Figure 1 </w:t>
      </w:r>
      <w:r w:rsidRPr="00F24938">
        <w:rPr>
          <w:rFonts w:eastAsia="Times New Roman" w:cs="Times New Roman"/>
          <w:szCs w:val="24"/>
          <w:lang w:eastAsia="en-GB"/>
        </w:rPr>
        <w:t>Model Graphical User interface.</w:t>
      </w:r>
    </w:p>
    <w:p w14:paraId="334F35DA" w14:textId="39359821" w:rsidR="00DA70E5" w:rsidRDefault="00DA70E5" w:rsidP="00DA70E5">
      <w:pPr>
        <w:pStyle w:val="Titolo2"/>
      </w:pPr>
      <w:r w:rsidRPr="00DA70E5">
        <w:t>Study Area and Purpose</w:t>
      </w:r>
    </w:p>
    <w:p w14:paraId="0CCACA13" w14:textId="0EFFF734" w:rsidR="00DA70E5" w:rsidRDefault="00DA70E5" w:rsidP="00DA70E5">
      <w:r>
        <w:t xml:space="preserve">Italy is the tenth-largest country in Europe, covering an area of 301,340 km2 (116,350 sq mi). The major land covers of Italy are agricultural land (52%), forest (30%), natural areas (9%), and others (9%) such as artificial area, open space/bare soil and water </w:t>
      </w:r>
      <w:r>
        <w:fldChar w:fldCharType="begin"/>
      </w:r>
      <w:r>
        <w:instrText xml:space="preserve"> ADDIN ZOTERO_ITEM CSL_CITATION {"citationID":"IvwYI8I9","properties":{"formattedCitation":"(ISPRA, 2006)","plainCitation":"(ISPRA, 2006)","noteIndex":0},"citationItems":[{"id":801,"uris":["http://zotero.org/users/9003255/items/XIIGVMAW"],"itemData":{"id":801,"type":"dataset","title":"CORINE Land Cover- 2006","URL":"https://data.europa.eu/data/datasets/ispra_rm-01clc2006_dt?locale=it","author":[{"family":"ISPRA","given":""}],"accessed":{"date-parts":[["2024",5,27]]},"issued":{"date-parts":[["2006"]]}}}],"schema":"https://github.com/citation-style-language/schema/raw/master/csl-citation.json"} </w:instrText>
      </w:r>
      <w:r>
        <w:fldChar w:fldCharType="separate"/>
      </w:r>
      <w:r w:rsidR="002A3FF3">
        <w:rPr>
          <w:noProof/>
        </w:rPr>
        <w:t>(ISPRA, 2006)</w:t>
      </w:r>
      <w:r>
        <w:fldChar w:fldCharType="end"/>
      </w:r>
      <w:r>
        <w:t xml:space="preserve">. In this context, </w:t>
      </w:r>
      <w:r w:rsidRPr="008B7351">
        <w:rPr>
          <w:color w:val="000000" w:themeColor="text1"/>
        </w:rPr>
        <w:t xml:space="preserve">Italy </w:t>
      </w:r>
      <w:r>
        <w:rPr>
          <w:color w:val="000000" w:themeColor="text1"/>
        </w:rPr>
        <w:t>has a</w:t>
      </w:r>
      <w:r w:rsidRPr="00543106">
        <w:rPr>
          <w:color w:val="000000" w:themeColor="text1"/>
        </w:rPr>
        <w:t xml:space="preserve"> rich genetic diversity, agricultural heritage, and culinary tradition with buckwheat </w:t>
      </w:r>
      <w:r>
        <w:rPr>
          <w:color w:val="000000" w:themeColor="text1"/>
        </w:rPr>
        <w:fldChar w:fldCharType="begin"/>
      </w:r>
      <w:r>
        <w:rPr>
          <w:color w:val="000000" w:themeColor="text1"/>
        </w:rPr>
        <w:instrText xml:space="preserve"> ADDIN ZOTERO_ITEM CSL_CITATION {"citationID":"snozWMCY","properties":{"formattedCitation":"(Brunori et al., 2005)","plainCitation":"(Brunori et al., 2005)","noteIndex":0},"citationItems":[{"id":726,"uris":["http://zotero.org/users/9003255/items/6PMXWK9Y"],"itemData":{"id":726,"type":"article-journal","abstract":"The yield of five buckwheat varieties grown at Matrice in the Region of Molise (Central Italy) and at Terranova del Pollino in the Region of Basilicata (Southern Italy), was assessed during the growing season of 2004. In Terranova, the grain yield ranged from 0.76 t/ha (cultivar Bamby) to 1.53 t/ha (cultivar La Harpe), in line with that reported from the traditional buckwheat growing areas. Grain yield was found to be related to the amount of the aboveground vegetative biomass (stems, branches and leaves) production. The rather high harvest index varied within a relatively narrow range (0.48-0.56). In Matrice, mice shortly before harvest almost completely consumed the grain, spoiling the abundant seed setting. Nevertheless, the amount of above ground vegetative biomass bespoke for a quite appreciable yield potential. Again, the variety La Harpe appeared the top yielder. In spite of the reported rusticity of buckwheat, the harsh environmental conditions which occurred in Terranova, negatively influenced the vegetative growth, indicating that care must be taken in the preparation of the seed bed and in the application of fertilizers, particularly nitrogen. The results achieved in 2004 would indicate that a successful introduction of buckwheat in Central and Southern Italy, requires the identification of adapted varieties as well as of the most appropriate agronomic practices .","container-title":"Fagopyrum","language":"en","page":"98-102","source":"Zotero","title":"The yield of five buckwheat (Fagopyrum esculentum Moench) varieties grown in Central and Southern Italy","volume":"22","author":[{"family":"Brunori","given":"Andrea"},{"family":"Brunori","given":"Alberto"},{"family":"Baviello","given":"Gerardo"},{"family":"Marconi","given":"Emanuele"},{"family":"Colonna","given":"Michelina"},{"family":"Ricci","given":"Maurizio"}],"issued":{"date-parts":[["2005"]]}}}],"schema":"https://github.com/citation-style-language/schema/raw/master/csl-citation.json"} </w:instrText>
      </w:r>
      <w:r>
        <w:rPr>
          <w:color w:val="000000" w:themeColor="text1"/>
        </w:rPr>
        <w:fldChar w:fldCharType="separate"/>
      </w:r>
      <w:r w:rsidR="002A3FF3">
        <w:t>(Brunori et al., 2005)</w:t>
      </w:r>
      <w:r>
        <w:rPr>
          <w:color w:val="000000" w:themeColor="text1"/>
        </w:rPr>
        <w:fldChar w:fldCharType="end"/>
      </w:r>
      <w:r w:rsidRPr="00A81C2C">
        <w:rPr>
          <w:color w:val="000000" w:themeColor="text1"/>
        </w:rPr>
        <w:t>.</w:t>
      </w:r>
      <w:r>
        <w:t xml:space="preserve"> </w:t>
      </w:r>
    </w:p>
    <w:p w14:paraId="5AB6E8AF" w14:textId="0E5BD069" w:rsidR="00DA70E5" w:rsidRDefault="00DA70E5" w:rsidP="00DA70E5">
      <w:r>
        <w:t>Buckwheat (</w:t>
      </w:r>
      <w:r w:rsidRPr="00F9777F">
        <w:rPr>
          <w:i/>
          <w:iCs/>
        </w:rPr>
        <w:t>Fagopyrum esculentum</w:t>
      </w:r>
      <w:r>
        <w:t xml:space="preserve">), which is classified as a neglected and underutilized species (NUS) </w:t>
      </w:r>
      <w:r>
        <w:fldChar w:fldCharType="begin"/>
      </w:r>
      <w:r>
        <w:instrText xml:space="preserve"> ADDIN ZOTERO_ITEM CSL_CITATION {"citationID":"gQsiYZUQ","properties":{"formattedCitation":"(Knez et al., 2023)","plainCitation":"(Knez et al., 2023)","noteIndex":0},"citationItems":[{"id":799,"uris":["http://zotero.org/users/9003255/items/V2FU8QA7"],"itemData":{"id":799,"type":"article-journal","abstract":"Underutilized crops are described as plant species that were once popular but have since been neglected by mainstream agriculture for several reasons. A widespread monoculture agricultural revolution and a tendency toward more high-yielding varieties were the main reasons for the underutilization of certain crops. Remarkably, underutilized crops have endured even without formal support, which indicates that besides their exceptional nutritional value and beneﬁcial effects on human health they contain desirable traits that could be useful for building resilience and adaptation to climate-changing environments. As such, the re-establishment of these plants to the global food system is desired. To ﬁnd solutions for overcoming the obstacles for the reintroduction of these crops and to bring the neglected species back to cultivation and utilization, a comprehensive understanding of the potential reasons for the reduced cultivation of these crops is necessary. In this article, potential reasons, causes, and conditions for the decreased cultivation and consumption of certain crops are discussed with a presentation of case studies of the following species: buckwheat, lentils, green leafy vegetables, sow thistle, grass pea, cucumber melon, and eggplant. Finally, potential solutions for overcoming the identiﬁed obstacles associated with both the cultivation and consumption of certain underutilized crops and neglected species are provided. Documented beneﬁts of the production of various crops in agricultural production systems and the beneﬁcial effects of increased consumption of these crops for human health should stimulate and encourage people from various disciplines, i.e., farmers, researchers, agronomists, nutritionists, and policymakers to join the efforts to bring neglected species back to cultivation and consumption.","container-title":"Sustainability","DOI":"10.3390/su15043076","ISSN":"2071-1050","issue":"4","journalAbbreviation":"Sustainability","language":"en","license":"https://creativecommons.org/licenses/by/4.0/","page":"3076","source":"DOI.org (Crossref)","title":"Causes and Conditions for Reduced Cultivation and Consumption of Underutilized Crops: Is There a Solution?","title-short":"Causes and Conditions for Reduced Cultivation and Consumption of Underutilized Crops","volume":"15","author":[{"family":"Knez","given":"Marija"},{"family":"Ranic","given":"Marija"},{"family":"Gurinovic","given":"Mirjana"},{"family":"Glibetic","given":"Maria"},{"family":"Savic","given":"Jasna"},{"family":"Mattas","given":"Konstadinos"},{"family":"Yercan","given":"Murat"}],"issued":{"date-parts":[["2023",2,8]]}}}],"schema":"https://github.com/citation-style-language/schema/raw/master/csl-citation.json"} </w:instrText>
      </w:r>
      <w:r>
        <w:fldChar w:fldCharType="separate"/>
      </w:r>
      <w:r w:rsidR="002A3FF3">
        <w:rPr>
          <w:noProof/>
        </w:rPr>
        <w:t>(Knez et al., 2023)</w:t>
      </w:r>
      <w:r>
        <w:fldChar w:fldCharType="end"/>
      </w:r>
      <w:r>
        <w:t xml:space="preserve">, thrives in a spring-summer growth cycle and prefers a mild climate with significant day-night temperature variations and moderate water supply. Due to its short crop cycle, buckwheat is well-suited for crop rotation and inter-cropping to maximize land use. It serves as an interlayer and cover crop in various cropping systems and is also valuable as a honey plant for pollination </w:t>
      </w:r>
      <w:r>
        <w:fldChar w:fldCharType="begin"/>
      </w:r>
      <w:r>
        <w:instrText xml:space="preserve"> ADDIN ZOTERO_ITEM CSL_CITATION {"citationID":"T9ZhdINz","properties":{"formattedCitation":"(Small, 2017)","plainCitation":"(Small, 2017)","noteIndex":0},"citationItems":[{"id":687,"uris":["http://zotero.org/users/9003255/items/RTMF7EUT"],"itemData":{"id":687,"type":"article-journal","container-title":"Biodiversity","DOI":"10.1080/14888386.2017.1332529","ISSN":"1488-8386, 2160-0651","issue":"2-3","journalAbbreviation":"Biodiversity","language":"en","page":"108-123","source":"DOI.org (Crossref)","title":"Buckwheat – the world’s most biodiversity-friendly crop?","volume":"18","author":[{"family":"Small","given":"Ernest"}],"issued":{"date-parts":[["2017",7,3]]}}}],"schema":"https://github.com/citation-style-language/schema/raw/master/csl-citation.json"} </w:instrText>
      </w:r>
      <w:r>
        <w:fldChar w:fldCharType="separate"/>
      </w:r>
      <w:r w:rsidR="002A3FF3">
        <w:rPr>
          <w:noProof/>
        </w:rPr>
        <w:t>(Small, 2017)</w:t>
      </w:r>
      <w:r>
        <w:fldChar w:fldCharType="end"/>
      </w:r>
      <w:r>
        <w:t>.</w:t>
      </w:r>
    </w:p>
    <w:p w14:paraId="36095ABD" w14:textId="04047844" w:rsidR="00DA70E5" w:rsidRDefault="00DA70E5" w:rsidP="00DA70E5">
      <w:r>
        <w:lastRenderedPageBreak/>
        <w:t>The optimal environment for buckwheat cultivation is found in mountainous areas and adjacent high hills, particularly in the Central-Northern regions of Italy. Nine</w:t>
      </w:r>
      <w:r w:rsidRPr="00E9156F">
        <w:t xml:space="preserve"> regions were selected </w:t>
      </w:r>
      <w:r>
        <w:t xml:space="preserve">as case studies </w:t>
      </w:r>
      <w:r w:rsidRPr="00E9156F">
        <w:t xml:space="preserve">based on </w:t>
      </w:r>
      <w:r>
        <w:t xml:space="preserve">data coming from the </w:t>
      </w:r>
      <w:r w:rsidRPr="00E9156F">
        <w:t>RICA database</w:t>
      </w:r>
      <w:r>
        <w:t xml:space="preserve">: </w:t>
      </w:r>
      <w:r w:rsidRPr="009D5435">
        <w:t>Veneto</w:t>
      </w:r>
      <w:r>
        <w:t xml:space="preserve">, Emilia-Romagna, </w:t>
      </w:r>
      <w:r w:rsidRPr="009D5435">
        <w:t>Lazio, Tuscany</w:t>
      </w:r>
      <w:r>
        <w:t xml:space="preserve">, </w:t>
      </w:r>
      <w:r w:rsidRPr="009D5435">
        <w:t>Marche, Lombardy</w:t>
      </w:r>
      <w:r>
        <w:t xml:space="preserve">, </w:t>
      </w:r>
      <w:r w:rsidRPr="009D5435">
        <w:t>Umbria, Piedmont and Friuli-Venezia Giulia</w:t>
      </w:r>
      <w:r w:rsidRPr="0012174F">
        <w:t xml:space="preserve"> </w:t>
      </w:r>
      <w:r w:rsidRPr="0012174F">
        <w:fldChar w:fldCharType="begin"/>
      </w:r>
      <w:r>
        <w:instrText xml:space="preserve"> ADDIN ZOTERO_ITEM CSL_CITATION {"citationID":"y0EL7YTS","properties":{"formattedCitation":"(RICA, 2022)","plainCitation":"(RICA, 2022)","noteIndex":0},"citationItems":[{"id":829,"uris":["http://zotero.org/users/9003255/items/XFZJ8KDV"],"itemData":{"id":829,"type":"dataset","publisher":"https://rica.crea.gov.it/","title":"Banca Dati RICA CREA-PB","author":[{"family":"RICA","given":""}],"accessed":{"date-parts":[["2024",5,27]]},"issued":{"date-parts":[["2022"]]}}}],"schema":"https://github.com/citation-style-language/schema/raw/master/csl-citation.json"} </w:instrText>
      </w:r>
      <w:r w:rsidRPr="0012174F">
        <w:fldChar w:fldCharType="separate"/>
      </w:r>
      <w:r w:rsidR="002A3FF3">
        <w:t>(RICA, 2022)</w:t>
      </w:r>
      <w:r w:rsidRPr="0012174F">
        <w:fldChar w:fldCharType="end"/>
      </w:r>
      <w:r>
        <w:t xml:space="preserve">. These data underscore the regional disparities in land availability for buckwheat production, highlighting the strategic importance of regional planning and resource allocation to optimize buckwheat farming in Italy. Furthermore, choosing average regional data over municipality-level data ensures a broader, more generalizable understanding of land availability while preserving the privacy of individual farmers. Traditionally cultivated in mountainous and hilly regions, buckwheat has witnessed renewed interest in recent years with the reintroduction of this crop also in Italian plain regions, e.g., Veneto and Emilia-Romagna. While mountainous areas generally exhibit higher yields, these efforts suggest a potential expansion of buckwheat production across diverse Italian agricultural landscapes </w:t>
      </w:r>
      <w:r>
        <w:fldChar w:fldCharType="begin"/>
      </w:r>
      <w:r>
        <w:instrText xml:space="preserve"> ADDIN ZOTERO_ITEM CSL_CITATION {"citationID":"gRTtmlTf","properties":{"formattedCitation":"(Gaifami and Piazzi, 2022)","plainCitation":"(Gaifami and Piazzi, 2022)","noteIndex":0},"citationItems":[{"id":838,"uris":["http://zotero.org/users/9003255/items/VEDEIY6Y"],"itemData":{"id":838,"type":"document","publisher":"ERSAF – Ente Regionale per i Servizi all’Agricoltura e alle Foreste","title":"Manuale tecnico sulla coltivazione del grano saraceno","URL":"https://www.ersaf.lombardia.it/","author":[{"family":"Gaifami","given":"Tommaso"},{"family":"Piazzi","given":"Mauro"}],"accessed":{"date-parts":[["2024",6,4]]},"issued":{"date-parts":[["2022"]]}}}],"schema":"https://github.com/citation-style-language/schema/raw/master/csl-citation.json"} </w:instrText>
      </w:r>
      <w:r>
        <w:fldChar w:fldCharType="separate"/>
      </w:r>
      <w:r w:rsidR="002A3FF3">
        <w:t>(Gaifami and Piazzi, 2022)</w:t>
      </w:r>
      <w:r>
        <w:fldChar w:fldCharType="end"/>
      </w:r>
      <w:r>
        <w:t>.</w:t>
      </w:r>
    </w:p>
    <w:p w14:paraId="1FEAE459" w14:textId="77777777" w:rsidR="00DA70E5" w:rsidRDefault="00DA70E5" w:rsidP="00DA70E5">
      <w:pPr>
        <w:pStyle w:val="Titolo2"/>
      </w:pPr>
      <w:r>
        <w:t>Entities, State Variables, and Scales</w:t>
      </w:r>
    </w:p>
    <w:p w14:paraId="1146DC16" w14:textId="77777777" w:rsidR="00DA70E5" w:rsidRDefault="00DA70E5" w:rsidP="00DA70E5">
      <w:r>
        <w:t xml:space="preserve">The agents in our model represent farmers. Each farmer is an agent who owns 23,73 ha of agricultural land, reflecting the average Utilized Agricultural Area (UAA) in Italy. These farmers follow one of three prevalent three-year crop rotations in the central-northern regions of Italy: Soft wheat–Soybean–Maize (Rot1), Soft wheat–Barley–Maize (Rot2), or Barley–Soybean–Maize (Rot3). </w:t>
      </w:r>
    </w:p>
    <w:p w14:paraId="667602D8" w14:textId="77777777" w:rsidR="00DA70E5" w:rsidRDefault="00DA70E5" w:rsidP="00DA70E5">
      <w:r>
        <w:t xml:space="preserve">These crops were selected from the list of the most widely cultivated field crops in Italy, particularly in the north-central regions. Maize (UAA of 21.834 ha) is the most commonly grown crop, followed by soft wheat (UAA of 21.585 ha) and barley (UAA of 11.128,35 ha). For grain legumes, soybean (UAA of 9.957 ha) is the predominant crop, with 99.5% of its cultivation occurring in northern Italy (RICA, 2022).  </w:t>
      </w:r>
      <w:r w:rsidRPr="002B456D">
        <w:t xml:space="preserve">In each region, three types of farmer agents are </w:t>
      </w:r>
      <w:r>
        <w:t xml:space="preserve">randomly </w:t>
      </w:r>
      <w:r w:rsidRPr="002B456D">
        <w:t xml:space="preserve">created based on </w:t>
      </w:r>
      <w:r w:rsidRPr="0041176E">
        <w:t>the proportion of farmland dedicated to their respective crop rotations</w:t>
      </w:r>
      <w:r>
        <w:t xml:space="preserve">. </w:t>
      </w:r>
    </w:p>
    <w:p w14:paraId="585803EA" w14:textId="77777777" w:rsidR="00DA70E5" w:rsidRDefault="00DA70E5" w:rsidP="00DA70E5">
      <w:r>
        <w:t>Agents’ attitudes towards cultivating main row crops (maize, barley, soft wheat, soybean) on their farmlands are defined by several profit-maximizing variables and neighborhood influence parameters, as shown in Table 1. The profit-maximization variables (yield, production cost, and price) determine the crop production economics to evaluate the profitability of integrating buckwheat into traditional crop rotations. Production costs include operating expenses for producing a crop such as fertilizers, pesticides, seeds, contracting, irrigation water, insurance, certifications and reuse of company products, excluding overhead costs like labor, machinery, taxes, and other general farming overheads.</w:t>
      </w:r>
    </w:p>
    <w:p w14:paraId="439B13FB" w14:textId="4EFFF815" w:rsidR="00DA70E5" w:rsidRDefault="00DA70E5" w:rsidP="00DA70E5">
      <w:r>
        <w:t xml:space="preserve">Table 1 shows the key variables of annual crop yields, prices, and production costs that determine the profitability of four major crops plus buckwheat from 2011 to 2022. </w:t>
      </w:r>
      <w:r w:rsidRPr="00243BD5">
        <w:t xml:space="preserve">Since buckwheat is </w:t>
      </w:r>
      <w:r>
        <w:t xml:space="preserve">typically cultivated as interlayer </w:t>
      </w:r>
      <w:r w:rsidRPr="00243BD5">
        <w:t>row crop</w:t>
      </w:r>
      <w:r>
        <w:t>,</w:t>
      </w:r>
      <w:r w:rsidRPr="00D80DF4">
        <w:t xml:space="preserve"> </w:t>
      </w:r>
      <w:r w:rsidRPr="002F6F4B">
        <w:t>it does not require additional machinery, meaning that only operational costs are taken into account</w:t>
      </w:r>
      <w:r>
        <w:t xml:space="preserve">. The neighborhood influence parameters determine the adoption rate of rotations with buckwheat within a region and its surrounding areas. Each farmer has a unique adoption threshold, reflecting their positivity towards adopting buckwheat relative to the adoption rate </w:t>
      </w:r>
      <w:r>
        <w:fldChar w:fldCharType="begin"/>
      </w:r>
      <w:r>
        <w:instrText xml:space="preserve"> ADDIN ZOTERO_ITEM CSL_CITATION {"citationID":"uvhXVZaq","properties":{"formattedCitation":"(Berger, 2001; Alexander et al., 2013)","plainCitation":"(Berger, 2001; Alexander et al., 2013)","noteIndex":0},"citationItems":[{"id":818,"uris":["http://zotero.org/users/9003255/items/E6VHCXQC"],"itemData":{"id":818,"type":"article-journal","abstract":"Biomass produced from energy crops, such as\n              Miscanthus\n              and short rotation coppice is expected to contribute to renewable energy targets, but the slower than anticipated development of the UK market implies the need for greater understanding of the factors that govern adoption. Here, we apply an agent-based model of the UK perennial energy crop market, including the contingent interaction of supply and demand, to understand the spatial and temporal dynamics of energy crop adoption. Results indicate that perennial energy crop supply will be between six and nine times lower than previously published, because of time lags in adoption arising from a spatial diffusion process. The model simulates time lags of at least 20 years, which is supported empirically by the analogue of oilseed rape adoption in the UK from the 1970s. This implies the need to account for time lags arising from spatial diffusion in evaluating land-use change, climate change (mitigation or adaptation) or the adoption of novel technologies.","container-title":"Journal of The Royal Society Interface","DOI":"10.1098/rsif.2013.0656","ISSN":"1742-5689, 1742-5662","issue":"88","language":"en","page":"20130656","source":"DOI.org (Crossref)","title":"Modelling the perennial energy crop market: the role of spatial diffusion","title-short":"Modelling the perennial energy crop market","volume":"10","author":[{"family":"Alexander","given":"Peter"},{"family":"Moran","given":"Dominic"},{"family":"Rounsevell","given":"Mark D. A."},{"family":"Smith","given":"Pete"}],"issued":{"date-parts":[["2013",11,6]]}}},{"id":820,"uris":["http://zotero.org/users/9003255/items/EG247PLD"],"itemData":{"id":820,"type":"article-journal","abstract":"This paper presents a spatial multi-agent programming model, which has been developed for assessing policy options in the diffusion of innovations and resource use changes. Unlike conventional simulation tools used in agricultural economics, the model class described here applies a multi-agent/cellular automata (CA) approach by using heterogeneous farm-household models and capturing their social and spatial interactions explicitly. The individual choice of the farm-household among available production, consumption, investment and marketing alternatives is represented in recursive linear programming models. Adoption constraints are introduced in form of network-threshold values that reﬂect the cumulative effects of experience and observation of peers’ experiences. The model’s economic and hydrologic components are tightly connected into a spatial framework. The integration of economic and hydrologic processes facilitates the consideration of feedback effects in the use of water for irrigation. The simulation runs of the model are carried out with an empirical data set, which has been derived from various data sources on an agricultural region in Chile. Simulation results show that agent-based spatial modelling constitutes a powerful approach to better understanding processes of innovation and resource use change. © 2001 Elsevier Science B.V. All rights reserved.","container-title":"Agricultural Economics","DOI":"10.1016/S0169-5150(01)00082-2","ISSN":"01695150","issue":"2-3","language":"en","license":"http://doi.wiley.com/10.1002/tdm_license_1","page":"245-260","source":"DOI.org (Crossref)","title":"Agent-based spatial models applied to agriculture: a simulation tool for technology diffusion, resource use changes and policy analysis","title-short":"Agent-based spatial models applied to agriculture","volume":"25","author":[{"family":"Berger","given":"T"}],"issued":{"date-parts":[["2001",9]]}}}],"schema":"https://github.com/citation-style-language/schema/raw/master/csl-citation.json"} </w:instrText>
      </w:r>
      <w:r>
        <w:fldChar w:fldCharType="separate"/>
      </w:r>
      <w:r w:rsidR="002A3FF3">
        <w:rPr>
          <w:noProof/>
        </w:rPr>
        <w:t>(Berger, 2001; Alexander et al., 2013)</w:t>
      </w:r>
      <w:r>
        <w:fldChar w:fldCharType="end"/>
      </w:r>
      <w:r>
        <w:t>. Varying standard deviations of the adoption threshold parameters indicate whether the initial willingness to adopt buckwheat among farmers is high or low (Table 1).</w:t>
      </w:r>
    </w:p>
    <w:p w14:paraId="5819F0B8" w14:textId="5D8AC299" w:rsidR="00DA70E5" w:rsidRDefault="00DA70E5" w:rsidP="00DA70E5">
      <w:r>
        <w:lastRenderedPageBreak/>
        <w:t>The rotational period is three years for farm-scale modeling, which is extended up to 33 years, representing the years 2022 to 2055, for long-term planning. Each tick or time step (t) of the model therefore represents three years (years of crop rotation). The model is spatially explicit in terms of aggregating individual agents’ decisions to the regional level. However, decisions are made at the farm level.</w:t>
      </w:r>
    </w:p>
    <w:p w14:paraId="5CE6FF1B" w14:textId="43EACA5D" w:rsidR="00DA70E5" w:rsidRDefault="00DA70E5" w:rsidP="00DA70E5">
      <w:r>
        <w:rPr>
          <w:b/>
          <w:bCs/>
        </w:rPr>
        <w:t>Table 1</w:t>
      </w:r>
      <w:r>
        <w:t xml:space="preserve"> Agents’ parameters. N (μ, σ) represents the normal distribution.</w:t>
      </w:r>
    </w:p>
    <w:tbl>
      <w:tblPr>
        <w:tblStyle w:val="Grigliatabella1"/>
        <w:tblW w:w="9484"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
        <w:gridCol w:w="2141"/>
        <w:gridCol w:w="4177"/>
        <w:gridCol w:w="2254"/>
      </w:tblGrid>
      <w:tr w:rsidR="00DA70E5" w:rsidRPr="00DA70E5" w14:paraId="7A23B68D" w14:textId="77777777" w:rsidTr="00CC51AD">
        <w:trPr>
          <w:trHeight w:val="239"/>
          <w:jc w:val="center"/>
        </w:trPr>
        <w:tc>
          <w:tcPr>
            <w:tcW w:w="3053" w:type="dxa"/>
            <w:gridSpan w:val="2"/>
            <w:tcBorders>
              <w:top w:val="single" w:sz="4" w:space="0" w:color="auto"/>
              <w:left w:val="nil"/>
              <w:bottom w:val="single" w:sz="4" w:space="0" w:color="auto"/>
              <w:right w:val="nil"/>
            </w:tcBorders>
            <w:hideMark/>
          </w:tcPr>
          <w:p w14:paraId="6EFACCDA" w14:textId="77777777" w:rsidR="00DA70E5" w:rsidRPr="00DA70E5" w:rsidRDefault="00DA70E5" w:rsidP="00DA70E5">
            <w:pPr>
              <w:spacing w:before="0" w:after="0"/>
              <w:jc w:val="both"/>
              <w:rPr>
                <w:rFonts w:eastAsia="Calibri" w:cs="Times New Roman"/>
                <w:b/>
                <w:bCs/>
                <w:szCs w:val="24"/>
              </w:rPr>
            </w:pPr>
            <w:r w:rsidRPr="00DA70E5">
              <w:rPr>
                <w:rFonts w:eastAsia="Calibri" w:cs="Times New Roman"/>
                <w:b/>
                <w:bCs/>
                <w:szCs w:val="24"/>
              </w:rPr>
              <w:t>Parameters</w:t>
            </w:r>
          </w:p>
        </w:tc>
        <w:tc>
          <w:tcPr>
            <w:tcW w:w="4177" w:type="dxa"/>
            <w:tcBorders>
              <w:top w:val="single" w:sz="4" w:space="0" w:color="auto"/>
              <w:left w:val="nil"/>
              <w:bottom w:val="single" w:sz="4" w:space="0" w:color="auto"/>
              <w:right w:val="nil"/>
            </w:tcBorders>
            <w:hideMark/>
          </w:tcPr>
          <w:p w14:paraId="2691B7BD" w14:textId="77777777" w:rsidR="00DA70E5" w:rsidRPr="00DA70E5" w:rsidRDefault="00DA70E5" w:rsidP="00DA70E5">
            <w:pPr>
              <w:spacing w:before="0" w:after="0"/>
              <w:jc w:val="both"/>
              <w:rPr>
                <w:rFonts w:eastAsia="Calibri" w:cs="Times New Roman"/>
                <w:b/>
                <w:bCs/>
                <w:szCs w:val="24"/>
              </w:rPr>
            </w:pPr>
            <w:r w:rsidRPr="00DA70E5">
              <w:rPr>
                <w:rFonts w:eastAsia="Calibri" w:cs="Times New Roman"/>
                <w:b/>
                <w:bCs/>
                <w:szCs w:val="24"/>
              </w:rPr>
              <w:t>Values for simulation</w:t>
            </w:r>
          </w:p>
        </w:tc>
        <w:tc>
          <w:tcPr>
            <w:tcW w:w="2254" w:type="dxa"/>
            <w:tcBorders>
              <w:top w:val="single" w:sz="4" w:space="0" w:color="auto"/>
              <w:left w:val="nil"/>
              <w:bottom w:val="single" w:sz="4" w:space="0" w:color="auto"/>
              <w:right w:val="nil"/>
            </w:tcBorders>
            <w:hideMark/>
          </w:tcPr>
          <w:p w14:paraId="3F42A0E8" w14:textId="77777777" w:rsidR="00DA70E5" w:rsidRPr="00DA70E5" w:rsidRDefault="00DA70E5" w:rsidP="00DA70E5">
            <w:pPr>
              <w:spacing w:before="0" w:after="0"/>
              <w:jc w:val="both"/>
              <w:rPr>
                <w:rFonts w:eastAsia="Calibri" w:cs="Times New Roman"/>
                <w:b/>
                <w:bCs/>
                <w:szCs w:val="24"/>
              </w:rPr>
            </w:pPr>
            <w:r w:rsidRPr="00DA70E5">
              <w:rPr>
                <w:rFonts w:eastAsia="Calibri" w:cs="Times New Roman"/>
                <w:b/>
                <w:bCs/>
                <w:szCs w:val="24"/>
              </w:rPr>
              <w:t>Source</w:t>
            </w:r>
          </w:p>
        </w:tc>
      </w:tr>
      <w:tr w:rsidR="00DA70E5" w:rsidRPr="00DA70E5" w14:paraId="119AEF56" w14:textId="77777777" w:rsidTr="00CC51AD">
        <w:trPr>
          <w:trHeight w:val="259"/>
          <w:jc w:val="center"/>
        </w:trPr>
        <w:tc>
          <w:tcPr>
            <w:tcW w:w="9484" w:type="dxa"/>
            <w:gridSpan w:val="4"/>
            <w:tcBorders>
              <w:top w:val="single" w:sz="4" w:space="0" w:color="auto"/>
              <w:left w:val="nil"/>
              <w:bottom w:val="single" w:sz="4" w:space="0" w:color="auto"/>
              <w:right w:val="nil"/>
            </w:tcBorders>
            <w:hideMark/>
          </w:tcPr>
          <w:p w14:paraId="471F29FF" w14:textId="77777777" w:rsidR="00DA70E5" w:rsidRPr="00DA70E5" w:rsidRDefault="00DA70E5" w:rsidP="00DA70E5">
            <w:pPr>
              <w:spacing w:before="0" w:after="0"/>
              <w:jc w:val="both"/>
              <w:rPr>
                <w:rFonts w:eastAsia="Calibri" w:cs="Times New Roman"/>
                <w:i/>
                <w:iCs/>
                <w:szCs w:val="24"/>
              </w:rPr>
            </w:pPr>
            <w:r w:rsidRPr="00DA70E5">
              <w:rPr>
                <w:rFonts w:eastAsia="Calibri" w:cs="Times New Roman"/>
                <w:i/>
                <w:iCs/>
                <w:szCs w:val="24"/>
              </w:rPr>
              <w:t>Profit maxing parameters</w:t>
            </w:r>
          </w:p>
        </w:tc>
      </w:tr>
      <w:tr w:rsidR="003B330A" w:rsidRPr="003B330A" w14:paraId="0687CA84" w14:textId="77777777" w:rsidTr="00CC51AD">
        <w:trPr>
          <w:trHeight w:val="143"/>
          <w:jc w:val="center"/>
        </w:trPr>
        <w:tc>
          <w:tcPr>
            <w:tcW w:w="912" w:type="dxa"/>
            <w:vMerge w:val="restart"/>
            <w:tcBorders>
              <w:top w:val="single" w:sz="4" w:space="0" w:color="auto"/>
              <w:left w:val="nil"/>
              <w:bottom w:val="single" w:sz="4" w:space="0" w:color="auto"/>
              <w:right w:val="nil"/>
            </w:tcBorders>
            <w:hideMark/>
          </w:tcPr>
          <w:p w14:paraId="7FDC6598"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Yield</w:t>
            </w:r>
          </w:p>
        </w:tc>
        <w:tc>
          <w:tcPr>
            <w:tcW w:w="2141" w:type="dxa"/>
            <w:tcBorders>
              <w:top w:val="single" w:sz="4" w:space="0" w:color="auto"/>
              <w:left w:val="nil"/>
              <w:bottom w:val="nil"/>
              <w:right w:val="nil"/>
            </w:tcBorders>
            <w:hideMark/>
          </w:tcPr>
          <w:p w14:paraId="453270A1"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Soft wheat yield</w:t>
            </w:r>
          </w:p>
        </w:tc>
        <w:tc>
          <w:tcPr>
            <w:tcW w:w="4177" w:type="dxa"/>
            <w:tcBorders>
              <w:top w:val="single" w:sz="4" w:space="0" w:color="auto"/>
              <w:left w:val="nil"/>
              <w:bottom w:val="nil"/>
              <w:right w:val="nil"/>
            </w:tcBorders>
            <w:hideMark/>
          </w:tcPr>
          <w:p w14:paraId="3B17A66F"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 xml:space="preserve">N (54 q/ha, 5.3) </w:t>
            </w:r>
          </w:p>
        </w:tc>
        <w:tc>
          <w:tcPr>
            <w:tcW w:w="2254" w:type="dxa"/>
            <w:vMerge w:val="restart"/>
            <w:tcBorders>
              <w:top w:val="single" w:sz="4" w:space="0" w:color="auto"/>
              <w:left w:val="nil"/>
              <w:right w:val="nil"/>
            </w:tcBorders>
            <w:vAlign w:val="center"/>
            <w:hideMark/>
          </w:tcPr>
          <w:p w14:paraId="5C99F37D" w14:textId="54CCD862" w:rsidR="003B330A" w:rsidRPr="003B330A" w:rsidRDefault="00B647E1" w:rsidP="00DA70E5">
            <w:pPr>
              <w:spacing w:before="0" w:after="0"/>
              <w:jc w:val="both"/>
              <w:rPr>
                <w:rFonts w:eastAsia="Calibri" w:cs="Times New Roman"/>
                <w:szCs w:val="24"/>
                <w:lang w:val="it-IT"/>
              </w:rPr>
            </w:pPr>
            <w:r>
              <w:rPr>
                <w:rFonts w:eastAsia="Calibri" w:cs="Times New Roman"/>
                <w:szCs w:val="24"/>
                <w:lang w:val="it-IT"/>
              </w:rPr>
              <w:t>(</w:t>
            </w:r>
            <w:r w:rsidR="003B330A" w:rsidRPr="003B330A">
              <w:rPr>
                <w:rFonts w:eastAsia="Calibri" w:cs="Times New Roman"/>
                <w:szCs w:val="24"/>
                <w:lang w:val="it-IT"/>
              </w:rPr>
              <w:t>RICA</w:t>
            </w:r>
            <w:r>
              <w:rPr>
                <w:rFonts w:eastAsia="Calibri" w:cs="Times New Roman"/>
                <w:szCs w:val="24"/>
                <w:lang w:val="it-IT"/>
              </w:rPr>
              <w:t xml:space="preserve">, </w:t>
            </w:r>
            <w:r w:rsidR="003B330A" w:rsidRPr="003B330A">
              <w:rPr>
                <w:rFonts w:eastAsia="Calibri" w:cs="Times New Roman"/>
                <w:szCs w:val="24"/>
                <w:lang w:val="it-IT"/>
              </w:rPr>
              <w:t>2022)</w:t>
            </w:r>
          </w:p>
          <w:p w14:paraId="1558B0EA" w14:textId="683DE984" w:rsidR="003B330A" w:rsidRPr="003B330A" w:rsidRDefault="003B330A" w:rsidP="00DA70E5">
            <w:pPr>
              <w:spacing w:before="0" w:after="0"/>
              <w:jc w:val="both"/>
              <w:rPr>
                <w:rFonts w:eastAsia="Calibri" w:cs="Times New Roman"/>
                <w:szCs w:val="24"/>
                <w:lang w:val="it-IT"/>
              </w:rPr>
            </w:pPr>
          </w:p>
        </w:tc>
      </w:tr>
      <w:tr w:rsidR="003B330A" w:rsidRPr="00DA70E5" w14:paraId="5F41F24B" w14:textId="77777777" w:rsidTr="00CC51AD">
        <w:trPr>
          <w:trHeight w:val="277"/>
          <w:jc w:val="center"/>
        </w:trPr>
        <w:tc>
          <w:tcPr>
            <w:tcW w:w="0" w:type="auto"/>
            <w:vMerge/>
            <w:tcBorders>
              <w:top w:val="single" w:sz="4" w:space="0" w:color="auto"/>
              <w:left w:val="nil"/>
              <w:bottom w:val="single" w:sz="4" w:space="0" w:color="auto"/>
              <w:right w:val="nil"/>
            </w:tcBorders>
            <w:vAlign w:val="center"/>
            <w:hideMark/>
          </w:tcPr>
          <w:p w14:paraId="2270E4B3" w14:textId="77777777" w:rsidR="003B330A" w:rsidRPr="003B330A" w:rsidRDefault="003B330A" w:rsidP="00DA70E5">
            <w:pPr>
              <w:spacing w:before="0" w:after="0"/>
              <w:rPr>
                <w:rFonts w:eastAsia="Calibri" w:cs="Times New Roman"/>
                <w:szCs w:val="24"/>
                <w:lang w:val="it-IT"/>
              </w:rPr>
            </w:pPr>
          </w:p>
        </w:tc>
        <w:tc>
          <w:tcPr>
            <w:tcW w:w="2141" w:type="dxa"/>
            <w:hideMark/>
          </w:tcPr>
          <w:p w14:paraId="60026A16"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Maize yield</w:t>
            </w:r>
          </w:p>
        </w:tc>
        <w:tc>
          <w:tcPr>
            <w:tcW w:w="4177" w:type="dxa"/>
            <w:hideMark/>
          </w:tcPr>
          <w:p w14:paraId="57ACBDA2"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(107.5 q/ha, 5.7)</w:t>
            </w:r>
          </w:p>
        </w:tc>
        <w:tc>
          <w:tcPr>
            <w:tcW w:w="2254" w:type="dxa"/>
            <w:vMerge/>
            <w:hideMark/>
          </w:tcPr>
          <w:p w14:paraId="18F3E26B" w14:textId="21C9E450" w:rsidR="003B330A" w:rsidRPr="00DA70E5" w:rsidRDefault="003B330A" w:rsidP="00DA70E5">
            <w:pPr>
              <w:spacing w:before="0" w:after="0"/>
              <w:jc w:val="both"/>
              <w:rPr>
                <w:rFonts w:eastAsia="Calibri" w:cs="Times New Roman"/>
                <w:szCs w:val="24"/>
              </w:rPr>
            </w:pPr>
          </w:p>
        </w:tc>
      </w:tr>
      <w:tr w:rsidR="003B330A" w:rsidRPr="00DA70E5" w14:paraId="09C31149"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7FF915C3" w14:textId="77777777" w:rsidR="003B330A" w:rsidRPr="00DA70E5" w:rsidRDefault="003B330A" w:rsidP="00DA70E5">
            <w:pPr>
              <w:spacing w:before="0" w:after="0"/>
              <w:rPr>
                <w:rFonts w:eastAsia="Calibri" w:cs="Times New Roman"/>
                <w:szCs w:val="24"/>
              </w:rPr>
            </w:pPr>
          </w:p>
        </w:tc>
        <w:tc>
          <w:tcPr>
            <w:tcW w:w="2141" w:type="dxa"/>
            <w:hideMark/>
          </w:tcPr>
          <w:p w14:paraId="11C4D6F9"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Barley yield</w:t>
            </w:r>
          </w:p>
        </w:tc>
        <w:tc>
          <w:tcPr>
            <w:tcW w:w="4177" w:type="dxa"/>
            <w:hideMark/>
          </w:tcPr>
          <w:p w14:paraId="4777CF1F"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(40.3 q/ha, 1.4)</w:t>
            </w:r>
          </w:p>
        </w:tc>
        <w:tc>
          <w:tcPr>
            <w:tcW w:w="2254" w:type="dxa"/>
            <w:vMerge/>
            <w:hideMark/>
          </w:tcPr>
          <w:p w14:paraId="5A51A8BC" w14:textId="07EE216C" w:rsidR="003B330A" w:rsidRPr="00DA70E5" w:rsidRDefault="003B330A" w:rsidP="00DA70E5">
            <w:pPr>
              <w:spacing w:before="0" w:after="0"/>
              <w:jc w:val="both"/>
              <w:rPr>
                <w:rFonts w:eastAsia="Calibri" w:cs="Times New Roman"/>
                <w:szCs w:val="24"/>
              </w:rPr>
            </w:pPr>
          </w:p>
        </w:tc>
      </w:tr>
      <w:tr w:rsidR="003B330A" w:rsidRPr="00DA70E5" w14:paraId="04E2B97B" w14:textId="77777777" w:rsidTr="00CC51AD">
        <w:trPr>
          <w:trHeight w:val="277"/>
          <w:jc w:val="center"/>
        </w:trPr>
        <w:tc>
          <w:tcPr>
            <w:tcW w:w="0" w:type="auto"/>
            <w:vMerge/>
            <w:tcBorders>
              <w:top w:val="single" w:sz="4" w:space="0" w:color="auto"/>
              <w:left w:val="nil"/>
              <w:bottom w:val="single" w:sz="4" w:space="0" w:color="auto"/>
              <w:right w:val="nil"/>
            </w:tcBorders>
            <w:vAlign w:val="center"/>
            <w:hideMark/>
          </w:tcPr>
          <w:p w14:paraId="1B7AE0F5" w14:textId="77777777" w:rsidR="003B330A" w:rsidRPr="00DA70E5" w:rsidRDefault="003B330A" w:rsidP="00DA70E5">
            <w:pPr>
              <w:spacing w:before="0" w:after="0"/>
              <w:rPr>
                <w:rFonts w:eastAsia="Calibri" w:cs="Times New Roman"/>
                <w:szCs w:val="24"/>
              </w:rPr>
            </w:pPr>
          </w:p>
        </w:tc>
        <w:tc>
          <w:tcPr>
            <w:tcW w:w="2141" w:type="dxa"/>
            <w:hideMark/>
          </w:tcPr>
          <w:p w14:paraId="5414DCC3"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Soybean yield</w:t>
            </w:r>
          </w:p>
        </w:tc>
        <w:tc>
          <w:tcPr>
            <w:tcW w:w="4177" w:type="dxa"/>
            <w:hideMark/>
          </w:tcPr>
          <w:p w14:paraId="3F6602CD"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(35.3 q/ha, 1.9)</w:t>
            </w:r>
          </w:p>
        </w:tc>
        <w:tc>
          <w:tcPr>
            <w:tcW w:w="2254" w:type="dxa"/>
            <w:vMerge/>
            <w:hideMark/>
          </w:tcPr>
          <w:p w14:paraId="478643C5" w14:textId="40BCD4C9" w:rsidR="003B330A" w:rsidRPr="00DA70E5" w:rsidRDefault="003B330A" w:rsidP="00DA70E5">
            <w:pPr>
              <w:spacing w:before="0" w:after="0"/>
              <w:jc w:val="both"/>
              <w:rPr>
                <w:rFonts w:eastAsia="Calibri" w:cs="Times New Roman"/>
                <w:szCs w:val="24"/>
              </w:rPr>
            </w:pPr>
          </w:p>
        </w:tc>
      </w:tr>
      <w:tr w:rsidR="003B330A" w:rsidRPr="00DA70E5" w14:paraId="5C43EA73"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08F26028" w14:textId="77777777" w:rsidR="003B330A" w:rsidRPr="00DA70E5" w:rsidRDefault="003B330A" w:rsidP="00DA70E5">
            <w:pPr>
              <w:spacing w:before="0" w:after="0"/>
              <w:rPr>
                <w:rFonts w:eastAsia="Calibri" w:cs="Times New Roman"/>
                <w:szCs w:val="24"/>
              </w:rPr>
            </w:pPr>
          </w:p>
        </w:tc>
        <w:tc>
          <w:tcPr>
            <w:tcW w:w="2141" w:type="dxa"/>
            <w:tcBorders>
              <w:top w:val="nil"/>
              <w:left w:val="nil"/>
              <w:bottom w:val="single" w:sz="4" w:space="0" w:color="auto"/>
              <w:right w:val="nil"/>
            </w:tcBorders>
            <w:hideMark/>
          </w:tcPr>
          <w:p w14:paraId="555F820C"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Buckwheat yield</w:t>
            </w:r>
          </w:p>
        </w:tc>
        <w:tc>
          <w:tcPr>
            <w:tcW w:w="4177" w:type="dxa"/>
            <w:tcBorders>
              <w:top w:val="nil"/>
              <w:left w:val="nil"/>
              <w:bottom w:val="single" w:sz="4" w:space="0" w:color="auto"/>
              <w:right w:val="nil"/>
            </w:tcBorders>
            <w:hideMark/>
          </w:tcPr>
          <w:p w14:paraId="4C0CE3F2"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8 q/ha 15 q/ha 37 q/ha</w:t>
            </w:r>
          </w:p>
        </w:tc>
        <w:tc>
          <w:tcPr>
            <w:tcW w:w="2254" w:type="dxa"/>
            <w:vMerge/>
            <w:tcBorders>
              <w:left w:val="nil"/>
              <w:right w:val="nil"/>
            </w:tcBorders>
            <w:hideMark/>
          </w:tcPr>
          <w:p w14:paraId="25918FBC" w14:textId="00827C8A" w:rsidR="003B330A" w:rsidRPr="00DA70E5" w:rsidRDefault="003B330A" w:rsidP="00DA70E5">
            <w:pPr>
              <w:spacing w:before="0" w:after="0"/>
              <w:jc w:val="both"/>
              <w:rPr>
                <w:rFonts w:eastAsia="Calibri" w:cs="Times New Roman"/>
                <w:szCs w:val="24"/>
              </w:rPr>
            </w:pPr>
          </w:p>
        </w:tc>
      </w:tr>
      <w:tr w:rsidR="003B330A" w:rsidRPr="00DA70E5" w14:paraId="7DBE14BE" w14:textId="77777777" w:rsidTr="00CC51AD">
        <w:trPr>
          <w:trHeight w:val="265"/>
          <w:jc w:val="center"/>
        </w:trPr>
        <w:tc>
          <w:tcPr>
            <w:tcW w:w="912" w:type="dxa"/>
            <w:vMerge w:val="restart"/>
            <w:tcBorders>
              <w:top w:val="single" w:sz="4" w:space="0" w:color="auto"/>
              <w:left w:val="nil"/>
              <w:bottom w:val="single" w:sz="4" w:space="0" w:color="auto"/>
              <w:right w:val="nil"/>
            </w:tcBorders>
            <w:hideMark/>
          </w:tcPr>
          <w:p w14:paraId="34861EBC"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Price</w:t>
            </w:r>
          </w:p>
        </w:tc>
        <w:tc>
          <w:tcPr>
            <w:tcW w:w="2141" w:type="dxa"/>
            <w:tcBorders>
              <w:top w:val="single" w:sz="4" w:space="0" w:color="auto"/>
              <w:left w:val="nil"/>
              <w:bottom w:val="nil"/>
              <w:right w:val="nil"/>
            </w:tcBorders>
            <w:hideMark/>
          </w:tcPr>
          <w:p w14:paraId="1855EDC9"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Soft wheat price</w:t>
            </w:r>
          </w:p>
        </w:tc>
        <w:tc>
          <w:tcPr>
            <w:tcW w:w="4177" w:type="dxa"/>
            <w:tcBorders>
              <w:top w:val="single" w:sz="4" w:space="0" w:color="auto"/>
              <w:left w:val="nil"/>
              <w:bottom w:val="nil"/>
              <w:right w:val="nil"/>
            </w:tcBorders>
            <w:hideMark/>
          </w:tcPr>
          <w:p w14:paraId="3390098B"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 xml:space="preserve">N (€21.8/q, 4.1) </w:t>
            </w:r>
          </w:p>
        </w:tc>
        <w:tc>
          <w:tcPr>
            <w:tcW w:w="2254" w:type="dxa"/>
            <w:vMerge/>
            <w:tcBorders>
              <w:left w:val="nil"/>
              <w:right w:val="nil"/>
            </w:tcBorders>
            <w:hideMark/>
          </w:tcPr>
          <w:p w14:paraId="37CAE4F3" w14:textId="7C9E46F8" w:rsidR="003B330A" w:rsidRPr="00DA70E5" w:rsidRDefault="003B330A" w:rsidP="00DA70E5">
            <w:pPr>
              <w:spacing w:before="0" w:after="0"/>
              <w:jc w:val="both"/>
              <w:rPr>
                <w:rFonts w:eastAsia="Calibri" w:cs="Times New Roman"/>
                <w:szCs w:val="24"/>
              </w:rPr>
            </w:pPr>
          </w:p>
        </w:tc>
      </w:tr>
      <w:tr w:rsidR="003B330A" w:rsidRPr="00DA70E5" w14:paraId="2DEC0D66"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002EAE65" w14:textId="77777777" w:rsidR="003B330A" w:rsidRPr="00DA70E5" w:rsidRDefault="003B330A" w:rsidP="00DA70E5">
            <w:pPr>
              <w:spacing w:before="0" w:after="0"/>
              <w:rPr>
                <w:rFonts w:eastAsia="Calibri" w:cs="Times New Roman"/>
                <w:szCs w:val="24"/>
              </w:rPr>
            </w:pPr>
          </w:p>
        </w:tc>
        <w:tc>
          <w:tcPr>
            <w:tcW w:w="2141" w:type="dxa"/>
            <w:hideMark/>
          </w:tcPr>
          <w:p w14:paraId="19E5056D"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Maize price</w:t>
            </w:r>
          </w:p>
        </w:tc>
        <w:tc>
          <w:tcPr>
            <w:tcW w:w="4177" w:type="dxa"/>
            <w:hideMark/>
          </w:tcPr>
          <w:p w14:paraId="020DEAF0"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(€19.2/q, 4.04)</w:t>
            </w:r>
          </w:p>
        </w:tc>
        <w:tc>
          <w:tcPr>
            <w:tcW w:w="2254" w:type="dxa"/>
            <w:vMerge/>
            <w:hideMark/>
          </w:tcPr>
          <w:p w14:paraId="6AFAADD7" w14:textId="0D5F3733" w:rsidR="003B330A" w:rsidRPr="00DA70E5" w:rsidRDefault="003B330A" w:rsidP="00DA70E5">
            <w:pPr>
              <w:spacing w:before="0" w:after="0"/>
              <w:jc w:val="both"/>
              <w:rPr>
                <w:rFonts w:eastAsia="Calibri" w:cs="Times New Roman"/>
                <w:szCs w:val="24"/>
              </w:rPr>
            </w:pPr>
          </w:p>
        </w:tc>
      </w:tr>
      <w:tr w:rsidR="003B330A" w:rsidRPr="00DA70E5" w14:paraId="449C2AC6"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53CABB39" w14:textId="77777777" w:rsidR="003B330A" w:rsidRPr="00DA70E5" w:rsidRDefault="003B330A" w:rsidP="00DA70E5">
            <w:pPr>
              <w:spacing w:before="0" w:after="0"/>
              <w:rPr>
                <w:rFonts w:eastAsia="Calibri" w:cs="Times New Roman"/>
                <w:szCs w:val="24"/>
              </w:rPr>
            </w:pPr>
          </w:p>
        </w:tc>
        <w:tc>
          <w:tcPr>
            <w:tcW w:w="2141" w:type="dxa"/>
            <w:hideMark/>
          </w:tcPr>
          <w:p w14:paraId="237D6A40"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Barley price</w:t>
            </w:r>
          </w:p>
        </w:tc>
        <w:tc>
          <w:tcPr>
            <w:tcW w:w="4177" w:type="dxa"/>
            <w:hideMark/>
          </w:tcPr>
          <w:p w14:paraId="1D61EC59"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(€20/q, 3.1)</w:t>
            </w:r>
          </w:p>
        </w:tc>
        <w:tc>
          <w:tcPr>
            <w:tcW w:w="2254" w:type="dxa"/>
            <w:vMerge/>
            <w:hideMark/>
          </w:tcPr>
          <w:p w14:paraId="50B4D6AA" w14:textId="544BE520" w:rsidR="003B330A" w:rsidRPr="00DA70E5" w:rsidRDefault="003B330A" w:rsidP="00DA70E5">
            <w:pPr>
              <w:spacing w:before="0" w:after="0"/>
              <w:jc w:val="both"/>
              <w:rPr>
                <w:rFonts w:eastAsia="Calibri" w:cs="Times New Roman"/>
                <w:szCs w:val="24"/>
              </w:rPr>
            </w:pPr>
          </w:p>
        </w:tc>
      </w:tr>
      <w:tr w:rsidR="003B330A" w:rsidRPr="00DA70E5" w14:paraId="53FA6C36" w14:textId="77777777" w:rsidTr="00CC51AD">
        <w:trPr>
          <w:trHeight w:val="277"/>
          <w:jc w:val="center"/>
        </w:trPr>
        <w:tc>
          <w:tcPr>
            <w:tcW w:w="0" w:type="auto"/>
            <w:vMerge/>
            <w:tcBorders>
              <w:top w:val="single" w:sz="4" w:space="0" w:color="auto"/>
              <w:left w:val="nil"/>
              <w:bottom w:val="single" w:sz="4" w:space="0" w:color="auto"/>
              <w:right w:val="nil"/>
            </w:tcBorders>
            <w:vAlign w:val="center"/>
            <w:hideMark/>
          </w:tcPr>
          <w:p w14:paraId="3621C0CD" w14:textId="77777777" w:rsidR="003B330A" w:rsidRPr="00DA70E5" w:rsidRDefault="003B330A" w:rsidP="00DA70E5">
            <w:pPr>
              <w:spacing w:before="0" w:after="0"/>
              <w:rPr>
                <w:rFonts w:eastAsia="Calibri" w:cs="Times New Roman"/>
                <w:szCs w:val="24"/>
              </w:rPr>
            </w:pPr>
          </w:p>
        </w:tc>
        <w:tc>
          <w:tcPr>
            <w:tcW w:w="2141" w:type="dxa"/>
            <w:hideMark/>
          </w:tcPr>
          <w:p w14:paraId="47EE4E44"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Soybean price</w:t>
            </w:r>
          </w:p>
        </w:tc>
        <w:tc>
          <w:tcPr>
            <w:tcW w:w="4177" w:type="dxa"/>
            <w:hideMark/>
          </w:tcPr>
          <w:p w14:paraId="1C3D5FB8"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(€39/q, 6.1)</w:t>
            </w:r>
          </w:p>
        </w:tc>
        <w:tc>
          <w:tcPr>
            <w:tcW w:w="2254" w:type="dxa"/>
            <w:vMerge/>
            <w:hideMark/>
          </w:tcPr>
          <w:p w14:paraId="798DE796" w14:textId="60C95EB2" w:rsidR="003B330A" w:rsidRPr="00DA70E5" w:rsidRDefault="003B330A" w:rsidP="00DA70E5">
            <w:pPr>
              <w:spacing w:before="0" w:after="0"/>
              <w:jc w:val="both"/>
              <w:rPr>
                <w:rFonts w:eastAsia="Calibri" w:cs="Times New Roman"/>
                <w:szCs w:val="24"/>
              </w:rPr>
            </w:pPr>
          </w:p>
        </w:tc>
      </w:tr>
      <w:tr w:rsidR="003B330A" w:rsidRPr="00DA70E5" w14:paraId="77DC1E42"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4916443C" w14:textId="77777777" w:rsidR="003B330A" w:rsidRPr="00DA70E5" w:rsidRDefault="003B330A" w:rsidP="00DA70E5">
            <w:pPr>
              <w:spacing w:before="0" w:after="0"/>
              <w:rPr>
                <w:rFonts w:eastAsia="Calibri" w:cs="Times New Roman"/>
                <w:szCs w:val="24"/>
              </w:rPr>
            </w:pPr>
          </w:p>
        </w:tc>
        <w:tc>
          <w:tcPr>
            <w:tcW w:w="2141" w:type="dxa"/>
            <w:tcBorders>
              <w:top w:val="nil"/>
              <w:left w:val="nil"/>
              <w:bottom w:val="single" w:sz="4" w:space="0" w:color="auto"/>
              <w:right w:val="nil"/>
            </w:tcBorders>
            <w:hideMark/>
          </w:tcPr>
          <w:p w14:paraId="76448BDC"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Buckwheat price</w:t>
            </w:r>
          </w:p>
        </w:tc>
        <w:tc>
          <w:tcPr>
            <w:tcW w:w="4177" w:type="dxa"/>
            <w:tcBorders>
              <w:top w:val="nil"/>
              <w:left w:val="nil"/>
              <w:bottom w:val="single" w:sz="4" w:space="0" w:color="auto"/>
              <w:right w:val="nil"/>
            </w:tcBorders>
            <w:hideMark/>
          </w:tcPr>
          <w:p w14:paraId="3EB65D80"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 xml:space="preserve">€25/q €45/q €65/q €85/q €100/q €125/q </w:t>
            </w:r>
          </w:p>
        </w:tc>
        <w:tc>
          <w:tcPr>
            <w:tcW w:w="2254" w:type="dxa"/>
            <w:vMerge/>
            <w:tcBorders>
              <w:left w:val="nil"/>
              <w:right w:val="nil"/>
            </w:tcBorders>
            <w:hideMark/>
          </w:tcPr>
          <w:p w14:paraId="752DC499" w14:textId="75FD6996" w:rsidR="003B330A" w:rsidRPr="00DA70E5" w:rsidRDefault="003B330A" w:rsidP="00DA70E5">
            <w:pPr>
              <w:spacing w:before="0" w:after="0"/>
              <w:jc w:val="both"/>
              <w:rPr>
                <w:rFonts w:eastAsia="Calibri" w:cs="Times New Roman"/>
                <w:szCs w:val="24"/>
              </w:rPr>
            </w:pPr>
          </w:p>
        </w:tc>
      </w:tr>
      <w:tr w:rsidR="003B330A" w:rsidRPr="00DA70E5" w14:paraId="351ADFB0" w14:textId="77777777" w:rsidTr="00CC51AD">
        <w:trPr>
          <w:trHeight w:val="265"/>
          <w:jc w:val="center"/>
        </w:trPr>
        <w:tc>
          <w:tcPr>
            <w:tcW w:w="912" w:type="dxa"/>
            <w:vMerge w:val="restart"/>
            <w:tcBorders>
              <w:top w:val="single" w:sz="4" w:space="0" w:color="auto"/>
              <w:left w:val="nil"/>
              <w:bottom w:val="single" w:sz="4" w:space="0" w:color="auto"/>
              <w:right w:val="nil"/>
            </w:tcBorders>
            <w:hideMark/>
          </w:tcPr>
          <w:p w14:paraId="5281D3C5"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Cost</w:t>
            </w:r>
          </w:p>
        </w:tc>
        <w:tc>
          <w:tcPr>
            <w:tcW w:w="2141" w:type="dxa"/>
            <w:tcBorders>
              <w:top w:val="single" w:sz="4" w:space="0" w:color="auto"/>
              <w:left w:val="nil"/>
              <w:bottom w:val="nil"/>
              <w:right w:val="nil"/>
            </w:tcBorders>
            <w:hideMark/>
          </w:tcPr>
          <w:p w14:paraId="59A607E7"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Soft wheat cost</w:t>
            </w:r>
          </w:p>
        </w:tc>
        <w:tc>
          <w:tcPr>
            <w:tcW w:w="4177" w:type="dxa"/>
            <w:tcBorders>
              <w:top w:val="single" w:sz="4" w:space="0" w:color="auto"/>
              <w:left w:val="nil"/>
              <w:bottom w:val="nil"/>
              <w:right w:val="nil"/>
            </w:tcBorders>
            <w:hideMark/>
          </w:tcPr>
          <w:p w14:paraId="518A12DE"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 xml:space="preserve">N (€509.7/ha, 61.2) </w:t>
            </w:r>
          </w:p>
        </w:tc>
        <w:tc>
          <w:tcPr>
            <w:tcW w:w="2254" w:type="dxa"/>
            <w:vMerge/>
            <w:tcBorders>
              <w:left w:val="nil"/>
              <w:right w:val="nil"/>
            </w:tcBorders>
            <w:hideMark/>
          </w:tcPr>
          <w:p w14:paraId="3902A258" w14:textId="40BA2EDA" w:rsidR="003B330A" w:rsidRPr="00DA70E5" w:rsidRDefault="003B330A" w:rsidP="00DA70E5">
            <w:pPr>
              <w:spacing w:before="0" w:after="0"/>
              <w:jc w:val="both"/>
              <w:rPr>
                <w:rFonts w:eastAsia="Calibri" w:cs="Times New Roman"/>
                <w:szCs w:val="24"/>
              </w:rPr>
            </w:pPr>
          </w:p>
        </w:tc>
      </w:tr>
      <w:tr w:rsidR="003B330A" w:rsidRPr="00DA70E5" w14:paraId="1E467FCA"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630434FB" w14:textId="77777777" w:rsidR="003B330A" w:rsidRPr="00DA70E5" w:rsidRDefault="003B330A" w:rsidP="00DA70E5">
            <w:pPr>
              <w:spacing w:before="0" w:after="0"/>
              <w:rPr>
                <w:rFonts w:eastAsia="Calibri" w:cs="Times New Roman"/>
                <w:szCs w:val="24"/>
              </w:rPr>
            </w:pPr>
          </w:p>
        </w:tc>
        <w:tc>
          <w:tcPr>
            <w:tcW w:w="2141" w:type="dxa"/>
            <w:hideMark/>
          </w:tcPr>
          <w:p w14:paraId="33717D6A"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Maize cost</w:t>
            </w:r>
          </w:p>
        </w:tc>
        <w:tc>
          <w:tcPr>
            <w:tcW w:w="4177" w:type="dxa"/>
            <w:hideMark/>
          </w:tcPr>
          <w:p w14:paraId="23E52B7E"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(€840.5/ha, 124.4)</w:t>
            </w:r>
          </w:p>
        </w:tc>
        <w:tc>
          <w:tcPr>
            <w:tcW w:w="2254" w:type="dxa"/>
            <w:vMerge/>
            <w:hideMark/>
          </w:tcPr>
          <w:p w14:paraId="29C24E67" w14:textId="36EA4977" w:rsidR="003B330A" w:rsidRPr="00DA70E5" w:rsidRDefault="003B330A" w:rsidP="00DA70E5">
            <w:pPr>
              <w:spacing w:before="0" w:after="0"/>
              <w:jc w:val="both"/>
              <w:rPr>
                <w:rFonts w:eastAsia="Calibri" w:cs="Times New Roman"/>
                <w:szCs w:val="24"/>
              </w:rPr>
            </w:pPr>
          </w:p>
        </w:tc>
      </w:tr>
      <w:tr w:rsidR="003B330A" w:rsidRPr="00DA70E5" w14:paraId="7AC81866" w14:textId="77777777" w:rsidTr="00CC51AD">
        <w:trPr>
          <w:trHeight w:val="277"/>
          <w:jc w:val="center"/>
        </w:trPr>
        <w:tc>
          <w:tcPr>
            <w:tcW w:w="0" w:type="auto"/>
            <w:vMerge/>
            <w:tcBorders>
              <w:top w:val="single" w:sz="4" w:space="0" w:color="auto"/>
              <w:left w:val="nil"/>
              <w:bottom w:val="single" w:sz="4" w:space="0" w:color="auto"/>
              <w:right w:val="nil"/>
            </w:tcBorders>
            <w:vAlign w:val="center"/>
            <w:hideMark/>
          </w:tcPr>
          <w:p w14:paraId="11A12EF8" w14:textId="77777777" w:rsidR="003B330A" w:rsidRPr="00DA70E5" w:rsidRDefault="003B330A" w:rsidP="00DA70E5">
            <w:pPr>
              <w:spacing w:before="0" w:after="0"/>
              <w:rPr>
                <w:rFonts w:eastAsia="Calibri" w:cs="Times New Roman"/>
                <w:szCs w:val="24"/>
              </w:rPr>
            </w:pPr>
          </w:p>
        </w:tc>
        <w:tc>
          <w:tcPr>
            <w:tcW w:w="2141" w:type="dxa"/>
            <w:hideMark/>
          </w:tcPr>
          <w:p w14:paraId="6F93979D"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Barley cost</w:t>
            </w:r>
          </w:p>
        </w:tc>
        <w:tc>
          <w:tcPr>
            <w:tcW w:w="4177" w:type="dxa"/>
            <w:hideMark/>
          </w:tcPr>
          <w:p w14:paraId="0C2C52BB"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(€337.9/ha, 44.2)</w:t>
            </w:r>
          </w:p>
        </w:tc>
        <w:tc>
          <w:tcPr>
            <w:tcW w:w="2254" w:type="dxa"/>
            <w:vMerge/>
            <w:hideMark/>
          </w:tcPr>
          <w:p w14:paraId="1B6E8A9B" w14:textId="126836C1" w:rsidR="003B330A" w:rsidRPr="00DA70E5" w:rsidRDefault="003B330A" w:rsidP="00DA70E5">
            <w:pPr>
              <w:spacing w:before="0" w:after="0"/>
              <w:jc w:val="both"/>
              <w:rPr>
                <w:rFonts w:eastAsia="Calibri" w:cs="Times New Roman"/>
                <w:szCs w:val="24"/>
              </w:rPr>
            </w:pPr>
          </w:p>
        </w:tc>
      </w:tr>
      <w:tr w:rsidR="003B330A" w:rsidRPr="00DA70E5" w14:paraId="41048C9B" w14:textId="77777777" w:rsidTr="00CC51AD">
        <w:trPr>
          <w:trHeight w:val="265"/>
          <w:jc w:val="center"/>
        </w:trPr>
        <w:tc>
          <w:tcPr>
            <w:tcW w:w="0" w:type="auto"/>
            <w:vMerge/>
            <w:tcBorders>
              <w:top w:val="single" w:sz="4" w:space="0" w:color="auto"/>
              <w:left w:val="nil"/>
              <w:bottom w:val="single" w:sz="4" w:space="0" w:color="auto"/>
              <w:right w:val="nil"/>
            </w:tcBorders>
            <w:vAlign w:val="center"/>
            <w:hideMark/>
          </w:tcPr>
          <w:p w14:paraId="695CF4D1" w14:textId="77777777" w:rsidR="003B330A" w:rsidRPr="00DA70E5" w:rsidRDefault="003B330A" w:rsidP="00DA70E5">
            <w:pPr>
              <w:spacing w:before="0" w:after="0"/>
              <w:rPr>
                <w:rFonts w:eastAsia="Calibri" w:cs="Times New Roman"/>
                <w:szCs w:val="24"/>
              </w:rPr>
            </w:pPr>
          </w:p>
        </w:tc>
        <w:tc>
          <w:tcPr>
            <w:tcW w:w="2141" w:type="dxa"/>
            <w:hideMark/>
          </w:tcPr>
          <w:p w14:paraId="2E28E831"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Soybean cost</w:t>
            </w:r>
          </w:p>
        </w:tc>
        <w:tc>
          <w:tcPr>
            <w:tcW w:w="4177" w:type="dxa"/>
            <w:hideMark/>
          </w:tcPr>
          <w:p w14:paraId="726079B6"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N (€564/ha, 53.4)</w:t>
            </w:r>
          </w:p>
        </w:tc>
        <w:tc>
          <w:tcPr>
            <w:tcW w:w="2254" w:type="dxa"/>
            <w:vMerge/>
            <w:hideMark/>
          </w:tcPr>
          <w:p w14:paraId="7A2A3A1E" w14:textId="0228E0B4" w:rsidR="003B330A" w:rsidRPr="00DA70E5" w:rsidRDefault="003B330A" w:rsidP="00DA70E5">
            <w:pPr>
              <w:spacing w:before="0" w:after="0"/>
              <w:jc w:val="both"/>
              <w:rPr>
                <w:rFonts w:eastAsia="Calibri" w:cs="Times New Roman"/>
                <w:szCs w:val="24"/>
              </w:rPr>
            </w:pPr>
          </w:p>
        </w:tc>
      </w:tr>
      <w:tr w:rsidR="003B330A" w:rsidRPr="00DA70E5" w14:paraId="317A8B0F" w14:textId="77777777" w:rsidTr="00CC51AD">
        <w:trPr>
          <w:trHeight w:val="277"/>
          <w:jc w:val="center"/>
        </w:trPr>
        <w:tc>
          <w:tcPr>
            <w:tcW w:w="0" w:type="auto"/>
            <w:vMerge/>
            <w:tcBorders>
              <w:top w:val="single" w:sz="4" w:space="0" w:color="auto"/>
              <w:left w:val="nil"/>
              <w:bottom w:val="single" w:sz="4" w:space="0" w:color="auto"/>
              <w:right w:val="nil"/>
            </w:tcBorders>
            <w:vAlign w:val="center"/>
            <w:hideMark/>
          </w:tcPr>
          <w:p w14:paraId="6692EBF3" w14:textId="77777777" w:rsidR="003B330A" w:rsidRPr="00DA70E5" w:rsidRDefault="003B330A" w:rsidP="00DA70E5">
            <w:pPr>
              <w:spacing w:before="0" w:after="0"/>
              <w:rPr>
                <w:rFonts w:eastAsia="Calibri" w:cs="Times New Roman"/>
                <w:szCs w:val="24"/>
              </w:rPr>
            </w:pPr>
          </w:p>
        </w:tc>
        <w:tc>
          <w:tcPr>
            <w:tcW w:w="2141" w:type="dxa"/>
            <w:tcBorders>
              <w:top w:val="nil"/>
              <w:left w:val="nil"/>
              <w:bottom w:val="single" w:sz="4" w:space="0" w:color="auto"/>
              <w:right w:val="nil"/>
            </w:tcBorders>
            <w:hideMark/>
          </w:tcPr>
          <w:p w14:paraId="2D72BAB8"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Buckwheat cost</w:t>
            </w:r>
          </w:p>
        </w:tc>
        <w:tc>
          <w:tcPr>
            <w:tcW w:w="4177" w:type="dxa"/>
            <w:tcBorders>
              <w:top w:val="nil"/>
              <w:left w:val="nil"/>
              <w:bottom w:val="single" w:sz="4" w:space="0" w:color="auto"/>
              <w:right w:val="nil"/>
            </w:tcBorders>
            <w:hideMark/>
          </w:tcPr>
          <w:p w14:paraId="2571FED6" w14:textId="77777777" w:rsidR="003B330A" w:rsidRPr="00DA70E5" w:rsidRDefault="003B330A" w:rsidP="00DA70E5">
            <w:pPr>
              <w:spacing w:before="0" w:after="0"/>
              <w:jc w:val="both"/>
              <w:rPr>
                <w:rFonts w:eastAsia="Calibri" w:cs="Times New Roman"/>
                <w:szCs w:val="24"/>
              </w:rPr>
            </w:pPr>
            <w:r w:rsidRPr="00DA70E5">
              <w:rPr>
                <w:rFonts w:eastAsia="Calibri" w:cs="Times New Roman"/>
                <w:szCs w:val="24"/>
              </w:rPr>
              <w:t xml:space="preserve">€200/ha  €350/ha  €500/ha </w:t>
            </w:r>
          </w:p>
        </w:tc>
        <w:tc>
          <w:tcPr>
            <w:tcW w:w="2254" w:type="dxa"/>
            <w:vMerge/>
            <w:tcBorders>
              <w:left w:val="nil"/>
              <w:bottom w:val="single" w:sz="4" w:space="0" w:color="auto"/>
              <w:right w:val="nil"/>
            </w:tcBorders>
            <w:hideMark/>
          </w:tcPr>
          <w:p w14:paraId="214A10FD" w14:textId="32614744" w:rsidR="003B330A" w:rsidRPr="00DA70E5" w:rsidRDefault="003B330A" w:rsidP="00DA70E5">
            <w:pPr>
              <w:spacing w:before="0" w:after="0"/>
              <w:jc w:val="both"/>
              <w:rPr>
                <w:rFonts w:eastAsia="Calibri" w:cs="Times New Roman"/>
                <w:szCs w:val="24"/>
              </w:rPr>
            </w:pPr>
          </w:p>
        </w:tc>
      </w:tr>
      <w:tr w:rsidR="00DA70E5" w:rsidRPr="00DA70E5" w14:paraId="2DF797A5" w14:textId="77777777" w:rsidTr="00CC51AD">
        <w:trPr>
          <w:trHeight w:val="1034"/>
          <w:jc w:val="center"/>
        </w:trPr>
        <w:tc>
          <w:tcPr>
            <w:tcW w:w="3053" w:type="dxa"/>
            <w:gridSpan w:val="2"/>
            <w:tcBorders>
              <w:top w:val="single" w:sz="4" w:space="0" w:color="auto"/>
              <w:left w:val="nil"/>
              <w:bottom w:val="single" w:sz="4" w:space="0" w:color="auto"/>
              <w:right w:val="nil"/>
            </w:tcBorders>
            <w:hideMark/>
          </w:tcPr>
          <w:p w14:paraId="45358D6C"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Annual discount rate</w:t>
            </w:r>
          </w:p>
        </w:tc>
        <w:tc>
          <w:tcPr>
            <w:tcW w:w="4177" w:type="dxa"/>
            <w:tcBorders>
              <w:top w:val="single" w:sz="4" w:space="0" w:color="auto"/>
              <w:left w:val="nil"/>
              <w:bottom w:val="single" w:sz="4" w:space="0" w:color="auto"/>
              <w:right w:val="nil"/>
            </w:tcBorders>
            <w:hideMark/>
          </w:tcPr>
          <w:p w14:paraId="327F534F"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6%</w:t>
            </w:r>
          </w:p>
        </w:tc>
        <w:tc>
          <w:tcPr>
            <w:tcW w:w="2254" w:type="dxa"/>
            <w:tcBorders>
              <w:top w:val="single" w:sz="4" w:space="0" w:color="auto"/>
              <w:left w:val="nil"/>
              <w:bottom w:val="single" w:sz="4" w:space="0" w:color="auto"/>
              <w:right w:val="nil"/>
            </w:tcBorders>
            <w:hideMark/>
          </w:tcPr>
          <w:p w14:paraId="59ABC6D4" w14:textId="1BBBBAC1" w:rsidR="00DA70E5" w:rsidRPr="00DA70E5" w:rsidRDefault="00DA70E5" w:rsidP="00DA70E5">
            <w:pPr>
              <w:spacing w:before="0" w:after="0"/>
              <w:jc w:val="both"/>
              <w:rPr>
                <w:rFonts w:eastAsia="Calibri" w:cs="Times New Roman"/>
                <w:szCs w:val="24"/>
              </w:rPr>
            </w:pPr>
            <w:r w:rsidRPr="00DA70E5">
              <w:rPr>
                <w:rFonts w:eastAsia="Calibri" w:cs="Times New Roman"/>
                <w:szCs w:val="24"/>
                <w:lang w:val="it-IT"/>
              </w:rPr>
              <w:fldChar w:fldCharType="begin"/>
            </w:r>
            <w:r w:rsidRPr="00DA70E5">
              <w:rPr>
                <w:rFonts w:eastAsia="Calibri" w:cs="Times New Roman"/>
                <w:szCs w:val="24"/>
              </w:rPr>
              <w:instrText xml:space="preserve"> ADDIN ZOTERO_ITEM CSL_CITATION {"citationID":"9xONN2ne","properties":{"formattedCitation":"(Upadhaya and Dwivedi, 2019; Ullah and Crooks, 2022)","plainCitation":"(Upadhaya and Dwivedi, 2019; Ullah and Crooks, 2022)","noteIndex":0},"citationItems":[{"id":798,"uris":["http://zotero.org/users/9003255/items/UF33F6TE"],"itemData":{"id":798,"type":"chapter","abstract":"The use of fossil fuels is the primary source of greenhouse gas emissions but there are alternatives to these especially in the form of biofuels, fuels derived from bioenergy crops. This paper aims to determine farmers’ potential adoption rates of newly introduced bioenergy crops with a specific example of carinata in the state of Georgia. The determination is done using an agent-based modeling technique with two principal assumptions – farmers are profit maximizer and they are influenced by neighboring farmers. Two diffusion parameters (traditional and expansion) are followed along with two willingness (high and low) scenarios to switch at varying production economics to carinata and other prominent traditional field crops (cotton, peanuts, corn) in the study region. The paper finds that a contract prices around $9, $8 and $7 can be a viable option for encouraging farmers to adopt carinata in low, average, and high profit conditions, respectively. Expansion diffusion (that diffuses all over the geographical area), rather than centered to the few places like traditional diffusion at the early stage of adoption in conjunction with higher willingness conditions influences higher adoption rates in the short-term. As such, the model can be used to understand the behavioral economics of carinata in Georgia and beyond, as well as offering a potential tool to study similar bioenergy crops.","container-title":"Proceedings of the 2022 Conference of The Computational Social Science Society of the Americas","event-place":"Cham","ISBN":"978-3-031-37552-1","language":"en","note":"collection-title: Springer Proceedings in Complexity\nDOI: 10.1007/978-3-031-37553-8_5","page":"63-75","publisher":"Springer International Publishing","publisher-place":"Cham","source":"DOI.org (Crossref)","title":"Modeling Farmers’ Adoption Potential to New Bioenergy Crops: An Agent-Based Approach","title-short":"Modeling Farmers’ Adoption Potential to New Bioenergy Crops","URL":"https://link.springer.com/10.1007/978-3-031-37553-8_5","editor":[{"family":"Yang","given":"Zining"},{"family":"Núñez-Corrales","given":"Santiago"}],"author":[{"family":"Ullah","given":"Kazi"},{"family":"Crooks","given":"Andrew"}],"accessed":{"date-parts":[["2024",5,27]]},"issued":{"date-parts":[["2022"]]}}},{"id":816,"uris":["http://zotero.org/users/9003255/items/2VD9A8Z3"],"itemData":{"id":816,"type":"article-journal","abstract":"Several studies have analyzed the social, economic, and environmental impacts of deforestation in the context of developing countries. However, no study, to the best of our knowledge, has focused directly on the role of expanding demand for agricultural commodities on deforestation in the context of developed countries, in general, and the United States, in particular. We used an integrative approach to understand linkages between deforestation and agricultural expansion in SE Georgia where about 15,000 hectares of evergreen forestlands and grasslands have been converted to blueberries between 2010 and 2017. We first developed economic models to understand any differences in profitability between a hectare of pine plantation and blueberry orchard. The economic analysis shows that the annualized net present value of blueberry production is higher by $3848.0/ha than loblolly pine in the region. We developed a site suitability model using geospatial tools for blueberry production in SE Georgia as well and found that about 85% of the available land is suitable for blueberry production in SE Georgia. We also found that about 80% of existing pine forestlands overlap with the land that is suitable for blueberry production. Our results indicate that a further rise in the demand for blueberries could increase deforestation in SE Georgia. We suggest an integrated approach based on innovative economic policies for reducing deforestation in SE Georgia.","container-title":"Agricultural Systems","DOI":"10.1016/j.agsy.2019.01.002","ISSN":"0308521X","journalAbbreviation":"Agricultural Systems","language":"en","page":"39-48","source":"DOI.org (Crossref)","title":"The role and potential of blueberry in increasing deforestation in southern Georgia, United States","volume":"173","author":[{"family":"Upadhaya","given":"Suraj"},{"family":"Dwivedi","given":"Puneet"}],"issued":{"date-parts":[["2019",7]]}},"label":"page"}],"schema":"https://github.com/citation-style-language/schema/raw/master/csl-citation.json"} </w:instrText>
            </w:r>
            <w:r w:rsidRPr="00DA70E5">
              <w:rPr>
                <w:rFonts w:eastAsia="Calibri" w:cs="Times New Roman"/>
                <w:szCs w:val="24"/>
                <w:lang w:val="it-IT"/>
              </w:rPr>
              <w:fldChar w:fldCharType="separate"/>
            </w:r>
            <w:r w:rsidR="002A3FF3">
              <w:rPr>
                <w:rFonts w:eastAsia="Calibri" w:cs="Times New Roman"/>
                <w:noProof/>
                <w:szCs w:val="24"/>
              </w:rPr>
              <w:t>(Upadhaya and Dwivedi, 2019; Ullah and Crooks, 2022)</w:t>
            </w:r>
            <w:r w:rsidRPr="00DA70E5">
              <w:rPr>
                <w:rFonts w:eastAsia="Calibri" w:cs="Times New Roman"/>
                <w:szCs w:val="24"/>
                <w:lang w:val="it-IT"/>
              </w:rPr>
              <w:fldChar w:fldCharType="end"/>
            </w:r>
          </w:p>
        </w:tc>
      </w:tr>
      <w:tr w:rsidR="00DA70E5" w:rsidRPr="00DA70E5" w14:paraId="16306415" w14:textId="77777777" w:rsidTr="00CC51AD">
        <w:trPr>
          <w:trHeight w:val="160"/>
          <w:jc w:val="center"/>
        </w:trPr>
        <w:tc>
          <w:tcPr>
            <w:tcW w:w="9484" w:type="dxa"/>
            <w:gridSpan w:val="4"/>
            <w:tcBorders>
              <w:top w:val="single" w:sz="4" w:space="0" w:color="auto"/>
              <w:left w:val="nil"/>
              <w:bottom w:val="single" w:sz="4" w:space="0" w:color="auto"/>
              <w:right w:val="nil"/>
            </w:tcBorders>
            <w:hideMark/>
          </w:tcPr>
          <w:p w14:paraId="0E816C9C" w14:textId="77777777" w:rsidR="00DA70E5" w:rsidRPr="00DA70E5" w:rsidRDefault="00DA70E5" w:rsidP="00DA70E5">
            <w:pPr>
              <w:spacing w:before="0" w:after="0"/>
              <w:jc w:val="both"/>
              <w:rPr>
                <w:rFonts w:eastAsia="Calibri" w:cs="Times New Roman"/>
                <w:i/>
                <w:iCs/>
                <w:szCs w:val="24"/>
              </w:rPr>
            </w:pPr>
            <w:r w:rsidRPr="00DA70E5">
              <w:rPr>
                <w:rFonts w:eastAsia="Calibri" w:cs="Times New Roman"/>
                <w:i/>
                <w:iCs/>
                <w:szCs w:val="24"/>
              </w:rPr>
              <w:t>Neighborhood influence parameters</w:t>
            </w:r>
          </w:p>
        </w:tc>
      </w:tr>
      <w:tr w:rsidR="00DA70E5" w:rsidRPr="00DA70E5" w14:paraId="38E4CFE0" w14:textId="77777777" w:rsidTr="00CC51AD">
        <w:trPr>
          <w:trHeight w:val="1034"/>
          <w:jc w:val="center"/>
        </w:trPr>
        <w:tc>
          <w:tcPr>
            <w:tcW w:w="3053" w:type="dxa"/>
            <w:gridSpan w:val="2"/>
            <w:tcBorders>
              <w:top w:val="single" w:sz="4" w:space="0" w:color="auto"/>
              <w:left w:val="nil"/>
              <w:bottom w:val="nil"/>
              <w:right w:val="nil"/>
            </w:tcBorders>
            <w:hideMark/>
          </w:tcPr>
          <w:p w14:paraId="597C3113"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Initial adoption rate</w:t>
            </w:r>
          </w:p>
        </w:tc>
        <w:tc>
          <w:tcPr>
            <w:tcW w:w="4177" w:type="dxa"/>
            <w:tcBorders>
              <w:top w:val="single" w:sz="4" w:space="0" w:color="auto"/>
              <w:left w:val="nil"/>
              <w:bottom w:val="nil"/>
              <w:right w:val="nil"/>
            </w:tcBorders>
            <w:hideMark/>
          </w:tcPr>
          <w:p w14:paraId="0C738FA1"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0</w:t>
            </w:r>
          </w:p>
        </w:tc>
        <w:tc>
          <w:tcPr>
            <w:tcW w:w="2254" w:type="dxa"/>
            <w:tcBorders>
              <w:top w:val="single" w:sz="4" w:space="0" w:color="auto"/>
              <w:left w:val="nil"/>
              <w:bottom w:val="nil"/>
              <w:right w:val="nil"/>
            </w:tcBorders>
            <w:hideMark/>
          </w:tcPr>
          <w:p w14:paraId="4859D247"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lang w:val="it-IT"/>
              </w:rPr>
              <w:fldChar w:fldCharType="begin"/>
            </w:r>
            <w:r w:rsidRPr="00DA70E5">
              <w:rPr>
                <w:rFonts w:eastAsia="Calibri" w:cs="Times New Roman"/>
                <w:szCs w:val="24"/>
              </w:rPr>
              <w:instrText xml:space="preserve"> ADDIN ZOTERO_ITEM CSL_CITATION {"citationID":"stHdZ9B0","properties":{"formattedCitation":"(Alexander et al., 2013; K. Ullah and Crooks, 2022)","plainCitation":"(Alexander et al., 2013; K. Ullah and Crooks, 2022)","dontUpdate":true,"noteIndex":0},"citationItems":[{"id":818,"uris":["http://zotero.org/users/9003255/items/E6VHCXQC"],"itemData":{"id":818,"type":"article-journal","abstract":"Biomass produced from energy crops, such as\n              Miscanthus\n              and short rotation coppice is expected to contribute to renewable energy targets, but the slower than anticipated development of the UK market implies the need for greater understanding of the factors that govern adoption. Here, we apply an agent-based model of the UK perennial energy crop market, including the contingent interaction of supply and demand, to understand the spatial and temporal dynamics of energy crop adoption. Results indicate that perennial energy crop supply will be between six and nine times lower than previously published, because of time lags in adoption arising from a spatial diffusion process. The model simulates time lags of at least 20 years, which is supported empirically by the analogue of oilseed rape adoption in the UK from the 1970s. This implies the need to account for time lags arising from spatial diffusion in evaluating land-use change, climate change (mitigation or adaptation) or the adoption of novel technologies.","container-title":"Journal of The Royal Society Interface","DOI":"10.1098/rsif.2013.0656","ISSN":"1742-5689, 1742-5662","issue":"88","language":"en","page":"20130656","source":"DOI.org (Crossref)","title":"Modelling the perennial energy crop market: the role of spatial diffusion","title-short":"Modelling the perennial energy crop market","volume":"10","author":[{"family":"Alexander","given":"Peter"},{"family":"Moran","given":"Dominic"},{"family":"Rounsevell","given":"Mark D. A."},{"family":"Smith","given":"Pete"}],"issued":{"date-parts":[["2013",11,6]]}}},{"id":798,"uris":["http://zotero.org/users/9003255/items/UF33F6TE"],"itemData":{"id":798,"type":"chapter","abstract":"The use of fossil fuels is the primary source of greenhouse gas emissions but there are alternatives to these especially in the form of biofuels, fuels derived from bioenergy crops. This paper aims to determine farmers’ potential adoption rates of newly introduced bioenergy crops with a specific example of carinata in the state of Georgia. The determination is done using an agent-based modeling technique with two principal assumptions – farmers are profit maximizer and they are influenced by neighboring farmers. Two diffusion parameters (traditional and expansion) are followed along with two willingness (high and low) scenarios to switch at varying production economics to carinata and other prominent traditional field crops (cotton, peanuts, corn) in the study region. The paper finds that a contract prices around $9, $8 and $7 can be a viable option for encouraging farmers to adopt carinata in low, average, and high profit conditions, respectively. Expansion diffusion (that diffuses all over the geographical area), rather than centered to the few places like traditional diffusion at the early stage of adoption in conjunction with higher willingness conditions influences higher adoption rates in the short-term. As such, the model can be used to understand the behavioral economics of carinata in Georgia and beyond, as well as offering a potential tool to study similar bioenergy crops.","container-title":"Proceedings of the 2022 Conference of The Computational Social Science Society of the Americas","event-place":"Cham","ISBN":"978-3-031-37552-1","language":"en","note":"collection-title: Springer Proceedings in Complexity\nDOI: 10.1007/978-3-031-37553-8_5","page":"63-75","publisher":"Springer International Publishing","publisher-place":"Cham","source":"DOI.org (Crossref)","title":"Modeling Farmers’ Adoption Potential to New Bioenergy Crops: An Agent-Based Approach","title-short":"Modeling Farmers’ Adoption Potential to New Bioenergy Crops","URL":"https://link.springer.com/10.1007/978-3-031-37553-8_5","editor":[{"family":"Yang","given":"Zining"},{"family":"Núñez-Corrales","given":"Santiago"}],"author":[{"family":"Ullah","given":"Kazi"},{"family":"Crooks","given":"Andrew"}],"accessed":{"date-parts":[["2024",5,27]]},"issued":{"date-parts":[["2022"]]}}}],"schema":"https://github.com/citation-style-language/schema/raw/master/csl-citation.json"} </w:instrText>
            </w:r>
            <w:r w:rsidRPr="00DA70E5">
              <w:rPr>
                <w:rFonts w:eastAsia="Calibri" w:cs="Times New Roman"/>
                <w:szCs w:val="24"/>
                <w:lang w:val="it-IT"/>
              </w:rPr>
              <w:fldChar w:fldCharType="separate"/>
            </w:r>
            <w:r w:rsidRPr="00DA70E5">
              <w:rPr>
                <w:rFonts w:eastAsia="Calibri" w:cs="Times New Roman"/>
                <w:noProof/>
                <w:szCs w:val="24"/>
              </w:rPr>
              <w:t>(Alexander et al., 2013; Ullah and Crooks, 2022)</w:t>
            </w:r>
            <w:r w:rsidRPr="00DA70E5">
              <w:rPr>
                <w:rFonts w:eastAsia="Calibri" w:cs="Times New Roman"/>
                <w:szCs w:val="24"/>
                <w:lang w:val="it-IT"/>
              </w:rPr>
              <w:fldChar w:fldCharType="end"/>
            </w:r>
          </w:p>
        </w:tc>
      </w:tr>
      <w:tr w:rsidR="00DA70E5" w:rsidRPr="00DA70E5" w14:paraId="6DCA028B" w14:textId="77777777" w:rsidTr="00CC51AD">
        <w:trPr>
          <w:trHeight w:val="332"/>
          <w:jc w:val="center"/>
        </w:trPr>
        <w:tc>
          <w:tcPr>
            <w:tcW w:w="3053" w:type="dxa"/>
            <w:gridSpan w:val="2"/>
            <w:tcBorders>
              <w:top w:val="nil"/>
              <w:left w:val="nil"/>
              <w:bottom w:val="single" w:sz="4" w:space="0" w:color="auto"/>
              <w:right w:val="nil"/>
            </w:tcBorders>
            <w:hideMark/>
          </w:tcPr>
          <w:p w14:paraId="3D07954C"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Adoption threshold</w:t>
            </w:r>
          </w:p>
        </w:tc>
        <w:tc>
          <w:tcPr>
            <w:tcW w:w="4177" w:type="dxa"/>
            <w:tcBorders>
              <w:top w:val="nil"/>
              <w:left w:val="nil"/>
              <w:bottom w:val="single" w:sz="4" w:space="0" w:color="auto"/>
              <w:right w:val="nil"/>
            </w:tcBorders>
            <w:hideMark/>
          </w:tcPr>
          <w:p w14:paraId="66F7650A" w14:textId="77777777" w:rsidR="00DA70E5" w:rsidRPr="00DA70E5" w:rsidRDefault="00DA70E5" w:rsidP="00DA70E5">
            <w:pPr>
              <w:spacing w:before="0" w:after="0"/>
              <w:jc w:val="both"/>
              <w:rPr>
                <w:rFonts w:eastAsia="Calibri" w:cs="Times New Roman"/>
                <w:szCs w:val="24"/>
              </w:rPr>
            </w:pPr>
            <w:r w:rsidRPr="00DA70E5">
              <w:rPr>
                <w:rFonts w:eastAsia="Calibri" w:cs="Times New Roman"/>
                <w:szCs w:val="24"/>
              </w:rPr>
              <w:t>N (0, 0.102), N (0, 0.1216)</w:t>
            </w:r>
          </w:p>
        </w:tc>
        <w:tc>
          <w:tcPr>
            <w:tcW w:w="2254" w:type="dxa"/>
            <w:tcBorders>
              <w:top w:val="nil"/>
              <w:left w:val="nil"/>
              <w:bottom w:val="single" w:sz="4" w:space="0" w:color="auto"/>
              <w:right w:val="nil"/>
            </w:tcBorders>
            <w:hideMark/>
          </w:tcPr>
          <w:p w14:paraId="3BEC2812" w14:textId="44315F55" w:rsidR="00DA70E5" w:rsidRPr="00DA70E5" w:rsidRDefault="00DA70E5" w:rsidP="00DA70E5">
            <w:pPr>
              <w:spacing w:before="0" w:after="0"/>
              <w:jc w:val="both"/>
              <w:rPr>
                <w:rFonts w:eastAsia="Calibri" w:cs="Times New Roman"/>
                <w:szCs w:val="24"/>
              </w:rPr>
            </w:pPr>
            <w:r w:rsidRPr="00DA70E5">
              <w:rPr>
                <w:rFonts w:eastAsia="Calibri" w:cs="Times New Roman"/>
                <w:szCs w:val="24"/>
                <w:lang w:val="it-IT"/>
              </w:rPr>
              <w:fldChar w:fldCharType="begin"/>
            </w:r>
            <w:r w:rsidRPr="00DA70E5">
              <w:rPr>
                <w:rFonts w:eastAsia="Calibri" w:cs="Times New Roman"/>
                <w:szCs w:val="24"/>
              </w:rPr>
              <w:instrText xml:space="preserve"> ADDIN ZOTERO_ITEM CSL_CITATION {"citationID":"MrFHnNml","properties":{"formattedCitation":"(Alexander et al., 2013; Ullah and Crooks, 2022)","plainCitation":"(Alexander et al., 2013; Ullah and Crooks, 2022)","noteIndex":0},"citationItems":[{"id":818,"uris":["http://zotero.org/users/9003255/items/E6VHCXQC"],"itemData":{"id":818,"type":"article-journal","abstract":"Biomass produced from energy crops, such as\n              Miscanthus\n              and short rotation coppice is expected to contribute to renewable energy targets, but the slower than anticipated development of the UK market implies the need for greater understanding of the factors that govern adoption. Here, we apply an agent-based model of the UK perennial energy crop market, including the contingent interaction of supply and demand, to understand the spatial and temporal dynamics of energy crop adoption. Results indicate that perennial energy crop supply will be between six and nine times lower than previously published, because of time lags in adoption arising from a spatial diffusion process. The model simulates time lags of at least 20 years, which is supported empirically by the analogue of oilseed rape adoption in the UK from the 1970s. This implies the need to account for time lags arising from spatial diffusion in evaluating land-use change, climate change (mitigation or adaptation) or the adoption of novel technologies.","container-title":"Journal of The Royal Society Interface","DOI":"10.1098/rsif.2013.0656","ISSN":"1742-5689, 1742-5662","issue":"88","language":"en","page":"20130656","source":"DOI.org (Crossref)","title":"Modelling the perennial energy crop market: the role of spatial diffusion","title-short":"Modelling the perennial energy crop market","volume":"10","author":[{"family":"Alexander","given":"Peter"},{"family":"Moran","given":"Dominic"},{"family":"Rounsevell","given":"Mark D. A."},{"family":"Smith","given":"Pete"}],"issued":{"date-parts":[["2013",11,6]]}}},{"id":798,"uris":["http://zotero.org/users/9003255/items/UF33F6TE"],"itemData":{"id":798,"type":"chapter","abstract":"The use of fossil fuels is the primary source of greenhouse gas emissions but there are alternatives to these especially in the form of biofuels, fuels derived from bioenergy crops. This paper aims to determine farmers’ potential adoption rates of newly introduced bioenergy crops with a specific example of carinata in the state of Georgia. The determination is done using an agent-based modeling technique with two principal assumptions – farmers are profit maximizer and they are influenced by neighboring farmers. Two diffusion parameters (traditional and expansion) are followed along with two willingness (high and low) scenarios to switch at varying production economics to carinata and other prominent traditional field crops (cotton, peanuts, corn) in the study region. The paper finds that a contract prices around $9, $8 and $7 can be a viable option for encouraging farmers to adopt carinata in low, average, and high profit conditions, respectively. Expansion diffusion (that diffuses all over the geographical area), rather than centered to the few places like traditional diffusion at the early stage of adoption in conjunction with higher willingness conditions influences higher adoption rates in the short-term. As such, the model can be used to understand the behavioral economics of carinata in Georgia and beyond, as well as offering a potential tool to study similar bioenergy crops.","container-title":"Proceedings of the 2022 Conference of The Computational Social Science Society of the Americas","event-place":"Cham","ISBN":"978-3-031-37552-1","language":"en","note":"collection-title: Springer Proceedings in Complexity\nDOI: 10.1007/978-3-031-37553-8_5","page":"63-75","publisher":"Springer International Publishing","publisher-place":"Cham","source":"DOI.org (Crossref)","title":"Modeling Farmers’ Adoption Potential to New Bioenergy Crops: An Agent-Based Approach","title-short":"Modeling Farmers’ Adoption Potential to New Bioenergy Crops","URL":"https://link.springer.com/10.1007/978-3-031-37553-8_5","editor":[{"family":"Yang","given":"Zining"},{"family":"Núñez-Corrales","given":"Santiago"}],"author":[{"family":"Ullah","given":"Kazi"},{"family":"Crooks","given":"Andrew"}],"accessed":{"date-parts":[["2024",5,27]]},"issued":{"date-parts":[["2022"]]}}}],"schema":"https://github.com/citation-style-language/schema/raw/master/csl-citation.json"} </w:instrText>
            </w:r>
            <w:r w:rsidRPr="00DA70E5">
              <w:rPr>
                <w:rFonts w:eastAsia="Calibri" w:cs="Times New Roman"/>
                <w:szCs w:val="24"/>
                <w:lang w:val="it-IT"/>
              </w:rPr>
              <w:fldChar w:fldCharType="separate"/>
            </w:r>
            <w:r w:rsidR="002A3FF3">
              <w:rPr>
                <w:rFonts w:eastAsia="Calibri" w:cs="Times New Roman"/>
                <w:szCs w:val="24"/>
              </w:rPr>
              <w:t>(Alexander et al., 2013; Ullah and Crooks, 2022)</w:t>
            </w:r>
            <w:r w:rsidRPr="00DA70E5">
              <w:rPr>
                <w:rFonts w:eastAsia="Calibri" w:cs="Times New Roman"/>
                <w:szCs w:val="24"/>
                <w:lang w:val="it-IT"/>
              </w:rPr>
              <w:fldChar w:fldCharType="end"/>
            </w:r>
          </w:p>
        </w:tc>
      </w:tr>
    </w:tbl>
    <w:p w14:paraId="4DC0E060" w14:textId="4026D3FD" w:rsidR="00DA70E5" w:rsidRDefault="00DA70E5" w:rsidP="00F24938">
      <w:pPr>
        <w:pStyle w:val="Titolo2"/>
      </w:pPr>
      <w:r>
        <w:t xml:space="preserve">Process Overview and scheduling </w:t>
      </w:r>
    </w:p>
    <w:p w14:paraId="7B6C9B5D" w14:textId="77777777" w:rsidR="00DA70E5" w:rsidRDefault="00DA70E5" w:rsidP="00DA70E5">
      <w:r>
        <w:t>Farmer agents’ decisions to adopt buckwheat are reflected in two sub-models: profit modeling and diffusion modeling.</w:t>
      </w:r>
    </w:p>
    <w:p w14:paraId="10912C7C" w14:textId="77777777" w:rsidR="00DA70E5" w:rsidRDefault="00DA70E5" w:rsidP="00DA70E5">
      <w:r>
        <w:t>The profit modeling evaluates farmers' profits from row crop rotations with and without buckwheat (Section 3.3.1). The diffusion modeling assesses farmers' attitudes towards buckwheat under neighborhood influences (Section 3.3.2).</w:t>
      </w:r>
    </w:p>
    <w:p w14:paraId="2C644187" w14:textId="77777777" w:rsidR="00DA70E5" w:rsidRDefault="00DA70E5" w:rsidP="00DA70E5">
      <w:r>
        <w:lastRenderedPageBreak/>
        <w:t xml:space="preserve">Farmers decide to adopt buckwheat for the current period only if they find their profit from crop rotation with buckwheat (Pb) to be greater than the profit from crop rotation without buckwheat (Pt) in the previous period, and if the neighborhood influences from the same previous period create a positive outlook for adoption. For each farmer, the adoption behavior is updated for the current period and feeds into the next time step. Thus, the model operates recursively until the end of the simulation period. </w:t>
      </w:r>
    </w:p>
    <w:p w14:paraId="1D329F87" w14:textId="6C6D8C32" w:rsidR="00DA70E5" w:rsidRDefault="00DA70E5" w:rsidP="00F24938">
      <w:pPr>
        <w:pStyle w:val="Titolo1"/>
      </w:pPr>
      <w:r>
        <w:t>Design Concepts</w:t>
      </w:r>
    </w:p>
    <w:p w14:paraId="3A1EBC75" w14:textId="2D7E3FAF" w:rsidR="00DA70E5" w:rsidRDefault="00DA70E5" w:rsidP="00F24938">
      <w:pPr>
        <w:pStyle w:val="Titolo2"/>
      </w:pPr>
      <w:r>
        <w:t xml:space="preserve"> Emergence</w:t>
      </w:r>
    </w:p>
    <w:p w14:paraId="4830BA1B" w14:textId="77777777" w:rsidR="00DA70E5" w:rsidRDefault="00DA70E5" w:rsidP="00DA70E5">
      <w:r>
        <w:t xml:space="preserve">The emergence property of our model is observed from the different fixed production economics of buckwheat, two adoption threshold parameters and two types of diffusion (diffusion types are discussed in Section 3.1). The adoption thresholds define what proportion of farmers are innovators, who adopt buckwheat in the first-time step (i.e., tick). </w:t>
      </w:r>
    </w:p>
    <w:p w14:paraId="10608357" w14:textId="5F5DDD63" w:rsidR="00DA70E5" w:rsidRDefault="00DA70E5" w:rsidP="00F24938">
      <w:pPr>
        <w:pStyle w:val="Titolo2"/>
      </w:pPr>
      <w:r>
        <w:t>Adaptation</w:t>
      </w:r>
    </w:p>
    <w:p w14:paraId="619B58CD" w14:textId="77777777" w:rsidR="00DA70E5" w:rsidRDefault="00DA70E5" w:rsidP="00DA70E5">
      <w:r>
        <w:t>Farmers are adaptive as they are responsive to new economic opportunities and neighborhood influences (see Sections 3.3).</w:t>
      </w:r>
    </w:p>
    <w:p w14:paraId="1FAA9328" w14:textId="2F02FD60" w:rsidR="00DA70E5" w:rsidRDefault="00DA70E5" w:rsidP="00F24938">
      <w:pPr>
        <w:pStyle w:val="Titolo2"/>
      </w:pPr>
      <w:r>
        <w:t>Objectives</w:t>
      </w:r>
    </w:p>
    <w:p w14:paraId="6DDC2179" w14:textId="7BD9FE39" w:rsidR="00DA70E5" w:rsidRDefault="00DA70E5" w:rsidP="00DA70E5">
      <w:r>
        <w:t xml:space="preserve">The objective of the farmer agents is to maximize their profits. </w:t>
      </w:r>
      <w:r w:rsidR="008B6369">
        <w:t>Farmers’</w:t>
      </w:r>
      <w:r>
        <w:t xml:space="preserve"> attitude on neighborhood adoption rates can affect their individual adoption decisions. However, farmers are naïve profit maximizers as they evaluate their profitability without considering other risk assessment factors, such as individual risk perception, which may affect the land allocation decisions as well as utility (Ullah &amp; Dwivedi, 2022).</w:t>
      </w:r>
    </w:p>
    <w:p w14:paraId="30FD04C9" w14:textId="20BF209F" w:rsidR="00DA70E5" w:rsidRDefault="00DA70E5" w:rsidP="00F24938">
      <w:pPr>
        <w:pStyle w:val="Titolo2"/>
      </w:pPr>
      <w:r>
        <w:t>Learning</w:t>
      </w:r>
    </w:p>
    <w:p w14:paraId="75AD6729" w14:textId="77777777" w:rsidR="00DA70E5" w:rsidRDefault="00DA70E5" w:rsidP="00DA70E5">
      <w:r>
        <w:t xml:space="preserve">The only learning trait is new farmers can learn about the economic opportunities of buckwheat from their neighboring farmers who have already cultivated buckwheat in the previous simulation period. </w:t>
      </w:r>
    </w:p>
    <w:p w14:paraId="185B8F6D" w14:textId="5F5337F2" w:rsidR="00DA70E5" w:rsidRDefault="00DA70E5" w:rsidP="00F24938">
      <w:pPr>
        <w:pStyle w:val="Titolo2"/>
      </w:pPr>
      <w:r>
        <w:t>Prediction</w:t>
      </w:r>
    </w:p>
    <w:p w14:paraId="0B9A0212" w14:textId="77777777" w:rsidR="00DA70E5" w:rsidRDefault="00DA70E5" w:rsidP="00DA70E5">
      <w:r>
        <w:t>The annual discount rate is the value to predict future returns in Net Present Value (NPV) (Section 3.3.1).</w:t>
      </w:r>
    </w:p>
    <w:p w14:paraId="2E4E2C3B" w14:textId="169623FF" w:rsidR="00DA70E5" w:rsidRDefault="00DA70E5" w:rsidP="00F24938">
      <w:pPr>
        <w:pStyle w:val="Titolo2"/>
      </w:pPr>
      <w:r>
        <w:t>Sensing</w:t>
      </w:r>
    </w:p>
    <w:p w14:paraId="0803960C" w14:textId="77777777" w:rsidR="00DA70E5" w:rsidRDefault="00DA70E5" w:rsidP="00DA70E5">
      <w:r>
        <w:t xml:space="preserve">Agents have access to the current price, yield and production cost data (RICA, 2022). They configure the net return from traditional crops with this data for the years between 2011-2022. </w:t>
      </w:r>
    </w:p>
    <w:p w14:paraId="0CA01032" w14:textId="18EFA264" w:rsidR="00DA70E5" w:rsidRDefault="00DA70E5" w:rsidP="00F24938">
      <w:pPr>
        <w:pStyle w:val="Titolo2"/>
      </w:pPr>
      <w:r>
        <w:t>Interaction</w:t>
      </w:r>
    </w:p>
    <w:p w14:paraId="739A0CBA" w14:textId="77777777" w:rsidR="00DA70E5" w:rsidRDefault="00DA70E5" w:rsidP="00DA70E5">
      <w:r>
        <w:t>First, farmers make their decisions based on buckwheat production economics (e.g., initial contract price, yield and production cost) and evaluate their profitability in comparison with the production economics of the traditional crop rotations. Then, neighboring farmers learn about the success stories from innovators and are prompted to cultivate buckwheat.</w:t>
      </w:r>
    </w:p>
    <w:p w14:paraId="77E72F1B" w14:textId="3C358502" w:rsidR="00DA70E5" w:rsidRDefault="00DA70E5" w:rsidP="00F24938">
      <w:pPr>
        <w:pStyle w:val="Titolo2"/>
      </w:pPr>
      <w:r>
        <w:lastRenderedPageBreak/>
        <w:t>Stochasticity</w:t>
      </w:r>
    </w:p>
    <w:p w14:paraId="7B07229B" w14:textId="77777777" w:rsidR="00DA70E5" w:rsidRDefault="00DA70E5" w:rsidP="00DA70E5">
      <w:r>
        <w:t xml:space="preserve">The model follows a number of stochastic processes from slightly stochastic to fully stochastic. Slightly stochastic processes are executed where the parameter’s distribution is normal, and data driven. The historical yields, price and production cost are normally distributed. Therefore, we simulate the model with one standard deviation variabilities from the average values of historical crop economics. </w:t>
      </w:r>
    </w:p>
    <w:p w14:paraId="5BC781A1" w14:textId="77777777" w:rsidR="00DA70E5" w:rsidRDefault="00DA70E5" w:rsidP="00DA70E5">
      <w:r>
        <w:t>Full stochasticity is found when the adoption threshold values are randomly assigned to the farmers. Given that, we could not make any primary survey to understand the attitude of the farmers’ adoption history of buckwheat for the limitation of resources and time.</w:t>
      </w:r>
    </w:p>
    <w:p w14:paraId="0FC4D7EE" w14:textId="6C3C7DC8" w:rsidR="00DA70E5" w:rsidRDefault="00DA70E5" w:rsidP="00F24938">
      <w:pPr>
        <w:pStyle w:val="Titolo2"/>
      </w:pPr>
      <w:r>
        <w:t>Collectives</w:t>
      </w:r>
    </w:p>
    <w:p w14:paraId="0D9C8228" w14:textId="77777777" w:rsidR="00DA70E5" w:rsidRDefault="00DA70E5" w:rsidP="00DA70E5">
      <w:r>
        <w:t>Not applicable.</w:t>
      </w:r>
    </w:p>
    <w:p w14:paraId="4839F0F4" w14:textId="67B25C9D" w:rsidR="00DA70E5" w:rsidRDefault="00DA70E5" w:rsidP="00F24938">
      <w:pPr>
        <w:pStyle w:val="Titolo2"/>
      </w:pPr>
      <w:r>
        <w:t>Observation</w:t>
      </w:r>
    </w:p>
    <w:p w14:paraId="71DD91DC" w14:textId="77777777" w:rsidR="00DA70E5" w:rsidRDefault="00DA70E5" w:rsidP="00DA70E5">
      <w:r>
        <w:t>We observe what percentage of farmers adopt buckwheat at different values of parameters across the regions of Italy in the model interface as shown in Figure 1.</w:t>
      </w:r>
    </w:p>
    <w:p w14:paraId="5C31A13A" w14:textId="4097CFB9" w:rsidR="00DA70E5" w:rsidRDefault="00DA70E5" w:rsidP="00F24938">
      <w:pPr>
        <w:pStyle w:val="Titolo1"/>
      </w:pPr>
      <w:r>
        <w:t>Details</w:t>
      </w:r>
    </w:p>
    <w:p w14:paraId="77031518" w14:textId="1B08BA23" w:rsidR="00DA70E5" w:rsidRDefault="00DA70E5" w:rsidP="00F24938">
      <w:pPr>
        <w:pStyle w:val="Titolo2"/>
      </w:pPr>
      <w:r>
        <w:t>Initialization</w:t>
      </w:r>
    </w:p>
    <w:p w14:paraId="4C4D308E" w14:textId="77777777" w:rsidR="00DA70E5" w:rsidRDefault="00DA70E5" w:rsidP="00DA70E5">
      <w:r>
        <w:t xml:space="preserve">The ABM was developed in </w:t>
      </w:r>
      <w:proofErr w:type="spellStart"/>
      <w:r>
        <w:t>NetLogo</w:t>
      </w:r>
      <w:proofErr w:type="spellEnd"/>
      <w:r>
        <w:t xml:space="preserve"> version 6.3.0 using the GIS extension (Wilensky, 1999). The model is initialized at farm-level, neighborhood level and national level with associated variables and parameters across the 9 regions out of 20 regions of Italy. These 9 regions were selected as they have potential land availability for buckwheat production. In 2022, the average Italian utilized agricultural area (UAA) is 23,73 ha and total utilized agricultural area suitable for cultivating buckwheat across the 9 regions is 127 ha (RICA, 2022). </w:t>
      </w:r>
    </w:p>
    <w:p w14:paraId="484C94B9" w14:textId="77777777" w:rsidR="00DA70E5" w:rsidRDefault="00DA70E5" w:rsidP="00DA70E5">
      <w:r>
        <w:t>At the farm level, three categories of farmer agents are created in each region with specific crop rotations: Rot1) Soft Wheat-Soybean-Maize, Rot2) Soft Wheat-Barley-Maize, and Rot3) Barley-Soybean-Maize. In each region, three types of farmer agents are randomly created based on the proportion of farmland dedicated to their respective crop rotations. This proportion is calculated by dividing the total area of each crop by the average crop land area. The final proportion calculated resulted in 48% of farmers following Rot1, 27% following Rot 2, and 25% following Rot 3. Overall, a total of 3576 farmers were included in the model. However, in the interface, we let the possibility to create a farmer agent who represents up to five farmers as a whole unit to speed up the time of running of the model.</w:t>
      </w:r>
    </w:p>
    <w:p w14:paraId="3CF24E94" w14:textId="77777777" w:rsidR="00DA70E5" w:rsidRDefault="00DA70E5" w:rsidP="00DA70E5">
      <w:r>
        <w:t xml:space="preserve">The creation of farmer agents from actual crop rotation histories enabled us to build a more spatially and temporarily informed agent-based model compared to existing models (Schulze et al., 2017). By utilizing this temporally and spatially explicit crop distribution attribute, we can more realistically estimate farmers’ profits and the potential integration of buckwheat into traditional rotations. The adoption thresholds of the farmers are set using two normal distributions, which ultimately create a high and a low initial willingness scenario. Initial adoption rate (AR) is assigned zero at the start of the simulation period. The AR value is a neighborhood level value (which is discussed further </w:t>
      </w:r>
      <w:r>
        <w:lastRenderedPageBreak/>
        <w:t xml:space="preserve">below), however, all the farmers in their respective neighborhoods are equally informed about that value, hence, the parameter is assigned as a farmers’ attribute for simulation purposes. </w:t>
      </w:r>
    </w:p>
    <w:p w14:paraId="36BD67A5" w14:textId="77777777" w:rsidR="00DA70E5" w:rsidRDefault="00DA70E5" w:rsidP="00DA70E5">
      <w:r>
        <w:t>At the national level, crop yields, prices, and farming costs are set at the initialization of the model. The crop economics data is acquired from the RICA database, the national database in Italy. The initial contract price of buckwheat is fixed by analyzing historical crop rotations.</w:t>
      </w:r>
    </w:p>
    <w:p w14:paraId="1B3E03A7" w14:textId="38D98098" w:rsidR="00DA70E5" w:rsidRDefault="00DA70E5" w:rsidP="00F24938">
      <w:pPr>
        <w:pStyle w:val="Titolo2"/>
      </w:pPr>
      <w:r>
        <w:t>Data Inputs</w:t>
      </w:r>
    </w:p>
    <w:p w14:paraId="351EE7EC" w14:textId="0B2723AF" w:rsidR="00DA70E5" w:rsidRPr="00F24938" w:rsidRDefault="00DA70E5" w:rsidP="00F24938">
      <w:pPr>
        <w:pStyle w:val="Titolo3"/>
      </w:pPr>
      <w:r w:rsidRPr="00F24938">
        <w:t>Geospatial Data</w:t>
      </w:r>
    </w:p>
    <w:p w14:paraId="7DB422CB" w14:textId="77777777" w:rsidR="00DA70E5" w:rsidRDefault="00DA70E5" w:rsidP="00DA70E5">
      <w:r>
        <w:t xml:space="preserve">Geospatial data of the nine regions were imported from an open shapefile of the EEA geospatial data catalog and processed in Q-GIS (European Environment Agency, 2024). IDs of adjacent polygons for each region were stored in a text file and imported into </w:t>
      </w:r>
      <w:proofErr w:type="spellStart"/>
      <w:r>
        <w:t>NetLogo</w:t>
      </w:r>
      <w:proofErr w:type="spellEnd"/>
      <w:r>
        <w:t xml:space="preserve"> 6.3.0 to identify neighborhood boundaries. Since farmers in close proximity are likely to know each other, incorporating GIS data into agent definitions in ABMs is increasingly common in the literature (Liu et al., 2020; </w:t>
      </w:r>
      <w:proofErr w:type="spellStart"/>
      <w:r>
        <w:t>Marvuglia</w:t>
      </w:r>
      <w:proofErr w:type="spellEnd"/>
      <w:r>
        <w:t xml:space="preserve"> et al., 2022).</w:t>
      </w:r>
    </w:p>
    <w:p w14:paraId="02A7D2B1" w14:textId="77777777" w:rsidR="00DA70E5" w:rsidRDefault="00DA70E5" w:rsidP="00DA70E5">
      <w:r>
        <w:t>To protect data privacy, specific information on provinces and altimetric zones was omitted, and no precise farm-level information was used, given the small representative sample of buckwheat farmers in the RICA database (average of 14 farmers in last 5 years) (RICA, 2022).</w:t>
      </w:r>
    </w:p>
    <w:p w14:paraId="7B4A7709" w14:textId="7790A997" w:rsidR="00DA70E5" w:rsidRDefault="00DA70E5" w:rsidP="00F24938">
      <w:pPr>
        <w:pStyle w:val="Titolo3"/>
      </w:pPr>
      <w:r>
        <w:t>Crop yield, production costs and prices</w:t>
      </w:r>
    </w:p>
    <w:p w14:paraId="72C590F3" w14:textId="77777777" w:rsidR="00DA70E5" w:rsidRDefault="00DA70E5" w:rsidP="00DA70E5">
      <w:r>
        <w:t>The profit-maximization variables—yield, production cost, and price—assess the profitability of integrating buckwheat into traditional crop rotations. Production costs cover operating expenses like fertilizers, pesticides, seeds, contracting, irrigation, insurance, and certifications, excluding overhead costs like labor, machinery, and taxes. Since buckwheat is typically cultivated as interlayer row crop, it does not require additional machinery, meaning that only operational costs are taken into account. Table 1 outlines yields, prices, and production costs for four major traditional crops and buckwheat from 2011 to 2022 (RICA, 2022).  Buckwheat yield and costs vary across low, average, and high scenarios, with different contract prices based on RICA data of the last 10 years (Table 1). All crop yields follow a normal distribution (p ≥ 0.05) according to the Shapiro-Wilk test.</w:t>
      </w:r>
    </w:p>
    <w:p w14:paraId="2056B4CA" w14:textId="03C70ED4" w:rsidR="00DA70E5" w:rsidRDefault="00DA70E5" w:rsidP="00F24938">
      <w:pPr>
        <w:pStyle w:val="Titolo2"/>
      </w:pPr>
      <w:r>
        <w:t>Sub-models</w:t>
      </w:r>
    </w:p>
    <w:p w14:paraId="39625C43" w14:textId="06908FFE" w:rsidR="00DA70E5" w:rsidRDefault="00DA70E5" w:rsidP="00F24938">
      <w:pPr>
        <w:pStyle w:val="Titolo3"/>
      </w:pPr>
      <w:r>
        <w:t>Profit Modeling</w:t>
      </w:r>
    </w:p>
    <w:p w14:paraId="2F58411F" w14:textId="72F0C6DB" w:rsidR="00DA70E5" w:rsidRDefault="00DA70E5" w:rsidP="00DA70E5">
      <w:r>
        <w:t>The expected profit from the three-year rotation of traditional row crops is a critical factor in evaluating farmers' crop rotation decisions. The profitability of different crops over time is calculated using the Net Present Value (NPV) method, accounting for the yields, market prices, and production costs from the previous rotation period (year "t-1"). Thus, the profit from traditional rotations without buckwheat for period t is calculated using Eq. 1.</w:t>
      </w:r>
    </w:p>
    <w:p w14:paraId="0DFCC39C" w14:textId="4382E982" w:rsidR="00F24938" w:rsidRDefault="00F24938" w:rsidP="00F24938">
      <w:pPr>
        <w:spacing w:before="240"/>
      </w:pPr>
      <w:r w:rsidRPr="00F24938">
        <w:rPr>
          <w:rFonts w:ascii="Cambria Math" w:hAnsi="Cambria Math" w:cs="Cambria Math"/>
          <w:b/>
          <w:bCs/>
          <w:i/>
          <w:iCs/>
          <w:lang w:val="it-IT"/>
        </w:rPr>
        <w:t>𝑃𝑡</w:t>
      </w:r>
      <w:r w:rsidRPr="00F24938">
        <w:rPr>
          <w:rFonts w:ascii="Cambria Math" w:hAnsi="Cambria Math"/>
          <w:b/>
          <w:bCs/>
          <w:i/>
          <w:iCs/>
        </w:rPr>
        <w:t xml:space="preserve"> = </w:t>
      </w:r>
      <w:r w:rsidRPr="00F24938">
        <w:rPr>
          <w:rFonts w:ascii="Cambria Math" w:hAnsi="Cambria Math"/>
          <w:b/>
          <w:bCs/>
          <w:i/>
          <w:iCs/>
        </w:rPr>
        <w:sym w:font="Symbol" w:char="F0E5"/>
      </w:r>
      <w:r w:rsidRPr="00F24938">
        <w:rPr>
          <w:rFonts w:ascii="Cambria Math" w:hAnsi="Cambria Math"/>
          <w:b/>
          <w:bCs/>
          <w:i/>
          <w:iCs/>
        </w:rPr>
        <w:t>(</w:t>
      </w:r>
      <m:oMath>
        <m:sSub>
          <m:sSubPr>
            <m:ctrlPr>
              <w:rPr>
                <w:rFonts w:ascii="Cambria Math" w:hAnsi="Cambria Math"/>
                <w:b/>
                <w:bCs/>
                <w:i/>
                <w:iCs/>
              </w:rPr>
            </m:ctrlPr>
          </m:sSubPr>
          <m:e>
            <m:r>
              <m:rPr>
                <m:sty m:val="bi"/>
              </m:rPr>
              <w:rPr>
                <w:rFonts w:ascii="Cambria Math" w:hAnsi="Cambria Math"/>
                <w:lang w:val="it-IT"/>
              </w:rPr>
              <m:t>y</m:t>
            </m:r>
          </m:e>
          <m:sub>
            <m:r>
              <m:rPr>
                <m:sty m:val="bi"/>
              </m:rPr>
              <w:rPr>
                <w:rFonts w:ascii="Cambria Math" w:hAnsi="Cambria Math"/>
                <w:lang w:val="it-IT"/>
              </w:rPr>
              <m:t>t</m:t>
            </m:r>
            <m:r>
              <m:rPr>
                <m:sty m:val="bi"/>
              </m:rPr>
              <w:rPr>
                <w:rFonts w:ascii="Cambria Math" w:hAnsi="Cambria Math"/>
              </w:rPr>
              <m:t>-1,</m:t>
            </m:r>
            <m:r>
              <m:rPr>
                <m:sty m:val="bi"/>
              </m:rPr>
              <w:rPr>
                <w:rFonts w:ascii="Cambria Math" w:hAnsi="Cambria Math"/>
                <w:lang w:val="it-IT"/>
              </w:rPr>
              <m:t>n</m:t>
            </m:r>
            <m:r>
              <m:rPr>
                <m:sty m:val="bi"/>
              </m:rPr>
              <w:rPr>
                <w:rFonts w:ascii="Cambria Math" w:hAnsi="Cambria Math"/>
              </w:rPr>
              <m:t>,</m:t>
            </m:r>
            <m:r>
              <m:rPr>
                <m:sty m:val="bi"/>
              </m:rPr>
              <w:rPr>
                <w:rFonts w:ascii="Cambria Math" w:hAnsi="Cambria Math"/>
                <w:lang w:val="it-IT"/>
              </w:rPr>
              <m:t>c</m:t>
            </m:r>
          </m:sub>
        </m:sSub>
      </m:oMath>
      <w:r w:rsidRPr="00F24938">
        <w:rPr>
          <w:rFonts w:ascii="Cambria Math" w:hAnsi="Cambria Math"/>
          <w:b/>
          <w:bCs/>
          <w:i/>
          <w:iCs/>
        </w:rPr>
        <w:t xml:space="preserve"> </w:t>
      </w:r>
      <w:r w:rsidRPr="00F24938">
        <w:rPr>
          <w:rFonts w:ascii="Cambria Math" w:hAnsi="Cambria Math" w:cs="Cambria Math"/>
          <w:b/>
          <w:bCs/>
          <w:i/>
          <w:iCs/>
        </w:rPr>
        <w:t>∗</w:t>
      </w:r>
      <w:r w:rsidRPr="00F24938">
        <w:rPr>
          <w:rFonts w:ascii="Cambria Math" w:hAnsi="Cambria Math"/>
          <w:b/>
          <w:bCs/>
          <w:i/>
          <w:iCs/>
        </w:rPr>
        <w:t xml:space="preserve"> </w:t>
      </w:r>
      <m:oMath>
        <m:sSub>
          <m:sSubPr>
            <m:ctrlPr>
              <w:rPr>
                <w:rFonts w:ascii="Cambria Math" w:hAnsi="Cambria Math"/>
                <w:b/>
                <w:bCs/>
                <w:i/>
                <w:iCs/>
              </w:rPr>
            </m:ctrlPr>
          </m:sSubPr>
          <m:e>
            <m:r>
              <m:rPr>
                <m:sty m:val="bi"/>
              </m:rPr>
              <w:rPr>
                <w:rFonts w:ascii="Cambria Math" w:hAnsi="Cambria Math"/>
                <w:lang w:val="it-IT"/>
              </w:rPr>
              <m:t>p</m:t>
            </m:r>
          </m:e>
          <m:sub>
            <m:r>
              <m:rPr>
                <m:sty m:val="bi"/>
              </m:rPr>
              <w:rPr>
                <w:rFonts w:ascii="Cambria Math" w:hAnsi="Cambria Math"/>
                <w:lang w:val="it-IT"/>
              </w:rPr>
              <m:t>t</m:t>
            </m:r>
            <m:r>
              <m:rPr>
                <m:sty m:val="bi"/>
              </m:rPr>
              <w:rPr>
                <w:rFonts w:ascii="Cambria Math" w:hAnsi="Cambria Math"/>
              </w:rPr>
              <m:t>-1,</m:t>
            </m:r>
            <m:r>
              <m:rPr>
                <m:sty m:val="bi"/>
              </m:rPr>
              <w:rPr>
                <w:rFonts w:ascii="Cambria Math" w:hAnsi="Cambria Math"/>
                <w:lang w:val="it-IT"/>
              </w:rPr>
              <m:t>n</m:t>
            </m:r>
            <m:r>
              <m:rPr>
                <m:sty m:val="bi"/>
              </m:rPr>
              <w:rPr>
                <w:rFonts w:ascii="Cambria Math" w:hAnsi="Cambria Math"/>
              </w:rPr>
              <m:t>,</m:t>
            </m:r>
            <m:r>
              <m:rPr>
                <m:sty m:val="bi"/>
              </m:rPr>
              <w:rPr>
                <w:rFonts w:ascii="Cambria Math" w:hAnsi="Cambria Math"/>
                <w:lang w:val="it-IT"/>
              </w:rPr>
              <m:t>c</m:t>
            </m:r>
          </m:sub>
        </m:sSub>
      </m:oMath>
      <w:r w:rsidRPr="00F24938">
        <w:rPr>
          <w:rFonts w:ascii="Cambria Math" w:hAnsi="Cambria Math"/>
          <w:b/>
          <w:bCs/>
          <w:i/>
          <w:iCs/>
        </w:rPr>
        <w:t xml:space="preserve"> − </w:t>
      </w:r>
      <m:oMath>
        <m:sSub>
          <m:sSubPr>
            <m:ctrlPr>
              <w:rPr>
                <w:rFonts w:ascii="Cambria Math" w:hAnsi="Cambria Math"/>
                <w:b/>
                <w:bCs/>
                <w:i/>
                <w:iCs/>
              </w:rPr>
            </m:ctrlPr>
          </m:sSubPr>
          <m:e>
            <m:r>
              <m:rPr>
                <m:sty m:val="bi"/>
              </m:rPr>
              <w:rPr>
                <w:rFonts w:ascii="Cambria Math" w:hAnsi="Cambria Math"/>
                <w:lang w:val="it-IT"/>
              </w:rPr>
              <m:t>c</m:t>
            </m:r>
          </m:e>
          <m:sub>
            <m:r>
              <m:rPr>
                <m:sty m:val="bi"/>
              </m:rPr>
              <w:rPr>
                <w:rFonts w:ascii="Cambria Math" w:hAnsi="Cambria Math"/>
                <w:lang w:val="it-IT"/>
              </w:rPr>
              <m:t>t</m:t>
            </m:r>
            <m:r>
              <m:rPr>
                <m:sty m:val="bi"/>
              </m:rPr>
              <w:rPr>
                <w:rFonts w:ascii="Cambria Math" w:hAnsi="Cambria Math"/>
              </w:rPr>
              <m:t>-1,</m:t>
            </m:r>
            <m:r>
              <m:rPr>
                <m:sty m:val="bi"/>
              </m:rPr>
              <w:rPr>
                <w:rFonts w:ascii="Cambria Math" w:hAnsi="Cambria Math"/>
                <w:lang w:val="it-IT"/>
              </w:rPr>
              <m:t>n</m:t>
            </m:r>
            <m:r>
              <m:rPr>
                <m:sty m:val="bi"/>
              </m:rPr>
              <w:rPr>
                <w:rFonts w:ascii="Cambria Math" w:hAnsi="Cambria Math"/>
              </w:rPr>
              <m:t>,</m:t>
            </m:r>
            <m:r>
              <m:rPr>
                <m:sty m:val="bi"/>
              </m:rPr>
              <w:rPr>
                <w:rFonts w:ascii="Cambria Math" w:hAnsi="Cambria Math"/>
                <w:lang w:val="it-IT"/>
              </w:rPr>
              <m:t>c</m:t>
            </m:r>
          </m:sub>
        </m:sSub>
      </m:oMath>
      <w:r w:rsidRPr="00F24938">
        <w:rPr>
          <w:rFonts w:ascii="Cambria Math" w:hAnsi="Cambria Math"/>
          <w:b/>
          <w:bCs/>
          <w:i/>
          <w:iCs/>
        </w:rPr>
        <w:t xml:space="preserve">) </w:t>
      </w:r>
      <w:r w:rsidRPr="00F24938">
        <w:rPr>
          <w:rFonts w:ascii="Cambria Math" w:hAnsi="Cambria Math" w:cs="Cambria Math"/>
          <w:b/>
          <w:bCs/>
          <w:i/>
          <w:iCs/>
        </w:rPr>
        <w:t>∗</w:t>
      </w:r>
      <w:r w:rsidRPr="00F24938">
        <w:rPr>
          <w:rFonts w:ascii="Cambria Math" w:hAnsi="Cambria Math"/>
          <w:b/>
          <w:bCs/>
          <w:i/>
          <w:iCs/>
        </w:rPr>
        <w:t xml:space="preserve"> </w:t>
      </w:r>
      <m:oMath>
        <m:sSub>
          <m:sSubPr>
            <m:ctrlPr>
              <w:rPr>
                <w:rFonts w:ascii="Cambria Math" w:hAnsi="Cambria Math"/>
                <w:b/>
                <w:bCs/>
                <w:i/>
                <w:iCs/>
              </w:rPr>
            </m:ctrlPr>
          </m:sSubPr>
          <m:e>
            <m:r>
              <m:rPr>
                <m:sty m:val="bi"/>
              </m:rPr>
              <w:rPr>
                <w:rFonts w:ascii="Cambria Math" w:hAnsi="Cambria Math"/>
                <w:lang w:val="it-IT"/>
              </w:rPr>
              <m:t>NP</m:t>
            </m:r>
          </m:e>
          <m:sub>
            <m:r>
              <m:rPr>
                <m:sty m:val="bi"/>
              </m:rPr>
              <w:rPr>
                <w:rFonts w:ascii="Cambria Math" w:hAnsi="Cambria Math"/>
                <w:lang w:val="it-IT"/>
              </w:rPr>
              <m:t>t</m:t>
            </m:r>
            <m:r>
              <m:rPr>
                <m:sty m:val="bi"/>
              </m:rPr>
              <w:rPr>
                <w:rFonts w:ascii="Cambria Math" w:hAnsi="Cambria Math"/>
              </w:rPr>
              <m:t>,</m:t>
            </m:r>
            <m:r>
              <m:rPr>
                <m:sty m:val="bi"/>
              </m:rPr>
              <w:rPr>
                <w:rFonts w:ascii="Cambria Math" w:hAnsi="Cambria Math"/>
                <w:lang w:val="it-IT"/>
              </w:rPr>
              <m:t>n</m:t>
            </m:r>
          </m:sub>
        </m:sSub>
      </m:oMath>
      <w:r>
        <w:t xml:space="preserve">                                    </w:t>
      </w:r>
      <w:r w:rsidR="002F2A74">
        <w:t xml:space="preserve">                                                  </w:t>
      </w:r>
      <w:r>
        <w:t>(1)</w:t>
      </w:r>
    </w:p>
    <w:p w14:paraId="121A5729" w14:textId="7E948766" w:rsidR="00F24938" w:rsidRDefault="00F24938" w:rsidP="00F24938">
      <w:r>
        <w:t>Where</w:t>
      </w:r>
      <w:r w:rsidR="002A3FF3">
        <w:t>:</w:t>
      </w:r>
    </w:p>
    <w:p w14:paraId="178E75EC" w14:textId="77777777" w:rsidR="00F24938" w:rsidRDefault="00F24938" w:rsidP="00F24938">
      <w:r>
        <w:rPr>
          <w:rFonts w:ascii="Cambria Math" w:hAnsi="Cambria Math" w:cs="Cambria Math"/>
          <w:lang w:val="it-IT"/>
        </w:rPr>
        <w:t>𝑡</w:t>
      </w:r>
      <w:r>
        <w:t xml:space="preserve"> = 0, 1, 2, …11 steps of time with each three-year rotation period, t = 0 is the base period </w:t>
      </w:r>
      <m:oMath>
        <m:r>
          <w:rPr>
            <w:rFonts w:ascii="Cambria Math" w:hAnsi="Cambria Math"/>
            <w:lang w:val="it-IT"/>
          </w:rPr>
          <m:t>n</m:t>
        </m:r>
      </m:oMath>
      <w:r>
        <w:t xml:space="preserve"> = 1st, 2nd, and 3rd year of period t respectively.</w:t>
      </w:r>
    </w:p>
    <w:p w14:paraId="4F4E90C9" w14:textId="77777777" w:rsidR="00F24938" w:rsidRDefault="00F24938" w:rsidP="00F24938">
      <m:oMath>
        <m:r>
          <w:rPr>
            <w:rFonts w:ascii="Cambria Math" w:hAnsi="Cambria Math"/>
            <w:lang w:val="it-IT"/>
          </w:rPr>
          <w:lastRenderedPageBreak/>
          <m:t>c</m:t>
        </m:r>
      </m:oMath>
      <w:r>
        <w:t xml:space="preserve"> = types of crops, where 1 = soft wheat, 2 = maize, 3 = barley, 4= soybean.</w:t>
      </w:r>
    </w:p>
    <w:p w14:paraId="141555C0" w14:textId="77777777" w:rsidR="00F24938" w:rsidRDefault="00F24938" w:rsidP="00F24938">
      <w:r>
        <w:rPr>
          <w:rFonts w:ascii="Cambria Math" w:hAnsi="Cambria Math" w:cs="Cambria Math"/>
          <w:lang w:val="it-IT"/>
        </w:rPr>
        <w:t>𝑃𝑡</w:t>
      </w:r>
      <w:r>
        <w:t xml:space="preserve"> = the profit of a crop for a particular year </w:t>
      </w:r>
    </w:p>
    <w:p w14:paraId="11875B5A" w14:textId="77777777" w:rsidR="00F24938" w:rsidRDefault="00000000" w:rsidP="00F24938">
      <m:oMath>
        <m:sSub>
          <m:sSubPr>
            <m:ctrlPr>
              <w:rPr>
                <w:rFonts w:ascii="Cambria Math" w:hAnsi="Cambria Math"/>
                <w:i/>
              </w:rPr>
            </m:ctrlPr>
          </m:sSubPr>
          <m:e>
            <m:r>
              <w:rPr>
                <w:rFonts w:ascii="Cambria Math" w:hAnsi="Cambria Math"/>
                <w:lang w:val="it-IT"/>
              </w:rPr>
              <m:t>y</m:t>
            </m:r>
          </m:e>
          <m:sub>
            <m:r>
              <w:rPr>
                <w:rFonts w:ascii="Cambria Math" w:hAnsi="Cambria Math"/>
                <w:lang w:val="it-IT"/>
              </w:rPr>
              <m:t>t</m:t>
            </m:r>
            <m:r>
              <w:rPr>
                <w:rFonts w:ascii="Cambria Math" w:hAnsi="Cambria Math"/>
              </w:rPr>
              <m:t>-1,</m:t>
            </m:r>
            <m:r>
              <w:rPr>
                <w:rFonts w:ascii="Cambria Math" w:hAnsi="Cambria Math"/>
                <w:lang w:val="it-IT"/>
              </w:rPr>
              <m:t>n</m:t>
            </m:r>
            <m:r>
              <w:rPr>
                <w:rFonts w:ascii="Cambria Math" w:hAnsi="Cambria Math"/>
              </w:rPr>
              <m:t>,</m:t>
            </m:r>
            <m:r>
              <w:rPr>
                <w:rFonts w:ascii="Cambria Math" w:hAnsi="Cambria Math"/>
                <w:lang w:val="it-IT"/>
              </w:rPr>
              <m:t>c</m:t>
            </m:r>
            <m:r>
              <w:rPr>
                <w:rFonts w:ascii="Cambria Math" w:hAnsi="Cambria Math"/>
              </w:rPr>
              <m:t xml:space="preserve">= </m:t>
            </m:r>
          </m:sub>
        </m:sSub>
      </m:oMath>
      <w:r w:rsidR="00F24938">
        <w:t xml:space="preserve"> yield of a crop for a particular year </w:t>
      </w:r>
    </w:p>
    <w:p w14:paraId="10C852CE" w14:textId="77777777" w:rsidR="00F24938" w:rsidRDefault="00000000" w:rsidP="00F24938">
      <m:oMath>
        <m:sSub>
          <m:sSubPr>
            <m:ctrlPr>
              <w:rPr>
                <w:rFonts w:ascii="Cambria Math" w:hAnsi="Cambria Math"/>
                <w:i/>
              </w:rPr>
            </m:ctrlPr>
          </m:sSubPr>
          <m:e>
            <m:r>
              <w:rPr>
                <w:rFonts w:ascii="Cambria Math" w:hAnsi="Cambria Math"/>
                <w:lang w:val="it-IT"/>
              </w:rPr>
              <m:t>p</m:t>
            </m:r>
          </m:e>
          <m:sub>
            <m:r>
              <w:rPr>
                <w:rFonts w:ascii="Cambria Math" w:hAnsi="Cambria Math"/>
                <w:lang w:val="it-IT"/>
              </w:rPr>
              <m:t>t</m:t>
            </m:r>
            <m:r>
              <w:rPr>
                <w:rFonts w:ascii="Cambria Math" w:hAnsi="Cambria Math"/>
              </w:rPr>
              <m:t>-1,</m:t>
            </m:r>
            <m:r>
              <w:rPr>
                <w:rFonts w:ascii="Cambria Math" w:hAnsi="Cambria Math"/>
                <w:lang w:val="it-IT"/>
              </w:rPr>
              <m:t>n</m:t>
            </m:r>
            <m:r>
              <w:rPr>
                <w:rFonts w:ascii="Cambria Math" w:hAnsi="Cambria Math"/>
              </w:rPr>
              <m:t>,</m:t>
            </m:r>
            <m:r>
              <w:rPr>
                <w:rFonts w:ascii="Cambria Math" w:hAnsi="Cambria Math"/>
                <w:lang w:val="it-IT"/>
              </w:rPr>
              <m:t>c</m:t>
            </m:r>
          </m:sub>
        </m:sSub>
      </m:oMath>
      <w:r w:rsidR="00F24938">
        <w:t xml:space="preserve"> = price of a crop for a particular year </w:t>
      </w:r>
    </w:p>
    <w:p w14:paraId="701D6AC5" w14:textId="77777777" w:rsidR="00F24938" w:rsidRDefault="00000000" w:rsidP="00F24938">
      <m:oMath>
        <m:sSub>
          <m:sSubPr>
            <m:ctrlPr>
              <w:rPr>
                <w:rFonts w:ascii="Cambria Math" w:hAnsi="Cambria Math"/>
                <w:i/>
              </w:rPr>
            </m:ctrlPr>
          </m:sSubPr>
          <m:e>
            <m:r>
              <w:rPr>
                <w:rFonts w:ascii="Cambria Math" w:hAnsi="Cambria Math"/>
                <w:lang w:val="it-IT"/>
              </w:rPr>
              <m:t>c</m:t>
            </m:r>
          </m:e>
          <m:sub>
            <m:r>
              <w:rPr>
                <w:rFonts w:ascii="Cambria Math" w:hAnsi="Cambria Math"/>
                <w:lang w:val="it-IT"/>
              </w:rPr>
              <m:t>t</m:t>
            </m:r>
            <m:r>
              <w:rPr>
                <w:rFonts w:ascii="Cambria Math" w:hAnsi="Cambria Math"/>
              </w:rPr>
              <m:t>-1,</m:t>
            </m:r>
            <m:r>
              <w:rPr>
                <w:rFonts w:ascii="Cambria Math" w:hAnsi="Cambria Math"/>
                <w:lang w:val="it-IT"/>
              </w:rPr>
              <m:t>n</m:t>
            </m:r>
            <m:r>
              <w:rPr>
                <w:rFonts w:ascii="Cambria Math" w:hAnsi="Cambria Math"/>
              </w:rPr>
              <m:t>,</m:t>
            </m:r>
            <m:r>
              <w:rPr>
                <w:rFonts w:ascii="Cambria Math" w:hAnsi="Cambria Math"/>
                <w:lang w:val="it-IT"/>
              </w:rPr>
              <m:t>c</m:t>
            </m:r>
          </m:sub>
        </m:sSub>
      </m:oMath>
      <w:r w:rsidR="00F24938">
        <w:t xml:space="preserve">= cost of a crop for a particular year </w:t>
      </w:r>
    </w:p>
    <w:p w14:paraId="339601C7" w14:textId="571AF830" w:rsidR="00F24938" w:rsidRDefault="00000000" w:rsidP="00F24938">
      <m:oMath>
        <m:sSub>
          <m:sSubPr>
            <m:ctrlPr>
              <w:rPr>
                <w:rFonts w:ascii="Cambria Math" w:hAnsi="Cambria Math"/>
                <w:i/>
              </w:rPr>
            </m:ctrlPr>
          </m:sSubPr>
          <m:e>
            <m:r>
              <w:rPr>
                <w:rFonts w:ascii="Cambria Math" w:hAnsi="Cambria Math"/>
                <w:lang w:val="it-IT"/>
              </w:rPr>
              <m:t>NP</m:t>
            </m:r>
          </m:e>
          <m:sub>
            <m:r>
              <w:rPr>
                <w:rFonts w:ascii="Cambria Math" w:hAnsi="Cambria Math"/>
                <w:lang w:val="it-IT"/>
              </w:rPr>
              <m:t>t</m:t>
            </m:r>
            <m:r>
              <w:rPr>
                <w:rFonts w:ascii="Cambria Math" w:hAnsi="Cambria Math"/>
              </w:rPr>
              <m:t>,</m:t>
            </m:r>
            <m:r>
              <w:rPr>
                <w:rFonts w:ascii="Cambria Math" w:hAnsi="Cambria Math"/>
                <w:lang w:val="it-IT"/>
              </w:rPr>
              <m:t>n</m:t>
            </m:r>
          </m:sub>
        </m:sSub>
      </m:oMath>
      <w:r w:rsidR="00F24938">
        <w:t xml:space="preserve">= the multiplier to determine the NPV, where </w:t>
      </w:r>
      <m:oMath>
        <m:sSup>
          <m:sSupPr>
            <m:ctrlPr>
              <w:rPr>
                <w:rFonts w:ascii="Cambria Math" w:hAnsi="Cambria Math"/>
                <w:i/>
              </w:rPr>
            </m:ctrlPr>
          </m:sSupPr>
          <m:e>
            <m:sSub>
              <m:sSubPr>
                <m:ctrlPr>
                  <w:rPr>
                    <w:rFonts w:ascii="Cambria Math" w:hAnsi="Cambria Math"/>
                    <w:i/>
                  </w:rPr>
                </m:ctrlPr>
              </m:sSubPr>
              <m:e>
                <m:r>
                  <w:rPr>
                    <w:rFonts w:ascii="Cambria Math" w:hAnsi="Cambria Math"/>
                    <w:lang w:val="it-IT"/>
                  </w:rPr>
                  <m:t>NP</m:t>
                </m:r>
              </m:e>
              <m:sub>
                <m:r>
                  <w:rPr>
                    <w:rFonts w:ascii="Cambria Math" w:hAnsi="Cambria Math"/>
                    <w:lang w:val="it-IT"/>
                  </w:rPr>
                  <m:t>t</m:t>
                </m:r>
                <m:r>
                  <w:rPr>
                    <w:rFonts w:ascii="Cambria Math" w:hAnsi="Cambria Math"/>
                  </w:rPr>
                  <m:t>,</m:t>
                </m:r>
                <m:r>
                  <w:rPr>
                    <w:rFonts w:ascii="Cambria Math" w:hAnsi="Cambria Math"/>
                    <w:lang w:val="it-IT"/>
                  </w:rPr>
                  <m:t>n</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1+</m:t>
                    </m:r>
                    <m:r>
                      <w:rPr>
                        <w:rFonts w:ascii="Cambria Math" w:hAnsi="Cambria Math"/>
                        <w:lang w:val="it-IT"/>
                      </w:rPr>
                      <m:t>r</m:t>
                    </m:r>
                  </m:den>
                </m:f>
              </m:e>
            </m:d>
          </m:e>
          <m:sup>
            <m:r>
              <w:rPr>
                <w:rFonts w:ascii="Cambria Math" w:hAnsi="Cambria Math"/>
              </w:rPr>
              <m:t>(3</m:t>
            </m:r>
            <m:r>
              <w:rPr>
                <w:rFonts w:ascii="Cambria Math" w:hAnsi="Cambria Math"/>
                <w:lang w:val="it-IT"/>
              </w:rPr>
              <m:t>t</m:t>
            </m:r>
            <m:r>
              <w:rPr>
                <w:rFonts w:ascii="Cambria Math" w:hAnsi="Cambria Math"/>
              </w:rPr>
              <m:t>+</m:t>
            </m:r>
            <m:r>
              <w:rPr>
                <w:rFonts w:ascii="Cambria Math" w:hAnsi="Cambria Math"/>
                <w:lang w:val="it-IT"/>
              </w:rPr>
              <m:t>n</m:t>
            </m:r>
            <m:r>
              <w:rPr>
                <w:rFonts w:ascii="Cambria Math" w:hAnsi="Cambria Math"/>
              </w:rPr>
              <m:t>)</m:t>
            </m:r>
          </m:sup>
        </m:sSup>
      </m:oMath>
      <w:r w:rsidR="00F24938">
        <w:t xml:space="preserve">, and </w:t>
      </w:r>
      <m:oMath>
        <m:r>
          <w:rPr>
            <w:rFonts w:ascii="Cambria Math" w:hAnsi="Cambria Math"/>
            <w:lang w:val="it-IT"/>
          </w:rPr>
          <m:t>r</m:t>
        </m:r>
      </m:oMath>
      <w:r w:rsidR="00F24938">
        <w:t xml:space="preserve"> is the real discount rate </w:t>
      </w:r>
      <w:r w:rsidR="00F24938">
        <w:fldChar w:fldCharType="begin"/>
      </w:r>
      <w:r w:rsidR="00F24938">
        <w:instrText xml:space="preserve"> ADDIN ZOTERO_ITEM CSL_CITATION {"citationID":"ljWLsMG5","properties":{"formattedCitation":"(Godsey, 2010)","plainCitation":"(Godsey, 2010)","noteIndex":0},"citationItems":[{"id":824,"uris":["http://zotero.org/users/9003255/items/2UMUAZGX"],"itemData":{"id":824,"type":"document","language":"en","source":"Zotero","title":"Economic Budgeting for Agroforestry Practices","URL":"https://centerforagroforestry.org/","author":[{"family":"Godsey","given":"Larry D"}],"accessed":{"date-parts":[["2024",5,31]]},"issued":{"date-parts":[["2010"]]}}}],"schema":"https://github.com/citation-style-language/schema/raw/master/csl-citation.json"} </w:instrText>
      </w:r>
      <w:r w:rsidR="00F24938">
        <w:fldChar w:fldCharType="separate"/>
      </w:r>
      <w:r w:rsidR="002A3FF3">
        <w:t>(Godsey, 2010)</w:t>
      </w:r>
      <w:r w:rsidR="00F24938">
        <w:fldChar w:fldCharType="end"/>
      </w:r>
      <w:r w:rsidR="00F24938">
        <w:t xml:space="preserve">. By using a discount rate of 6% </w:t>
      </w:r>
      <w:r w:rsidR="00F24938">
        <w:fldChar w:fldCharType="begin"/>
      </w:r>
      <w:r w:rsidR="00F24938">
        <w:instrText xml:space="preserve"> ADDIN ZOTERO_ITEM CSL_CITATION {"citationID":"CqJVoECQ","properties":{"formattedCitation":"(K. Ullah and Crooks, 2022; Upadhaya and Dwivedi, 2019)","plainCitation":"(K. Ullah and Crooks, 2022; Upadhaya and Dwivedi, 2019)","dontUpdate":true,"noteIndex":0},"citationItems":[{"id":798,"uris":["http://zotero.org/users/9003255/items/UF33F6TE"],"itemData":{"id":798,"type":"chapter","abstract":"The use of fossil fuels is the primary source of greenhouse gas emissions but there are alternatives to these especially in the form of biofuels, fuels derived from bioenergy crops. This paper aims to determine farmers’ potential adoption rates of newly introduced bioenergy crops with a specific example of carinata in the state of Georgia. The determination is done using an agent-based modeling technique with two principal assumptions – farmers are profit maximizer and they are influenced by neighboring farmers. Two diffusion parameters (traditional and expansion) are followed along with two willingness (high and low) scenarios to switch at varying production economics to carinata and other prominent traditional field crops (cotton, peanuts, corn) in the study region. The paper finds that a contract prices around $9, $8 and $7 can be a viable option for encouraging farmers to adopt carinata in low, average, and high profit conditions, respectively. Expansion diffusion (that diffuses all over the geographical area), rather than centered to the few places like traditional diffusion at the early stage of adoption in conjunction with higher willingness conditions influences higher adoption rates in the short-term. As such, the model can be used to understand the behavioral economics of carinata in Georgia and beyond, as well as offering a potential tool to study similar bioenergy crops.","container-title":"Proceedings of the 2022 Conference of The Computational Social Science Society of the Americas","event-place":"Cham","ISBN":"978-3-031-37552-1","language":"en","note":"collection-title: Springer Proceedings in Complexity\nDOI: 10.1007/978-3-031-37553-8_5","page":"63-75","publisher":"Springer International Publishing","publisher-place":"Cham","source":"DOI.org (Crossref)","title":"Modeling Farmers’ Adoption Potential to New Bioenergy Crops: An Agent-Based Approach","title-short":"Modeling Farmers’ Adoption Potential to New Bioenergy Crops","URL":"https://link.springer.com/10.1007/978-3-031-37553-8_5","editor":[{"family":"Yang","given":"Zining"},{"family":"Núñez-Corrales","given":"Santiago"}],"author":[{"family":"Ullah","given":"Kazi"},{"family":"Crooks","given":"Andrew"}],"accessed":{"date-parts":[["2024",5,27]]},"issued":{"date-parts":[["2022"]]}}},{"id":816,"uris":["http://zotero.org/users/9003255/items/2VD9A8Z3"],"itemData":{"id":816,"type":"article-journal","abstract":"Several studies have analyzed the social, economic, and environmental impacts of deforestation in the context of developing countries. However, no study, to the best of our knowledge, has focused directly on the role of expanding demand for agricultural commodities on deforestation in the context of developed countries, in general, and the United States, in particular. We used an integrative approach to understand linkages between deforestation and agricultural expansion in SE Georgia where about 15,000 hectares of evergreen forestlands and grasslands have been converted to blueberries between 2010 and 2017. We first developed economic models to understand any differences in profitability between a hectare of pine plantation and blueberry orchard. The economic analysis shows that the annualized net present value of blueberry production is higher by $3848.0/ha than loblolly pine in the region. We developed a site suitability model using geospatial tools for blueberry production in SE Georgia as well and found that about 85% of the available land is suitable for blueberry production in SE Georgia. We also found that about 80% of existing pine forestlands overlap with the land that is suitable for blueberry production. Our results indicate that a further rise in the demand for blueberries could increase deforestation in SE Georgia. We suggest an integrated approach based on innovative economic policies for reducing deforestation in SE Georgia.","container-title":"Agricultural Systems","DOI":"10.1016/j.agsy.2019.01.002","ISSN":"0308521X","journalAbbreviation":"Agricultural Systems","language":"en","page":"39-48","source":"DOI.org (Crossref)","title":"The role and potential of blueberry in increasing deforestation in southern Georgia, United States","volume":"173","author":[{"family":"Upadhaya","given":"Suraj"},{"family":"Dwivedi","given":"Puneet"}],"issued":{"date-parts":[["2019",7]]}}}],"schema":"https://github.com/citation-style-language/schema/raw/master/csl-citation.json"} </w:instrText>
      </w:r>
      <w:r w:rsidR="00F24938">
        <w:fldChar w:fldCharType="separate"/>
      </w:r>
      <w:r w:rsidR="00F24938">
        <w:t>(Ullah and Crooks, 2022; Upadhaya and Dwivedi, 2019)</w:t>
      </w:r>
      <w:r w:rsidR="00F24938">
        <w:fldChar w:fldCharType="end"/>
      </w:r>
      <w:r w:rsidR="00F24938">
        <w:t>, the model ensures that farmers' decisions take into account the diminishing value of future earnings, leading to more realistic and rational economic behavior.</w:t>
      </w:r>
    </w:p>
    <w:p w14:paraId="1CCEECA9" w14:textId="3278C808" w:rsidR="00F24938" w:rsidRDefault="00F24938" w:rsidP="00F24938">
      <w:r>
        <w:t xml:space="preserve">The profit from a crop rotation with buckwheat is calculated using Eq. 2, where the contract price, yield, and production cost impacts for buckwheat is constant over the simulation period. </w:t>
      </w:r>
    </w:p>
    <w:p w14:paraId="06F692AE" w14:textId="72C150D3" w:rsidR="00F24938" w:rsidRDefault="00F24938" w:rsidP="00F24938">
      <w:pPr>
        <w:spacing w:before="240"/>
      </w:pPr>
      <w:r w:rsidRPr="00F24938">
        <w:rPr>
          <w:rFonts w:ascii="Cambria Math" w:hAnsi="Cambria Math" w:cs="Cambria Math"/>
          <w:b/>
          <w:bCs/>
          <w:i/>
          <w:iCs/>
        </w:rPr>
        <w:t>𝑃</w:t>
      </w:r>
      <w:r w:rsidRPr="00F24938">
        <w:rPr>
          <w:rFonts w:ascii="Cambria Math" w:hAnsi="Cambria Math"/>
          <w:b/>
          <w:bCs/>
          <w:i/>
          <w:iCs/>
        </w:rPr>
        <w:t xml:space="preserve">b = </w:t>
      </w: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c</m:t>
            </m:r>
          </m:sub>
        </m:sSub>
      </m:oMath>
      <w:r w:rsidRPr="00F24938">
        <w:rPr>
          <w:rFonts w:ascii="Cambria Math" w:hAnsi="Cambria Math" w:cs="Cambria Math"/>
          <w:b/>
          <w:bCs/>
          <w:i/>
          <w:iCs/>
        </w:rPr>
        <w:t>∗</w:t>
      </w:r>
      <m:oMath>
        <m:sSub>
          <m:sSubPr>
            <m:ctrlPr>
              <w:rPr>
                <w:rFonts w:ascii="Cambria Math" w:hAnsi="Cambria Math"/>
                <w:b/>
                <w:bCs/>
                <w:i/>
                <w:iCs/>
              </w:rPr>
            </m:ctrlPr>
          </m:sSubPr>
          <m:e>
            <m:r>
              <m:rPr>
                <m:sty m:val="bi"/>
              </m:rPr>
              <w:rPr>
                <w:rFonts w:ascii="Cambria Math" w:hAnsi="Cambria Math"/>
              </w:rPr>
              <m:t>NP</m:t>
            </m:r>
          </m:e>
          <m:sub>
            <m:r>
              <m:rPr>
                <m:sty m:val="bi"/>
              </m:rPr>
              <w:rPr>
                <w:rFonts w:ascii="Cambria Math" w:hAnsi="Cambria Math"/>
              </w:rPr>
              <m:t>t,n=1</m:t>
            </m:r>
          </m:sub>
        </m:sSub>
        <m:r>
          <m:rPr>
            <m:sty m:val="bi"/>
          </m:rPr>
          <w:rPr>
            <w:rFonts w:ascii="Cambria Math" w:hAnsi="Cambria Math"/>
          </w:rPr>
          <m:t>+</m:t>
        </m:r>
      </m:oMath>
      <w:r w:rsidRPr="00F24938">
        <w:rPr>
          <w:rFonts w:ascii="Cambria Math" w:hAnsi="Cambria Math"/>
          <w:b/>
          <w:bCs/>
          <w:i/>
          <w:iCs/>
        </w:rPr>
        <w:t xml:space="preserve"> </w:t>
      </w: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c</m:t>
            </m:r>
          </m:sub>
        </m:sSub>
      </m:oMath>
      <w:r w:rsidRPr="00F24938">
        <w:rPr>
          <w:rFonts w:ascii="Cambria Math" w:hAnsi="Cambria Math" w:cs="Cambria Math"/>
          <w:b/>
          <w:bCs/>
          <w:i/>
          <w:iCs/>
        </w:rPr>
        <w:t>∗</w:t>
      </w:r>
      <m:oMath>
        <m:sSub>
          <m:sSubPr>
            <m:ctrlPr>
              <w:rPr>
                <w:rFonts w:ascii="Cambria Math" w:hAnsi="Cambria Math"/>
                <w:b/>
                <w:bCs/>
                <w:i/>
                <w:iCs/>
              </w:rPr>
            </m:ctrlPr>
          </m:sSubPr>
          <m:e>
            <m:r>
              <m:rPr>
                <m:sty m:val="bi"/>
              </m:rPr>
              <w:rPr>
                <w:rFonts w:ascii="Cambria Math" w:hAnsi="Cambria Math"/>
              </w:rPr>
              <m:t>NP</m:t>
            </m:r>
          </m:e>
          <m:sub>
            <m:r>
              <m:rPr>
                <m:sty m:val="bi"/>
              </m:rPr>
              <w:rPr>
                <w:rFonts w:ascii="Cambria Math" w:hAnsi="Cambria Math"/>
              </w:rPr>
              <m:t>t,n=2</m:t>
            </m:r>
          </m:sub>
        </m:sSub>
        <m:r>
          <m:rPr>
            <m:sty m:val="bi"/>
          </m:rPr>
          <w:rPr>
            <w:rFonts w:ascii="Cambria Math" w:hAnsi="Cambria Math"/>
          </w:rPr>
          <m:t>+</m:t>
        </m:r>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bu</m:t>
            </m:r>
          </m:sub>
        </m:sSub>
      </m:oMath>
      <w:r w:rsidRPr="00F24938">
        <w:rPr>
          <w:rFonts w:ascii="Cambria Math" w:hAnsi="Cambria Math" w:cs="Cambria Math"/>
          <w:b/>
          <w:bCs/>
          <w:i/>
          <w:iCs/>
        </w:rPr>
        <w:t>∗</w:t>
      </w:r>
      <m:oMath>
        <m:sSub>
          <m:sSubPr>
            <m:ctrlPr>
              <w:rPr>
                <w:rFonts w:ascii="Cambria Math" w:hAnsi="Cambria Math"/>
                <w:b/>
                <w:bCs/>
                <w:i/>
                <w:iCs/>
              </w:rPr>
            </m:ctrlPr>
          </m:sSubPr>
          <m:e>
            <m:r>
              <m:rPr>
                <m:sty m:val="bi"/>
              </m:rPr>
              <w:rPr>
                <w:rFonts w:ascii="Cambria Math" w:hAnsi="Cambria Math"/>
              </w:rPr>
              <m:t>NP</m:t>
            </m:r>
          </m:e>
          <m:sub>
            <m:r>
              <m:rPr>
                <m:sty m:val="bi"/>
              </m:rPr>
              <w:rPr>
                <w:rFonts w:ascii="Cambria Math" w:hAnsi="Cambria Math"/>
              </w:rPr>
              <m:t>t,n=2</m:t>
            </m:r>
          </m:sub>
        </m:sSub>
        <m:r>
          <m:rPr>
            <m:sty m:val="bi"/>
          </m:rPr>
          <w:rPr>
            <w:rFonts w:ascii="Cambria Math" w:hAnsi="Cambria Math"/>
          </w:rPr>
          <m:t>+</m:t>
        </m:r>
      </m:oMath>
      <w:r w:rsidRPr="00F24938">
        <w:rPr>
          <w:rFonts w:ascii="Cambria Math" w:hAnsi="Cambria Math"/>
          <w:b/>
          <w:bCs/>
          <w:i/>
          <w:iCs/>
        </w:rPr>
        <w:t xml:space="preserve"> </w:t>
      </w:r>
      <m:oMath>
        <m:sSub>
          <m:sSubPr>
            <m:ctrlPr>
              <w:rPr>
                <w:rFonts w:ascii="Cambria Math" w:hAnsi="Cambria Math"/>
                <w:b/>
                <w:bCs/>
                <w:i/>
                <w:iCs/>
              </w:rPr>
            </m:ctrlPr>
          </m:sSubPr>
          <m:e>
            <m:r>
              <m:rPr>
                <m:sty m:val="bi"/>
              </m:rPr>
              <w:rPr>
                <w:rFonts w:ascii="Cambria Math" w:hAnsi="Cambria Math"/>
              </w:rPr>
              <m:t>P</m:t>
            </m:r>
          </m:e>
          <m:sub>
            <m:r>
              <m:rPr>
                <m:sty m:val="bi"/>
              </m:rPr>
              <w:rPr>
                <w:rFonts w:ascii="Cambria Math" w:hAnsi="Cambria Math"/>
              </w:rPr>
              <m:t>c</m:t>
            </m:r>
          </m:sub>
        </m:sSub>
      </m:oMath>
      <w:r w:rsidRPr="00F24938">
        <w:rPr>
          <w:rFonts w:ascii="Cambria Math" w:hAnsi="Cambria Math"/>
          <w:b/>
          <w:bCs/>
          <w:i/>
          <w:iCs/>
        </w:rPr>
        <w:t xml:space="preserve"> *</w:t>
      </w:r>
      <w:r w:rsidRPr="00F24938">
        <w:rPr>
          <w:rFonts w:ascii="Cambria Math" w:hAnsi="Cambria Math" w:cs="Cambria Math"/>
          <w:b/>
          <w:bCs/>
          <w:i/>
          <w:iCs/>
        </w:rPr>
        <w:t>∗</w:t>
      </w:r>
      <m:oMath>
        <m:sSub>
          <m:sSubPr>
            <m:ctrlPr>
              <w:rPr>
                <w:rFonts w:ascii="Cambria Math" w:hAnsi="Cambria Math"/>
                <w:b/>
                <w:bCs/>
                <w:i/>
                <w:iCs/>
              </w:rPr>
            </m:ctrlPr>
          </m:sSubPr>
          <m:e>
            <m:r>
              <m:rPr>
                <m:sty m:val="bi"/>
              </m:rPr>
              <w:rPr>
                <w:rFonts w:ascii="Cambria Math" w:hAnsi="Cambria Math"/>
              </w:rPr>
              <m:t>NP</m:t>
            </m:r>
          </m:e>
          <m:sub>
            <m:r>
              <m:rPr>
                <m:sty m:val="bi"/>
              </m:rPr>
              <w:rPr>
                <w:rFonts w:ascii="Cambria Math" w:hAnsi="Cambria Math"/>
              </w:rPr>
              <m:t>t,n=3</m:t>
            </m:r>
          </m:sub>
        </m:sSub>
      </m:oMath>
      <w:r>
        <w:t xml:space="preserve">                       </w:t>
      </w:r>
      <w:r w:rsidR="002F2A74">
        <w:t xml:space="preserve">                       </w:t>
      </w:r>
      <w:r>
        <w:t xml:space="preserve">     (2)</w:t>
      </w:r>
    </w:p>
    <w:p w14:paraId="72C99276" w14:textId="231B6245" w:rsidR="00F24938" w:rsidRDefault="00F24938" w:rsidP="00F24938">
      <w:r>
        <w:t>Where</w:t>
      </w:r>
      <w:r w:rsidR="002A3FF3">
        <w:t>:</w:t>
      </w:r>
    </w:p>
    <w:p w14:paraId="3A04B732" w14:textId="77777777" w:rsidR="00F24938" w:rsidRDefault="00F24938" w:rsidP="00F24938">
      <w:r>
        <w:rPr>
          <w:rFonts w:ascii="Cambria Math" w:hAnsi="Cambria Math" w:cs="Cambria Math"/>
          <w:lang w:val="it-IT"/>
        </w:rPr>
        <w:t>𝑃</w:t>
      </w:r>
      <w:r>
        <w:t>b= profit from crop rotation with buckwheat</w:t>
      </w:r>
    </w:p>
    <w:p w14:paraId="61F4DC98" w14:textId="77777777" w:rsidR="00F24938" w:rsidRDefault="00000000" w:rsidP="00F24938">
      <m:oMath>
        <m:sSub>
          <m:sSubPr>
            <m:ctrlPr>
              <w:rPr>
                <w:rFonts w:ascii="Cambria Math" w:hAnsi="Cambria Math"/>
                <w:i/>
              </w:rPr>
            </m:ctrlPr>
          </m:sSubPr>
          <m:e>
            <m:r>
              <w:rPr>
                <w:rFonts w:ascii="Cambria Math" w:hAnsi="Cambria Math"/>
                <w:lang w:val="it-IT"/>
              </w:rPr>
              <m:t>P</m:t>
            </m:r>
          </m:e>
          <m:sub>
            <m:r>
              <w:rPr>
                <w:rFonts w:ascii="Cambria Math" w:hAnsi="Cambria Math"/>
                <w:lang w:val="it-IT"/>
              </w:rPr>
              <m:t>c</m:t>
            </m:r>
          </m:sub>
        </m:sSub>
      </m:oMath>
      <w:r w:rsidR="00F24938">
        <w:t xml:space="preserve"> = profit from one of the three crops (</w:t>
      </w:r>
      <m:oMath>
        <m:r>
          <w:rPr>
            <w:rFonts w:ascii="Cambria Math" w:hAnsi="Cambria Math"/>
            <w:lang w:val="it-IT"/>
          </w:rPr>
          <m:t>c</m:t>
        </m:r>
      </m:oMath>
      <w:r w:rsidR="00F24938">
        <w:rPr>
          <w:iCs/>
        </w:rPr>
        <w:t xml:space="preserve"> values are 1, 2, 3, 4 types of crops)</w:t>
      </w:r>
      <w:r w:rsidR="00F24938">
        <w:t xml:space="preserve"> </w:t>
      </w:r>
      <w:r w:rsidR="00F24938">
        <w:rPr>
          <w:rFonts w:ascii="Cambria Math" w:hAnsi="Cambria Math" w:cs="Cambria Math"/>
        </w:rPr>
        <w:t>∀</w:t>
      </w:r>
      <w:r w:rsidR="00F24938">
        <w:t xml:space="preserve"> profit = Y*P-C</w:t>
      </w:r>
    </w:p>
    <w:p w14:paraId="09BF8E7C" w14:textId="77777777" w:rsidR="00F24938" w:rsidRDefault="00000000" w:rsidP="00F24938">
      <m:oMath>
        <m:sSub>
          <m:sSubPr>
            <m:ctrlPr>
              <w:rPr>
                <w:rFonts w:ascii="Cambria Math" w:hAnsi="Cambria Math"/>
                <w:i/>
              </w:rPr>
            </m:ctrlPr>
          </m:sSubPr>
          <m:e>
            <m:r>
              <w:rPr>
                <w:rFonts w:ascii="Cambria Math" w:hAnsi="Cambria Math"/>
                <w:lang w:val="it-IT"/>
              </w:rPr>
              <m:t>P</m:t>
            </m:r>
          </m:e>
          <m:sub>
            <m:r>
              <w:rPr>
                <w:rFonts w:ascii="Cambria Math" w:hAnsi="Cambria Math"/>
                <w:lang w:val="it-IT"/>
              </w:rPr>
              <m:t>bu</m:t>
            </m:r>
          </m:sub>
        </m:sSub>
      </m:oMath>
      <w:r w:rsidR="00F24938">
        <w:t xml:space="preserve"> = profit from buckwheat</w:t>
      </w:r>
    </w:p>
    <w:p w14:paraId="14C9E7AB" w14:textId="77777777" w:rsidR="00F24938" w:rsidRDefault="00000000" w:rsidP="00F24938">
      <m:oMath>
        <m:sSub>
          <m:sSubPr>
            <m:ctrlPr>
              <w:rPr>
                <w:rFonts w:ascii="Cambria Math" w:hAnsi="Cambria Math"/>
                <w:i/>
              </w:rPr>
            </m:ctrlPr>
          </m:sSubPr>
          <m:e>
            <m:r>
              <w:rPr>
                <w:rFonts w:ascii="Cambria Math" w:hAnsi="Cambria Math"/>
                <w:lang w:val="it-IT"/>
              </w:rPr>
              <m:t>NP</m:t>
            </m:r>
          </m:e>
          <m:sub>
            <m:r>
              <w:rPr>
                <w:rFonts w:ascii="Cambria Math" w:hAnsi="Cambria Math"/>
                <w:lang w:val="it-IT"/>
              </w:rPr>
              <m:t>t</m:t>
            </m:r>
            <m:r>
              <w:rPr>
                <w:rFonts w:ascii="Cambria Math" w:hAnsi="Cambria Math"/>
              </w:rPr>
              <m:t>,</m:t>
            </m:r>
            <m:r>
              <w:rPr>
                <w:rFonts w:ascii="Cambria Math" w:hAnsi="Cambria Math"/>
                <w:lang w:val="it-IT"/>
              </w:rPr>
              <m:t>n</m:t>
            </m:r>
            <m:r>
              <w:rPr>
                <w:rFonts w:ascii="Cambria Math" w:hAnsi="Cambria Math"/>
              </w:rPr>
              <m:t>=1,2,3</m:t>
            </m:r>
          </m:sub>
        </m:sSub>
      </m:oMath>
      <w:r w:rsidR="00F24938">
        <w:t xml:space="preserve"> = multiplier of NPV values in the 1st year, 2nd year, and 3rd year respectively.</w:t>
      </w:r>
    </w:p>
    <w:p w14:paraId="495056E6" w14:textId="1A698519" w:rsidR="00F24938" w:rsidRDefault="00F24938" w:rsidP="00F24938">
      <w:pPr>
        <w:pStyle w:val="Titolo3"/>
      </w:pPr>
      <w:r>
        <w:t xml:space="preserve">Diffusion </w:t>
      </w:r>
      <w:r w:rsidR="008B6369">
        <w:t>M</w:t>
      </w:r>
      <w:r>
        <w:t>odeling</w:t>
      </w:r>
    </w:p>
    <w:p w14:paraId="2A228847" w14:textId="7C2B08A7" w:rsidR="00F24938" w:rsidRDefault="00F24938" w:rsidP="00F24938">
      <w:r>
        <w:t xml:space="preserve">Adopting buckwheat is a new experience for almost all farmers in the study area. The cumulative adoption of new or underutilized crops resembles the diffusion of new technology, which follows an S-shaped curve </w:t>
      </w:r>
      <w:r>
        <w:fldChar w:fldCharType="begin"/>
      </w:r>
      <w:r>
        <w:instrText xml:space="preserve"> ADDIN ZOTERO_ITEM CSL_CITATION {"citationID":"HNUvAby6","properties":{"formattedCitation":"(Rogers, 2003; Alexander et al., 2013)","plainCitation":"(Rogers, 2003; Alexander et al., 2013)","noteIndex":0},"citationItems":[{"id":818,"uris":["http://zotero.org/users/9003255/items/E6VHCXQC"],"itemData":{"id":818,"type":"article-journal","abstract":"Biomass produced from energy crops, such as\n              Miscanthus\n              and short rotation coppice is expected to contribute to renewable energy targets, but the slower than anticipated development of the UK market implies the need for greater understanding of the factors that govern adoption. Here, we apply an agent-based model of the UK perennial energy crop market, including the contingent interaction of supply and demand, to understand the spatial and temporal dynamics of energy crop adoption. Results indicate that perennial energy crop supply will be between six and nine times lower than previously published, because of time lags in adoption arising from a spatial diffusion process. The model simulates time lags of at least 20 years, which is supported empirically by the analogue of oilseed rape adoption in the UK from the 1970s. This implies the need to account for time lags arising from spatial diffusion in evaluating land-use change, climate change (mitigation or adaptation) or the adoption of novel technologies.","container-title":"Journal of The Royal Society Interface","DOI":"10.1098/rsif.2013.0656","ISSN":"1742-5689, 1742-5662","issue":"88","language":"en","page":"20130656","source":"DOI.org (Crossref)","title":"Modelling the perennial energy crop market: the role of spatial diffusion","title-short":"Modelling the perennial energy crop market","volume":"10","author":[{"family":"Alexander","given":"Peter"},{"family":"Moran","given":"Dominic"},{"family":"Rounsevell","given":"Mark D. A."},{"family":"Smith","given":"Pete"}],"issued":{"date-parts":[["2013",11,6]]}}},{"id":821,"uris":["http://zotero.org/users/9003255/items/EB6KT9DP"],"itemData":{"id":821,"type":"book","edition":"5th Edition","event-place":"New York","number-of-pages":"576","publisher":"Free Press","publisher-place":"New York","title":"Diffusion of Innovations","author":[{"family":"Rogers","given":"Everett M."}],"issued":{"date-parts":[["2003"]]}}}],"schema":"https://github.com/citation-style-language/schema/raw/master/csl-citation.json"} </w:instrText>
      </w:r>
      <w:r>
        <w:fldChar w:fldCharType="separate"/>
      </w:r>
      <w:r w:rsidR="002A3FF3">
        <w:t>(Rogers, 2003; Alexander et al., 2013)</w:t>
      </w:r>
      <w:r>
        <w:fldChar w:fldCharType="end"/>
      </w:r>
      <w:r>
        <w:t xml:space="preserve">. We draw on the diffusion of innovations theory to investigate the adoption of underutilized (cover) crops in Italy. This theory has been widely applied to study the adoption process of agricultural innovations over time and it has specifically been used to explore the adoption of organic management systems and cover crops </w:t>
      </w:r>
      <w:r>
        <w:fldChar w:fldCharType="begin"/>
      </w:r>
      <w:r>
        <w:instrText xml:space="preserve"> ADDIN ZOTERO_ITEM CSL_CITATION {"citationID":"yqV24KBJ","properties":{"formattedCitation":"(Padel, 2001; Atwell et al., 2009; Lavoie et al., 2021)","plainCitation":"(Padel, 2001; Atwell et al., 2009; Lavoie et al., 2021)","noteIndex":0},"citationItems":[{"id":826,"uris":["http://zotero.org/users/9003255/items/73YW9KF3"],"itemData":{"id":826,"type":"article-journal","abstract":"In the last 200 yr, more than 80% of the land in the U.S. Corn Belt agro-ecosystem has been converted from natural perennial vegetation to intensive agricultural production of row crops. Despite research showing how re-integration of perennial vegetation, e.g., cover crops, pasture, riparian buffers, and restored wetlands, at strategic landscape positions can bolster declining regional ecosystem functions, the amount of land area devoted to row crop production in the Corn Belt continues to increase. As this region enters a time of fast-paced and uncertain reorganization driven by the emerging bioeconomy, changes in land use will continue to take place that will impact the resilience of the Corn Belt’s linked social and ecological systems for years to come. Both resilience theory and the diffusion of innovations theory investigate how change is brought about in systems through the adaptation and innovation of social actors. In this paper, we integrate these two frameworks in the analysis of 33 in-depth interviews to improve our understanding of how rural Corn Belt stakeholders make conservation decisions in the midst of an uncertain future. Interview data indicate that the adoption of conservation practices is based not only on immediate profitability but also on the interplay between contextual factors at three distinct levels of the system: compatibility with farm priorities, profitability, practices, and technologies; community-level reinforcement through local social networks, norms, and support structures; and consistent, straightforward, flexible, and well-targeted incentives and regulations issuing from regional institutions. Interviewees suggest that the multiscale drivers that currently support the continued expansion of row crop production could be realigned with conservation objectives in landscapes of the future. Adaptation of social actors through collaborative learning at the community level may be instrumental in brokering the sort of multiscale system change that would lead to more widespread adoption of perennial cover types in the Corn Belt.","container-title":"Ecology and Society","DOI":"10.5751/ES-02787-140130","ISSN":"1708-3087","issue":"1","language":"en","page":"art30","source":"DOI.org (Crossref)","title":"Linking Resilience Theory and Diffusion of Innovations Theory to Understand the Potential for Perennials in the U.S. Corn Belt","volume":"14","author":[{"family":"Atwell","given":"Ryan C."},{"family":"Schulte","given":"Lisa A."},{"family":"Westphal","given":"Lynne M."}],"issued":{"date-parts":[["2009"]]}}},{"id":828,"uris":["http://zotero.org/users/9003255/items/ZAXPCT8X"],"itemData":{"id":828,"type":"article-journal","abstract":"There is increased interest in cover crops on farms; those planted during the fallow period or in place of a cash crop to improve soil and water quality. Despite extensive research suggesting that the practice can enhance on-farm resilience, cover crop use is not widespread, especially across the dryland wheat-growing region of the USA inland Pacific Northwest. Cover crops are being promoted across this region as a means to improve agronomic conditions and farmer livelihoods. Yet, there is limited producer-centered social science research to understand the regional and field-level challenges associated with the practice. To address this gap, we draw from the diffusion of innovations theory to examine the perceived relative advantage (the degree to which cover crops are compatible with the current agricultural system), and trialability of cover crops. Trialability encompasses the relative complexity and observability of the practice. Interviews (n = 28) were conducted with producers to better understand perceptions on relative advantage and how cover crop characteristics may contribute to barriers to adoption. Based on the results from interviews, focus groups (n = 48) were conducted to explore potential avenues for improving the integration of cover crops into existing cropping systems. Analysis of interviews with dryland crop and livestock producers suggested that perceptions of low relative advantage, including low compatibility with common regional management systems, perceived lack of profitability and increased cost of inputs act as deterrents to cover crop integration. Low trialability was associated with the complexity of experimentation, a lack of directly observable results and inflexible regional policies. These perceptions were compounded by a lack of region-specific agronomic and economic information on cover crops. Analysis of focus groups with crop and livestock producers and agricultural stakeholders suggested that there are several opportunities to improve potential adoption strategies and improve perceptions of relative advantage and trialability. Understanding the unique management goals of producers within the environmental, social and economic context in which they operate will better inform regional policies, outreach and future adoption strategies.","container-title":"Renewable Agriculture and Food Systems","DOI":"10.1017/S1742170520000423","ISSN":"1742-1705, 1742-1713","issue":"4","language":"en","page":"384-395","source":"DOI.org (Crossref)","title":"Using diffusion of innovations theory to understand agricultural producer perspectives on cover cropping in the inland Pacific Northwest, USA","volume":"36","author":[{"family":"Lavoie","given":"Avery Lynn"},{"family":"Dentzman","given":"Katherine"},{"family":"Wardropper","given":"Chloe Bradley"}],"issued":{"date-parts":[["2021",8]]}}},{"id":827,"uris":["http://zotero.org/users/9003255/items/YZVBPSWQ"],"itemData":{"id":827,"type":"article-journal","abstract":"This paper reviews a large number of studies of organic farmers carried out in several countries over a period of about twenty years, and critically assesses whether or not the results appear to fit the framework of the adoption/diffusion model. After a summary of the adoption/diffusion model and a short description of organic farming and its development in Europe, the personal and social characteristics of early adopters of other innovations are compared with the conversion process to organic farming. Most of the studies reviewed, particularly the earlier ones, were carried out at a time when the organic sector was small and the diffusion of organic farming was at the so</w:instrText>
      </w:r>
      <w:r>
        <w:rPr>
          <w:rFonts w:ascii="Cambria Math" w:hAnsi="Cambria Math" w:cs="Cambria Math"/>
        </w:rPr>
        <w:instrText>‐</w:instrText>
      </w:r>
      <w:r>
        <w:instrText xml:space="preserve">called innovation stage. The first organic farmers showed similar characteristics to innovators of other environmental innovations and faced problems that were typically associated with this stage, such as opposition in the farming community and social isolation. Several similarities between the studied organic farmers and early adopters of other innovations were identified and the overall conclusion appears therefore justified that the model can be used to gain some further understanding of the diffusion processes of organic farming and the individual adoption or conversion decision.","container-title":"Sociologia Ruralis","DOI":"10.1111/1467-9523.00169","ISSN":"0038-0199, 1467-9523","issue":"1","journalAbbreviation":"Sociologia Ruralis","language":"en","license":"http://onlinelibrary.wiley.com/termsAndConditions#vor","page":"40-61","source":"DOI.org (Crossref)","title":"Conversion to Organic Farming: A Typical Example of the Diffusion of an Innovation?","title-short":"Conversion to Organic Farming","volume":"41","author":[{"family":"Padel","given":"Susanne"}],"issued":{"date-parts":[["2001",1]]}}}],"schema":"https://github.com/citation-style-language/schema/raw/master/csl-citation.json"} </w:instrText>
      </w:r>
      <w:r>
        <w:fldChar w:fldCharType="separate"/>
      </w:r>
      <w:r w:rsidR="002A3FF3">
        <w:t>(Padel, 2001; Atwell et al., 2009; Lavoie et al., 2021)</w:t>
      </w:r>
      <w:r>
        <w:fldChar w:fldCharType="end"/>
      </w:r>
      <w:r>
        <w:t xml:space="preserve">. While crop rotation has historically served as a regenerative farming method, some producers now view it as an innovative practice due to its renewed promotion across the European Union </w:t>
      </w:r>
      <w:r>
        <w:fldChar w:fldCharType="begin"/>
      </w:r>
      <w:r>
        <w:instrText xml:space="preserve"> ADDIN ZOTERO_ITEM CSL_CITATION {"citationID":"LpKnfZmM","properties":{"formattedCitation":"(European Commission, 2022)","plainCitation":"(European Commission, 2022)","noteIndex":0},"citationItems":[{"id":348,"uris":["http://zotero.org/users/9003255/items/R6UVETLG"],"itemData":{"id":348,"type":"report","title":"Proposed CAP Strategic Plans and Commission observations Summary overview for 27 Member States","author":[{"family":"European Commission","given":""}],"issued":{"date-parts":[["2022"]]}}}],"schema":"https://github.com/citation-style-language/schema/raw/master/csl-citation.json"} </w:instrText>
      </w:r>
      <w:r>
        <w:fldChar w:fldCharType="separate"/>
      </w:r>
      <w:r w:rsidR="002A3FF3">
        <w:t>(European Commission, 2022)</w:t>
      </w:r>
      <w:r>
        <w:fldChar w:fldCharType="end"/>
      </w:r>
      <w:r>
        <w:t xml:space="preserve">. Furthermore, as Rogers (2003) suggests, the adoption of an innovation depends on the adopters' perception of the practice and its effectiveness, rather than the novelty of the innovation. The relative advantage of an innovation is typically associated with the degree to which an innovation is perceived as being economically advantageous to the farmer and may depend on biophysical, economic, social and environmental factors </w:t>
      </w:r>
      <w:r>
        <w:fldChar w:fldCharType="begin"/>
      </w:r>
      <w:r>
        <w:instrText xml:space="preserve"> ADDIN ZOTERO_ITEM CSL_CITATION {"citationID":"susUx2WI","properties":{"formattedCitation":"(Lavoie et al., 2021)","plainCitation":"(Lavoie et al., 2021)","noteIndex":0},"citationItems":[{"id":828,"uris":["http://zotero.org/users/9003255/items/ZAXPCT8X"],"itemData":{"id":828,"type":"article-journal","abstract":"There is increased interest in cover crops on farms; those planted during the fallow period or in place of a cash crop to improve soil and water quality. Despite extensive research suggesting that the practice can enhance on-farm resilience, cover crop use is not widespread, especially across the dryland wheat-growing region of the USA inland Pacific Northwest. Cover crops are being promoted across this region as a means to improve agronomic conditions and farmer livelihoods. Yet, there is limited producer-centered social science research to understand the regional and field-level challenges associated with the practice. To address this gap, we draw from the diffusion of innovations theory to examine the perceived relative advantage (the degree to which cover crops are compatible with the current agricultural system), and trialability of cover crops. Trialability encompasses the relative complexity and observability of the practice. Interviews (n = 28) were conducted with producers to better understand perceptions on relative advantage and how cover crop characteristics may contribute to barriers to adoption. Based on the results from interviews, focus groups (n = 48) were conducted to explore potential avenues for improving the integration of cover crops into existing cropping systems. Analysis of interviews with dryland crop and livestock producers suggested that perceptions of low relative advantage, including low compatibility with common regional management systems, perceived lack of profitability and increased cost of inputs act as deterrents to cover crop integration. Low trialability was associated with the complexity of experimentation, a lack of directly observable results and inflexible regional policies. These perceptions were compounded by a lack of region-specific agronomic and economic information on cover crops. Analysis of focus groups with crop and livestock producers and agricultural stakeholders suggested that there are several opportunities to improve potential adoption strategies and improve perceptions of relative advantage and trialability. Understanding the unique management goals of producers within the environmental, social and economic context in which they operate will better inform regional policies, outreach and future adoption strategies.","container-title":"Renewable Agriculture and Food Systems","DOI":"10.1017/S1742170520000423","ISSN":"1742-1705, 1742-1713","issue":"4","language":"en","page":"384-395","source":"DOI.org (Crossref)","title":"Using diffusion of innovations theory to understand agricultural producer perspectives on cover cropping in the inland Pacific Northwest, USA","volume":"36","author":[{"family":"Lavoie","given":"Avery Lynn"},{"family":"Dentzman","given":"Katherine"},{"family":"Wardropper","given":"Chloe Bradley"}],"issued":{"date-parts":[["2021",8]]}}}],"schema":"https://github.com/citation-style-language/schema/raw/master/csl-citation.json"} </w:instrText>
      </w:r>
      <w:r>
        <w:fldChar w:fldCharType="separate"/>
      </w:r>
      <w:r w:rsidR="002A3FF3">
        <w:t>(Lavoie et al., 2021)</w:t>
      </w:r>
      <w:r>
        <w:fldChar w:fldCharType="end"/>
      </w:r>
      <w:r>
        <w:t>.</w:t>
      </w:r>
    </w:p>
    <w:p w14:paraId="09D2D3A7" w14:textId="45BCFF22" w:rsidR="00F24938" w:rsidRDefault="00F24938" w:rsidP="00F24938">
      <w:pPr>
        <w:rPr>
          <w:iCs/>
        </w:rPr>
      </w:pPr>
      <w:r>
        <w:rPr>
          <w:iCs/>
        </w:rPr>
        <w:t>Two diffusion scenarios are selected</w:t>
      </w:r>
      <w:r w:rsidR="002A3FF3">
        <w:rPr>
          <w:iCs/>
        </w:rPr>
        <w:t xml:space="preserve">, i.e., </w:t>
      </w:r>
      <w:r>
        <w:rPr>
          <w:iCs/>
        </w:rPr>
        <w:t xml:space="preserve">Traditional and Expansion diffusion </w:t>
      </w:r>
      <w:r>
        <w:rPr>
          <w:iCs/>
        </w:rPr>
        <w:fldChar w:fldCharType="begin"/>
      </w:r>
      <w:r>
        <w:rPr>
          <w:iCs/>
        </w:rPr>
        <w:instrText xml:space="preserve"> ADDIN ZOTERO_ITEM CSL_CITATION {"citationID":"m0OVOikq","properties":{"formattedCitation":"(Jordan-Bychkov, 1997)","plainCitation":"(Jordan-Bychkov, 1997)","noteIndex":0},"citationItems":[{"id":843,"uris":["http://zotero.org/users/9003255/items/B8KNYLHK"],"itemData":{"id":843,"type":"book","edition":"7th ed.","event-place":"New York","publisher":"Longman","publisher-place":"New York","title":"The human mosaic : a thematic introduction to cultural geography","author":[{"family":"Jordan-Bychkov","given":"Terry G"}],"issued":{"date-parts":[["1997"]]}}}],"schema":"https://github.com/citation-style-language/schema/raw/master/csl-citation.json"} </w:instrText>
      </w:r>
      <w:r>
        <w:rPr>
          <w:iCs/>
        </w:rPr>
        <w:fldChar w:fldCharType="separate"/>
      </w:r>
      <w:r w:rsidR="002A3FF3">
        <w:t>(Jordan-Bychkov, 1997)</w:t>
      </w:r>
      <w:r>
        <w:fldChar w:fldCharType="end"/>
      </w:r>
      <w:r>
        <w:rPr>
          <w:iCs/>
        </w:rPr>
        <w:t xml:space="preserve">. The rationale for exploring these different diffusion processes is to explore how buckwheat </w:t>
      </w:r>
      <w:r>
        <w:rPr>
          <w:iCs/>
        </w:rPr>
        <w:lastRenderedPageBreak/>
        <w:t xml:space="preserve">might defuse over the area. These could be considered as two different policy options – one in which a pilot study is focused on a small geographical location, and one in which farmers are selected from across the country. The diffusion scenarios are defined as follows: </w:t>
      </w:r>
    </w:p>
    <w:p w14:paraId="780E688F" w14:textId="1CC9039F" w:rsidR="00F24938" w:rsidRPr="00F24938" w:rsidRDefault="00F24938" w:rsidP="00F24938">
      <w:pPr>
        <w:pStyle w:val="Paragrafoelenco"/>
        <w:numPr>
          <w:ilvl w:val="0"/>
          <w:numId w:val="23"/>
        </w:numPr>
        <w:rPr>
          <w:iCs/>
        </w:rPr>
      </w:pPr>
      <w:r w:rsidRPr="00F24938">
        <w:rPr>
          <w:i/>
        </w:rPr>
        <w:t>Traditional diffusion (TD)</w:t>
      </w:r>
      <w:r w:rsidRPr="00F24938">
        <w:rPr>
          <w:iCs/>
        </w:rPr>
        <w:t xml:space="preserve">: also known as contiguous diffusion </w:t>
      </w:r>
      <w:r>
        <w:rPr>
          <w:iCs/>
        </w:rPr>
        <w:fldChar w:fldCharType="begin"/>
      </w:r>
      <w:r w:rsidRPr="00F24938">
        <w:rPr>
          <w:iCs/>
        </w:rPr>
        <w:instrText xml:space="preserve"> ADDIN ZOTERO_ITEM CSL_CITATION {"citationID":"L1Gli6V5","properties":{"formattedCitation":"(Jordan-Bychkov, 1997)","plainCitation":"(Jordan-Bychkov, 1997)","noteIndex":0},"citationItems":[{"id":843,"uris":["http://zotero.org/users/9003255/items/B8KNYLHK"],"itemData":{"id":843,"type":"book","edition":"7th ed.","event-place":"New York","publisher":"Longman","publisher-place":"New York","title":"The human mosaic : a thematic introduction to cultural geography","author":[{"family":"Jordan-Bychkov","given":"Terry G"}],"issued":{"date-parts":[["1997"]]}}}],"schema":"https://github.com/citation-style-language/schema/raw/master/csl-citation.json"} </w:instrText>
      </w:r>
      <w:r>
        <w:rPr>
          <w:iCs/>
        </w:rPr>
        <w:fldChar w:fldCharType="separate"/>
      </w:r>
      <w:r w:rsidR="002A3FF3">
        <w:t>(Jordan-Bychkov, 1997)</w:t>
      </w:r>
      <w:r>
        <w:fldChar w:fldCharType="end"/>
      </w:r>
      <w:r w:rsidRPr="00F24938">
        <w:rPr>
          <w:iCs/>
        </w:rPr>
        <w:t xml:space="preserve">, it starts from pilot site in a single region located in the region of Piedmont. This region is the most prominent place in Italy for the cultivation of buckwheat. The adoption behavior is diffused from early adopters to the neighboring farmers and subsequently, it spreads all over Italy throughout the simulation period. </w:t>
      </w:r>
    </w:p>
    <w:p w14:paraId="5BCE2D4F" w14:textId="77777777" w:rsidR="00F24938" w:rsidRPr="00F24938" w:rsidRDefault="00F24938" w:rsidP="00F24938">
      <w:pPr>
        <w:pStyle w:val="Paragrafoelenco"/>
        <w:numPr>
          <w:ilvl w:val="0"/>
          <w:numId w:val="23"/>
        </w:numPr>
        <w:rPr>
          <w:iCs/>
        </w:rPr>
      </w:pPr>
      <w:r w:rsidRPr="00F24938">
        <w:rPr>
          <w:i/>
        </w:rPr>
        <w:t>Expansion diffusion (ED)</w:t>
      </w:r>
      <w:r w:rsidRPr="00F24938">
        <w:rPr>
          <w:iCs/>
        </w:rPr>
        <w:t>: the early adopters are spread all over Italy at the initial stage rather than located within a single small geographical area; then, other neighboring farmers learn from their experiences, thus, the adoption behavior is diffused over the study area.</w:t>
      </w:r>
    </w:p>
    <w:p w14:paraId="0FAD172E" w14:textId="77777777" w:rsidR="00F24938" w:rsidRDefault="00F24938" w:rsidP="00F24938">
      <w:r>
        <w:t>In this study, we used an adoption threshold approach based on (Ullah and Crooks, 2022) and previously proposed by Alexander et al. (2013) who extended on Berger (2001).  Innovation in this model lies in assigning diffusion types. The approach uses two parameters: local adoption rate (AR) and individual adoption threshold (AT). The current local AR is derived from the net proportion of positive versus negative profit experiences with buckwheat among neighboring farmers from the previous time step. Each farmer has an AT value indicating their 'resistance' to change. If the AR value for a time step is greater than the AT of an individual farmer, then the famer adopts buckwheat due to neighborhood influence. This method aligns with other agent-based adoption models, such as those concerning new irrigation technologies (Berger, 2001). We use secondary data from the RICA database at the unit level to estimate crop economics, unlike Berger's (2001) study which required extensive surveys and experimental data.</w:t>
      </w:r>
    </w:p>
    <w:p w14:paraId="7E5EED44" w14:textId="4DF60B19" w:rsidR="00F24938" w:rsidRDefault="00F24938" w:rsidP="00F24938">
      <w:r>
        <w:t xml:space="preserve">Initially, no farmers </w:t>
      </w:r>
      <w:r w:rsidR="00E158A0">
        <w:t>had</w:t>
      </w:r>
      <w:r>
        <w:t xml:space="preserve"> experience with buckwheat. Innovative farmers (typically risk-takers) will adopt buckwheat in the first-time step if profit conditions are favorable, creating the first net-positive AR. If the initial contract price of buckwheat doesn't yield a positive return for innovators, a new price is set. Innovators' positive experiences influence other farmers. When others see a higher adoption rate among neighboring innovators compared to their own AT, they adopt buckwheat in the second time step. All farmers continuously update their experiences in each simulation period. AT values were assigned from normal distributions with a mean of 0.2 (Alexander et al., 2013). Two distributions with standard deviations of 0.102 and 0.1216 represent low and high willingness scenarios, respectively, categorizing innovators as about 2.5% and 5% of farmers (Ullah &amp; Dwivedi, 2022). Early-stage diffusion is slow, with only a small portion of farmers willing to adopt buckwheat. In the default scenario, 2.5% of farmers are initially willing to adopt new technology (Rogers, 2003). We chose 5% innovators to achieve a less restrictive adoption rate and higher initial willingness. The AR was set at 0 for the base year. Using the selected AT distribution, innovators had negative or zero AT values. Thus, an initial AR value of 0 ensures that innovators adopt buckwheat if their AT values are equal to or less than AR, even with no experienced farmers initially.</w:t>
      </w:r>
    </w:p>
    <w:p w14:paraId="1AC13454" w14:textId="63B33830" w:rsidR="00F24938" w:rsidRDefault="00F24938" w:rsidP="00F24938">
      <w:r>
        <w:t xml:space="preserve">For traditional diffusion, we chose Piedmont as a pilot site, representing 40% of Italian farmers. To approximate 50% of farmers in Italy, we selected three adjacent regions, i.e., Lombardy and Emilia-Romagna. We assigned AT a value of 0 for these farmers, similar to the expansion diffusion approach, ensuring AT values are equal to or less than the initial AR value. The challenge is assigning AT values for the remaining farmers outside pilot sites and </w:t>
      </w:r>
      <w:r w:rsidR="00E158A0">
        <w:t>separate them</w:t>
      </w:r>
      <w:r>
        <w:t xml:space="preserve"> from innovators. Despite splitting the farmer population into innovators and non-innovators, the AT distribution </w:t>
      </w:r>
      <w:r>
        <w:lastRenderedPageBreak/>
        <w:t xml:space="preserve">should match that used in expansion diffusion. We solved this by applying a truncated normal distribution bounded between 2.5% and 100% for the low willingness scenario, using the same mean and standard deviation as in expansion diffusion, thereby excluding innovators below the lower threshold and generating AT values for the rest. For the high willingness scenario, the boundary was set between 5% and 100%. </w:t>
      </w:r>
    </w:p>
    <w:p w14:paraId="01014047" w14:textId="20B11F4D" w:rsidR="00F24938" w:rsidRDefault="00F24938" w:rsidP="00F24938">
      <w:r>
        <w:t xml:space="preserve">Equation 3 was used to generate AT values in a truncated normal distribution </w:t>
      </w:r>
      <w:r>
        <w:fldChar w:fldCharType="begin"/>
      </w:r>
      <w:r>
        <w:instrText xml:space="preserve"> ADDIN ZOTERO_ITEM CSL_CITATION {"citationID":"CDgfKe42","properties":{"formattedCitation":"(Botev and L\\uc0\\u8217{}Ecuyer, 2017)","plainCitation":"(Botev and L’Ecuyer, 2017)","noteIndex":0},"citationItems":[{"id":844,"uris":["http://zotero.org/users/9003255/items/TRFW5DJL"],"itemData":{"id":844,"type":"paper-conference","abstract":"We study and compare various methods to generate a random variate from the normal distribution truncated to some ﬁnite or semi-inﬁnite interval, with special attention to the situation where the interval is far in the tail. This is required in particular for certain applications in Bayesian statistics, such as to perform exact posterior simulations for parameter inference, but could have many other applications as well. We distinguish the case in which inversion is warranted, and that in which a rejection method is also ﬁne. The algorithms are implemented and available in Java, R, and MATLAB, and the software is freely available.","container-title":"Proceedings of the 10th EAI International Conference on Performance Evaluation Methodologies and Tools","DOI":"10.4108/eai.25-10-2016.2266879","event-place":"Taormina, Italy","event-title":"10th EAI International Conference on Performance Evaluation Methodologies and Tools","ISBN":"978-1-63190-141-6","language":"en","publisher":"ACM","publisher-place":"Taormina, Italy","source":"DOI.org (Crossref)","title":"Simulation from the Normal Distribution Truncated to an Interval in the Tail","URL":"http://eudl.eu/doi/10.4108/eai.25-10-2016.2266879","author":[{"family":"Botev","given":"Zdravko"},{"family":"L'Ecuyer","given":"Pierre"}],"accessed":{"date-parts":[["2024",6,4]]},"issued":{"date-parts":[["2017"]]}}}],"schema":"https://github.com/citation-style-language/schema/raw/master/csl-citation.json"} </w:instrText>
      </w:r>
      <w:r>
        <w:fldChar w:fldCharType="separate"/>
      </w:r>
      <w:r w:rsidR="002A3FF3" w:rsidRPr="002A3FF3">
        <w:rPr>
          <w:rFonts w:cs="Times New Roman"/>
        </w:rPr>
        <w:t>(Botev and L’Ecuyer, 2017)</w:t>
      </w:r>
      <w:r>
        <w:fldChar w:fldCharType="end"/>
      </w:r>
      <w:r>
        <w:t>:</w:t>
      </w:r>
    </w:p>
    <w:p w14:paraId="6FC8685C" w14:textId="04CF3F78" w:rsidR="00F24938" w:rsidRDefault="00F24938" w:rsidP="00F24938">
      <w:pPr>
        <w:spacing w:before="240"/>
      </w:pPr>
      <m:oMath>
        <m:r>
          <m:rPr>
            <m:sty m:val="b"/>
          </m:rPr>
          <w:rPr>
            <w:rFonts w:ascii="Cambria Math" w:hAnsi="Cambria Math"/>
          </w:rPr>
          <m:t>AT=</m:t>
        </m:r>
        <m:sSup>
          <m:sSupPr>
            <m:ctrlPr>
              <w:rPr>
                <w:rFonts w:ascii="Cambria Math" w:hAnsi="Cambria Math"/>
                <w:b/>
                <w:bCs/>
                <w:iCs/>
              </w:rPr>
            </m:ctrlPr>
          </m:sSupPr>
          <m:e>
            <m:r>
              <m:rPr>
                <m:sty m:val="b"/>
              </m:rPr>
              <w:rPr>
                <w:rFonts w:ascii="Cambria Math" w:hAnsi="Cambria Math"/>
              </w:rPr>
              <m:t>φ</m:t>
            </m:r>
          </m:e>
          <m:sup>
            <m:r>
              <m:rPr>
                <m:sty m:val="b"/>
              </m:rPr>
              <w:rPr>
                <w:rFonts w:ascii="Cambria Math" w:hAnsi="Cambria Math"/>
              </w:rPr>
              <m:t xml:space="preserve">-1   </m:t>
            </m:r>
          </m:sup>
        </m:sSup>
        <m:d>
          <m:dPr>
            <m:ctrlPr>
              <w:rPr>
                <w:rFonts w:ascii="Cambria Math" w:hAnsi="Cambria Math"/>
                <w:b/>
                <w:bCs/>
                <w:iCs/>
              </w:rPr>
            </m:ctrlPr>
          </m:dPr>
          <m:e>
            <m:r>
              <m:rPr>
                <m:sty m:val="b"/>
              </m:rPr>
              <w:rPr>
                <w:rFonts w:ascii="Cambria Math" w:hAnsi="Cambria Math"/>
              </w:rPr>
              <m:t>φ</m:t>
            </m:r>
            <m:d>
              <m:dPr>
                <m:ctrlPr>
                  <w:rPr>
                    <w:rFonts w:ascii="Cambria Math" w:hAnsi="Cambria Math"/>
                    <w:b/>
                    <w:bCs/>
                    <w:iCs/>
                  </w:rPr>
                </m:ctrlPr>
              </m:dPr>
              <m:e>
                <m:r>
                  <m:rPr>
                    <m:sty m:val="b"/>
                  </m:rPr>
                  <w:rPr>
                    <w:rFonts w:ascii="Cambria Math" w:hAnsi="Cambria Math"/>
                  </w:rPr>
                  <m:t>α</m:t>
                </m:r>
              </m:e>
            </m:d>
            <m:r>
              <m:rPr>
                <m:sty m:val="b"/>
              </m:rPr>
              <w:rPr>
                <w:rFonts w:ascii="Cambria Math" w:hAnsi="Cambria Math"/>
              </w:rPr>
              <m:t>+U</m:t>
            </m:r>
            <m:d>
              <m:dPr>
                <m:ctrlPr>
                  <w:rPr>
                    <w:rFonts w:ascii="Cambria Math" w:hAnsi="Cambria Math"/>
                    <w:b/>
                    <w:bCs/>
                    <w:iCs/>
                  </w:rPr>
                </m:ctrlPr>
              </m:dPr>
              <m:e>
                <m:r>
                  <m:rPr>
                    <m:sty m:val="b"/>
                  </m:rPr>
                  <w:rPr>
                    <w:rFonts w:ascii="Cambria Math" w:hAnsi="Cambria Math"/>
                  </w:rPr>
                  <m:t>φ</m:t>
                </m:r>
                <m:d>
                  <m:dPr>
                    <m:ctrlPr>
                      <w:rPr>
                        <w:rFonts w:ascii="Cambria Math" w:hAnsi="Cambria Math"/>
                        <w:b/>
                        <w:bCs/>
                        <w:iCs/>
                      </w:rPr>
                    </m:ctrlPr>
                  </m:dPr>
                  <m:e>
                    <m:r>
                      <m:rPr>
                        <m:sty m:val="b"/>
                      </m:rPr>
                      <w:rPr>
                        <w:rFonts w:ascii="Cambria Math" w:hAnsi="Cambria Math"/>
                      </w:rPr>
                      <m:t>β</m:t>
                    </m:r>
                  </m:e>
                </m:d>
                <m:r>
                  <m:rPr>
                    <m:sty m:val="b"/>
                  </m:rPr>
                  <w:rPr>
                    <w:rFonts w:ascii="Cambria Math" w:hAnsi="Cambria Math"/>
                  </w:rPr>
                  <m:t>-φ</m:t>
                </m:r>
                <m:d>
                  <m:dPr>
                    <m:ctrlPr>
                      <w:rPr>
                        <w:rFonts w:ascii="Cambria Math" w:hAnsi="Cambria Math"/>
                        <w:b/>
                        <w:bCs/>
                        <w:iCs/>
                      </w:rPr>
                    </m:ctrlPr>
                  </m:dPr>
                  <m:e>
                    <m:r>
                      <m:rPr>
                        <m:sty m:val="b"/>
                      </m:rPr>
                      <w:rPr>
                        <w:rFonts w:ascii="Cambria Math" w:hAnsi="Cambria Math"/>
                      </w:rPr>
                      <m:t>α</m:t>
                    </m:r>
                  </m:e>
                </m:d>
              </m:e>
            </m:d>
          </m:e>
        </m:d>
        <m:r>
          <m:rPr>
            <m:sty m:val="b"/>
          </m:rPr>
          <w:rPr>
            <w:rFonts w:ascii="Cambria Math" w:hAnsi="Cambria Math"/>
          </w:rPr>
          <m:t>σ+ μ</m:t>
        </m:r>
      </m:oMath>
      <w:r w:rsidRPr="00985FC4">
        <w:t xml:space="preserve">     </w:t>
      </w:r>
      <w:r>
        <w:t xml:space="preserve">                                              </w:t>
      </w:r>
      <w:r w:rsidR="002F2A74">
        <w:t xml:space="preserve">                          </w:t>
      </w:r>
      <w:r>
        <w:t xml:space="preserve">   (3)</w:t>
      </w:r>
    </w:p>
    <w:p w14:paraId="18E244B5" w14:textId="6C95C19D" w:rsidR="00F24938" w:rsidRDefault="00F24938" w:rsidP="00F24938">
      <w:r>
        <w:t>Where</w:t>
      </w:r>
      <w:r w:rsidR="002A3FF3">
        <w:t>:</w:t>
      </w:r>
    </w:p>
    <w:p w14:paraId="3B729ADD" w14:textId="42E6D021" w:rsidR="00F24938" w:rsidRDefault="00F24938" w:rsidP="00F24938">
      <m:oMath>
        <m:r>
          <w:rPr>
            <w:rFonts w:ascii="Cambria Math" w:hAnsi="Cambria Math"/>
          </w:rPr>
          <m:t>U</m:t>
        </m:r>
      </m:oMath>
      <w:r>
        <w:t xml:space="preserve"> is the uniform random number on (0,1)</w:t>
      </w:r>
      <w:r w:rsidR="002A3FF3">
        <w:t>.</w:t>
      </w:r>
    </w:p>
    <w:p w14:paraId="36ABD239" w14:textId="77777777" w:rsidR="00F24938" w:rsidRDefault="00F24938" w:rsidP="00F24938">
      <m:oMath>
        <m:r>
          <w:rPr>
            <w:rFonts w:ascii="Cambria Math" w:hAnsi="Cambria Math"/>
          </w:rPr>
          <m:t>φ</m:t>
        </m:r>
      </m:oMath>
      <w:r>
        <w:t xml:space="preserve"> is the cumulative distribution function </w:t>
      </w:r>
    </w:p>
    <w:p w14:paraId="78ACA88C" w14:textId="77777777" w:rsidR="00F24938" w:rsidRDefault="00F24938" w:rsidP="00F24938">
      <m:oMath>
        <m:r>
          <w:rPr>
            <w:rFonts w:ascii="Cambria Math" w:hAnsi="Cambria Math"/>
          </w:rPr>
          <m:t>μ,σ</m:t>
        </m:r>
      </m:oMath>
      <w:r>
        <w:t xml:space="preserve"> are the mean standard deviation </w:t>
      </w:r>
    </w:p>
    <w:p w14:paraId="12CB0CE1" w14:textId="77777777" w:rsidR="00F24938" w:rsidRDefault="00F24938" w:rsidP="00F24938">
      <m:oMath>
        <m:r>
          <w:rPr>
            <w:rFonts w:ascii="Cambria Math" w:hAnsi="Cambria Math"/>
          </w:rPr>
          <m:t>α</m:t>
        </m:r>
      </m:oMath>
      <w:r>
        <w:t xml:space="preserve"> and </w:t>
      </w:r>
      <m:oMath>
        <m:r>
          <w:rPr>
            <w:rFonts w:ascii="Cambria Math" w:hAnsi="Cambria Math"/>
          </w:rPr>
          <m:t>β</m:t>
        </m:r>
      </m:oMath>
      <w:r>
        <w:t xml:space="preserve"> are the values to truncate the distribution range (e.g. (0.025, 1) for low initial willingness scenario).</w:t>
      </w:r>
    </w:p>
    <w:p w14:paraId="0B6636CF" w14:textId="52D8AA66" w:rsidR="00F24938" w:rsidRDefault="00F24938" w:rsidP="00F24938">
      <w:pPr>
        <w:pStyle w:val="Titolo1"/>
      </w:pPr>
      <w:r>
        <w:t>References</w:t>
      </w:r>
    </w:p>
    <w:p w14:paraId="0BAD3FBD" w14:textId="77777777" w:rsidR="002A3FF3" w:rsidRPr="002A3FF3" w:rsidRDefault="002A3FF3" w:rsidP="002A3FF3">
      <w:pPr>
        <w:pStyle w:val="Bibliografia1"/>
        <w:rPr>
          <w:rFonts w:cs="Times New Roman"/>
        </w:rPr>
      </w:pPr>
      <w:r>
        <w:fldChar w:fldCharType="begin"/>
      </w:r>
      <w:r>
        <w:instrText xml:space="preserve"> ADDIN ZOTERO_BIBL {"uncited":[],"omitted":[],"custom":[]} CSL_BIBLIOGRAPHY </w:instrText>
      </w:r>
      <w:r>
        <w:fldChar w:fldCharType="separate"/>
      </w:r>
      <w:r w:rsidRPr="002A3FF3">
        <w:rPr>
          <w:rFonts w:cs="Times New Roman"/>
        </w:rPr>
        <w:t xml:space="preserve">Alexander, P., Moran, D., Rounsevell, M. D. A., and Smith, P. (2013). Modelling the perennial energy crop market: the role of spatial diffusion. </w:t>
      </w:r>
      <w:r w:rsidRPr="002A3FF3">
        <w:rPr>
          <w:rFonts w:cs="Times New Roman"/>
          <w:i/>
          <w:iCs/>
        </w:rPr>
        <w:t>Journal of The Royal Society Interface</w:t>
      </w:r>
      <w:r w:rsidRPr="002A3FF3">
        <w:rPr>
          <w:rFonts w:cs="Times New Roman"/>
        </w:rPr>
        <w:t xml:space="preserve"> 10, 20130656. doi: 10.1098/rsif.2013.0656</w:t>
      </w:r>
    </w:p>
    <w:p w14:paraId="1072F9C6" w14:textId="77777777" w:rsidR="002A3FF3" w:rsidRPr="002A3FF3" w:rsidRDefault="002A3FF3" w:rsidP="002A3FF3">
      <w:pPr>
        <w:pStyle w:val="Bibliografia1"/>
        <w:rPr>
          <w:rFonts w:cs="Times New Roman"/>
        </w:rPr>
      </w:pPr>
      <w:r w:rsidRPr="002A3FF3">
        <w:rPr>
          <w:rFonts w:cs="Times New Roman"/>
        </w:rPr>
        <w:t xml:space="preserve">Atwell, R. C., Schulte, L. A., and Westphal, L. M. (2009). Linking Resilience Theory and Diffusion of Innovations Theory to Understand the Potential for Perennials in the U.S. Corn Belt. </w:t>
      </w:r>
      <w:r w:rsidRPr="002A3FF3">
        <w:rPr>
          <w:rFonts w:cs="Times New Roman"/>
          <w:i/>
          <w:iCs/>
        </w:rPr>
        <w:t>Ecology and Society</w:t>
      </w:r>
      <w:r w:rsidRPr="002A3FF3">
        <w:rPr>
          <w:rFonts w:cs="Times New Roman"/>
        </w:rPr>
        <w:t xml:space="preserve"> 14, art30. doi: 10.5751/ES-02787-140130</w:t>
      </w:r>
    </w:p>
    <w:p w14:paraId="25E4D8AE" w14:textId="77777777" w:rsidR="002A3FF3" w:rsidRPr="002A3FF3" w:rsidRDefault="002A3FF3" w:rsidP="002A3FF3">
      <w:pPr>
        <w:pStyle w:val="Bibliografia1"/>
        <w:rPr>
          <w:rFonts w:cs="Times New Roman"/>
        </w:rPr>
      </w:pPr>
      <w:r w:rsidRPr="002A3FF3">
        <w:rPr>
          <w:rFonts w:cs="Times New Roman"/>
        </w:rPr>
        <w:t xml:space="preserve">Berger, T. (2001). Agent-based spatial models applied to agriculture: a simulation tool for technology diffusion, resource use changes and policy analysis. </w:t>
      </w:r>
      <w:r w:rsidRPr="002A3FF3">
        <w:rPr>
          <w:rFonts w:cs="Times New Roman"/>
          <w:i/>
          <w:iCs/>
        </w:rPr>
        <w:t>Agricultural Economics</w:t>
      </w:r>
      <w:r w:rsidRPr="002A3FF3">
        <w:rPr>
          <w:rFonts w:cs="Times New Roman"/>
        </w:rPr>
        <w:t xml:space="preserve"> 25, 245–260. doi: 10.1016/S0169-5150(01)00082-2</w:t>
      </w:r>
    </w:p>
    <w:p w14:paraId="57594415" w14:textId="77777777" w:rsidR="002A3FF3" w:rsidRPr="002A3FF3" w:rsidRDefault="002A3FF3" w:rsidP="002A3FF3">
      <w:pPr>
        <w:pStyle w:val="Bibliografia1"/>
        <w:rPr>
          <w:rFonts w:cs="Times New Roman"/>
        </w:rPr>
      </w:pPr>
      <w:r w:rsidRPr="002A3FF3">
        <w:rPr>
          <w:rFonts w:cs="Times New Roman"/>
        </w:rPr>
        <w:t xml:space="preserve">Botev, Z., and L’Ecuyer, P. (2017). Simulation from the Normal Distribution Truncated to an Interval in the Tail., in </w:t>
      </w:r>
      <w:r w:rsidRPr="002A3FF3">
        <w:rPr>
          <w:rFonts w:cs="Times New Roman"/>
          <w:i/>
          <w:iCs/>
        </w:rPr>
        <w:t>Proceedings of the 10th EAI International Conference on Performance Evaluation Methodologies and Tools</w:t>
      </w:r>
      <w:r w:rsidRPr="002A3FF3">
        <w:rPr>
          <w:rFonts w:cs="Times New Roman"/>
        </w:rPr>
        <w:t>, (Taormina, Italy: ACM). doi: 10.4108/eai.25-10-2016.2266879</w:t>
      </w:r>
    </w:p>
    <w:p w14:paraId="1695AE4D" w14:textId="77777777" w:rsidR="002A3FF3" w:rsidRPr="002A3FF3" w:rsidRDefault="002A3FF3" w:rsidP="002A3FF3">
      <w:pPr>
        <w:pStyle w:val="Bibliografia1"/>
        <w:rPr>
          <w:rFonts w:cs="Times New Roman"/>
        </w:rPr>
      </w:pPr>
      <w:r w:rsidRPr="002A3FF3">
        <w:rPr>
          <w:rFonts w:cs="Times New Roman"/>
          <w:lang w:val="it-IT"/>
        </w:rPr>
        <w:t xml:space="preserve">Brunori, A., Brunori, A., Baviello, G., Marconi, E., Colonna, M., and Ricci, M. (2005). </w:t>
      </w:r>
      <w:r w:rsidRPr="002A3FF3">
        <w:rPr>
          <w:rFonts w:cs="Times New Roman"/>
        </w:rPr>
        <w:t xml:space="preserve">The yield of five buckwheat (Fagopyrum esculentum Moench) varieties grown in Central and Southern Italy. </w:t>
      </w:r>
      <w:r w:rsidRPr="002A3FF3">
        <w:rPr>
          <w:rFonts w:cs="Times New Roman"/>
          <w:i/>
          <w:iCs/>
        </w:rPr>
        <w:t>Fagopyrum</w:t>
      </w:r>
      <w:r w:rsidRPr="002A3FF3">
        <w:rPr>
          <w:rFonts w:cs="Times New Roman"/>
        </w:rPr>
        <w:t xml:space="preserve"> 22, 98–102.</w:t>
      </w:r>
    </w:p>
    <w:p w14:paraId="074C7D31" w14:textId="77777777" w:rsidR="002A3FF3" w:rsidRPr="002A3FF3" w:rsidRDefault="002A3FF3" w:rsidP="002A3FF3">
      <w:pPr>
        <w:pStyle w:val="Bibliografia1"/>
        <w:rPr>
          <w:rFonts w:cs="Times New Roman"/>
        </w:rPr>
      </w:pPr>
      <w:r w:rsidRPr="002A3FF3">
        <w:rPr>
          <w:rFonts w:cs="Times New Roman"/>
        </w:rPr>
        <w:t>European Commission (2022). Proposed CAP Strategic Plans and Commission observations Summary overview for 27 Member States.</w:t>
      </w:r>
    </w:p>
    <w:p w14:paraId="1C6B83A4" w14:textId="77777777" w:rsidR="002A3FF3" w:rsidRPr="002A3FF3" w:rsidRDefault="002A3FF3" w:rsidP="002A3FF3">
      <w:pPr>
        <w:pStyle w:val="Bibliografia1"/>
        <w:rPr>
          <w:rFonts w:cs="Times New Roman"/>
        </w:rPr>
      </w:pPr>
      <w:r w:rsidRPr="002A3FF3">
        <w:rPr>
          <w:rFonts w:cs="Times New Roman"/>
          <w:lang w:val="it-IT"/>
        </w:rPr>
        <w:lastRenderedPageBreak/>
        <w:t xml:space="preserve">Gaifami, T., and Piazzi, M. (2022). Manuale tecnico sulla coltivazione del grano saraceno. </w:t>
      </w:r>
      <w:r w:rsidRPr="002A3FF3">
        <w:rPr>
          <w:rFonts w:cs="Times New Roman"/>
        </w:rPr>
        <w:t>Available at: https://www.ersaf.lombardia.it/ (Accessed June 4, 2024).</w:t>
      </w:r>
    </w:p>
    <w:p w14:paraId="63A5DEF3" w14:textId="77777777" w:rsidR="002A3FF3" w:rsidRPr="002A3FF3" w:rsidRDefault="002A3FF3" w:rsidP="002A3FF3">
      <w:pPr>
        <w:pStyle w:val="Bibliografia1"/>
        <w:rPr>
          <w:rFonts w:cs="Times New Roman"/>
        </w:rPr>
      </w:pPr>
      <w:r w:rsidRPr="002A3FF3">
        <w:rPr>
          <w:rFonts w:cs="Times New Roman"/>
        </w:rPr>
        <w:t>Godsey, L. D. (2010). Economic Budgeting for Agroforestry Practices. Available at: https://centerforagroforestry.org/ (Accessed May 31, 2024).</w:t>
      </w:r>
    </w:p>
    <w:p w14:paraId="6D670F34" w14:textId="77777777" w:rsidR="002A3FF3" w:rsidRPr="002A3FF3" w:rsidRDefault="002A3FF3" w:rsidP="002A3FF3">
      <w:pPr>
        <w:pStyle w:val="Bibliografia1"/>
        <w:rPr>
          <w:rFonts w:cs="Times New Roman"/>
        </w:rPr>
      </w:pPr>
      <w:r w:rsidRPr="002A3FF3">
        <w:rPr>
          <w:rFonts w:cs="Times New Roman"/>
        </w:rPr>
        <w:t xml:space="preserve">Grimm, V., Berger, U., DeAngelis, D. L., Polhill, J. G., Giske, J., and Railsback, S. F. (2010). The ODD protocol: A review and first update. </w:t>
      </w:r>
      <w:r w:rsidRPr="002A3FF3">
        <w:rPr>
          <w:rFonts w:cs="Times New Roman"/>
          <w:i/>
          <w:iCs/>
        </w:rPr>
        <w:t>Ecological Modelling</w:t>
      </w:r>
      <w:r w:rsidRPr="002A3FF3">
        <w:rPr>
          <w:rFonts w:cs="Times New Roman"/>
        </w:rPr>
        <w:t xml:space="preserve"> 221, 2760–2768. doi: 10.1016/j.ecolmodel.2010.08.019</w:t>
      </w:r>
    </w:p>
    <w:p w14:paraId="25BF328E" w14:textId="77777777" w:rsidR="002A3FF3" w:rsidRPr="002A3FF3" w:rsidRDefault="002A3FF3" w:rsidP="002A3FF3">
      <w:pPr>
        <w:pStyle w:val="Bibliografia1"/>
        <w:rPr>
          <w:rFonts w:cs="Times New Roman"/>
        </w:rPr>
      </w:pPr>
      <w:r w:rsidRPr="002A3FF3">
        <w:rPr>
          <w:rFonts w:cs="Times New Roman"/>
        </w:rPr>
        <w:t>ISPRA (2006). CORINE Land Cover- 2006. Available at: https://data.europa.eu/data/datasets/ispra_rm-01clc2006_dt?locale=it (Accessed May 27, 2024).</w:t>
      </w:r>
    </w:p>
    <w:p w14:paraId="33034462" w14:textId="77777777" w:rsidR="002A3FF3" w:rsidRPr="002A3FF3" w:rsidRDefault="002A3FF3" w:rsidP="002A3FF3">
      <w:pPr>
        <w:pStyle w:val="Bibliografia1"/>
        <w:rPr>
          <w:rFonts w:cs="Times New Roman"/>
        </w:rPr>
      </w:pPr>
      <w:r w:rsidRPr="002A3FF3">
        <w:rPr>
          <w:rFonts w:cs="Times New Roman"/>
        </w:rPr>
        <w:t xml:space="preserve">Jordan-Bychkov, T. G. (1997). </w:t>
      </w:r>
      <w:r w:rsidRPr="002A3FF3">
        <w:rPr>
          <w:rFonts w:cs="Times New Roman"/>
          <w:i/>
          <w:iCs/>
        </w:rPr>
        <w:t>The human mosaic : a thematic introduction to cultural geography</w:t>
      </w:r>
      <w:r w:rsidRPr="002A3FF3">
        <w:rPr>
          <w:rFonts w:cs="Times New Roman"/>
        </w:rPr>
        <w:t>., 7th ed. New York: Longman.</w:t>
      </w:r>
    </w:p>
    <w:p w14:paraId="1F63326E" w14:textId="77777777" w:rsidR="002A3FF3" w:rsidRPr="002A3FF3" w:rsidRDefault="002A3FF3" w:rsidP="002A3FF3">
      <w:pPr>
        <w:pStyle w:val="Bibliografia1"/>
        <w:rPr>
          <w:rFonts w:cs="Times New Roman"/>
        </w:rPr>
      </w:pPr>
      <w:r w:rsidRPr="002A3FF3">
        <w:rPr>
          <w:rFonts w:cs="Times New Roman"/>
        </w:rPr>
        <w:t xml:space="preserve">Knez, M., Ranic, M., Gurinovic, M., Glibetic, M., Savic, J., Mattas, K., et al. (2023). Causes and Conditions for Reduced Cultivation and Consumption of Underutilized Crops: Is There a Solution? </w:t>
      </w:r>
      <w:r w:rsidRPr="002A3FF3">
        <w:rPr>
          <w:rFonts w:cs="Times New Roman"/>
          <w:i/>
          <w:iCs/>
        </w:rPr>
        <w:t>Sustainability</w:t>
      </w:r>
      <w:r w:rsidRPr="002A3FF3">
        <w:rPr>
          <w:rFonts w:cs="Times New Roman"/>
        </w:rPr>
        <w:t xml:space="preserve"> 15, 3076. doi: 10.3390/su15043076</w:t>
      </w:r>
    </w:p>
    <w:p w14:paraId="3B925CBC" w14:textId="77777777" w:rsidR="002A3FF3" w:rsidRPr="002A3FF3" w:rsidRDefault="002A3FF3" w:rsidP="002A3FF3">
      <w:pPr>
        <w:pStyle w:val="Bibliografia1"/>
        <w:rPr>
          <w:rFonts w:cs="Times New Roman"/>
        </w:rPr>
      </w:pPr>
      <w:r w:rsidRPr="002A3FF3">
        <w:rPr>
          <w:rFonts w:cs="Times New Roman"/>
        </w:rPr>
        <w:t xml:space="preserve">Lavoie, A. L., Dentzman, K., and Wardropper, C. B. (2021). Using diffusion of innovations theory to understand agricultural producer perspectives on cover cropping in the inland Pacific Northwest, USA. </w:t>
      </w:r>
      <w:r w:rsidRPr="002A3FF3">
        <w:rPr>
          <w:rFonts w:cs="Times New Roman"/>
          <w:i/>
          <w:iCs/>
        </w:rPr>
        <w:t>Renewable Agriculture and Food Systems</w:t>
      </w:r>
      <w:r w:rsidRPr="002A3FF3">
        <w:rPr>
          <w:rFonts w:cs="Times New Roman"/>
        </w:rPr>
        <w:t xml:space="preserve"> 36, 384–395. doi: 10.1017/S1742170520000423</w:t>
      </w:r>
    </w:p>
    <w:p w14:paraId="78FC69AA" w14:textId="77777777" w:rsidR="002A3FF3" w:rsidRPr="002A3FF3" w:rsidRDefault="002A3FF3" w:rsidP="002A3FF3">
      <w:pPr>
        <w:pStyle w:val="Bibliografia1"/>
        <w:rPr>
          <w:rFonts w:cs="Times New Roman"/>
          <w:lang w:val="it-IT"/>
        </w:rPr>
      </w:pPr>
      <w:r w:rsidRPr="002A3FF3">
        <w:rPr>
          <w:rFonts w:cs="Times New Roman"/>
        </w:rPr>
        <w:t xml:space="preserve">Padel, S. (2001). Conversion to Organic Farming: A Typical Example of the Diffusion of an Innovation? </w:t>
      </w:r>
      <w:r w:rsidRPr="002A3FF3">
        <w:rPr>
          <w:rFonts w:cs="Times New Roman"/>
          <w:i/>
          <w:iCs/>
          <w:lang w:val="it-IT"/>
        </w:rPr>
        <w:t>Sociologia Ruralis</w:t>
      </w:r>
      <w:r w:rsidRPr="002A3FF3">
        <w:rPr>
          <w:rFonts w:cs="Times New Roman"/>
          <w:lang w:val="it-IT"/>
        </w:rPr>
        <w:t xml:space="preserve"> 41, 40–61. doi: 10.1111/1467-9523.00169</w:t>
      </w:r>
    </w:p>
    <w:p w14:paraId="066EA901" w14:textId="77777777" w:rsidR="002A3FF3" w:rsidRPr="002A3FF3" w:rsidRDefault="002A3FF3" w:rsidP="002A3FF3">
      <w:pPr>
        <w:pStyle w:val="Bibliografia1"/>
        <w:rPr>
          <w:rFonts w:cs="Times New Roman"/>
          <w:lang w:val="it-IT"/>
        </w:rPr>
      </w:pPr>
      <w:r w:rsidRPr="002A3FF3">
        <w:rPr>
          <w:rFonts w:cs="Times New Roman"/>
          <w:lang w:val="it-IT"/>
        </w:rPr>
        <w:t>RICA (2022). Banca Dati RICA CREA-PB.</w:t>
      </w:r>
    </w:p>
    <w:p w14:paraId="5E5643C8" w14:textId="77777777" w:rsidR="002A3FF3" w:rsidRPr="002A3FF3" w:rsidRDefault="002A3FF3" w:rsidP="002A3FF3">
      <w:pPr>
        <w:pStyle w:val="Bibliografia1"/>
        <w:rPr>
          <w:rFonts w:cs="Times New Roman"/>
        </w:rPr>
      </w:pPr>
      <w:r w:rsidRPr="002A3FF3">
        <w:rPr>
          <w:rFonts w:cs="Times New Roman"/>
          <w:lang w:val="it-IT"/>
        </w:rPr>
        <w:t xml:space="preserve">Rogers, E. M. (2003). </w:t>
      </w:r>
      <w:r w:rsidRPr="002A3FF3">
        <w:rPr>
          <w:rFonts w:cs="Times New Roman"/>
          <w:i/>
          <w:iCs/>
        </w:rPr>
        <w:t>Diffusion of Innovations</w:t>
      </w:r>
      <w:r w:rsidRPr="002A3FF3">
        <w:rPr>
          <w:rFonts w:cs="Times New Roman"/>
        </w:rPr>
        <w:t>., 5th Edition. New York: Free Press.</w:t>
      </w:r>
    </w:p>
    <w:p w14:paraId="2E73473E" w14:textId="77777777" w:rsidR="002A3FF3" w:rsidRPr="002A3FF3" w:rsidRDefault="002A3FF3" w:rsidP="002A3FF3">
      <w:pPr>
        <w:pStyle w:val="Bibliografia1"/>
        <w:rPr>
          <w:rFonts w:cs="Times New Roman"/>
        </w:rPr>
      </w:pPr>
      <w:r w:rsidRPr="002A3FF3">
        <w:rPr>
          <w:rFonts w:cs="Times New Roman"/>
        </w:rPr>
        <w:t xml:space="preserve">Small, E. (2017). Buckwheat – the world’s most biodiversity-friendly crop? </w:t>
      </w:r>
      <w:r w:rsidRPr="002A3FF3">
        <w:rPr>
          <w:rFonts w:cs="Times New Roman"/>
          <w:i/>
          <w:iCs/>
        </w:rPr>
        <w:t>Biodiversity</w:t>
      </w:r>
      <w:r w:rsidRPr="002A3FF3">
        <w:rPr>
          <w:rFonts w:cs="Times New Roman"/>
        </w:rPr>
        <w:t xml:space="preserve"> 18, 108–123. doi: 10.1080/14888386.2017.1332529</w:t>
      </w:r>
    </w:p>
    <w:p w14:paraId="1780EB78" w14:textId="77777777" w:rsidR="002A3FF3" w:rsidRPr="002A3FF3" w:rsidRDefault="002A3FF3" w:rsidP="002A3FF3">
      <w:pPr>
        <w:pStyle w:val="Bibliografia1"/>
        <w:rPr>
          <w:rFonts w:cs="Times New Roman"/>
        </w:rPr>
      </w:pPr>
      <w:r w:rsidRPr="002A3FF3">
        <w:rPr>
          <w:rFonts w:cs="Times New Roman"/>
        </w:rPr>
        <w:t xml:space="preserve">Ullah, K., and Crooks, A. (2022). “Modeling Farmers’ Adoption Potential to New Bioenergy Crops: An Agent-Based Approach,” in </w:t>
      </w:r>
      <w:r w:rsidRPr="002A3FF3">
        <w:rPr>
          <w:rFonts w:cs="Times New Roman"/>
          <w:i/>
          <w:iCs/>
        </w:rPr>
        <w:t>Proceedings of the 2022 Conference of The Computational Social Science Society of the Americas</w:t>
      </w:r>
      <w:r w:rsidRPr="002A3FF3">
        <w:rPr>
          <w:rFonts w:cs="Times New Roman"/>
        </w:rPr>
        <w:t>, eds. Z. Yang and S. Núñez-Corrales (Cham: Springer International Publishing), 63–75. doi: 10.1007/978-3-031-37553-8_5</w:t>
      </w:r>
    </w:p>
    <w:p w14:paraId="47D61B2F" w14:textId="77777777" w:rsidR="002A3FF3" w:rsidRPr="002A3FF3" w:rsidRDefault="002A3FF3" w:rsidP="002A3FF3">
      <w:pPr>
        <w:pStyle w:val="Bibliografia1"/>
        <w:rPr>
          <w:rFonts w:cs="Times New Roman"/>
        </w:rPr>
      </w:pPr>
      <w:r w:rsidRPr="002A3FF3">
        <w:rPr>
          <w:rFonts w:cs="Times New Roman"/>
        </w:rPr>
        <w:t xml:space="preserve">Upadhaya, S., and Dwivedi, P. (2019). The role and potential of blueberry in increasing deforestation in southern Georgia, United States. </w:t>
      </w:r>
      <w:r w:rsidRPr="002A3FF3">
        <w:rPr>
          <w:rFonts w:cs="Times New Roman"/>
          <w:i/>
          <w:iCs/>
        </w:rPr>
        <w:t>Agricultural Systems</w:t>
      </w:r>
      <w:r w:rsidRPr="002A3FF3">
        <w:rPr>
          <w:rFonts w:cs="Times New Roman"/>
        </w:rPr>
        <w:t xml:space="preserve"> 173, 39–48. doi: 10.1016/j.agsy.2019.01.002</w:t>
      </w:r>
    </w:p>
    <w:p w14:paraId="7BDDA393" w14:textId="77777777" w:rsidR="002A3FF3" w:rsidRPr="002A3FF3" w:rsidRDefault="002A3FF3" w:rsidP="002A3FF3">
      <w:pPr>
        <w:pStyle w:val="Bibliografia1"/>
        <w:rPr>
          <w:rFonts w:cs="Times New Roman"/>
        </w:rPr>
      </w:pPr>
      <w:r w:rsidRPr="002A3FF3">
        <w:rPr>
          <w:rFonts w:cs="Times New Roman"/>
        </w:rPr>
        <w:t>Wilensky, U. (1999). NetLogo. Center for Connected Learning and Computer-Based Modeling. Evanston: Northwestern University. Available at: http://ccl.northwestern.edu/netlogo/</w:t>
      </w:r>
    </w:p>
    <w:p w14:paraId="5D0DE664" w14:textId="2BEFCF5C" w:rsidR="00F24938" w:rsidRPr="00F24938" w:rsidRDefault="002A3FF3" w:rsidP="00F24938">
      <w:r>
        <w:fldChar w:fldCharType="end"/>
      </w:r>
    </w:p>
    <w:sectPr w:rsidR="00F24938" w:rsidRPr="00F24938" w:rsidSect="0093429D">
      <w:headerReference w:type="even" r:id="rId12"/>
      <w:footerReference w:type="even" r:id="rId13"/>
      <w:footerReference w:type="default" r:id="rId14"/>
      <w:headerReference w:type="first" r:id="rId15"/>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340064" w14:textId="77777777" w:rsidR="004679A5" w:rsidRDefault="004679A5" w:rsidP="00117666">
      <w:pPr>
        <w:spacing w:after="0"/>
      </w:pPr>
      <w:r>
        <w:separator/>
      </w:r>
    </w:p>
  </w:endnote>
  <w:endnote w:type="continuationSeparator" w:id="0">
    <w:p w14:paraId="1B2965E1" w14:textId="77777777" w:rsidR="004679A5" w:rsidRDefault="004679A5"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14AB28" w14:textId="77777777" w:rsidR="00425102"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22FF27" w14:textId="77777777" w:rsidR="00425102"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425102"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661656" w14:textId="77777777" w:rsidR="004679A5" w:rsidRDefault="004679A5" w:rsidP="00117666">
      <w:pPr>
        <w:spacing w:after="0"/>
      </w:pPr>
      <w:r>
        <w:separator/>
      </w:r>
    </w:p>
  </w:footnote>
  <w:footnote w:type="continuationSeparator" w:id="0">
    <w:p w14:paraId="69BB15E4" w14:textId="77777777" w:rsidR="004679A5" w:rsidRDefault="004679A5"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31EDBA" w14:textId="77777777" w:rsidR="00425102"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711A5B" w14:textId="77777777" w:rsidR="00425102"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E66FFE"/>
    <w:multiLevelType w:val="multilevel"/>
    <w:tmpl w:val="6A906CFA"/>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F8C24FA"/>
    <w:lvl w:ilvl="0" w:tplc="A9DCD718">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C374D91"/>
    <w:multiLevelType w:val="hybridMultilevel"/>
    <w:tmpl w:val="1518B45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3FBE1BA8"/>
    <w:multiLevelType w:val="hybridMultilevel"/>
    <w:tmpl w:val="556C8272"/>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7"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10" w15:restartNumberingAfterBreak="0">
    <w:nsid w:val="796E4E95"/>
    <w:multiLevelType w:val="multilevel"/>
    <w:tmpl w:val="D5E8C4F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16cid:durableId="217982070">
    <w:abstractNumId w:val="0"/>
  </w:num>
  <w:num w:numId="2" w16cid:durableId="1502895251">
    <w:abstractNumId w:val="7"/>
  </w:num>
  <w:num w:numId="3" w16cid:durableId="999695119">
    <w:abstractNumId w:val="1"/>
  </w:num>
  <w:num w:numId="4" w16cid:durableId="1809395531">
    <w:abstractNumId w:val="8"/>
  </w:num>
  <w:num w:numId="5" w16cid:durableId="21044934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79847980">
    <w:abstractNumId w:val="4"/>
  </w:num>
  <w:num w:numId="7" w16cid:durableId="996761158">
    <w:abstractNumId w:val="9"/>
  </w:num>
  <w:num w:numId="8" w16cid:durableId="1552037790">
    <w:abstractNumId w:val="9"/>
  </w:num>
  <w:num w:numId="9" w16cid:durableId="1449157314">
    <w:abstractNumId w:val="9"/>
  </w:num>
  <w:num w:numId="10" w16cid:durableId="1920479282">
    <w:abstractNumId w:val="9"/>
  </w:num>
  <w:num w:numId="11" w16cid:durableId="328532100">
    <w:abstractNumId w:val="9"/>
  </w:num>
  <w:num w:numId="12" w16cid:durableId="1202597461">
    <w:abstractNumId w:val="9"/>
  </w:num>
  <w:num w:numId="13" w16cid:durableId="200440283">
    <w:abstractNumId w:val="4"/>
  </w:num>
  <w:num w:numId="14" w16cid:durableId="595097973">
    <w:abstractNumId w:val="3"/>
  </w:num>
  <w:num w:numId="15" w16cid:durableId="587540637">
    <w:abstractNumId w:val="3"/>
  </w:num>
  <w:num w:numId="16" w16cid:durableId="382681285">
    <w:abstractNumId w:val="3"/>
  </w:num>
  <w:num w:numId="17" w16cid:durableId="2007397854">
    <w:abstractNumId w:val="3"/>
  </w:num>
  <w:num w:numId="18" w16cid:durableId="292104562">
    <w:abstractNumId w:val="3"/>
  </w:num>
  <w:num w:numId="19" w16cid:durableId="1832522963">
    <w:abstractNumId w:val="3"/>
  </w:num>
  <w:num w:numId="20" w16cid:durableId="2049550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28181046">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136334223">
    <w:abstractNumId w:val="6"/>
  </w:num>
  <w:num w:numId="23" w16cid:durableId="20321415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attachedTemplate r:id="rId1"/>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105FD9"/>
    <w:rsid w:val="00117666"/>
    <w:rsid w:val="001549D3"/>
    <w:rsid w:val="00160065"/>
    <w:rsid w:val="00177D84"/>
    <w:rsid w:val="00193F67"/>
    <w:rsid w:val="00267D18"/>
    <w:rsid w:val="002868E2"/>
    <w:rsid w:val="002869C3"/>
    <w:rsid w:val="002936E4"/>
    <w:rsid w:val="002A3FF3"/>
    <w:rsid w:val="002B4A57"/>
    <w:rsid w:val="002C74CA"/>
    <w:rsid w:val="002F2A74"/>
    <w:rsid w:val="003544FB"/>
    <w:rsid w:val="003B330A"/>
    <w:rsid w:val="003D2F2D"/>
    <w:rsid w:val="00401590"/>
    <w:rsid w:val="00425102"/>
    <w:rsid w:val="00447801"/>
    <w:rsid w:val="00452E9C"/>
    <w:rsid w:val="004679A5"/>
    <w:rsid w:val="004735C8"/>
    <w:rsid w:val="004961FF"/>
    <w:rsid w:val="00517A89"/>
    <w:rsid w:val="005250F2"/>
    <w:rsid w:val="005721CC"/>
    <w:rsid w:val="00593EEA"/>
    <w:rsid w:val="005A5EEE"/>
    <w:rsid w:val="006375C7"/>
    <w:rsid w:val="00654E8F"/>
    <w:rsid w:val="00656194"/>
    <w:rsid w:val="00660D05"/>
    <w:rsid w:val="006820B1"/>
    <w:rsid w:val="006B7D14"/>
    <w:rsid w:val="00701727"/>
    <w:rsid w:val="0070566C"/>
    <w:rsid w:val="00714C50"/>
    <w:rsid w:val="00725A7D"/>
    <w:rsid w:val="007501BE"/>
    <w:rsid w:val="00790BB3"/>
    <w:rsid w:val="007C206C"/>
    <w:rsid w:val="00803D24"/>
    <w:rsid w:val="00817DD6"/>
    <w:rsid w:val="00885156"/>
    <w:rsid w:val="008B6369"/>
    <w:rsid w:val="009151AA"/>
    <w:rsid w:val="0093429D"/>
    <w:rsid w:val="00943573"/>
    <w:rsid w:val="00970F7D"/>
    <w:rsid w:val="00994A3D"/>
    <w:rsid w:val="009C2B12"/>
    <w:rsid w:val="009C70F3"/>
    <w:rsid w:val="009D2003"/>
    <w:rsid w:val="00A174D9"/>
    <w:rsid w:val="00A569CD"/>
    <w:rsid w:val="00AB6715"/>
    <w:rsid w:val="00B1671E"/>
    <w:rsid w:val="00B25EB8"/>
    <w:rsid w:val="00B354E1"/>
    <w:rsid w:val="00B37F4D"/>
    <w:rsid w:val="00B647E1"/>
    <w:rsid w:val="00BD1918"/>
    <w:rsid w:val="00C52A7B"/>
    <w:rsid w:val="00C56BAF"/>
    <w:rsid w:val="00C679AA"/>
    <w:rsid w:val="00C75972"/>
    <w:rsid w:val="00CC0A3A"/>
    <w:rsid w:val="00CC51AD"/>
    <w:rsid w:val="00CD066B"/>
    <w:rsid w:val="00CE4FEE"/>
    <w:rsid w:val="00DA70E5"/>
    <w:rsid w:val="00DB59C3"/>
    <w:rsid w:val="00DC259A"/>
    <w:rsid w:val="00DE23E8"/>
    <w:rsid w:val="00E158A0"/>
    <w:rsid w:val="00E52377"/>
    <w:rsid w:val="00E64E17"/>
    <w:rsid w:val="00E866C9"/>
    <w:rsid w:val="00EA3D3C"/>
    <w:rsid w:val="00F24938"/>
    <w:rsid w:val="00F46900"/>
    <w:rsid w:val="00F61D89"/>
    <w:rsid w:val="00F7079C"/>
    <w:rsid w:val="00FB21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6715"/>
    <w:pPr>
      <w:spacing w:before="120" w:after="240" w:line="240" w:lineRule="auto"/>
    </w:pPr>
    <w:rPr>
      <w:rFonts w:ascii="Times New Roman" w:hAnsi="Times New Roman"/>
      <w:sz w:val="24"/>
    </w:rPr>
  </w:style>
  <w:style w:type="paragraph" w:styleId="Titolo1">
    <w:name w:val="heading 1"/>
    <w:basedOn w:val="Paragrafoelenco"/>
    <w:next w:val="Normale"/>
    <w:link w:val="Titolo1Carattere"/>
    <w:uiPriority w:val="2"/>
    <w:qFormat/>
    <w:rsid w:val="00AB6715"/>
    <w:pPr>
      <w:numPr>
        <w:numId w:val="19"/>
      </w:numPr>
      <w:spacing w:before="240"/>
      <w:contextualSpacing w:val="0"/>
      <w:outlineLvl w:val="0"/>
    </w:pPr>
    <w:rPr>
      <w:b/>
    </w:rPr>
  </w:style>
  <w:style w:type="paragraph" w:styleId="Titolo2">
    <w:name w:val="heading 2"/>
    <w:basedOn w:val="Titolo1"/>
    <w:next w:val="Normale"/>
    <w:link w:val="Titolo2Carattere"/>
    <w:uiPriority w:val="2"/>
    <w:qFormat/>
    <w:rsid w:val="00AB6715"/>
    <w:pPr>
      <w:numPr>
        <w:ilvl w:val="1"/>
      </w:numPr>
      <w:spacing w:after="200"/>
      <w:outlineLvl w:val="1"/>
    </w:pPr>
  </w:style>
  <w:style w:type="paragraph" w:styleId="Titolo3">
    <w:name w:val="heading 3"/>
    <w:basedOn w:val="Normale"/>
    <w:next w:val="Normale"/>
    <w:link w:val="Titolo3Carattere"/>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AB6715"/>
    <w:pPr>
      <w:numPr>
        <w:ilvl w:val="3"/>
      </w:numPr>
      <w:outlineLvl w:val="3"/>
    </w:pPr>
    <w:rPr>
      <w:iCs/>
    </w:rPr>
  </w:style>
  <w:style w:type="paragraph" w:styleId="Titolo5">
    <w:name w:val="heading 5"/>
    <w:basedOn w:val="Titolo4"/>
    <w:next w:val="Normale"/>
    <w:link w:val="Titolo5Carattere"/>
    <w:uiPriority w:val="2"/>
    <w:qFormat/>
    <w:rsid w:val="00AB6715"/>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99"/>
    <w:unhideWhenUsed/>
    <w:qFormat/>
    <w:rsid w:val="00AB6715"/>
    <w:pPr>
      <w:spacing w:before="240"/>
    </w:pPr>
    <w:rPr>
      <w:rFonts w:cs="Times New Roman"/>
      <w:b/>
      <w:szCs w:val="24"/>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rFonts w:cs="Times New Roman"/>
      <w:b/>
      <w:bCs/>
      <w:szCs w:val="24"/>
    </w:rPr>
  </w:style>
  <w:style w:type="paragraph" w:styleId="Nessunaspaziatura">
    <w:name w:val="No Spacing"/>
    <w:uiPriority w:val="99"/>
    <w:unhideWhenUsed/>
    <w:qFormat/>
    <w:rsid w:val="00AB6715"/>
    <w:pPr>
      <w:spacing w:after="0" w:line="240" w:lineRule="auto"/>
    </w:pPr>
    <w:rPr>
      <w:rFonts w:ascii="Times New Roman" w:hAnsi="Times New Roman"/>
      <w:sz w:val="24"/>
    </w:r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rPr>
      <w:rFonts w:eastAsia="Times New Roman" w:cs="Times New Roman"/>
      <w:szCs w:val="24"/>
    </w:r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qFormat/>
    <w:rsid w:val="00AB6715"/>
    <w:pPr>
      <w:suppressLineNumbers/>
      <w:spacing w:before="240" w:after="360"/>
      <w:jc w:val="center"/>
    </w:pPr>
    <w:rPr>
      <w:rFonts w:cs="Times New Roman"/>
      <w:b/>
      <w:sz w:val="32"/>
      <w:szCs w:val="32"/>
    </w:r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line="240" w:lineRule="auto"/>
    </w:pPr>
    <w:rPr>
      <w:rFonts w:ascii="Times New Roman" w:hAnsi="Times New Roman"/>
      <w:sz w:val="24"/>
    </w:rPr>
  </w:style>
  <w:style w:type="table" w:customStyle="1" w:styleId="Grigliatabella1">
    <w:name w:val="Griglia tabella1"/>
    <w:basedOn w:val="Tabellanormale"/>
    <w:uiPriority w:val="39"/>
    <w:rsid w:val="00DA70E5"/>
    <w:pPr>
      <w:spacing w:after="0" w:line="240" w:lineRule="auto"/>
    </w:pPr>
    <w:rPr>
      <w:kern w:val="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fia1">
    <w:name w:val="Bibliografia1"/>
    <w:basedOn w:val="Normale"/>
    <w:link w:val="BibliographyCarattere"/>
    <w:rsid w:val="002A3FF3"/>
    <w:pPr>
      <w:ind w:left="720" w:hanging="720"/>
    </w:pPr>
  </w:style>
  <w:style w:type="character" w:customStyle="1" w:styleId="BibliographyCarattere">
    <w:name w:val="Bibliography Carattere"/>
    <w:basedOn w:val="Carpredefinitoparagrafo"/>
    <w:link w:val="Bibliografia1"/>
    <w:rsid w:val="002A3FF3"/>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b9db00c-ef8e-4c1f-9263-d5cf85d9f361">
      <Terms xmlns="http://schemas.microsoft.com/office/infopath/2007/PartnerControls"/>
    </lcf76f155ced4ddcb4097134ff3c332f>
    <TaxCatchAll xmlns="17af0720-8dd7-48c5-8354-ecb1713019f5" xsi:nil="true"/>
    <Letto xmlns="eb9db00c-ef8e-4c1f-9263-d5cf85d9f361">true</Letto>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86CC8B46A5F2A49A88B265DF4C04A31" ma:contentTypeVersion="15" ma:contentTypeDescription="Creare un nuovo documento." ma:contentTypeScope="" ma:versionID="c8387c69e5257256f6c5ce854a67a203">
  <xsd:schema xmlns:xsd="http://www.w3.org/2001/XMLSchema" xmlns:xs="http://www.w3.org/2001/XMLSchema" xmlns:p="http://schemas.microsoft.com/office/2006/metadata/properties" xmlns:ns2="eb9db00c-ef8e-4c1f-9263-d5cf85d9f361" xmlns:ns3="17af0720-8dd7-48c5-8354-ecb1713019f5" targetNamespace="http://schemas.microsoft.com/office/2006/metadata/properties" ma:root="true" ma:fieldsID="f5b2476d0f6dd7316e8d351120fcc816" ns2:_="" ns3:_="">
    <xsd:import namespace="eb9db00c-ef8e-4c1f-9263-d5cf85d9f361"/>
    <xsd:import namespace="17af0720-8dd7-48c5-8354-ecb1713019f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Letto"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9db00c-ef8e-4c1f-9263-d5cf85d9f3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etto" ma:index="18" nillable="true" ma:displayName="Letto" ma:default="1" ma:format="Dropdown" ma:internalName="Letto">
      <xsd:simpleType>
        <xsd:restriction base="dms:Boolea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7af0720-8dd7-48c5-8354-ecb1713019f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72e33ce-c66b-4234-a2e4-13ed9e24545b}" ma:internalName="TaxCatchAll" ma:showField="CatchAllData" ma:web="17af0720-8dd7-48c5-8354-ecb1713019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2.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eb9db00c-ef8e-4c1f-9263-d5cf85d9f361"/>
    <ds:schemaRef ds:uri="17af0720-8dd7-48c5-8354-ecb1713019f5"/>
  </ds:schemaRefs>
</ds:datastoreItem>
</file>

<file path=customXml/itemProps3.xml><?xml version="1.0" encoding="utf-8"?>
<ds:datastoreItem xmlns:ds="http://schemas.openxmlformats.org/officeDocument/2006/customXml" ds:itemID="{72F8AD5A-F147-4508-B0CC-4055530E65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9db00c-ef8e-4c1f-9263-d5cf85d9f361"/>
    <ds:schemaRef ds:uri="17af0720-8dd7-48c5-8354-ecb1713019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0</TotalTime>
  <Pages>10</Pages>
  <Words>11720</Words>
  <Characters>66807</Characters>
  <Application>Microsoft Office Word</Application>
  <DocSecurity>0</DocSecurity>
  <Lines>556</Lines>
  <Paragraphs>156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78371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Marta Verza</cp:lastModifiedBy>
  <cp:revision>11</cp:revision>
  <cp:lastPrinted>2013-10-03T12:51:00Z</cp:lastPrinted>
  <dcterms:created xsi:type="dcterms:W3CDTF">2024-06-25T06:35:00Z</dcterms:created>
  <dcterms:modified xsi:type="dcterms:W3CDTF">2024-10-29T08:53:00Z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0x010100B86CC8B46A5F2A49A88B265DF4C04A31</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y fmtid="{D5CDD505-2E9C-101B-9397-08002B2CF9AE}" pid="10" name="ZOTERO_PREF_1">
    <vt:lpwstr>&lt;data data-version="3" zotero-version="6.0.37"&gt;&lt;session id="jbXh7z5a"/&gt;&lt;style id="http://www.zotero.org/styles/frontiers" hasBibliography="1" bibliographyStyleHasBeenSet="1"/&gt;&lt;prefs&gt;&lt;pref name="fieldType" value="Field"/&gt;&lt;/prefs&gt;&lt;/data&gt;</vt:lpwstr>
  </property>
</Properties>
</file>