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B87E33" w14:textId="77777777" w:rsidR="0065519C" w:rsidRPr="0081192A" w:rsidRDefault="0065519C" w:rsidP="0065519C">
      <w:pPr>
        <w:pStyle w:val="ListParagraph"/>
        <w:numPr>
          <w:ilvl w:val="0"/>
          <w:numId w:val="1"/>
        </w:numPr>
        <w:shd w:val="clear" w:color="auto" w:fill="FFFFFF"/>
        <w:jc w:val="both"/>
        <w:rPr>
          <w:b/>
          <w:sz w:val="28"/>
          <w:szCs w:val="28"/>
        </w:rPr>
      </w:pPr>
      <w:r w:rsidRPr="0081192A">
        <w:rPr>
          <w:b/>
          <w:sz w:val="28"/>
          <w:szCs w:val="28"/>
        </w:rPr>
        <w:t>Supplementary Materials</w:t>
      </w:r>
    </w:p>
    <w:p w14:paraId="26CE3CA7" w14:textId="77777777" w:rsidR="0065519C" w:rsidRPr="0081192A" w:rsidRDefault="0065519C" w:rsidP="0065519C">
      <w:pPr>
        <w:shd w:val="clear" w:color="auto" w:fill="FFFFFF"/>
        <w:jc w:val="both"/>
        <w:rPr>
          <w:b/>
          <w:sz w:val="28"/>
          <w:szCs w:val="28"/>
        </w:rPr>
      </w:pPr>
    </w:p>
    <w:p w14:paraId="50F98924" w14:textId="77777777" w:rsidR="0065519C" w:rsidRPr="0081192A" w:rsidRDefault="0065519C" w:rsidP="0065519C">
      <w:pPr>
        <w:shd w:val="clear" w:color="auto" w:fill="FFFFFF"/>
        <w:spacing w:after="100" w:afterAutospacing="1"/>
        <w:ind w:left="-1191"/>
        <w:jc w:val="both"/>
        <w:rPr>
          <w:b/>
          <w:sz w:val="28"/>
          <w:szCs w:val="28"/>
        </w:rPr>
      </w:pPr>
      <w:r w:rsidRPr="0081192A">
        <w:rPr>
          <w:noProof/>
          <w:lang w:val="it-IT"/>
        </w:rPr>
        <w:lastRenderedPageBreak/>
        <w:drawing>
          <wp:inline distT="0" distB="0" distL="0" distR="0" wp14:anchorId="22F174B1" wp14:editId="2416775E">
            <wp:extent cx="8155133" cy="5767203"/>
            <wp:effectExtent l="0" t="1219200" r="0" b="1186180"/>
            <wp:docPr id="1921865407" name="Immagine 1" descr="Immagine che contiene mappa, testo, atlante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21865407" name="Immagine 1" descr="Immagine che contiene mappa, testo, atlante&#10;&#10;Il contenuto generato dall'IA potrebbe non essere corretto."/>
                    <pic:cNvPicPr preferRelativeResize="0"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8199132" cy="5798319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00F05F2" w14:textId="77777777" w:rsidR="0065519C" w:rsidRPr="0081192A" w:rsidRDefault="0065519C" w:rsidP="0065519C">
      <w:pPr>
        <w:pageBreakBefore/>
        <w:jc w:val="both"/>
        <w:rPr>
          <w:bCs/>
          <w:i/>
          <w:iCs/>
          <w:sz w:val="28"/>
          <w:szCs w:val="28"/>
        </w:rPr>
      </w:pPr>
      <w:r w:rsidRPr="0081192A">
        <w:rPr>
          <w:bCs/>
          <w:i/>
          <w:iCs/>
          <w:sz w:val="22"/>
          <w:szCs w:val="22"/>
        </w:rPr>
        <w:lastRenderedPageBreak/>
        <w:t>Figure S1. Italian Administrative Region (NUT2 level). The names of the Regions are the same as reported in the main text and in Figures S2, S3, S9, and S10</w:t>
      </w:r>
      <w:r w:rsidRPr="0081192A">
        <w:rPr>
          <w:bCs/>
          <w:i/>
          <w:iCs/>
          <w:sz w:val="28"/>
          <w:szCs w:val="28"/>
        </w:rPr>
        <w:t>.</w:t>
      </w:r>
    </w:p>
    <w:p w14:paraId="2B63BC8D" w14:textId="77777777" w:rsidR="0065519C" w:rsidRPr="0081192A" w:rsidRDefault="0065519C" w:rsidP="0065519C">
      <w:r w:rsidRPr="0081192A">
        <w:rPr>
          <w:noProof/>
          <w:lang w:val="it-IT"/>
        </w:rPr>
        <w:lastRenderedPageBreak/>
        <w:drawing>
          <wp:anchor distT="0" distB="0" distL="114300" distR="114300" simplePos="0" relativeHeight="251659264" behindDoc="0" locked="0" layoutInCell="1" allowOverlap="1" wp14:anchorId="0CEE10CE" wp14:editId="24075AC9">
            <wp:simplePos x="723900" y="895350"/>
            <wp:positionH relativeFrom="margin">
              <wp:align>center</wp:align>
            </wp:positionH>
            <wp:positionV relativeFrom="margin">
              <wp:align>top</wp:align>
            </wp:positionV>
            <wp:extent cx="6872400" cy="9720000"/>
            <wp:effectExtent l="0" t="0" r="5080" b="0"/>
            <wp:wrapSquare wrapText="bothSides"/>
            <wp:docPr id="4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6.png"/>
                    <pic:cNvPicPr preferRelativeResize="0"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72400" cy="97200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2C454A6F" w14:textId="77777777" w:rsidR="0065519C" w:rsidRPr="0081192A" w:rsidRDefault="0065519C" w:rsidP="0065519C">
      <w:pPr>
        <w:jc w:val="both"/>
        <w:rPr>
          <w:i/>
          <w:sz w:val="22"/>
          <w:szCs w:val="22"/>
        </w:rPr>
      </w:pPr>
      <w:r w:rsidRPr="0081192A">
        <w:rPr>
          <w:i/>
          <w:sz w:val="22"/>
          <w:szCs w:val="22"/>
        </w:rPr>
        <w:lastRenderedPageBreak/>
        <w:t xml:space="preserve">Figure S2. Validation at the plot-level of the 3D-CMCC-FEM simulation against the field-measured values of the third Italian NFI grouped by Administrative Region (NUT2). GSV is the growing stock volume. The gray line is the y=x line, and the blue one is the regression line between predicted and observed values. </w:t>
      </w:r>
      <w:proofErr w:type="spellStart"/>
      <w:r w:rsidRPr="0081192A">
        <w:rPr>
          <w:i/>
          <w:sz w:val="22"/>
          <w:szCs w:val="22"/>
        </w:rPr>
        <w:t>Colour</w:t>
      </w:r>
      <w:proofErr w:type="spellEnd"/>
      <w:r w:rsidRPr="0081192A">
        <w:rPr>
          <w:i/>
          <w:sz w:val="22"/>
          <w:szCs w:val="22"/>
        </w:rPr>
        <w:t xml:space="preserve"> represents point density.</w:t>
      </w:r>
    </w:p>
    <w:p w14:paraId="79455CA9" w14:textId="77777777" w:rsidR="0065519C" w:rsidRPr="0081192A" w:rsidRDefault="0065519C" w:rsidP="0065519C">
      <w:pPr>
        <w:jc w:val="both"/>
        <w:rPr>
          <w:i/>
          <w:sz w:val="22"/>
          <w:szCs w:val="22"/>
        </w:rPr>
      </w:pPr>
      <w:r w:rsidRPr="0081192A">
        <w:rPr>
          <w:noProof/>
          <w:lang w:val="it-IT"/>
        </w:rPr>
        <w:lastRenderedPageBreak/>
        <w:drawing>
          <wp:anchor distT="0" distB="0" distL="114300" distR="114300" simplePos="0" relativeHeight="251660288" behindDoc="0" locked="0" layoutInCell="1" allowOverlap="1" wp14:anchorId="493285BB" wp14:editId="32413BAD">
            <wp:simplePos x="723900" y="895350"/>
            <wp:positionH relativeFrom="margin">
              <wp:align>center</wp:align>
            </wp:positionH>
            <wp:positionV relativeFrom="margin">
              <wp:align>top</wp:align>
            </wp:positionV>
            <wp:extent cx="6874376" cy="9720000"/>
            <wp:effectExtent l="0" t="0" r="3175" b="0"/>
            <wp:wrapSquare wrapText="bothSides"/>
            <wp:docPr id="15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4.png"/>
                    <pic:cNvPicPr preferRelativeResize="0"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74376" cy="97200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 w:rsidRPr="0081192A">
        <w:rPr>
          <w:i/>
          <w:sz w:val="22"/>
          <w:szCs w:val="22"/>
        </w:rPr>
        <w:t xml:space="preserve">Figure S3. Validation at the plot-level of the 3D-CMCC-FEM simulation against the field-measured </w:t>
      </w:r>
      <w:r w:rsidRPr="0081192A">
        <w:rPr>
          <w:i/>
          <w:sz w:val="22"/>
          <w:szCs w:val="22"/>
        </w:rPr>
        <w:lastRenderedPageBreak/>
        <w:t>values o</w:t>
      </w:r>
    </w:p>
    <w:p w14:paraId="7500C583" w14:textId="77777777" w:rsidR="0065519C" w:rsidRPr="0081192A" w:rsidRDefault="0065519C" w:rsidP="0065519C">
      <w:pPr>
        <w:jc w:val="both"/>
        <w:rPr>
          <w:i/>
          <w:sz w:val="22"/>
          <w:szCs w:val="22"/>
        </w:rPr>
      </w:pPr>
      <w:r w:rsidRPr="0081192A">
        <w:rPr>
          <w:i/>
          <w:sz w:val="22"/>
          <w:szCs w:val="22"/>
        </w:rPr>
        <w:t xml:space="preserve">Figure S3. Validation at the plot-level of the 3D-CMCC-FEM simulation against the field-measured values of the third Italian NFI grouped by Administrative Region (NUT2). CS is the carbon stock. The gray line is the y=x line, and the blue one is the regression line between predicted and observed values. </w:t>
      </w:r>
      <w:proofErr w:type="spellStart"/>
      <w:r w:rsidRPr="0081192A">
        <w:rPr>
          <w:i/>
          <w:sz w:val="22"/>
          <w:szCs w:val="22"/>
        </w:rPr>
        <w:t>Colour</w:t>
      </w:r>
      <w:proofErr w:type="spellEnd"/>
      <w:r w:rsidRPr="0081192A">
        <w:rPr>
          <w:i/>
          <w:sz w:val="22"/>
          <w:szCs w:val="22"/>
        </w:rPr>
        <w:t xml:space="preserve"> represents point density.</w:t>
      </w:r>
    </w:p>
    <w:p w14:paraId="39A63830" w14:textId="77777777" w:rsidR="0065519C" w:rsidRPr="0081192A" w:rsidRDefault="0065519C" w:rsidP="0065519C">
      <w:pPr>
        <w:jc w:val="both"/>
        <w:rPr>
          <w:i/>
          <w:sz w:val="22"/>
          <w:szCs w:val="22"/>
        </w:rPr>
      </w:pPr>
    </w:p>
    <w:p w14:paraId="38C65E2F" w14:textId="77777777" w:rsidR="0065519C" w:rsidRPr="0081192A" w:rsidRDefault="0065519C" w:rsidP="0065519C">
      <w:pPr>
        <w:jc w:val="both"/>
      </w:pPr>
      <w:r w:rsidRPr="0081192A">
        <w:rPr>
          <w:i/>
          <w:sz w:val="22"/>
          <w:szCs w:val="22"/>
        </w:rPr>
        <w:lastRenderedPageBreak/>
        <w:t xml:space="preserve">the third Italian NFI grouped by Administrative Region (NUT2). CS is carbon stock. The gray line is </w:t>
      </w:r>
      <w:r w:rsidRPr="0081192A">
        <w:rPr>
          <w:i/>
          <w:sz w:val="22"/>
          <w:szCs w:val="22"/>
        </w:rPr>
        <w:lastRenderedPageBreak/>
        <w:t xml:space="preserve">the y=x </w:t>
      </w:r>
      <w:r w:rsidRPr="0081192A">
        <w:rPr>
          <w:noProof/>
          <w:lang w:val="it-IT"/>
        </w:rPr>
        <w:drawing>
          <wp:anchor distT="0" distB="0" distL="114300" distR="114300" simplePos="0" relativeHeight="251661312" behindDoc="0" locked="0" layoutInCell="1" allowOverlap="1" wp14:anchorId="0B9B2AD3" wp14:editId="5AC6A55C">
            <wp:simplePos x="723900" y="895350"/>
            <wp:positionH relativeFrom="margin">
              <wp:align>center</wp:align>
            </wp:positionH>
            <wp:positionV relativeFrom="margin">
              <wp:align>top</wp:align>
            </wp:positionV>
            <wp:extent cx="6875780" cy="9719945"/>
            <wp:effectExtent l="0" t="0" r="1270" b="0"/>
            <wp:wrapSquare wrapText="bothSides"/>
            <wp:docPr id="6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 preferRelativeResize="0"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75780" cy="971994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2D17F543" w14:textId="77777777" w:rsidR="0065519C" w:rsidRPr="0081192A" w:rsidRDefault="0065519C" w:rsidP="0065519C">
      <w:pPr>
        <w:jc w:val="both"/>
        <w:rPr>
          <w:i/>
          <w:sz w:val="22"/>
          <w:szCs w:val="22"/>
        </w:rPr>
      </w:pPr>
      <w:r w:rsidRPr="0081192A">
        <w:rPr>
          <w:i/>
          <w:sz w:val="22"/>
          <w:szCs w:val="22"/>
        </w:rPr>
        <w:lastRenderedPageBreak/>
        <w:t xml:space="preserve">Figure S4. Validation at the plot-level of the 3D-CMCC-FEM simulation against the field-measured values of the third Italian NFI grouped by species. GSV is the growing stock volume. The gray line represents the y=x line, and the blue line represents the regression line between the predicted and observed values. </w:t>
      </w:r>
      <w:proofErr w:type="spellStart"/>
      <w:r w:rsidRPr="0081192A">
        <w:rPr>
          <w:i/>
          <w:sz w:val="22"/>
          <w:szCs w:val="22"/>
        </w:rPr>
        <w:t>Colour</w:t>
      </w:r>
      <w:proofErr w:type="spellEnd"/>
      <w:r w:rsidRPr="0081192A">
        <w:rPr>
          <w:i/>
          <w:sz w:val="22"/>
          <w:szCs w:val="22"/>
        </w:rPr>
        <w:t xml:space="preserve"> represents point density.</w:t>
      </w:r>
    </w:p>
    <w:p w14:paraId="0B28CA0F" w14:textId="77777777" w:rsidR="0065519C" w:rsidRPr="0081192A" w:rsidRDefault="0065519C" w:rsidP="0065519C">
      <w:pPr>
        <w:jc w:val="both"/>
      </w:pPr>
      <w:r w:rsidRPr="0081192A">
        <w:rPr>
          <w:noProof/>
          <w:lang w:val="it-IT"/>
        </w:rPr>
        <w:lastRenderedPageBreak/>
        <w:drawing>
          <wp:anchor distT="0" distB="0" distL="114300" distR="114300" simplePos="0" relativeHeight="251662336" behindDoc="0" locked="0" layoutInCell="1" allowOverlap="1" wp14:anchorId="11C2A9EB" wp14:editId="73FD5AA2">
            <wp:simplePos x="723900" y="895350"/>
            <wp:positionH relativeFrom="margin">
              <wp:align>center</wp:align>
            </wp:positionH>
            <wp:positionV relativeFrom="margin">
              <wp:align>top</wp:align>
            </wp:positionV>
            <wp:extent cx="6876000" cy="9720000"/>
            <wp:effectExtent l="0" t="0" r="1270" b="0"/>
            <wp:wrapSquare wrapText="bothSides"/>
            <wp:docPr id="12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5.png"/>
                    <pic:cNvPicPr preferRelativeResize="0"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76000" cy="97200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36DC5633" w14:textId="77777777" w:rsidR="0065519C" w:rsidRPr="0081192A" w:rsidRDefault="0065519C" w:rsidP="0065519C">
      <w:pPr>
        <w:jc w:val="both"/>
        <w:rPr>
          <w:i/>
          <w:sz w:val="22"/>
          <w:szCs w:val="22"/>
        </w:rPr>
      </w:pPr>
      <w:r w:rsidRPr="0081192A">
        <w:rPr>
          <w:i/>
          <w:sz w:val="22"/>
          <w:szCs w:val="22"/>
        </w:rPr>
        <w:lastRenderedPageBreak/>
        <w:t xml:space="preserve">Figure S5. Validation at the plot-level of the 3D-CMCC-FEM simulation against the field-measured values of the third Italian NFI grouped by species. CS is the carbon stock. The gray line represents the y=x line, and the blue line represents the regression line between the predicted and observed values. </w:t>
      </w:r>
      <w:proofErr w:type="spellStart"/>
      <w:r w:rsidRPr="0081192A">
        <w:rPr>
          <w:i/>
          <w:sz w:val="22"/>
          <w:szCs w:val="22"/>
        </w:rPr>
        <w:t>Colour</w:t>
      </w:r>
      <w:proofErr w:type="spellEnd"/>
      <w:r w:rsidRPr="0081192A">
        <w:rPr>
          <w:i/>
          <w:sz w:val="22"/>
          <w:szCs w:val="22"/>
        </w:rPr>
        <w:t xml:space="preserve"> represents point density.</w:t>
      </w:r>
    </w:p>
    <w:p w14:paraId="3DE3B792" w14:textId="77777777" w:rsidR="0065519C" w:rsidRPr="0081192A" w:rsidRDefault="0065519C" w:rsidP="0065519C">
      <w:pPr>
        <w:jc w:val="both"/>
        <w:rPr>
          <w:i/>
          <w:sz w:val="22"/>
          <w:szCs w:val="22"/>
        </w:rPr>
      </w:pPr>
    </w:p>
    <w:p w14:paraId="64063C18" w14:textId="77777777" w:rsidR="0065519C" w:rsidRPr="0081192A" w:rsidRDefault="0065519C" w:rsidP="0065519C">
      <w:pPr>
        <w:jc w:val="both"/>
      </w:pPr>
      <w:r w:rsidRPr="0081192A">
        <w:rPr>
          <w:noProof/>
          <w:lang w:val="it-IT"/>
        </w:rPr>
        <w:drawing>
          <wp:inline distT="114300" distB="114300" distL="114300" distR="114300" wp14:anchorId="598AF6E1" wp14:editId="432E03A9">
            <wp:extent cx="6119820" cy="6121400"/>
            <wp:effectExtent l="0" t="0" r="0" b="0"/>
            <wp:docPr id="1" name="image10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0.jpg"/>
                    <pic:cNvPicPr preferRelativeResize="0"/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119820" cy="61214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5E3C5FAD" w14:textId="77777777" w:rsidR="0065519C" w:rsidRPr="0081192A" w:rsidRDefault="0065519C" w:rsidP="0065519C">
      <w:pPr>
        <w:ind w:left="360"/>
        <w:jc w:val="both"/>
        <w:rPr>
          <w:i/>
          <w:sz w:val="22"/>
          <w:szCs w:val="22"/>
        </w:rPr>
      </w:pPr>
      <w:r w:rsidRPr="0081192A">
        <w:rPr>
          <w:i/>
          <w:sz w:val="22"/>
          <w:szCs w:val="22"/>
        </w:rPr>
        <w:t>Figure S6. NUT2 INFC 2015 basal area (m</w:t>
      </w:r>
      <w:r w:rsidRPr="0081192A">
        <w:rPr>
          <w:i/>
          <w:sz w:val="22"/>
          <w:szCs w:val="22"/>
          <w:vertAlign w:val="superscript"/>
        </w:rPr>
        <w:t xml:space="preserve">2 </w:t>
      </w:r>
      <w:r w:rsidRPr="0081192A">
        <w:rPr>
          <w:i/>
          <w:sz w:val="22"/>
          <w:szCs w:val="22"/>
        </w:rPr>
        <w:t>ha</w:t>
      </w:r>
      <w:r w:rsidRPr="0081192A">
        <w:rPr>
          <w:i/>
          <w:sz w:val="22"/>
          <w:szCs w:val="22"/>
          <w:vertAlign w:val="superscript"/>
        </w:rPr>
        <w:t>-1</w:t>
      </w:r>
      <w:r w:rsidRPr="0081192A">
        <w:rPr>
          <w:i/>
          <w:sz w:val="22"/>
          <w:szCs w:val="22"/>
        </w:rPr>
        <w:t>) against the modeled one. The dotted line is the y = x line, and the blue is the</w:t>
      </w:r>
      <w:r w:rsidRPr="0081192A">
        <w:t xml:space="preserve"> </w:t>
      </w:r>
      <w:r w:rsidRPr="0081192A">
        <w:rPr>
          <w:i/>
          <w:sz w:val="22"/>
          <w:szCs w:val="22"/>
        </w:rPr>
        <w:t>regression line.</w:t>
      </w:r>
    </w:p>
    <w:p w14:paraId="4D2F4C75" w14:textId="77777777" w:rsidR="0065519C" w:rsidRPr="0081192A" w:rsidRDefault="0065519C" w:rsidP="0065519C">
      <w:pPr>
        <w:ind w:left="360"/>
        <w:jc w:val="both"/>
        <w:rPr>
          <w:i/>
          <w:sz w:val="22"/>
          <w:szCs w:val="22"/>
        </w:rPr>
      </w:pPr>
      <w:r w:rsidRPr="0081192A">
        <w:rPr>
          <w:i/>
          <w:noProof/>
          <w:sz w:val="22"/>
          <w:szCs w:val="22"/>
          <w:lang w:val="it-IT"/>
        </w:rPr>
        <w:lastRenderedPageBreak/>
        <w:drawing>
          <wp:inline distT="114300" distB="114300" distL="114300" distR="114300" wp14:anchorId="574F2FC7" wp14:editId="13E8C6C7">
            <wp:extent cx="6119820" cy="6121400"/>
            <wp:effectExtent l="0" t="0" r="0" b="0"/>
            <wp:docPr id="2" name="image14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4.jpg"/>
                    <pic:cNvPicPr preferRelativeResize="0"/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119820" cy="61214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2A9511D3" w14:textId="77777777" w:rsidR="0065519C" w:rsidRPr="0081192A" w:rsidRDefault="0065519C" w:rsidP="0065519C">
      <w:pPr>
        <w:ind w:left="360"/>
        <w:jc w:val="both"/>
        <w:rPr>
          <w:i/>
          <w:sz w:val="22"/>
          <w:szCs w:val="22"/>
        </w:rPr>
      </w:pPr>
      <w:r w:rsidRPr="0081192A">
        <w:rPr>
          <w:i/>
          <w:sz w:val="22"/>
          <w:szCs w:val="22"/>
        </w:rPr>
        <w:t>Figure S</w:t>
      </w:r>
      <w:proofErr w:type="gramStart"/>
      <w:r w:rsidRPr="0081192A">
        <w:rPr>
          <w:i/>
          <w:sz w:val="22"/>
          <w:szCs w:val="22"/>
        </w:rPr>
        <w:t>7..</w:t>
      </w:r>
      <w:proofErr w:type="gramEnd"/>
      <w:r w:rsidRPr="0081192A">
        <w:rPr>
          <w:i/>
          <w:sz w:val="22"/>
          <w:szCs w:val="22"/>
        </w:rPr>
        <w:t xml:space="preserve"> NUT2 INFC 2015 current annual increment (m</w:t>
      </w:r>
      <w:r w:rsidRPr="0081192A">
        <w:rPr>
          <w:i/>
          <w:sz w:val="22"/>
          <w:szCs w:val="22"/>
          <w:vertAlign w:val="superscript"/>
        </w:rPr>
        <w:t xml:space="preserve">3 </w:t>
      </w:r>
      <w:r w:rsidRPr="0081192A">
        <w:rPr>
          <w:i/>
          <w:sz w:val="22"/>
          <w:szCs w:val="22"/>
        </w:rPr>
        <w:t>ha</w:t>
      </w:r>
      <w:r w:rsidRPr="0081192A">
        <w:rPr>
          <w:i/>
          <w:sz w:val="22"/>
          <w:szCs w:val="22"/>
          <w:vertAlign w:val="superscript"/>
        </w:rPr>
        <w:t>-1</w:t>
      </w:r>
      <w:r w:rsidRPr="0081192A">
        <w:rPr>
          <w:i/>
          <w:sz w:val="22"/>
          <w:szCs w:val="22"/>
        </w:rPr>
        <w:t>y</w:t>
      </w:r>
      <w:r w:rsidRPr="0081192A">
        <w:rPr>
          <w:i/>
          <w:sz w:val="22"/>
          <w:szCs w:val="22"/>
          <w:vertAlign w:val="superscript"/>
        </w:rPr>
        <w:t>-1</w:t>
      </w:r>
      <w:r w:rsidRPr="0081192A">
        <w:rPr>
          <w:i/>
          <w:sz w:val="22"/>
          <w:szCs w:val="22"/>
        </w:rPr>
        <w:t>)</w:t>
      </w:r>
      <w:r w:rsidRPr="0081192A">
        <w:rPr>
          <w:i/>
          <w:sz w:val="22"/>
          <w:szCs w:val="22"/>
          <w:vertAlign w:val="superscript"/>
        </w:rPr>
        <w:t xml:space="preserve"> </w:t>
      </w:r>
      <w:r w:rsidRPr="0081192A">
        <w:rPr>
          <w:i/>
          <w:sz w:val="22"/>
          <w:szCs w:val="22"/>
        </w:rPr>
        <w:t>against the modeled one. The dotted line is the y = x line, and the blue is the</w:t>
      </w:r>
      <w:r w:rsidRPr="0081192A">
        <w:t xml:space="preserve"> </w:t>
      </w:r>
      <w:r w:rsidRPr="0081192A">
        <w:rPr>
          <w:i/>
          <w:sz w:val="22"/>
          <w:szCs w:val="22"/>
        </w:rPr>
        <w:t>regression line.</w:t>
      </w:r>
    </w:p>
    <w:p w14:paraId="33D9A604" w14:textId="77777777" w:rsidR="0065519C" w:rsidRPr="0081192A" w:rsidRDefault="0065519C" w:rsidP="0065519C">
      <w:pPr>
        <w:ind w:left="360"/>
        <w:jc w:val="both"/>
        <w:rPr>
          <w:i/>
          <w:sz w:val="22"/>
          <w:szCs w:val="22"/>
        </w:rPr>
      </w:pPr>
      <w:r w:rsidRPr="0081192A">
        <w:rPr>
          <w:i/>
          <w:noProof/>
          <w:sz w:val="22"/>
          <w:szCs w:val="22"/>
          <w:lang w:val="it-IT"/>
        </w:rPr>
        <w:lastRenderedPageBreak/>
        <w:drawing>
          <wp:inline distT="114300" distB="114300" distL="114300" distR="114300" wp14:anchorId="641E7FD5" wp14:editId="011AE96C">
            <wp:extent cx="6119820" cy="4330700"/>
            <wp:effectExtent l="0" t="0" r="0" b="0"/>
            <wp:docPr id="10" name="image1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1.jpg"/>
                    <pic:cNvPicPr preferRelativeResize="0"/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119820" cy="43307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3FC2C38A" w14:textId="77777777" w:rsidR="0065519C" w:rsidRPr="0081192A" w:rsidRDefault="0065519C" w:rsidP="0065519C">
      <w:pPr>
        <w:ind w:left="360"/>
        <w:jc w:val="both"/>
        <w:rPr>
          <w:i/>
          <w:sz w:val="22"/>
          <w:szCs w:val="22"/>
        </w:rPr>
      </w:pPr>
      <w:r w:rsidRPr="0081192A">
        <w:rPr>
          <w:i/>
          <w:sz w:val="22"/>
          <w:szCs w:val="22"/>
        </w:rPr>
        <w:t>Figure S8. RMSE% values against GOSIF (on the right) and MODIS (on the left) datasets. For this figure RMSE% was computed over the years of simulation (2005-2020).</w:t>
      </w:r>
    </w:p>
    <w:p w14:paraId="2DD4680A" w14:textId="77777777" w:rsidR="0065519C" w:rsidRPr="0081192A" w:rsidRDefault="0065519C" w:rsidP="0065519C">
      <w:pPr>
        <w:ind w:left="360"/>
        <w:jc w:val="both"/>
        <w:rPr>
          <w:i/>
          <w:sz w:val="22"/>
          <w:szCs w:val="22"/>
        </w:rPr>
      </w:pPr>
    </w:p>
    <w:p w14:paraId="48A8187B" w14:textId="77777777" w:rsidR="0065519C" w:rsidRPr="0081192A" w:rsidRDefault="0065519C" w:rsidP="0065519C">
      <w:pPr>
        <w:ind w:left="360"/>
        <w:jc w:val="center"/>
        <w:rPr>
          <w:i/>
          <w:sz w:val="22"/>
          <w:szCs w:val="22"/>
        </w:rPr>
      </w:pPr>
    </w:p>
    <w:p w14:paraId="73C00025" w14:textId="77777777" w:rsidR="0065519C" w:rsidRPr="0081192A" w:rsidRDefault="0065519C" w:rsidP="0065519C">
      <w:pPr>
        <w:ind w:left="360"/>
        <w:jc w:val="both"/>
        <w:rPr>
          <w:i/>
          <w:sz w:val="22"/>
          <w:szCs w:val="22"/>
        </w:rPr>
      </w:pPr>
    </w:p>
    <w:p w14:paraId="27D28700" w14:textId="77777777" w:rsidR="0065519C" w:rsidRPr="0081192A" w:rsidRDefault="0065519C" w:rsidP="0065519C">
      <w:pPr>
        <w:ind w:left="-2154"/>
        <w:jc w:val="center"/>
        <w:rPr>
          <w:i/>
          <w:sz w:val="22"/>
          <w:szCs w:val="22"/>
        </w:rPr>
      </w:pPr>
      <w:r w:rsidRPr="0081192A">
        <w:rPr>
          <w:i/>
          <w:noProof/>
          <w:sz w:val="22"/>
          <w:szCs w:val="22"/>
        </w:rPr>
        <w:lastRenderedPageBreak/>
        <w:drawing>
          <wp:inline distT="0" distB="0" distL="0" distR="0" wp14:anchorId="00797BF3" wp14:editId="4F94D718">
            <wp:extent cx="9206184" cy="6510620"/>
            <wp:effectExtent l="0" t="1352550" r="0" b="1319530"/>
            <wp:docPr id="1492381585" name="Immagine 2" descr="Immagine che contiene testo, schermata, diagramma, Carattere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2381585" name="Immagine 2" descr="Immagine che contiene testo, schermata, diagramma, Carattere&#10;&#10;Il contenuto generato dall'IA potrebbe non essere corretto.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9232305" cy="65290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91D2B5" w14:textId="77777777" w:rsidR="0065519C" w:rsidRPr="0081192A" w:rsidRDefault="0065519C" w:rsidP="0065519C">
      <w:pPr>
        <w:ind w:left="360"/>
        <w:jc w:val="both"/>
        <w:rPr>
          <w:i/>
          <w:sz w:val="22"/>
          <w:szCs w:val="22"/>
        </w:rPr>
      </w:pPr>
      <w:r w:rsidRPr="0081192A">
        <w:rPr>
          <w:i/>
          <w:sz w:val="22"/>
          <w:szCs w:val="22"/>
        </w:rPr>
        <w:lastRenderedPageBreak/>
        <w:t>Figure S9. Comparison of mean GSV at the regional level against the Italian GHGI LULUCF sector, forest land, and remaining forest land category.</w:t>
      </w:r>
    </w:p>
    <w:p w14:paraId="3F4D3D13" w14:textId="77777777" w:rsidR="0065519C" w:rsidRPr="0081192A" w:rsidRDefault="0065519C" w:rsidP="0065519C">
      <w:pPr>
        <w:ind w:left="360"/>
        <w:jc w:val="both"/>
        <w:rPr>
          <w:i/>
          <w:sz w:val="22"/>
          <w:szCs w:val="22"/>
        </w:rPr>
      </w:pPr>
    </w:p>
    <w:p w14:paraId="112CDB25" w14:textId="77777777" w:rsidR="0065519C" w:rsidRPr="0081192A" w:rsidRDefault="0065519C" w:rsidP="0065519C">
      <w:pPr>
        <w:ind w:left="360"/>
        <w:jc w:val="center"/>
        <w:rPr>
          <w:i/>
          <w:sz w:val="22"/>
          <w:szCs w:val="22"/>
        </w:rPr>
      </w:pPr>
    </w:p>
    <w:p w14:paraId="00DFDABC" w14:textId="77777777" w:rsidR="0065519C" w:rsidRPr="0081192A" w:rsidRDefault="0065519C" w:rsidP="0065519C">
      <w:pPr>
        <w:ind w:left="-2154"/>
        <w:jc w:val="both"/>
        <w:rPr>
          <w:i/>
          <w:sz w:val="22"/>
          <w:szCs w:val="22"/>
        </w:rPr>
      </w:pPr>
      <w:r w:rsidRPr="0081192A">
        <w:rPr>
          <w:i/>
          <w:noProof/>
          <w:sz w:val="22"/>
          <w:szCs w:val="22"/>
        </w:rPr>
        <w:lastRenderedPageBreak/>
        <w:drawing>
          <wp:inline distT="0" distB="0" distL="0" distR="0" wp14:anchorId="1C0C9371" wp14:editId="29810781">
            <wp:extent cx="9162887" cy="6480000"/>
            <wp:effectExtent l="0" t="1333500" r="0" b="1330960"/>
            <wp:docPr id="1833297163" name="Immagine 3" descr="Immagine che contiene testo, schermata, diagramma, Carattere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33297163" name="Immagine 3" descr="Immagine che contiene testo, schermata, diagramma, Carattere&#10;&#10;Il contenuto generato dall'IA potrebbe non essere corretto.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9162887" cy="648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D70BEE" w14:textId="77777777" w:rsidR="0065519C" w:rsidRPr="0081192A" w:rsidRDefault="0065519C" w:rsidP="0065519C">
      <w:pPr>
        <w:ind w:left="360"/>
        <w:jc w:val="both"/>
        <w:rPr>
          <w:i/>
          <w:sz w:val="22"/>
          <w:szCs w:val="22"/>
        </w:rPr>
      </w:pPr>
      <w:r w:rsidRPr="0081192A">
        <w:rPr>
          <w:i/>
          <w:sz w:val="22"/>
          <w:szCs w:val="22"/>
        </w:rPr>
        <w:lastRenderedPageBreak/>
        <w:t>Figure S10. Comparison of mean CS at the regional level against the Italian GHGI LULUCF sector, forest land, and remaining forest land category.</w:t>
      </w:r>
    </w:p>
    <w:p w14:paraId="7B639249" w14:textId="77777777" w:rsidR="00E275AD" w:rsidRDefault="00E275AD"/>
    <w:sectPr w:rsidR="00E275A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740443"/>
    <w:multiLevelType w:val="multilevel"/>
    <w:tmpl w:val="81F88C00"/>
    <w:lvl w:ilvl="0">
      <w:start w:val="6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519C"/>
    <w:rsid w:val="002212AE"/>
    <w:rsid w:val="00535F1D"/>
    <w:rsid w:val="0065519C"/>
    <w:rsid w:val="009A238B"/>
    <w:rsid w:val="00E275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07D63A"/>
  <w15:chartTrackingRefBased/>
  <w15:docId w15:val="{B16A14E9-AF37-4E1B-A9D8-4FAF39719A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5519C"/>
    <w:pPr>
      <w:spacing w:after="160" w:line="360" w:lineRule="auto"/>
    </w:pPr>
    <w:rPr>
      <w:rFonts w:ascii="Times New Roman" w:eastAsia="Times New Roman" w:hAnsi="Times New Roman" w:cs="Times New Roman"/>
      <w:sz w:val="24"/>
      <w:szCs w:val="24"/>
      <w:lang w:val="en-US" w:eastAsia="it-I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5519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jpe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fontTable" Target="fontTable.xml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18</Pages>
  <Words>371</Words>
  <Characters>2179</Characters>
  <Application>Microsoft Office Word</Application>
  <DocSecurity>0</DocSecurity>
  <Lines>32</Lines>
  <Paragraphs>9</Paragraphs>
  <ScaleCrop>false</ScaleCrop>
  <Company>Straive</Company>
  <LinksUpToDate>false</LinksUpToDate>
  <CharactersWithSpaces>2541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Dayal E</dc:creator>
  <cp:keywords/>
  <dc:description/>
  <cp:lastModifiedBy>Dayal E</cp:lastModifiedBy>
  <cp:revision>1</cp:revision>
  <dcterms:created xsi:type="dcterms:W3CDTF">2025-10-23T10:18:00Z</dcterms:created>
  <dcterms:modified xsi:type="dcterms:W3CDTF">2025-10-23T10:18:00Z</dcterms:modified>
</cp:coreProperties>
</file>