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144C95" w14:textId="77777777" w:rsidR="002813CD" w:rsidRPr="002C7E48" w:rsidRDefault="002813CD" w:rsidP="002813CD">
      <w:pPr>
        <w:pStyle w:val="Titolo1"/>
        <w:spacing w:before="0" w:after="0"/>
        <w:rPr>
          <w:lang w:val="en-US"/>
        </w:rPr>
      </w:pPr>
      <w:r w:rsidRPr="002C7E48">
        <w:rPr>
          <w:lang w:val="en-US"/>
        </w:rPr>
        <w:t>Supplemental Materials</w:t>
      </w:r>
    </w:p>
    <w:p w14:paraId="48CAEFA8" w14:textId="77777777" w:rsidR="002813CD" w:rsidRDefault="002813CD" w:rsidP="002813CD">
      <w:pPr>
        <w:pStyle w:val="Titolo2"/>
        <w:spacing w:after="0"/>
      </w:pPr>
      <w:r>
        <w:t xml:space="preserve">Figure S1 Correlation between the IgG measurements from the </w:t>
      </w:r>
      <w:proofErr w:type="spellStart"/>
      <w:r w:rsidRPr="004F0210">
        <w:t>Meso</w:t>
      </w:r>
      <w:proofErr w:type="spellEnd"/>
      <w:r w:rsidRPr="004F0210">
        <w:t xml:space="preserve"> Scale U-plex assay and ELISA</w:t>
      </w:r>
    </w:p>
    <w:p w14:paraId="2C58DFDE" w14:textId="77777777" w:rsidR="002813CD" w:rsidRDefault="002813CD" w:rsidP="002813CD">
      <w:pPr>
        <w:rPr>
          <w:b/>
          <w:bCs/>
        </w:rPr>
      </w:pPr>
      <w:r>
        <w:rPr>
          <w:noProof/>
        </w:rPr>
        <w:drawing>
          <wp:inline distT="0" distB="0" distL="0" distR="0" wp14:anchorId="264ECFE0" wp14:editId="38898FC8">
            <wp:extent cx="8153400" cy="3293156"/>
            <wp:effectExtent l="0" t="0" r="0" b="2540"/>
            <wp:docPr id="282758952" name="Picture 1" descr="A diagram of a signal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758952" name="Picture 1" descr="A diagram of a signal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7218" cy="3298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910756" w14:textId="77777777" w:rsidR="002813CD" w:rsidRDefault="002813CD" w:rsidP="002813CD">
      <w:pPr>
        <w:sectPr w:rsidR="002813CD" w:rsidSect="002813CD">
          <w:pgSz w:w="16838" w:h="11906" w:orient="landscape"/>
          <w:pgMar w:top="1800" w:right="1440" w:bottom="1800" w:left="1977" w:header="708" w:footer="708" w:gutter="0"/>
          <w:cols w:space="708"/>
          <w:docGrid w:linePitch="360"/>
        </w:sectPr>
      </w:pPr>
      <w:r>
        <w:t xml:space="preserve">Correlation analysis of the specific IgG measured in sera with the </w:t>
      </w:r>
      <w:proofErr w:type="spellStart"/>
      <w:r>
        <w:t>Meso</w:t>
      </w:r>
      <w:proofErr w:type="spellEnd"/>
      <w:r>
        <w:t xml:space="preserve"> Scale U-plex assay (on the vertical axis) and ELISA (on the horizontal axis) against the three </w:t>
      </w:r>
      <w:proofErr w:type="spellStart"/>
      <w:r>
        <w:t>NTHi</w:t>
      </w:r>
      <w:proofErr w:type="spellEnd"/>
      <w:r>
        <w:t xml:space="preserve"> antigens PD (left panel), PE (middle panel), and </w:t>
      </w:r>
      <w:proofErr w:type="spellStart"/>
      <w:r>
        <w:t>PilA</w:t>
      </w:r>
      <w:proofErr w:type="spellEnd"/>
      <w:r>
        <w:t xml:space="preserve"> (right panel). r, correlation coefficient. </w:t>
      </w:r>
    </w:p>
    <w:p w14:paraId="1ED35738" w14:textId="77777777" w:rsidR="002813CD" w:rsidRDefault="002813CD" w:rsidP="002813CD">
      <w:pPr>
        <w:pStyle w:val="Titolo2"/>
      </w:pPr>
      <w:r w:rsidRPr="008D0EFE">
        <w:lastRenderedPageBreak/>
        <w:t xml:space="preserve">Figure S2 IgG levels </w:t>
      </w:r>
      <w:r>
        <w:t>measured with the U-plex assay in</w:t>
      </w:r>
      <w:r w:rsidRPr="008D0EFE">
        <w:t xml:space="preserve"> </w:t>
      </w:r>
      <w:r>
        <w:t xml:space="preserve">three </w:t>
      </w:r>
      <w:r w:rsidRPr="008D0EFE">
        <w:t>different sputum dilutions</w:t>
      </w:r>
    </w:p>
    <w:p w14:paraId="2CC5C52E" w14:textId="77777777" w:rsidR="002813CD" w:rsidRDefault="002813CD" w:rsidP="002813CD">
      <w:pPr>
        <w:pStyle w:val="Titolo2"/>
        <w:rPr>
          <w:noProof/>
        </w:rPr>
      </w:pPr>
      <w:r>
        <w:rPr>
          <w:noProof/>
        </w:rPr>
        <w:drawing>
          <wp:inline distT="0" distB="0" distL="0" distR="0" wp14:anchorId="105DC294" wp14:editId="77FE4FD9">
            <wp:extent cx="6837680" cy="3985260"/>
            <wp:effectExtent l="0" t="0" r="1270" b="0"/>
            <wp:docPr id="1416498252" name="Picture 1" descr="A group of lines with different color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6498252" name="Picture 1" descr="A group of lines with different color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7680" cy="398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2A3447" w14:textId="77777777" w:rsidR="002813CD" w:rsidRDefault="002813CD" w:rsidP="002813CD">
      <w:r>
        <w:t xml:space="preserve">IgG measurements in sputum samples from all patients with the U-plex assay at three different dilutions (1:10, 1:50, 1:500). </w:t>
      </w:r>
      <w:r w:rsidRPr="00646D31">
        <w:rPr>
          <w:b/>
          <w:bCs/>
        </w:rPr>
        <w:t>A</w:t>
      </w:r>
      <w:r>
        <w:rPr>
          <w:b/>
          <w:bCs/>
        </w:rPr>
        <w:t>-C</w:t>
      </w:r>
      <w:r>
        <w:t>. B</w:t>
      </w:r>
      <w:r w:rsidRPr="00AB6AA0">
        <w:t>efore the first dose (PRE)</w:t>
      </w:r>
      <w:r>
        <w:t xml:space="preserve">. </w:t>
      </w:r>
      <w:r>
        <w:rPr>
          <w:b/>
          <w:bCs/>
        </w:rPr>
        <w:t>D-E</w:t>
      </w:r>
      <w:r>
        <w:t xml:space="preserve">. At </w:t>
      </w:r>
      <w:r w:rsidRPr="00AB6AA0">
        <w:t>30 days (DAY90) after the second dose</w:t>
      </w:r>
      <w:r>
        <w:t>.</w:t>
      </w:r>
    </w:p>
    <w:p w14:paraId="002454F9" w14:textId="77777777" w:rsidR="002813CD" w:rsidRDefault="002813CD" w:rsidP="002813CD">
      <w:pPr>
        <w:pStyle w:val="Titolo2"/>
      </w:pPr>
      <w:r>
        <w:lastRenderedPageBreak/>
        <w:t>Figure S3 Serum IgG on DAY90 by disease severity</w:t>
      </w:r>
    </w:p>
    <w:p w14:paraId="0CDC8B62" w14:textId="77777777" w:rsidR="002813CD" w:rsidRDefault="002813CD" w:rsidP="002813CD">
      <w:r>
        <w:rPr>
          <w:noProof/>
        </w:rPr>
        <w:drawing>
          <wp:inline distT="0" distB="0" distL="0" distR="0" wp14:anchorId="724A3EDA" wp14:editId="255A1753">
            <wp:extent cx="8228104" cy="2987040"/>
            <wp:effectExtent l="0" t="0" r="1905" b="3810"/>
            <wp:docPr id="169631747" name="Picture 2" descr="A diagram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631747" name="Picture 2" descr="A diagram of a graph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30769" cy="2988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B9C671" w14:textId="318291E2" w:rsidR="00651235" w:rsidRDefault="002813CD">
      <w:r>
        <w:t xml:space="preserve">Signals (presented in log10) from serum IgG antibodies specific for </w:t>
      </w:r>
      <w:r w:rsidRPr="00852B4A">
        <w:rPr>
          <w:b/>
          <w:bCs/>
        </w:rPr>
        <w:t>A</w:t>
      </w:r>
      <w:r>
        <w:t xml:space="preserve">) PD, </w:t>
      </w:r>
      <w:r w:rsidRPr="00852B4A">
        <w:rPr>
          <w:b/>
          <w:bCs/>
        </w:rPr>
        <w:t>B</w:t>
      </w:r>
      <w:r>
        <w:t xml:space="preserve">) PE, and </w:t>
      </w:r>
      <w:r w:rsidRPr="00852B4A">
        <w:rPr>
          <w:b/>
          <w:bCs/>
        </w:rPr>
        <w:t>C</w:t>
      </w:r>
      <w:r>
        <w:t xml:space="preserve">) </w:t>
      </w:r>
      <w:proofErr w:type="spellStart"/>
      <w:r>
        <w:t>PilA</w:t>
      </w:r>
      <w:proofErr w:type="spellEnd"/>
      <w:r>
        <w:t xml:space="preserve">. Signals are from serum samples of 12 </w:t>
      </w:r>
      <w:proofErr w:type="gramStart"/>
      <w:r>
        <w:t>moderate</w:t>
      </w:r>
      <w:proofErr w:type="gramEnd"/>
      <w:r>
        <w:t xml:space="preserve"> and 12 severe COPD patients collected 30 days after the second vaccination (DAY90) with the </w:t>
      </w:r>
      <w:proofErr w:type="spellStart"/>
      <w:r>
        <w:t>NTHi</w:t>
      </w:r>
      <w:proofErr w:type="spellEnd"/>
      <w:r>
        <w:t xml:space="preserve"> vaccine. Each circle represents one sample measured by ELISA. S</w:t>
      </w:r>
      <w:r w:rsidRPr="00871DA4">
        <w:t>ignals between the moderate and severe are not significantly different</w:t>
      </w:r>
      <w:r>
        <w:t xml:space="preserve"> (</w:t>
      </w:r>
      <w:r w:rsidRPr="00871DA4">
        <w:t xml:space="preserve">P-value: PD 0.9354; PE 0.3662; </w:t>
      </w:r>
      <w:proofErr w:type="spellStart"/>
      <w:r w:rsidRPr="00871DA4">
        <w:t>PilA</w:t>
      </w:r>
      <w:proofErr w:type="spellEnd"/>
      <w:r w:rsidRPr="00871DA4">
        <w:t xml:space="preserve"> 0.4813</w:t>
      </w:r>
      <w:r>
        <w:t>).</w:t>
      </w:r>
    </w:p>
    <w:sectPr w:rsidR="00651235" w:rsidSect="002813CD">
      <w:pgSz w:w="16838" w:h="11906" w:orient="landscape"/>
      <w:pgMar w:top="1800" w:right="1440" w:bottom="1800" w:left="197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charset w:val="00"/>
    <w:family w:val="auto"/>
    <w:pitch w:val="variable"/>
    <w:sig w:usb0="00000000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3CD"/>
    <w:rsid w:val="002813CD"/>
    <w:rsid w:val="00651235"/>
    <w:rsid w:val="00684D5B"/>
    <w:rsid w:val="00865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7C101"/>
  <w15:chartTrackingRefBased/>
  <w15:docId w15:val="{EF4BD295-3403-41EA-9CF6-F441EEE87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813CD"/>
    <w:pPr>
      <w:widowControl w:val="0"/>
      <w:adjustRightInd w:val="0"/>
      <w:spacing w:after="120" w:line="480" w:lineRule="auto"/>
      <w:jc w:val="both"/>
      <w:textAlignment w:val="baseline"/>
    </w:pPr>
    <w:rPr>
      <w:rFonts w:ascii="Times New Roman" w:eastAsia="Times New Roman" w:hAnsi="Times New Roman" w:cs="Times New Roman"/>
      <w:kern w:val="0"/>
      <w:sz w:val="24"/>
      <w:szCs w:val="20"/>
      <w:lang w:val="en-GB"/>
      <w14:ligatures w14:val="none"/>
    </w:rPr>
  </w:style>
  <w:style w:type="paragraph" w:styleId="Titolo1">
    <w:name w:val="heading 1"/>
    <w:basedOn w:val="Normale"/>
    <w:next w:val="Normale"/>
    <w:link w:val="Titolo1Carattere"/>
    <w:qFormat/>
    <w:rsid w:val="002813CD"/>
    <w:pPr>
      <w:widowControl/>
      <w:adjustRightInd/>
      <w:spacing w:before="240"/>
      <w:jc w:val="left"/>
      <w:textAlignment w:val="auto"/>
      <w:outlineLvl w:val="0"/>
    </w:pPr>
    <w:rPr>
      <w:rFonts w:ascii="Times New Roman Bold" w:hAnsi="Times New Roman Bold"/>
      <w:b/>
      <w:bCs/>
      <w:i/>
      <w:iCs/>
      <w:color w:val="000000"/>
      <w:sz w:val="32"/>
      <w:szCs w:val="22"/>
      <w:lang w:val="fr-BE"/>
    </w:rPr>
  </w:style>
  <w:style w:type="paragraph" w:styleId="Titolo2">
    <w:name w:val="heading 2"/>
    <w:basedOn w:val="Normale"/>
    <w:next w:val="Normale"/>
    <w:link w:val="Titolo2Carattere"/>
    <w:qFormat/>
    <w:rsid w:val="002813CD"/>
    <w:pPr>
      <w:outlineLvl w:val="1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2813CD"/>
    <w:rPr>
      <w:rFonts w:ascii="Times New Roman Bold" w:eastAsia="Times New Roman" w:hAnsi="Times New Roman Bold" w:cs="Times New Roman"/>
      <w:b/>
      <w:bCs/>
      <w:i/>
      <w:iCs/>
      <w:color w:val="000000"/>
      <w:kern w:val="0"/>
      <w:sz w:val="32"/>
      <w:lang w:val="fr-BE"/>
      <w14:ligatures w14:val="none"/>
    </w:rPr>
  </w:style>
  <w:style w:type="character" w:customStyle="1" w:styleId="Titolo2Carattere">
    <w:name w:val="Titolo 2 Carattere"/>
    <w:basedOn w:val="Carpredefinitoparagrafo"/>
    <w:link w:val="Titolo2"/>
    <w:rsid w:val="002813CD"/>
    <w:rPr>
      <w:rFonts w:ascii="Times New Roman" w:eastAsia="Times New Roman" w:hAnsi="Times New Roman" w:cs="Times New Roman"/>
      <w:b/>
      <w:kern w:val="0"/>
      <w:sz w:val="24"/>
      <w:szCs w:val="20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172</Words>
  <Characters>982</Characters>
  <Application>Microsoft Office Word</Application>
  <DocSecurity>0</DocSecurity>
  <Lines>8</Lines>
  <Paragraphs>2</Paragraphs>
  <ScaleCrop>false</ScaleCrop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Fanélie BAUER</dc:creator>
  <cp:keywords/>
  <dc:description/>
  <cp:lastModifiedBy>Anna Maugeri</cp:lastModifiedBy>
  <cp:revision>2</cp:revision>
  <dcterms:created xsi:type="dcterms:W3CDTF">2026-07-23T09:46:00Z</dcterms:created>
  <dcterms:modified xsi:type="dcterms:W3CDTF">2026-07-23T09:46:00Z</dcterms:modified>
</cp:coreProperties>
</file>