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252CB" w14:textId="26D0D9BE" w:rsidR="00CD0F11" w:rsidRPr="00090EFA" w:rsidRDefault="001B6B53" w:rsidP="00CD0F11">
      <w:pPr>
        <w:rPr>
          <w:rFonts w:cstheme="minorHAnsi"/>
          <w:lang w:val="en-US"/>
        </w:rPr>
      </w:pPr>
      <w:r w:rsidRPr="00090EFA">
        <w:rPr>
          <w:rFonts w:cstheme="minorHAnsi"/>
          <w:b/>
          <w:lang w:val="en-US"/>
        </w:rPr>
        <w:t xml:space="preserve">Supplementary table 4: </w:t>
      </w:r>
      <w:r w:rsidRPr="00090EFA">
        <w:rPr>
          <w:rFonts w:cstheme="minorHAnsi"/>
          <w:lang w:val="en-US"/>
        </w:rPr>
        <w:t>Symptom severity in IBS patients with and without a history of trauma.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4"/>
        <w:gridCol w:w="1851"/>
        <w:gridCol w:w="1802"/>
        <w:gridCol w:w="1801"/>
        <w:gridCol w:w="1801"/>
      </w:tblGrid>
      <w:tr w:rsidR="00592B9F" w:rsidRPr="00090EFA" w14:paraId="1D06BCE4" w14:textId="77777777" w:rsidTr="0033138F">
        <w:tc>
          <w:tcPr>
            <w:tcW w:w="1804" w:type="dxa"/>
          </w:tcPr>
          <w:p w14:paraId="01FF1F79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="Calibri"/>
                <w:color w:val="000000" w:themeColor="text1"/>
                <w:kern w:val="24"/>
                <w:sz w:val="20"/>
                <w:szCs w:val="20"/>
                <w:lang w:val="en-US"/>
              </w:rPr>
              <w:t> </w:t>
            </w:r>
          </w:p>
        </w:tc>
        <w:tc>
          <w:tcPr>
            <w:tcW w:w="1851" w:type="dxa"/>
            <w:vAlign w:val="center"/>
          </w:tcPr>
          <w:p w14:paraId="336723BF" w14:textId="77777777" w:rsidR="00592B9F" w:rsidRPr="00090EFA" w:rsidRDefault="00592B9F" w:rsidP="00A14066">
            <w:pPr>
              <w:pStyle w:val="NormalWeb"/>
              <w:spacing w:beforeAutospacing="0" w:afterAutospacing="0" w:line="256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090EFA">
              <w:rPr>
                <w:rFonts w:asciiTheme="minorHAnsi" w:eastAsia="Calibri" w:hAnsiTheme="minorHAnsi" w:cs="Calibr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IBS without a history of trauma</w:t>
            </w:r>
          </w:p>
          <w:p w14:paraId="16D33879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(N=328, 58%)</w:t>
            </w:r>
          </w:p>
        </w:tc>
        <w:tc>
          <w:tcPr>
            <w:tcW w:w="1802" w:type="dxa"/>
            <w:vAlign w:val="center"/>
          </w:tcPr>
          <w:p w14:paraId="402A3B85" w14:textId="77777777" w:rsidR="00592B9F" w:rsidRPr="00090EFA" w:rsidRDefault="00592B9F" w:rsidP="00A14066">
            <w:pPr>
              <w:pStyle w:val="NormalWeb"/>
              <w:spacing w:beforeAutospacing="0" w:afterAutospacing="0" w:line="256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090EFA">
              <w:rPr>
                <w:rFonts w:asciiTheme="minorHAnsi" w:eastAsia="Calibri" w:hAnsiTheme="minorHAnsi" w:cs="Calibr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IBS with a history of trauma</w:t>
            </w:r>
          </w:p>
          <w:p w14:paraId="2F3A34AF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(N=237, 42%)</w:t>
            </w:r>
          </w:p>
        </w:tc>
        <w:tc>
          <w:tcPr>
            <w:tcW w:w="1801" w:type="dxa"/>
          </w:tcPr>
          <w:p w14:paraId="5423283A" w14:textId="69A87A82" w:rsidR="00592B9F" w:rsidRPr="00090EFA" w:rsidRDefault="00592B9F" w:rsidP="00592B9F">
            <w:pPr>
              <w:spacing w:before="100" w:after="100" w:line="257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090EFA">
              <w:rPr>
                <w:b/>
                <w:sz w:val="20"/>
                <w:szCs w:val="20"/>
                <w:lang w:val="en-US"/>
              </w:rPr>
              <w:t>Effect size</w:t>
            </w:r>
            <w:r w:rsidR="009A5852" w:rsidRPr="00090EFA">
              <w:rPr>
                <w:b/>
                <w:sz w:val="20"/>
                <w:szCs w:val="20"/>
                <w:lang w:val="en-US"/>
              </w:rPr>
              <w:t xml:space="preserve"> (</w:t>
            </w:r>
            <w:r w:rsidR="009A5852" w:rsidRPr="00090EFA">
              <w:rPr>
                <w:b/>
                <w:i/>
                <w:sz w:val="20"/>
                <w:szCs w:val="20"/>
                <w:lang w:val="en-US"/>
              </w:rPr>
              <w:t>r</w:t>
            </w:r>
            <w:r w:rsidR="009A5852" w:rsidRPr="00090EFA"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801" w:type="dxa"/>
            <w:vAlign w:val="center"/>
          </w:tcPr>
          <w:p w14:paraId="6703EF78" w14:textId="1A29E42C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P value</w:t>
            </w:r>
          </w:p>
        </w:tc>
      </w:tr>
      <w:tr w:rsidR="00592B9F" w:rsidRPr="00090EFA" w14:paraId="7FB9A117" w14:textId="77777777" w:rsidTr="0033138F">
        <w:tc>
          <w:tcPr>
            <w:tcW w:w="1804" w:type="dxa"/>
            <w:vAlign w:val="center"/>
          </w:tcPr>
          <w:p w14:paraId="268938B1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IBS-SSS</w:t>
            </w:r>
          </w:p>
        </w:tc>
        <w:tc>
          <w:tcPr>
            <w:tcW w:w="1851" w:type="dxa"/>
            <w:vAlign w:val="center"/>
          </w:tcPr>
          <w:p w14:paraId="7950AB2D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250 [184-315]</w:t>
            </w:r>
          </w:p>
        </w:tc>
        <w:tc>
          <w:tcPr>
            <w:tcW w:w="1802" w:type="dxa"/>
            <w:vAlign w:val="center"/>
          </w:tcPr>
          <w:p w14:paraId="26C3C520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262 [199-341]</w:t>
            </w:r>
          </w:p>
        </w:tc>
        <w:tc>
          <w:tcPr>
            <w:tcW w:w="1801" w:type="dxa"/>
          </w:tcPr>
          <w:p w14:paraId="00DAC3BC" w14:textId="5CD49876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-0.149</w:t>
            </w:r>
          </w:p>
        </w:tc>
        <w:tc>
          <w:tcPr>
            <w:tcW w:w="1801" w:type="dxa"/>
            <w:vAlign w:val="center"/>
          </w:tcPr>
          <w:p w14:paraId="3F6E2621" w14:textId="63CB1468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0.11</w:t>
            </w:r>
          </w:p>
        </w:tc>
      </w:tr>
      <w:tr w:rsidR="00592B9F" w:rsidRPr="00090EFA" w14:paraId="3D4AB866" w14:textId="77777777" w:rsidTr="0033138F">
        <w:tc>
          <w:tcPr>
            <w:tcW w:w="1804" w:type="dxa"/>
            <w:vAlign w:val="center"/>
          </w:tcPr>
          <w:p w14:paraId="0F65FF25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GAD-7</w:t>
            </w:r>
          </w:p>
        </w:tc>
        <w:tc>
          <w:tcPr>
            <w:tcW w:w="1851" w:type="dxa"/>
            <w:vAlign w:val="center"/>
          </w:tcPr>
          <w:p w14:paraId="56F9F7CC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5 [1-9]</w:t>
            </w:r>
          </w:p>
        </w:tc>
        <w:tc>
          <w:tcPr>
            <w:tcW w:w="1802" w:type="dxa"/>
            <w:vAlign w:val="center"/>
          </w:tcPr>
          <w:p w14:paraId="4EA42047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6 [3-10]</w:t>
            </w:r>
          </w:p>
        </w:tc>
        <w:tc>
          <w:tcPr>
            <w:tcW w:w="1801" w:type="dxa"/>
          </w:tcPr>
          <w:p w14:paraId="33EBE635" w14:textId="098776FA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-0.252</w:t>
            </w:r>
          </w:p>
        </w:tc>
        <w:tc>
          <w:tcPr>
            <w:tcW w:w="1801" w:type="dxa"/>
            <w:vAlign w:val="center"/>
          </w:tcPr>
          <w:p w14:paraId="09773576" w14:textId="6393B0A0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0.02</w:t>
            </w:r>
          </w:p>
        </w:tc>
      </w:tr>
      <w:tr w:rsidR="00592B9F" w:rsidRPr="00090EFA" w14:paraId="1E0611F8" w14:textId="77777777" w:rsidTr="0033138F">
        <w:tc>
          <w:tcPr>
            <w:tcW w:w="1804" w:type="dxa"/>
            <w:vAlign w:val="center"/>
          </w:tcPr>
          <w:p w14:paraId="7690F44C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PHQ-9</w:t>
            </w:r>
          </w:p>
        </w:tc>
        <w:tc>
          <w:tcPr>
            <w:tcW w:w="1851" w:type="dxa"/>
            <w:vAlign w:val="center"/>
          </w:tcPr>
          <w:p w14:paraId="31F9003F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6 [2-10]</w:t>
            </w:r>
          </w:p>
        </w:tc>
        <w:tc>
          <w:tcPr>
            <w:tcW w:w="1802" w:type="dxa"/>
            <w:vAlign w:val="center"/>
          </w:tcPr>
          <w:p w14:paraId="388B3572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7 [4-13]</w:t>
            </w:r>
          </w:p>
        </w:tc>
        <w:tc>
          <w:tcPr>
            <w:tcW w:w="1801" w:type="dxa"/>
          </w:tcPr>
          <w:p w14:paraId="0F52990F" w14:textId="6D6DDE9B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0.109</w:t>
            </w:r>
          </w:p>
        </w:tc>
        <w:tc>
          <w:tcPr>
            <w:tcW w:w="1801" w:type="dxa"/>
            <w:vAlign w:val="center"/>
          </w:tcPr>
          <w:p w14:paraId="4F8E37F8" w14:textId="7BEB5CC3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  <w:tr w:rsidR="00592B9F" w:rsidRPr="00090EFA" w14:paraId="5B08DE80" w14:textId="77777777" w:rsidTr="0033138F">
        <w:tc>
          <w:tcPr>
            <w:tcW w:w="1804" w:type="dxa"/>
            <w:vAlign w:val="center"/>
          </w:tcPr>
          <w:p w14:paraId="69EC07A5" w14:textId="77777777" w:rsidR="00592B9F" w:rsidRPr="007D06CE" w:rsidRDefault="00592B9F" w:rsidP="00B1491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PHQ-12</w:t>
            </w:r>
          </w:p>
        </w:tc>
        <w:tc>
          <w:tcPr>
            <w:tcW w:w="1851" w:type="dxa"/>
            <w:vAlign w:val="center"/>
          </w:tcPr>
          <w:p w14:paraId="1EEE39C2" w14:textId="77777777" w:rsidR="00592B9F" w:rsidRPr="007D06CE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6 [3-10]</w:t>
            </w:r>
          </w:p>
        </w:tc>
        <w:tc>
          <w:tcPr>
            <w:tcW w:w="1802" w:type="dxa"/>
            <w:vAlign w:val="center"/>
          </w:tcPr>
          <w:p w14:paraId="342A81C6" w14:textId="77777777" w:rsidR="00592B9F" w:rsidRPr="007D06CE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9 [-12]</w:t>
            </w:r>
          </w:p>
        </w:tc>
        <w:tc>
          <w:tcPr>
            <w:tcW w:w="1801" w:type="dxa"/>
          </w:tcPr>
          <w:p w14:paraId="4FC6F2E0" w14:textId="493481D4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1801" w:type="dxa"/>
            <w:vAlign w:val="center"/>
          </w:tcPr>
          <w:p w14:paraId="5DC1488B" w14:textId="6EC67D6F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  <w:tr w:rsidR="00592B9F" w:rsidRPr="00090EFA" w14:paraId="567CDB34" w14:textId="77777777" w:rsidTr="0033138F">
        <w:tc>
          <w:tcPr>
            <w:tcW w:w="1804" w:type="dxa"/>
            <w:vAlign w:val="center"/>
          </w:tcPr>
          <w:p w14:paraId="7E4CC4D0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FIQ</w:t>
            </w:r>
          </w:p>
        </w:tc>
        <w:tc>
          <w:tcPr>
            <w:tcW w:w="1851" w:type="dxa"/>
            <w:vAlign w:val="center"/>
          </w:tcPr>
          <w:p w14:paraId="62276A7A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20 [8-38]</w:t>
            </w:r>
          </w:p>
        </w:tc>
        <w:tc>
          <w:tcPr>
            <w:tcW w:w="1802" w:type="dxa"/>
            <w:vAlign w:val="center"/>
          </w:tcPr>
          <w:p w14:paraId="1D2CC189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30 [14-48]</w:t>
            </w:r>
          </w:p>
        </w:tc>
        <w:tc>
          <w:tcPr>
            <w:tcW w:w="1801" w:type="dxa"/>
          </w:tcPr>
          <w:p w14:paraId="70DFEE95" w14:textId="34C5CA57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0.122</w:t>
            </w:r>
          </w:p>
        </w:tc>
        <w:tc>
          <w:tcPr>
            <w:tcW w:w="1801" w:type="dxa"/>
            <w:vAlign w:val="center"/>
          </w:tcPr>
          <w:p w14:paraId="590957DF" w14:textId="1E60566A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  <w:tr w:rsidR="00592B9F" w:rsidRPr="00090EFA" w14:paraId="1AC8D55F" w14:textId="77777777" w:rsidTr="0033138F">
        <w:tc>
          <w:tcPr>
            <w:tcW w:w="1804" w:type="dxa"/>
            <w:vAlign w:val="center"/>
          </w:tcPr>
          <w:p w14:paraId="0EF247E4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MFI general fatigue</w:t>
            </w:r>
          </w:p>
        </w:tc>
        <w:tc>
          <w:tcPr>
            <w:tcW w:w="1851" w:type="dxa"/>
            <w:vAlign w:val="center"/>
          </w:tcPr>
          <w:p w14:paraId="7FBC9BD0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13 [8-17]</w:t>
            </w:r>
          </w:p>
        </w:tc>
        <w:tc>
          <w:tcPr>
            <w:tcW w:w="1802" w:type="dxa"/>
            <w:vAlign w:val="center"/>
          </w:tcPr>
          <w:p w14:paraId="01B27E4A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16 [12-18]</w:t>
            </w:r>
          </w:p>
        </w:tc>
        <w:tc>
          <w:tcPr>
            <w:tcW w:w="1801" w:type="dxa"/>
          </w:tcPr>
          <w:p w14:paraId="35BBE0FF" w14:textId="564E5941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-0.148</w:t>
            </w:r>
          </w:p>
        </w:tc>
        <w:tc>
          <w:tcPr>
            <w:tcW w:w="1801" w:type="dxa"/>
            <w:vAlign w:val="center"/>
          </w:tcPr>
          <w:p w14:paraId="37A39CF3" w14:textId="59D0AE4F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  <w:tr w:rsidR="00592B9F" w:rsidRPr="00090EFA" w14:paraId="08634177" w14:textId="77777777" w:rsidTr="0033138F">
        <w:tc>
          <w:tcPr>
            <w:tcW w:w="1804" w:type="dxa"/>
            <w:vAlign w:val="center"/>
          </w:tcPr>
          <w:p w14:paraId="25AE65BF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MFI physical fatigue</w:t>
            </w:r>
          </w:p>
        </w:tc>
        <w:tc>
          <w:tcPr>
            <w:tcW w:w="1851" w:type="dxa"/>
            <w:vAlign w:val="center"/>
          </w:tcPr>
          <w:p w14:paraId="2E8207C3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12 [10-14]</w:t>
            </w:r>
          </w:p>
        </w:tc>
        <w:tc>
          <w:tcPr>
            <w:tcW w:w="1802" w:type="dxa"/>
            <w:vAlign w:val="center"/>
          </w:tcPr>
          <w:p w14:paraId="4D70803B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13 [11-15]</w:t>
            </w:r>
          </w:p>
        </w:tc>
        <w:tc>
          <w:tcPr>
            <w:tcW w:w="1801" w:type="dxa"/>
          </w:tcPr>
          <w:p w14:paraId="122BD552" w14:textId="18247455" w:rsidR="00592B9F" w:rsidRPr="007D06CE" w:rsidRDefault="000C7EB9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-0.149</w:t>
            </w:r>
          </w:p>
        </w:tc>
        <w:tc>
          <w:tcPr>
            <w:tcW w:w="1801" w:type="dxa"/>
            <w:vAlign w:val="center"/>
          </w:tcPr>
          <w:p w14:paraId="6FF440B5" w14:textId="03B35761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  <w:tr w:rsidR="00592B9F" w:rsidRPr="00090EFA" w14:paraId="6EC557E6" w14:textId="77777777" w:rsidTr="0033138F">
        <w:tc>
          <w:tcPr>
            <w:tcW w:w="1804" w:type="dxa"/>
            <w:vAlign w:val="center"/>
          </w:tcPr>
          <w:p w14:paraId="62D3204F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MFI reduced activity</w:t>
            </w:r>
          </w:p>
        </w:tc>
        <w:tc>
          <w:tcPr>
            <w:tcW w:w="1851" w:type="dxa"/>
            <w:vAlign w:val="center"/>
          </w:tcPr>
          <w:p w14:paraId="588B6BBC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12 [9-14]</w:t>
            </w:r>
          </w:p>
        </w:tc>
        <w:tc>
          <w:tcPr>
            <w:tcW w:w="1802" w:type="dxa"/>
            <w:vAlign w:val="center"/>
          </w:tcPr>
          <w:p w14:paraId="77B100DB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13 [10-15]</w:t>
            </w:r>
          </w:p>
        </w:tc>
        <w:tc>
          <w:tcPr>
            <w:tcW w:w="1801" w:type="dxa"/>
          </w:tcPr>
          <w:p w14:paraId="343ECA0F" w14:textId="434320E3" w:rsidR="00592B9F" w:rsidRPr="007D06CE" w:rsidRDefault="000C7EB9" w:rsidP="00D0236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0.029</w:t>
            </w:r>
          </w:p>
        </w:tc>
        <w:tc>
          <w:tcPr>
            <w:tcW w:w="1801" w:type="dxa"/>
            <w:vAlign w:val="center"/>
          </w:tcPr>
          <w:p w14:paraId="5C7AD189" w14:textId="36A35D4B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  <w:tr w:rsidR="00592B9F" w:rsidRPr="00090EFA" w14:paraId="71E9543A" w14:textId="77777777" w:rsidTr="0033138F">
        <w:tc>
          <w:tcPr>
            <w:tcW w:w="1804" w:type="dxa"/>
            <w:vAlign w:val="center"/>
          </w:tcPr>
          <w:p w14:paraId="23C9F84F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MFI reduced motivation</w:t>
            </w:r>
          </w:p>
        </w:tc>
        <w:tc>
          <w:tcPr>
            <w:tcW w:w="1851" w:type="dxa"/>
            <w:vAlign w:val="center"/>
          </w:tcPr>
          <w:p w14:paraId="1647BBF4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10 [6-12]</w:t>
            </w:r>
          </w:p>
        </w:tc>
        <w:tc>
          <w:tcPr>
            <w:tcW w:w="1802" w:type="dxa"/>
            <w:vAlign w:val="center"/>
          </w:tcPr>
          <w:p w14:paraId="59023D88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10 [8-14]</w:t>
            </w:r>
          </w:p>
        </w:tc>
        <w:tc>
          <w:tcPr>
            <w:tcW w:w="1801" w:type="dxa"/>
          </w:tcPr>
          <w:p w14:paraId="402F204B" w14:textId="3C5B028A" w:rsidR="00592B9F" w:rsidRPr="007D06CE" w:rsidRDefault="00D02367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801" w:type="dxa"/>
            <w:vAlign w:val="center"/>
          </w:tcPr>
          <w:p w14:paraId="45FF6598" w14:textId="67DA63AF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0.003</w:t>
            </w:r>
          </w:p>
        </w:tc>
      </w:tr>
      <w:tr w:rsidR="00592B9F" w:rsidRPr="00090EFA" w14:paraId="76B3D561" w14:textId="77777777" w:rsidTr="0033138F">
        <w:tc>
          <w:tcPr>
            <w:tcW w:w="1804" w:type="dxa"/>
            <w:vAlign w:val="center"/>
          </w:tcPr>
          <w:p w14:paraId="1F51375F" w14:textId="77777777" w:rsidR="00592B9F" w:rsidRPr="00090EFA" w:rsidRDefault="00592B9F" w:rsidP="00A14066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eastAsia="Calibri" w:cs="Calibri"/>
                <w:color w:val="000000" w:themeColor="text1"/>
                <w:kern w:val="24"/>
                <w:sz w:val="20"/>
                <w:szCs w:val="20"/>
                <w:lang w:val="en-US"/>
              </w:rPr>
              <w:t>MFI mental fatigue</w:t>
            </w:r>
          </w:p>
        </w:tc>
        <w:tc>
          <w:tcPr>
            <w:tcW w:w="1851" w:type="dxa"/>
            <w:vAlign w:val="center"/>
          </w:tcPr>
          <w:p w14:paraId="09C60C8F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11 [6-15]</w:t>
            </w:r>
          </w:p>
        </w:tc>
        <w:tc>
          <w:tcPr>
            <w:tcW w:w="1802" w:type="dxa"/>
            <w:vAlign w:val="center"/>
          </w:tcPr>
          <w:p w14:paraId="0DDC83A6" w14:textId="77777777" w:rsidR="00592B9F" w:rsidRPr="00090EFA" w:rsidRDefault="00592B9F" w:rsidP="00A1406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sz w:val="20"/>
                <w:szCs w:val="20"/>
                <w:lang w:val="en-US"/>
              </w:rPr>
              <w:t>13 [9-16]</w:t>
            </w:r>
          </w:p>
        </w:tc>
        <w:tc>
          <w:tcPr>
            <w:tcW w:w="1801" w:type="dxa"/>
          </w:tcPr>
          <w:p w14:paraId="14DAC42D" w14:textId="148BFF0D" w:rsidR="00592B9F" w:rsidRPr="007D06CE" w:rsidRDefault="00D02367" w:rsidP="00D0236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D06CE">
              <w:rPr>
                <w:rFonts w:cstheme="minorHAnsi"/>
                <w:sz w:val="20"/>
                <w:szCs w:val="20"/>
                <w:lang w:val="en-US"/>
              </w:rPr>
              <w:t>0.028</w:t>
            </w:r>
          </w:p>
        </w:tc>
        <w:tc>
          <w:tcPr>
            <w:tcW w:w="1801" w:type="dxa"/>
            <w:vAlign w:val="center"/>
          </w:tcPr>
          <w:p w14:paraId="5FB32589" w14:textId="6AF6B06A" w:rsidR="00592B9F" w:rsidRPr="00090EFA" w:rsidRDefault="00592B9F" w:rsidP="00A14066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0EFA">
              <w:rPr>
                <w:rFonts w:cstheme="minorHAnsi"/>
                <w:b/>
                <w:sz w:val="20"/>
                <w:szCs w:val="20"/>
                <w:lang w:val="en-US"/>
              </w:rPr>
              <w:t>&lt;0.001</w:t>
            </w:r>
          </w:p>
        </w:tc>
      </w:tr>
    </w:tbl>
    <w:p w14:paraId="6C0DD78E" w14:textId="77777777" w:rsidR="00CD0F11" w:rsidRPr="00090EFA" w:rsidRDefault="00CD0F11" w:rsidP="00CD0F11">
      <w:pPr>
        <w:rPr>
          <w:rFonts w:cstheme="minorHAnsi"/>
          <w:lang w:val="en-US"/>
        </w:rPr>
      </w:pPr>
    </w:p>
    <w:p w14:paraId="77276A0C" w14:textId="77777777" w:rsidR="001B6B53" w:rsidRPr="001B6B53" w:rsidRDefault="001B6B53" w:rsidP="001B6B53">
      <w:pPr>
        <w:rPr>
          <w:rFonts w:cstheme="minorHAnsi"/>
          <w:lang w:val="en-US"/>
        </w:rPr>
      </w:pPr>
      <w:r w:rsidRPr="001B6B53">
        <w:rPr>
          <w:rFonts w:cstheme="minorHAnsi"/>
          <w:lang w:val="en-US"/>
        </w:rPr>
        <w:t xml:space="preserve">The table presents medians with interquartile range or number with percentage in IBS patients, disease controls and healthy controls. Chi squared tests or Mann-Whitney U test </w:t>
      </w:r>
      <w:proofErr w:type="gramStart"/>
      <w:r w:rsidRPr="001B6B53">
        <w:rPr>
          <w:rFonts w:cstheme="minorHAnsi"/>
          <w:lang w:val="en-US"/>
        </w:rPr>
        <w:t>were used</w:t>
      </w:r>
      <w:proofErr w:type="gramEnd"/>
      <w:r w:rsidRPr="001B6B53">
        <w:rPr>
          <w:rFonts w:cstheme="minorHAnsi"/>
          <w:lang w:val="en-US"/>
        </w:rPr>
        <w:t xml:space="preserve"> to analyze differences between groups. </w:t>
      </w:r>
      <w:proofErr w:type="gramStart"/>
      <w:r w:rsidRPr="001B6B53">
        <w:rPr>
          <w:rFonts w:cstheme="minorHAnsi"/>
          <w:i/>
          <w:lang w:val="en-US"/>
        </w:rPr>
        <w:t>r</w:t>
      </w:r>
      <w:proofErr w:type="gramEnd"/>
      <w:r w:rsidRPr="001B6B53">
        <w:rPr>
          <w:rFonts w:cstheme="minorHAnsi"/>
          <w:i/>
          <w:lang w:val="en-US"/>
        </w:rPr>
        <w:t xml:space="preserve"> </w:t>
      </w:r>
      <w:r w:rsidRPr="001B6B53">
        <w:rPr>
          <w:rFonts w:cstheme="minorHAnsi"/>
          <w:lang w:val="en-US"/>
        </w:rPr>
        <w:t xml:space="preserve">was calculated as a measure of effect size. A history of trauma </w:t>
      </w:r>
      <w:proofErr w:type="gramStart"/>
      <w:r w:rsidRPr="001B6B53">
        <w:rPr>
          <w:rFonts w:cstheme="minorHAnsi"/>
          <w:lang w:val="en-US"/>
        </w:rPr>
        <w:t>was defined</w:t>
      </w:r>
      <w:proofErr w:type="gramEnd"/>
      <w:r w:rsidRPr="001B6B53">
        <w:rPr>
          <w:rFonts w:cstheme="minorHAnsi"/>
          <w:lang w:val="en-US"/>
        </w:rPr>
        <w:t xml:space="preserve"> as having experienced either a traumatic or a life-threatening situation/injury as </w:t>
      </w:r>
      <w:bookmarkStart w:id="0" w:name="_GoBack"/>
      <w:bookmarkEnd w:id="0"/>
      <w:r w:rsidRPr="001B6B53">
        <w:rPr>
          <w:rFonts w:cstheme="minorHAnsi"/>
          <w:lang w:val="en-US"/>
        </w:rPr>
        <w:t xml:space="preserve">described in BTQ. In addition to the IBS patients described above, 42 IBS patients excluded from analysis due to missing data for the BTQ. </w:t>
      </w:r>
    </w:p>
    <w:p w14:paraId="3E1C4DAA" w14:textId="77777777" w:rsidR="001B6B53" w:rsidRPr="001B6B53" w:rsidRDefault="001B6B53" w:rsidP="001B6B53">
      <w:pPr>
        <w:rPr>
          <w:rFonts w:cstheme="minorHAnsi"/>
          <w:lang w:val="en-US"/>
        </w:rPr>
      </w:pPr>
      <w:r w:rsidRPr="001B6B53">
        <w:rPr>
          <w:rFonts w:cstheme="minorHAnsi"/>
          <w:lang w:val="en-US"/>
        </w:rPr>
        <w:t>BTQ: Brief Trauma Questionnaire, GAD-7: Generalized Anxiety Disorder 7 item, FIQ: Fibromyalgia Impact Questionnaire, IBS-SSS: IBS Severity Scoring System, MFI: Multidimensional Fatigue Inventory, PHQ-9: Patient Health Questionnaire 9 items, PHQ-12: Patient Health Questionnaire 12 items.</w:t>
      </w:r>
    </w:p>
    <w:p w14:paraId="07E86E7A" w14:textId="77777777" w:rsidR="00A7273E" w:rsidRPr="001B6B53" w:rsidRDefault="00A7273E">
      <w:pPr>
        <w:rPr>
          <w:lang w:val="en-US"/>
        </w:rPr>
      </w:pPr>
    </w:p>
    <w:sectPr w:rsidR="00A7273E" w:rsidRPr="001B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8603C4" w16cex:dateUtc="2025-10-24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5E9EE5" w16cid:durableId="588603C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11"/>
    <w:rsid w:val="000603BD"/>
    <w:rsid w:val="00090EFA"/>
    <w:rsid w:val="000C7EB9"/>
    <w:rsid w:val="001B6B53"/>
    <w:rsid w:val="001B772B"/>
    <w:rsid w:val="00457711"/>
    <w:rsid w:val="00475D37"/>
    <w:rsid w:val="00592B9F"/>
    <w:rsid w:val="005957C5"/>
    <w:rsid w:val="007D06CE"/>
    <w:rsid w:val="008E5974"/>
    <w:rsid w:val="009A0991"/>
    <w:rsid w:val="009A5852"/>
    <w:rsid w:val="00A02FAC"/>
    <w:rsid w:val="00A25E31"/>
    <w:rsid w:val="00A7273E"/>
    <w:rsid w:val="00B14917"/>
    <w:rsid w:val="00B40EBF"/>
    <w:rsid w:val="00CD0F11"/>
    <w:rsid w:val="00D02367"/>
    <w:rsid w:val="00D52179"/>
    <w:rsid w:val="00D74CAA"/>
    <w:rsid w:val="00F231B3"/>
    <w:rsid w:val="00F24394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31B1E"/>
  <w15:chartTrackingRefBased/>
  <w15:docId w15:val="{FCDAF7A7-8D6A-4A88-A454-20EAD453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0F1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9A099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72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2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7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9</cp:revision>
  <dcterms:created xsi:type="dcterms:W3CDTF">2025-10-26T07:54:00Z</dcterms:created>
  <dcterms:modified xsi:type="dcterms:W3CDTF">2025-12-09T09:35:00Z</dcterms:modified>
</cp:coreProperties>
</file>