
<file path=[Content_Types].xml><?xml version="1.0" encoding="utf-8"?>
<Types xmlns="http://schemas.openxmlformats.org/package/2006/content-types">
  <Default Extension="emf" ContentType="image/x-emf"/>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9DEF66" w14:textId="77777777" w:rsidR="00285667" w:rsidRPr="000A6EE8" w:rsidRDefault="00285667" w:rsidP="00285667">
      <w:pPr>
        <w:spacing w:line="480" w:lineRule="auto"/>
        <w:jc w:val="both"/>
        <w:rPr>
          <w:b/>
          <w:sz w:val="24"/>
          <w:szCs w:val="24"/>
          <w:lang w:val="en-US"/>
        </w:rPr>
      </w:pPr>
      <w:r w:rsidRPr="000A6EE8">
        <w:rPr>
          <w:b/>
          <w:sz w:val="24"/>
          <w:szCs w:val="24"/>
          <w:lang w:val="en-US"/>
        </w:rPr>
        <w:t>Appendix S4. Additional results to test the effect of invasion history</w:t>
      </w:r>
    </w:p>
    <w:p w14:paraId="08F5CCB0" w14:textId="4F89774E" w:rsidR="00285667" w:rsidRPr="000A6EE8" w:rsidRDefault="00285667" w:rsidP="00285667">
      <w:pPr>
        <w:spacing w:line="480" w:lineRule="auto"/>
        <w:jc w:val="both"/>
        <w:rPr>
          <w:sz w:val="24"/>
          <w:szCs w:val="24"/>
          <w:lang w:val="en-US"/>
        </w:rPr>
      </w:pPr>
      <w:r w:rsidRPr="000A6EE8">
        <w:rPr>
          <w:sz w:val="24"/>
          <w:szCs w:val="24"/>
          <w:lang w:val="en-US"/>
        </w:rPr>
        <w:t>To test if there was an additional effect of invasion start time on the dark diversity size (residuals from Random Forest model to account for various geographical, environmental, biotic and socioeconomic drivers), we perform a generalized additive model, analysis between the time of introduction and alien dark diversity size. The time of introduction was extracted from the Alien Species First Records Database (FRD —Seebens et al. 2018). It contains the time of the first introduction record for each available species from many different taxa. The FRD includes information for about 43% of the alien plants recorded in our main database.</w:t>
      </w:r>
      <w:r w:rsidRPr="000A0498">
        <w:rPr>
          <w:sz w:val="24"/>
          <w:szCs w:val="24"/>
          <w:lang w:val="en-US"/>
        </w:rPr>
        <w:t xml:space="preserve"> To keep the results in line with our main analysis we used only bryophytes and vascular plant taxa. We obtained </w:t>
      </w:r>
      <w:r>
        <w:rPr>
          <w:sz w:val="24"/>
          <w:szCs w:val="24"/>
          <w:lang w:val="en-US"/>
        </w:rPr>
        <w:t>the first records data for 91 out of 367 regions, since we excluded regions inside of larger countries such as the United States, Canada, Brazil, China, and Australia that were at the country scale</w:t>
      </w:r>
      <w:r w:rsidRPr="000A6EE8">
        <w:rPr>
          <w:sz w:val="24"/>
          <w:szCs w:val="24"/>
          <w:lang w:val="en-US"/>
        </w:rPr>
        <w:t xml:space="preserve"> in the database. Additionally, as the Baltic States are composed of Estonia, Latvia, and Lithuania in the database, we extracted the first introduction event for each alien species in each country. Then, we aggregated them by computing the minimum time of introduction for each species (the first record for the Baltic States). </w:t>
      </w:r>
      <w:r w:rsidRPr="000A6EE8">
        <w:rPr>
          <w:rFonts w:cstheme="minorHAnsi"/>
          <w:sz w:val="24"/>
          <w:szCs w:val="24"/>
        </w:rPr>
        <w:t>The percentage of first-record data varies across all 91 regions, each with at least one record. While some regions achieve 100% coverage, the median across all regions is 28%.</w:t>
      </w:r>
      <w:r w:rsidRPr="000A0498">
        <w:rPr>
          <w:rFonts w:cstheme="minorHAnsi"/>
          <w:sz w:val="24"/>
          <w:szCs w:val="24"/>
        </w:rPr>
        <w:t xml:space="preserve"> </w:t>
      </w:r>
      <w:r w:rsidRPr="000A0498">
        <w:rPr>
          <w:sz w:val="24"/>
          <w:szCs w:val="24"/>
          <w:lang w:val="en-US"/>
        </w:rPr>
        <w:t>For all 91 regions, we compute the 1</w:t>
      </w:r>
      <w:r w:rsidRPr="000A6EE8">
        <w:rPr>
          <w:sz w:val="24"/>
          <w:szCs w:val="24"/>
          <w:vertAlign w:val="superscript"/>
          <w:lang w:val="en-US"/>
        </w:rPr>
        <w:t>st</w:t>
      </w:r>
      <w:r w:rsidRPr="000A6EE8">
        <w:rPr>
          <w:sz w:val="24"/>
          <w:szCs w:val="24"/>
          <w:lang w:val="en-US"/>
        </w:rPr>
        <w:t xml:space="preserve"> quartile of introduction time to characterize the start of major invasions.</w:t>
      </w:r>
    </w:p>
    <w:p w14:paraId="58BA2AFE" w14:textId="77777777" w:rsidR="00285667" w:rsidRPr="000A6EE8" w:rsidRDefault="00285667" w:rsidP="00285667">
      <w:pPr>
        <w:spacing w:line="480" w:lineRule="auto"/>
        <w:jc w:val="both"/>
        <w:rPr>
          <w:sz w:val="24"/>
          <w:szCs w:val="24"/>
          <w:lang w:val="en-US"/>
        </w:rPr>
      </w:pPr>
    </w:p>
    <w:p w14:paraId="79102ECF" w14:textId="77777777" w:rsidR="00285667" w:rsidRPr="000A6EE8" w:rsidRDefault="00285667" w:rsidP="00285667">
      <w:pPr>
        <w:spacing w:line="480" w:lineRule="auto"/>
        <w:jc w:val="both"/>
        <w:rPr>
          <w:sz w:val="24"/>
          <w:szCs w:val="24"/>
          <w:lang w:val="en-US"/>
        </w:rPr>
      </w:pPr>
    </w:p>
    <w:p w14:paraId="7CE0A18C" w14:textId="77777777" w:rsidR="00285667" w:rsidRPr="000A6EE8" w:rsidRDefault="00285667" w:rsidP="00285667">
      <w:pPr>
        <w:spacing w:line="480" w:lineRule="auto"/>
        <w:jc w:val="both"/>
        <w:rPr>
          <w:sz w:val="24"/>
          <w:szCs w:val="24"/>
          <w:lang w:val="en-US"/>
        </w:rPr>
      </w:pPr>
    </w:p>
    <w:p w14:paraId="30D1BD50" w14:textId="287DE2FE" w:rsidR="00285667" w:rsidRPr="00285667" w:rsidRDefault="00285667" w:rsidP="00285667">
      <w:pPr>
        <w:spacing w:line="480" w:lineRule="auto"/>
        <w:jc w:val="both"/>
        <w:rPr>
          <w:sz w:val="24"/>
          <w:szCs w:val="24"/>
          <w:lang w:val="en-US"/>
        </w:rPr>
      </w:pPr>
      <w:r w:rsidRPr="000A0498">
        <w:rPr>
          <w:b/>
          <w:noProof/>
          <w:sz w:val="24"/>
          <w:szCs w:val="24"/>
          <w:lang w:eastAsia="de-DE"/>
        </w:rPr>
        <w:lastRenderedPageBreak/>
        <w:drawing>
          <wp:inline distT="0" distB="0" distL="0" distR="0" wp14:anchorId="08C8EB95" wp14:editId="516FC644">
            <wp:extent cx="5731510" cy="4840605"/>
            <wp:effectExtent l="0" t="0" r="2540" b="0"/>
            <wp:docPr id="10" name="Picture 10" descr="A graph with black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with black dots&#10;&#10;AI-generated content may be incorrect."/>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31510" cy="4840605"/>
                    </a:xfrm>
                    <a:prstGeom prst="rect">
                      <a:avLst/>
                    </a:prstGeom>
                  </pic:spPr>
                </pic:pic>
              </a:graphicData>
            </a:graphic>
          </wp:inline>
        </w:drawing>
      </w:r>
      <w:r w:rsidRPr="000A0498">
        <w:rPr>
          <w:b/>
          <w:sz w:val="24"/>
          <w:szCs w:val="24"/>
          <w:lang w:val="en-US"/>
        </w:rPr>
        <w:t>Fig. S3. Relationship between the dark diversity model residuals and</w:t>
      </w:r>
      <w:r w:rsidRPr="000A6EE8">
        <w:rPr>
          <w:b/>
          <w:sz w:val="24"/>
          <w:szCs w:val="24"/>
          <w:lang w:val="en-US"/>
        </w:rPr>
        <w:t xml:space="preserve"> the first records of alien plants</w:t>
      </w:r>
      <w:r w:rsidRPr="000A6EE8">
        <w:rPr>
          <w:sz w:val="24"/>
          <w:szCs w:val="24"/>
          <w:lang w:val="en-US"/>
        </w:rPr>
        <w:t>. In the y-axis, there is the 1</w:t>
      </w:r>
      <w:r w:rsidRPr="000A6EE8">
        <w:rPr>
          <w:sz w:val="24"/>
          <w:szCs w:val="24"/>
          <w:vertAlign w:val="superscript"/>
          <w:lang w:val="en-US"/>
        </w:rPr>
        <w:t>st</w:t>
      </w:r>
      <w:r w:rsidRPr="000A6EE8">
        <w:rPr>
          <w:sz w:val="24"/>
          <w:szCs w:val="24"/>
          <w:lang w:val="en-US"/>
        </w:rPr>
        <w:t xml:space="preserve"> quartile of the first event of introduction in a given region. In the x-axis, we used the residuals from a random forest model.</w:t>
      </w:r>
      <w:r w:rsidRPr="000A0498">
        <w:rPr>
          <w:sz w:val="24"/>
          <w:szCs w:val="24"/>
          <w:lang w:val="en-US"/>
        </w:rPr>
        <w:t xml:space="preserve"> The residuals of our model describing the alien dark diversity </w:t>
      </w:r>
      <w:r>
        <w:rPr>
          <w:sz w:val="24"/>
          <w:szCs w:val="24"/>
          <w:lang w:val="en-US"/>
        </w:rPr>
        <w:t>were</w:t>
      </w:r>
      <w:r w:rsidRPr="000A0498">
        <w:rPr>
          <w:sz w:val="24"/>
          <w:szCs w:val="24"/>
          <w:lang w:val="en-US"/>
        </w:rPr>
        <w:t xml:space="preserve"> positively correlated (Spearman’s ρ= 0.22, p = 0.026) with the time when the introduction started to escalate. Our results suggest that where the invasion started later, especially after the mid-19</w:t>
      </w:r>
      <w:r w:rsidRPr="00285667">
        <w:rPr>
          <w:sz w:val="24"/>
          <w:szCs w:val="24"/>
          <w:vertAlign w:val="superscript"/>
          <w:lang w:val="en-US"/>
        </w:rPr>
        <w:t>th</w:t>
      </w:r>
      <w:r>
        <w:rPr>
          <w:sz w:val="24"/>
          <w:szCs w:val="24"/>
          <w:lang w:val="en-US"/>
        </w:rPr>
        <w:t xml:space="preserve"> </w:t>
      </w:r>
      <w:r w:rsidRPr="000A0498">
        <w:rPr>
          <w:sz w:val="24"/>
          <w:szCs w:val="24"/>
          <w:lang w:val="en-US"/>
        </w:rPr>
        <w:t xml:space="preserve">century, the dark diversity </w:t>
      </w:r>
      <w:r w:rsidRPr="000A6EE8">
        <w:rPr>
          <w:sz w:val="24"/>
          <w:szCs w:val="24"/>
          <w:lang w:val="en-US"/>
        </w:rPr>
        <w:t>tends to be larger.</w:t>
      </w:r>
    </w:p>
    <w:p w14:paraId="345A1CD3" w14:textId="0C70FA0D" w:rsidR="00285667" w:rsidRPr="000A6EE8" w:rsidRDefault="00285667" w:rsidP="00285667">
      <w:pPr>
        <w:spacing w:line="480" w:lineRule="auto"/>
        <w:jc w:val="both"/>
        <w:rPr>
          <w:b/>
          <w:sz w:val="24"/>
          <w:szCs w:val="24"/>
          <w:lang w:val="en-US"/>
        </w:rPr>
      </w:pPr>
      <w:r w:rsidRPr="000A6EE8">
        <w:rPr>
          <w:b/>
          <w:sz w:val="24"/>
          <w:szCs w:val="24"/>
          <w:lang w:val="en-US"/>
        </w:rPr>
        <w:t>Appendix S4 Reference</w:t>
      </w:r>
    </w:p>
    <w:p w14:paraId="500D96AC" w14:textId="3AA99AA7" w:rsidR="00285667" w:rsidRPr="00285667" w:rsidRDefault="000B002A" w:rsidP="000B002A">
      <w:pPr>
        <w:spacing w:line="480" w:lineRule="auto"/>
        <w:jc w:val="both"/>
        <w:rPr>
          <w:sz w:val="24"/>
          <w:szCs w:val="24"/>
        </w:rPr>
      </w:pPr>
      <w:r w:rsidRPr="000B002A">
        <w:rPr>
          <w:sz w:val="24"/>
          <w:szCs w:val="24"/>
        </w:rPr>
        <w:t>Seebens, H., Bacher, S., Blackburn, T. M., Capinha, C., Dawson, W., Dullinger, S., ... &amp; Essl, F. (2018). Global rise in emerging alien species results from increased accessibility of new source pools. Proceedings of the National Academy of Sciences of the United States of America, 115(10), E2264–E2273. https://doi.org/10.1073/pnas.1719429115</w:t>
      </w:r>
    </w:p>
    <w:sectPr w:rsidR="00285667" w:rsidRPr="0028566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5667"/>
    <w:rsid w:val="000B002A"/>
    <w:rsid w:val="000D0B6F"/>
    <w:rsid w:val="00285667"/>
    <w:rsid w:val="006F2A70"/>
    <w:rsid w:val="007B70EF"/>
    <w:rsid w:val="00A95EE1"/>
    <w:rsid w:val="00B811BA"/>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08B784"/>
  <w15:chartTrackingRefBased/>
  <w15:docId w15:val="{8C8DB5AC-0BB5-48A2-BDF6-F7A5E36BF9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001"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8566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28566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28566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28566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28566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28566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8566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8566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8566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566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28566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28566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28566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28566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28566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8566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8566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85667"/>
    <w:rPr>
      <w:rFonts w:eastAsiaTheme="majorEastAsia" w:cstheme="majorBidi"/>
      <w:color w:val="272727" w:themeColor="text1" w:themeTint="D8"/>
    </w:rPr>
  </w:style>
  <w:style w:type="paragraph" w:styleId="Title">
    <w:name w:val="Title"/>
    <w:basedOn w:val="Normal"/>
    <w:next w:val="Normal"/>
    <w:link w:val="TitleChar"/>
    <w:uiPriority w:val="10"/>
    <w:qFormat/>
    <w:rsid w:val="0028566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8566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8566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8566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85667"/>
    <w:pPr>
      <w:spacing w:before="160"/>
      <w:jc w:val="center"/>
    </w:pPr>
    <w:rPr>
      <w:i/>
      <w:iCs/>
      <w:color w:val="404040" w:themeColor="text1" w:themeTint="BF"/>
    </w:rPr>
  </w:style>
  <w:style w:type="character" w:customStyle="1" w:styleId="QuoteChar">
    <w:name w:val="Quote Char"/>
    <w:basedOn w:val="DefaultParagraphFont"/>
    <w:link w:val="Quote"/>
    <w:uiPriority w:val="29"/>
    <w:rsid w:val="00285667"/>
    <w:rPr>
      <w:i/>
      <w:iCs/>
      <w:color w:val="404040" w:themeColor="text1" w:themeTint="BF"/>
    </w:rPr>
  </w:style>
  <w:style w:type="paragraph" w:styleId="ListParagraph">
    <w:name w:val="List Paragraph"/>
    <w:basedOn w:val="Normal"/>
    <w:uiPriority w:val="34"/>
    <w:qFormat/>
    <w:rsid w:val="00285667"/>
    <w:pPr>
      <w:ind w:left="720"/>
      <w:contextualSpacing/>
    </w:pPr>
  </w:style>
  <w:style w:type="character" w:styleId="IntenseEmphasis">
    <w:name w:val="Intense Emphasis"/>
    <w:basedOn w:val="DefaultParagraphFont"/>
    <w:uiPriority w:val="21"/>
    <w:qFormat/>
    <w:rsid w:val="00285667"/>
    <w:rPr>
      <w:i/>
      <w:iCs/>
      <w:color w:val="0F4761" w:themeColor="accent1" w:themeShade="BF"/>
    </w:rPr>
  </w:style>
  <w:style w:type="paragraph" w:styleId="IntenseQuote">
    <w:name w:val="Intense Quote"/>
    <w:basedOn w:val="Normal"/>
    <w:next w:val="Normal"/>
    <w:link w:val="IntenseQuoteChar"/>
    <w:uiPriority w:val="30"/>
    <w:qFormat/>
    <w:rsid w:val="0028566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285667"/>
    <w:rPr>
      <w:i/>
      <w:iCs/>
      <w:color w:val="0F4761" w:themeColor="accent1" w:themeShade="BF"/>
    </w:rPr>
  </w:style>
  <w:style w:type="character" w:styleId="IntenseReference">
    <w:name w:val="Intense Reference"/>
    <w:basedOn w:val="DefaultParagraphFont"/>
    <w:uiPriority w:val="32"/>
    <w:qFormat/>
    <w:rsid w:val="00285667"/>
    <w:rPr>
      <w:b/>
      <w:bCs/>
      <w:smallCaps/>
      <w:color w:val="0F4761" w:themeColor="accent1" w:themeShade="BF"/>
      <w:spacing w:val="5"/>
    </w:rPr>
  </w:style>
  <w:style w:type="character" w:styleId="Hyperlink">
    <w:name w:val="Hyperlink"/>
    <w:basedOn w:val="DefaultParagraphFont"/>
    <w:uiPriority w:val="99"/>
    <w:unhideWhenUsed/>
    <w:rsid w:val="00285667"/>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419</Words>
  <Characters>2176</Characters>
  <Application>Microsoft Office Word</Application>
  <DocSecurity>0</DocSecurity>
  <Lines>36</Lines>
  <Paragraphs>6</Paragraphs>
  <ScaleCrop>false</ScaleCrop>
  <Company/>
  <LinksUpToDate>false</LinksUpToDate>
  <CharactersWithSpaces>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Bruno Paganeli</dc:creator>
  <cp:keywords/>
  <dc:description/>
  <cp:lastModifiedBy>Bruno Paganeli</cp:lastModifiedBy>
  <cp:revision>2</cp:revision>
  <dcterms:created xsi:type="dcterms:W3CDTF">2025-09-08T11:03:00Z</dcterms:created>
  <dcterms:modified xsi:type="dcterms:W3CDTF">2025-09-12T09:27:00Z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690b5a4f-2327-40c1-9415-bc741521deec</vt:lpwstr>
  </property>
</Properties>
</file>