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0D67" w:rsidRPr="00D64DA4" w:rsidRDefault="00570DDF" w:rsidP="00570DD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4DA4">
        <w:rPr>
          <w:rFonts w:ascii="Times New Roman" w:hAnsi="Times New Roman" w:cs="Times New Roman"/>
          <w:b/>
          <w:sz w:val="24"/>
          <w:szCs w:val="24"/>
          <w:lang w:val="en-US"/>
        </w:rPr>
        <w:t>Supplementary Material</w:t>
      </w:r>
    </w:p>
    <w:p w:rsidR="00465129" w:rsidRPr="002B0380" w:rsidRDefault="00465129" w:rsidP="0046512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B0380">
        <w:rPr>
          <w:rFonts w:ascii="Times New Roman" w:hAnsi="Times New Roman" w:cs="Times New Roman"/>
          <w:sz w:val="24"/>
          <w:szCs w:val="24"/>
          <w:lang w:val="en-US"/>
        </w:rPr>
        <w:t xml:space="preserve">Supplementary Table </w:t>
      </w:r>
      <w:r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C76CB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2B0380">
        <w:rPr>
          <w:rFonts w:ascii="Times New Roman" w:hAnsi="Times New Roman" w:cs="Times New Roman"/>
          <w:sz w:val="24"/>
          <w:szCs w:val="24"/>
          <w:lang w:val="en-US"/>
        </w:rPr>
        <w:t xml:space="preserve"> Significant statistical results obtained from MANCOVA analysis on the comparison of the FC values among patients groups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380">
        <w:rPr>
          <w:rFonts w:ascii="Times New Roman" w:hAnsi="Times New Roman" w:cs="Times New Roman"/>
          <w:sz w:val="24"/>
          <w:szCs w:val="24"/>
          <w:lang w:val="en-US"/>
        </w:rPr>
        <w:t xml:space="preserve">using </w:t>
      </w:r>
      <w:r w:rsidR="00D82A83" w:rsidRPr="00D82A83">
        <w:rPr>
          <w:rFonts w:ascii="Times New Roman" w:hAnsi="Times New Roman" w:cs="Times New Roman"/>
          <w:sz w:val="24"/>
          <w:szCs w:val="24"/>
          <w:lang w:val="en-US"/>
        </w:rPr>
        <w:t>L-dopa equivalent dose</w:t>
      </w:r>
      <w:r w:rsidR="00D82A83">
        <w:rPr>
          <w:rFonts w:ascii="Times New Roman" w:hAnsi="Times New Roman" w:cs="Times New Roman"/>
          <w:sz w:val="24"/>
          <w:szCs w:val="24"/>
          <w:lang w:val="en-US"/>
        </w:rPr>
        <w:t xml:space="preserve"> (LED)</w:t>
      </w:r>
      <w:r w:rsidR="00D82A83" w:rsidRPr="00D82A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82A83">
        <w:rPr>
          <w:rFonts w:ascii="Times New Roman" w:hAnsi="Times New Roman" w:cs="Times New Roman"/>
          <w:sz w:val="24"/>
          <w:szCs w:val="24"/>
          <w:lang w:val="en-US"/>
        </w:rPr>
        <w:t xml:space="preserve">as </w:t>
      </w:r>
      <w:r w:rsidRPr="002B0380">
        <w:rPr>
          <w:rFonts w:ascii="Times New Roman" w:hAnsi="Times New Roman" w:cs="Times New Roman"/>
          <w:sz w:val="24"/>
          <w:szCs w:val="24"/>
          <w:lang w:val="en-US"/>
        </w:rPr>
        <w:t>covariate.</w:t>
      </w:r>
    </w:p>
    <w:tbl>
      <w:tblPr>
        <w:tblStyle w:val="Grigliatabella"/>
        <w:tblpPr w:leftFromText="141" w:rightFromText="141" w:vertAnchor="page" w:horzAnchor="margin" w:tblpY="378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29"/>
        <w:gridCol w:w="516"/>
        <w:gridCol w:w="1606"/>
        <w:gridCol w:w="516"/>
        <w:gridCol w:w="1606"/>
      </w:tblGrid>
      <w:tr w:rsidR="00465129" w:rsidRPr="002B0380" w:rsidTr="00D82A83">
        <w:trPr>
          <w:trHeight w:val="465"/>
        </w:trPr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gridSpan w:val="2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LED</w:t>
            </w: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as covariate</w:t>
            </w:r>
          </w:p>
        </w:tc>
        <w:tc>
          <w:tcPr>
            <w:tcW w:w="0" w:type="auto"/>
            <w:gridSpan w:val="2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 covariate</w:t>
            </w:r>
          </w:p>
        </w:tc>
      </w:tr>
      <w:tr w:rsidR="00465129" w:rsidRPr="002B0380" w:rsidTr="00D82A83">
        <w:trPr>
          <w:trHeight w:val="465"/>
        </w:trPr>
        <w:tc>
          <w:tcPr>
            <w:tcW w:w="0" w:type="auto"/>
            <w:tcBorders>
              <w:bottom w:val="single" w:sz="4" w:space="0" w:color="auto"/>
            </w:tcBorders>
          </w:tcPr>
          <w:p w:rsidR="00465129" w:rsidRPr="002B0380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FC 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SSD-PD &lt; PD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SSD-PD &lt; PD</w:t>
            </w:r>
          </w:p>
        </w:tc>
      </w:tr>
      <w:tr w:rsidR="00465129" w:rsidRPr="002B0380" w:rsidTr="00D82A83">
        <w:trPr>
          <w:trHeight w:val="374"/>
        </w:trPr>
        <w:tc>
          <w:tcPr>
            <w:tcW w:w="0" w:type="auto"/>
            <w:tcBorders>
              <w:top w:val="single" w:sz="4" w:space="0" w:color="auto"/>
            </w:tcBorders>
          </w:tcPr>
          <w:p w:rsidR="00465129" w:rsidRPr="002B0380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Between DMN areas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465129" w:rsidRPr="002B0380" w:rsidTr="00D82A83">
        <w:trPr>
          <w:trHeight w:val="374"/>
        </w:trPr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PCC-RSFS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8.9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0.005</w:t>
            </w:r>
          </w:p>
        </w:tc>
      </w:tr>
      <w:tr w:rsidR="00465129" w:rsidRPr="002B0380" w:rsidTr="00D82A83">
        <w:trPr>
          <w:trHeight w:val="296"/>
        </w:trPr>
        <w:tc>
          <w:tcPr>
            <w:tcW w:w="0" w:type="auto"/>
          </w:tcPr>
          <w:p w:rsidR="00465129" w:rsidRPr="002B0380" w:rsidRDefault="00465129" w:rsidP="00D82A8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2B0380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PCC-LSFS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0.03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5.9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</w:tr>
      <w:tr w:rsidR="00465129" w:rsidRPr="002B0380" w:rsidTr="00D82A83">
        <w:trPr>
          <w:trHeight w:val="346"/>
        </w:trPr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RIPL-RSFS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8.8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0.005</w:t>
            </w:r>
          </w:p>
        </w:tc>
      </w:tr>
      <w:tr w:rsidR="00465129" w:rsidRPr="002B0380" w:rsidTr="00D82A83">
        <w:trPr>
          <w:trHeight w:val="346"/>
        </w:trPr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LIPL-RSFS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</w:t>
            </w: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5.0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0.03</w:t>
            </w:r>
          </w:p>
        </w:tc>
      </w:tr>
      <w:tr w:rsidR="00465129" w:rsidRPr="002B0380" w:rsidTr="00D82A83">
        <w:trPr>
          <w:trHeight w:val="346"/>
        </w:trPr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LIPL-LSFS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8.3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0.007</w:t>
            </w:r>
          </w:p>
        </w:tc>
      </w:tr>
      <w:tr w:rsidR="00465129" w:rsidRPr="002B0380" w:rsidTr="00D82A83">
        <w:trPr>
          <w:trHeight w:val="346"/>
        </w:trPr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RLPC-LLPC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0.01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7.8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0.009</w:t>
            </w:r>
          </w:p>
        </w:tc>
      </w:tr>
      <w:tr w:rsidR="00465129" w:rsidRPr="002B0380" w:rsidTr="00D82A83">
        <w:trPr>
          <w:trHeight w:val="346"/>
        </w:trPr>
        <w:tc>
          <w:tcPr>
            <w:tcW w:w="0" w:type="auto"/>
          </w:tcPr>
          <w:p w:rsidR="00465129" w:rsidRPr="00172C98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72C9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RLPC-RMFG</w:t>
            </w:r>
          </w:p>
        </w:tc>
        <w:tc>
          <w:tcPr>
            <w:tcW w:w="0" w:type="auto"/>
          </w:tcPr>
          <w:p w:rsidR="00465129" w:rsidRPr="00172C98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72C9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6.8</w:t>
            </w:r>
          </w:p>
        </w:tc>
        <w:tc>
          <w:tcPr>
            <w:tcW w:w="0" w:type="auto"/>
          </w:tcPr>
          <w:p w:rsidR="00465129" w:rsidRPr="00172C98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72C9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0.01</w:t>
            </w:r>
          </w:p>
        </w:tc>
        <w:tc>
          <w:tcPr>
            <w:tcW w:w="0" w:type="auto"/>
          </w:tcPr>
          <w:p w:rsidR="00465129" w:rsidRPr="00172C98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6.0</w:t>
            </w:r>
          </w:p>
        </w:tc>
        <w:tc>
          <w:tcPr>
            <w:tcW w:w="0" w:type="auto"/>
          </w:tcPr>
          <w:p w:rsidR="00465129" w:rsidRPr="00172C98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0.02</w:t>
            </w:r>
          </w:p>
        </w:tc>
      </w:tr>
      <w:tr w:rsidR="00465129" w:rsidRPr="002B0380" w:rsidTr="00D82A83">
        <w:trPr>
          <w:trHeight w:val="346"/>
        </w:trPr>
        <w:tc>
          <w:tcPr>
            <w:tcW w:w="0" w:type="auto"/>
          </w:tcPr>
          <w:p w:rsidR="00465129" w:rsidRPr="00172C98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72C9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RLPC-LMFG</w:t>
            </w:r>
          </w:p>
        </w:tc>
        <w:tc>
          <w:tcPr>
            <w:tcW w:w="0" w:type="auto"/>
          </w:tcPr>
          <w:p w:rsidR="00465129" w:rsidRPr="00172C98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72C9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7.9</w:t>
            </w:r>
          </w:p>
        </w:tc>
        <w:tc>
          <w:tcPr>
            <w:tcW w:w="0" w:type="auto"/>
          </w:tcPr>
          <w:p w:rsidR="00465129" w:rsidRPr="00172C98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72C9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0.008</w:t>
            </w:r>
          </w:p>
        </w:tc>
        <w:tc>
          <w:tcPr>
            <w:tcW w:w="0" w:type="auto"/>
          </w:tcPr>
          <w:p w:rsidR="00465129" w:rsidRPr="00172C98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6.3</w:t>
            </w:r>
          </w:p>
        </w:tc>
        <w:tc>
          <w:tcPr>
            <w:tcW w:w="0" w:type="auto"/>
          </w:tcPr>
          <w:p w:rsidR="00465129" w:rsidRPr="00172C98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0.02</w:t>
            </w:r>
          </w:p>
        </w:tc>
      </w:tr>
      <w:tr w:rsidR="00465129" w:rsidRPr="002B0380" w:rsidTr="00D82A83">
        <w:trPr>
          <w:trHeight w:val="346"/>
        </w:trPr>
        <w:tc>
          <w:tcPr>
            <w:tcW w:w="0" w:type="auto"/>
          </w:tcPr>
          <w:p w:rsidR="00465129" w:rsidRPr="00172C98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RSFS-LSFS</w:t>
            </w:r>
          </w:p>
        </w:tc>
        <w:tc>
          <w:tcPr>
            <w:tcW w:w="0" w:type="auto"/>
          </w:tcPr>
          <w:p w:rsidR="00465129" w:rsidRPr="00172C98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4.4</w:t>
            </w:r>
          </w:p>
        </w:tc>
        <w:tc>
          <w:tcPr>
            <w:tcW w:w="0" w:type="auto"/>
          </w:tcPr>
          <w:p w:rsidR="00465129" w:rsidRPr="00172C98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0.04</w:t>
            </w:r>
          </w:p>
        </w:tc>
        <w:tc>
          <w:tcPr>
            <w:tcW w:w="0" w:type="auto"/>
          </w:tcPr>
          <w:p w:rsidR="00465129" w:rsidRPr="00172C98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3.3</w:t>
            </w:r>
          </w:p>
        </w:tc>
        <w:tc>
          <w:tcPr>
            <w:tcW w:w="0" w:type="auto"/>
          </w:tcPr>
          <w:p w:rsidR="00465129" w:rsidRPr="00172C98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0.08</w:t>
            </w:r>
          </w:p>
        </w:tc>
      </w:tr>
      <w:tr w:rsidR="00465129" w:rsidRPr="002B0380" w:rsidTr="00D82A83">
        <w:trPr>
          <w:trHeight w:val="346"/>
        </w:trPr>
        <w:tc>
          <w:tcPr>
            <w:tcW w:w="0" w:type="auto"/>
          </w:tcPr>
          <w:p w:rsidR="00465129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RMFG-LMFG</w:t>
            </w:r>
          </w:p>
        </w:tc>
        <w:tc>
          <w:tcPr>
            <w:tcW w:w="0" w:type="auto"/>
          </w:tcPr>
          <w:p w:rsidR="00465129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5.8</w:t>
            </w:r>
          </w:p>
        </w:tc>
        <w:tc>
          <w:tcPr>
            <w:tcW w:w="0" w:type="auto"/>
          </w:tcPr>
          <w:p w:rsidR="00465129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0.02</w:t>
            </w:r>
          </w:p>
        </w:tc>
        <w:tc>
          <w:tcPr>
            <w:tcW w:w="0" w:type="auto"/>
          </w:tcPr>
          <w:p w:rsidR="00465129" w:rsidRPr="00172C98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4.5</w:t>
            </w:r>
          </w:p>
        </w:tc>
        <w:tc>
          <w:tcPr>
            <w:tcW w:w="0" w:type="auto"/>
          </w:tcPr>
          <w:p w:rsidR="00465129" w:rsidRPr="00172C98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0.04</w:t>
            </w:r>
          </w:p>
        </w:tc>
      </w:tr>
      <w:tr w:rsidR="00465129" w:rsidRPr="002B0380" w:rsidTr="00D82A83">
        <w:trPr>
          <w:trHeight w:val="396"/>
        </w:trPr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DMN-Salience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465129" w:rsidRPr="002B0380" w:rsidTr="00D82A83">
        <w:trPr>
          <w:trHeight w:val="411"/>
        </w:trPr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PCC-ACC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5.6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</w:tr>
      <w:tr w:rsidR="00465129" w:rsidRPr="002B0380" w:rsidTr="00D82A83">
        <w:trPr>
          <w:trHeight w:val="411"/>
        </w:trPr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RLPC-RAI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</w:t>
            </w: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6.7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0.01</w:t>
            </w:r>
          </w:p>
        </w:tc>
      </w:tr>
      <w:tr w:rsidR="00465129" w:rsidRPr="002B0380" w:rsidTr="00D82A83">
        <w:trPr>
          <w:trHeight w:val="411"/>
        </w:trPr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RMFG-RAI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8.4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0.006</w:t>
            </w:r>
          </w:p>
        </w:tc>
      </w:tr>
      <w:tr w:rsidR="00465129" w:rsidRPr="002B0380" w:rsidTr="00D82A83">
        <w:trPr>
          <w:trHeight w:val="411"/>
        </w:trPr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LMFG-RAI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</w:t>
            </w: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07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6.7</w:t>
            </w:r>
          </w:p>
        </w:tc>
        <w:tc>
          <w:tcPr>
            <w:tcW w:w="0" w:type="auto"/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0.01</w:t>
            </w:r>
          </w:p>
        </w:tc>
      </w:tr>
      <w:tr w:rsidR="00465129" w:rsidRPr="002B0380" w:rsidTr="00D82A83">
        <w:trPr>
          <w:trHeight w:val="411"/>
        </w:trPr>
        <w:tc>
          <w:tcPr>
            <w:tcW w:w="0" w:type="auto"/>
            <w:tcBorders>
              <w:bottom w:val="single" w:sz="4" w:space="0" w:color="auto"/>
            </w:tcBorders>
          </w:tcPr>
          <w:p w:rsidR="00465129" w:rsidRPr="002B0380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LMFG-LAI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</w:t>
            </w: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05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6.4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129" w:rsidRPr="002B0380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0.02</w:t>
            </w:r>
          </w:p>
        </w:tc>
      </w:tr>
    </w:tbl>
    <w:p w:rsidR="00465129" w:rsidRPr="002B0380" w:rsidRDefault="00465129" w:rsidP="0046512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65129" w:rsidRPr="00CE1268" w:rsidRDefault="00465129" w:rsidP="00465129">
      <w:pPr>
        <w:spacing w:line="480" w:lineRule="auto"/>
        <w:rPr>
          <w:color w:val="FF0000"/>
          <w:lang w:val="en-US"/>
        </w:rPr>
      </w:pPr>
    </w:p>
    <w:p w:rsidR="00465129" w:rsidRPr="00CE1268" w:rsidRDefault="00465129" w:rsidP="00465129">
      <w:pPr>
        <w:spacing w:line="480" w:lineRule="auto"/>
        <w:rPr>
          <w:color w:val="FF0000"/>
          <w:lang w:val="en-US"/>
        </w:rPr>
      </w:pPr>
    </w:p>
    <w:p w:rsidR="00465129" w:rsidRDefault="00465129" w:rsidP="00465129">
      <w:pPr>
        <w:spacing w:line="480" w:lineRule="auto"/>
        <w:rPr>
          <w:lang w:val="en-US"/>
        </w:rPr>
      </w:pPr>
    </w:p>
    <w:p w:rsidR="00465129" w:rsidRDefault="00465129" w:rsidP="0046512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65129" w:rsidRDefault="00465129" w:rsidP="0046512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65129" w:rsidRDefault="00465129" w:rsidP="0046512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65129" w:rsidRDefault="00465129" w:rsidP="0046512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65129" w:rsidRDefault="00465129" w:rsidP="0046512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65129" w:rsidRDefault="00465129" w:rsidP="0046512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65129" w:rsidRDefault="00465129" w:rsidP="0046512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65129" w:rsidRDefault="00465129" w:rsidP="0046512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65129" w:rsidRDefault="00465129" w:rsidP="0046512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65129" w:rsidRDefault="00465129" w:rsidP="0046512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65129" w:rsidRDefault="00465129" w:rsidP="0046512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65129" w:rsidRDefault="00465129" w:rsidP="0046512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65129" w:rsidRDefault="00465129" w:rsidP="0046512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65129" w:rsidRDefault="00465129" w:rsidP="0046512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65129" w:rsidRDefault="00465129" w:rsidP="0046512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65129" w:rsidRDefault="00465129" w:rsidP="0046512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D82A83" w:rsidRPr="00D82A83" w:rsidRDefault="00465129" w:rsidP="00D82A83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B0380">
        <w:rPr>
          <w:rFonts w:ascii="Times New Roman" w:hAnsi="Times New Roman" w:cs="Times New Roman"/>
          <w:sz w:val="24"/>
          <w:szCs w:val="24"/>
          <w:lang w:val="en-US"/>
        </w:rPr>
        <w:lastRenderedPageBreak/>
        <w:t>The table show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2B0380">
        <w:rPr>
          <w:rFonts w:ascii="Times New Roman" w:hAnsi="Times New Roman" w:cs="Times New Roman"/>
          <w:sz w:val="24"/>
          <w:szCs w:val="24"/>
          <w:lang w:val="en-US"/>
        </w:rPr>
        <w:t xml:space="preserve"> that all the main effects reported in the manuscript are retained using </w:t>
      </w:r>
      <w:r>
        <w:rPr>
          <w:rFonts w:ascii="Times New Roman" w:hAnsi="Times New Roman" w:cs="Times New Roman"/>
          <w:sz w:val="24"/>
          <w:szCs w:val="24"/>
          <w:lang w:val="en-US"/>
        </w:rPr>
        <w:t>LED</w:t>
      </w:r>
      <w:r w:rsidRPr="002B0380">
        <w:rPr>
          <w:rFonts w:ascii="Times New Roman" w:hAnsi="Times New Roman" w:cs="Times New Roman"/>
          <w:sz w:val="24"/>
          <w:szCs w:val="24"/>
          <w:lang w:val="en-US"/>
        </w:rPr>
        <w:t xml:space="preserve"> as covariate. </w:t>
      </w:r>
      <w:bookmarkStart w:id="0" w:name="_Hlk11140836"/>
      <w:r w:rsidRPr="002B0380">
        <w:rPr>
          <w:rFonts w:ascii="Times New Roman" w:hAnsi="Times New Roman" w:cs="Times New Roman"/>
          <w:sz w:val="24"/>
          <w:szCs w:val="24"/>
          <w:lang w:val="en-US"/>
        </w:rPr>
        <w:t xml:space="preserve">The new significant main effects were highlighted in </w:t>
      </w:r>
      <w:r>
        <w:rPr>
          <w:rFonts w:ascii="Times New Roman" w:hAnsi="Times New Roman" w:cs="Times New Roman"/>
          <w:sz w:val="24"/>
          <w:szCs w:val="24"/>
          <w:lang w:val="en-US"/>
        </w:rPr>
        <w:t>bold</w:t>
      </w:r>
      <w:r w:rsidRPr="002B038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75515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bookmarkEnd w:id="0"/>
      <w:r w:rsidR="00D82A83" w:rsidRPr="00D82A83">
        <w:rPr>
          <w:rFonts w:ascii="Times New Roman" w:hAnsi="Times New Roman" w:cs="Times New Roman"/>
          <w:sz w:val="24"/>
          <w:szCs w:val="24"/>
          <w:lang w:val="en-US"/>
        </w:rPr>
        <w:t>No differences were found in the MANCOVA analysis as compared to MANOVA.</w:t>
      </w:r>
    </w:p>
    <w:p w:rsidR="00465129" w:rsidRPr="00755159" w:rsidRDefault="00465129" w:rsidP="00570DD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70DDF" w:rsidRPr="00570DDF" w:rsidRDefault="00570DDF" w:rsidP="00570DD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570DDF">
        <w:rPr>
          <w:rFonts w:ascii="Times New Roman" w:hAnsi="Times New Roman" w:cs="Times New Roman"/>
          <w:sz w:val="24"/>
          <w:szCs w:val="24"/>
          <w:lang w:val="en-GB"/>
        </w:rPr>
        <w:t>Supplementary Table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76CBA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D64DA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570DDF">
        <w:rPr>
          <w:rFonts w:ascii="Times New Roman" w:hAnsi="Times New Roman" w:cs="Times New Roman"/>
          <w:sz w:val="24"/>
          <w:szCs w:val="24"/>
          <w:lang w:val="en-GB"/>
        </w:rPr>
        <w:t xml:space="preserve"> Significant statistical results obtained from MANCOVA analysis on the comparison of the FC values among the three groups</w:t>
      </w:r>
      <w:r w:rsidR="00D64DA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64DA4" w:rsidRPr="00570DDF">
        <w:rPr>
          <w:rFonts w:ascii="Times New Roman" w:hAnsi="Times New Roman" w:cs="Times New Roman"/>
          <w:sz w:val="24"/>
          <w:szCs w:val="24"/>
          <w:lang w:val="en-GB"/>
        </w:rPr>
        <w:t>using age as covariate</w:t>
      </w:r>
      <w:r w:rsidRPr="00570DDF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570DDF" w:rsidRPr="00755159" w:rsidRDefault="00570DDF" w:rsidP="00570DDF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Style w:val="Grigliatabella"/>
        <w:tblpPr w:leftFromText="141" w:rightFromText="141" w:vertAnchor="page" w:horzAnchor="margin" w:tblpY="506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29"/>
        <w:gridCol w:w="516"/>
        <w:gridCol w:w="930"/>
        <w:gridCol w:w="2126"/>
        <w:gridCol w:w="1606"/>
      </w:tblGrid>
      <w:tr w:rsidR="00465129" w:rsidRPr="00570DDF" w:rsidTr="00D82A83">
        <w:trPr>
          <w:trHeight w:val="465"/>
        </w:trPr>
        <w:tc>
          <w:tcPr>
            <w:tcW w:w="0" w:type="auto"/>
            <w:tcBorders>
              <w:bottom w:val="single" w:sz="4" w:space="0" w:color="auto"/>
            </w:tcBorders>
          </w:tcPr>
          <w:p w:rsidR="00465129" w:rsidRPr="00570DDF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 xml:space="preserve">FC 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P value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 xml:space="preserve">SSD-PD &lt; Controls 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SSD-PD &lt; PD</w:t>
            </w:r>
          </w:p>
        </w:tc>
      </w:tr>
      <w:tr w:rsidR="00465129" w:rsidRPr="00570DDF" w:rsidTr="00D82A83">
        <w:trPr>
          <w:trHeight w:val="374"/>
        </w:trPr>
        <w:tc>
          <w:tcPr>
            <w:tcW w:w="0" w:type="auto"/>
            <w:tcBorders>
              <w:top w:val="single" w:sz="4" w:space="0" w:color="auto"/>
            </w:tcBorders>
          </w:tcPr>
          <w:p w:rsidR="00465129" w:rsidRPr="00570DDF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Between DMN areas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65129" w:rsidRPr="00570DDF" w:rsidTr="00D82A83">
        <w:trPr>
          <w:trHeight w:val="374"/>
        </w:trPr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PCC-RSFS</w:t>
            </w: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6.1</w:t>
            </w: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0.004</w:t>
            </w: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0.009</w:t>
            </w:r>
          </w:p>
        </w:tc>
      </w:tr>
      <w:tr w:rsidR="00465129" w:rsidRPr="00570DDF" w:rsidTr="00D82A83">
        <w:trPr>
          <w:trHeight w:val="296"/>
        </w:trPr>
        <w:tc>
          <w:tcPr>
            <w:tcW w:w="0" w:type="auto"/>
          </w:tcPr>
          <w:p w:rsidR="00465129" w:rsidRPr="00570DDF" w:rsidRDefault="00465129" w:rsidP="00D82A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PCC-LSFS</w:t>
            </w: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3.8</w:t>
            </w: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0.03</w:t>
            </w: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n.s.</w:t>
            </w:r>
            <w:proofErr w:type="spellEnd"/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0.03</w:t>
            </w:r>
          </w:p>
        </w:tc>
      </w:tr>
      <w:tr w:rsidR="00465129" w:rsidRPr="00570DDF" w:rsidTr="00D82A83">
        <w:trPr>
          <w:trHeight w:val="346"/>
        </w:trPr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RIPL-RSFS</w:t>
            </w: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4.7</w:t>
            </w: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570DDF">
              <w:rPr>
                <w:rFonts w:ascii="Times New Roman" w:hAnsi="Times New Roman" w:cs="Times New Roman"/>
                <w:b/>
                <w:sz w:val="24"/>
                <w:szCs w:val="24"/>
              </w:rPr>
              <w:t>n.s.</w:t>
            </w:r>
            <w:proofErr w:type="spellEnd"/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0.02</w:t>
            </w:r>
          </w:p>
        </w:tc>
      </w:tr>
      <w:tr w:rsidR="00465129" w:rsidRPr="00570DDF" w:rsidTr="00D82A83">
        <w:trPr>
          <w:trHeight w:val="346"/>
        </w:trPr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LIPL-LSFS</w:t>
            </w: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5.8</w:t>
            </w: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0.005</w:t>
            </w: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0.009</w:t>
            </w: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0.02</w:t>
            </w:r>
          </w:p>
        </w:tc>
      </w:tr>
      <w:tr w:rsidR="00465129" w:rsidRPr="00570DDF" w:rsidTr="00D82A83">
        <w:trPr>
          <w:trHeight w:val="346"/>
        </w:trPr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RLPC-LLPC</w:t>
            </w: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7.0</w:t>
            </w: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0.002</w:t>
            </w: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0.002</w:t>
            </w: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0.05</w:t>
            </w:r>
          </w:p>
        </w:tc>
      </w:tr>
      <w:tr w:rsidR="00465129" w:rsidRPr="00570DDF" w:rsidTr="00D82A83">
        <w:trPr>
          <w:trHeight w:val="396"/>
        </w:trPr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DMN-Salience</w:t>
            </w: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65129" w:rsidRPr="00570DDF" w:rsidTr="00D82A83">
        <w:trPr>
          <w:trHeight w:val="411"/>
        </w:trPr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PCC-ACC</w:t>
            </w: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3.2</w:t>
            </w: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0.05</w:t>
            </w:r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n.s.</w:t>
            </w:r>
            <w:proofErr w:type="spellEnd"/>
          </w:p>
        </w:tc>
        <w:tc>
          <w:tcPr>
            <w:tcW w:w="0" w:type="auto"/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0.05</w:t>
            </w:r>
          </w:p>
        </w:tc>
      </w:tr>
      <w:tr w:rsidR="00465129" w:rsidRPr="00570DDF" w:rsidTr="00D82A83">
        <w:trPr>
          <w:trHeight w:val="411"/>
        </w:trPr>
        <w:tc>
          <w:tcPr>
            <w:tcW w:w="0" w:type="auto"/>
            <w:tcBorders>
              <w:bottom w:val="single" w:sz="4" w:space="0" w:color="auto"/>
            </w:tcBorders>
          </w:tcPr>
          <w:p w:rsidR="00465129" w:rsidRPr="00570DDF" w:rsidRDefault="00465129" w:rsidP="00D82A83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RMFG-RAI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5.0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0.04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129" w:rsidRPr="00570DDF" w:rsidRDefault="00465129" w:rsidP="00D82A8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0DDF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</w:p>
        </w:tc>
      </w:tr>
    </w:tbl>
    <w:p w:rsidR="00570DDF" w:rsidRPr="00570DDF" w:rsidRDefault="00570DDF" w:rsidP="00570DDF">
      <w:pPr>
        <w:rPr>
          <w:rFonts w:ascii="Times New Roman" w:hAnsi="Times New Roman" w:cs="Times New Roman"/>
          <w:sz w:val="24"/>
          <w:szCs w:val="24"/>
        </w:rPr>
      </w:pPr>
    </w:p>
    <w:p w:rsidR="00570DDF" w:rsidRPr="00570DDF" w:rsidRDefault="00570DDF" w:rsidP="00570DDF">
      <w:pPr>
        <w:rPr>
          <w:rFonts w:ascii="Times New Roman" w:hAnsi="Times New Roman" w:cs="Times New Roman"/>
          <w:sz w:val="24"/>
          <w:szCs w:val="24"/>
        </w:rPr>
      </w:pPr>
    </w:p>
    <w:p w:rsidR="00570DDF" w:rsidRPr="00570DDF" w:rsidRDefault="00570DDF" w:rsidP="00570DDF">
      <w:pPr>
        <w:rPr>
          <w:rFonts w:ascii="Times New Roman" w:hAnsi="Times New Roman" w:cs="Times New Roman"/>
          <w:sz w:val="24"/>
          <w:szCs w:val="24"/>
        </w:rPr>
      </w:pPr>
    </w:p>
    <w:p w:rsidR="00570DDF" w:rsidRPr="00570DDF" w:rsidRDefault="00570DDF" w:rsidP="00570DDF">
      <w:pPr>
        <w:rPr>
          <w:rFonts w:ascii="Times New Roman" w:hAnsi="Times New Roman" w:cs="Times New Roman"/>
          <w:sz w:val="24"/>
          <w:szCs w:val="24"/>
        </w:rPr>
      </w:pPr>
    </w:p>
    <w:p w:rsidR="00570DDF" w:rsidRPr="00570DDF" w:rsidRDefault="00570DDF" w:rsidP="00570DDF">
      <w:pPr>
        <w:rPr>
          <w:rFonts w:ascii="Times New Roman" w:hAnsi="Times New Roman" w:cs="Times New Roman"/>
          <w:sz w:val="24"/>
          <w:szCs w:val="24"/>
        </w:rPr>
      </w:pPr>
    </w:p>
    <w:p w:rsidR="00570DDF" w:rsidRPr="00570DDF" w:rsidRDefault="00570DDF" w:rsidP="00570DDF">
      <w:pPr>
        <w:rPr>
          <w:rFonts w:ascii="Times New Roman" w:hAnsi="Times New Roman" w:cs="Times New Roman"/>
          <w:sz w:val="24"/>
          <w:szCs w:val="24"/>
        </w:rPr>
      </w:pPr>
    </w:p>
    <w:p w:rsidR="00570DDF" w:rsidRPr="00570DDF" w:rsidRDefault="00570DDF" w:rsidP="00570DDF">
      <w:pPr>
        <w:rPr>
          <w:rFonts w:ascii="Times New Roman" w:hAnsi="Times New Roman" w:cs="Times New Roman"/>
          <w:sz w:val="24"/>
          <w:szCs w:val="24"/>
        </w:rPr>
      </w:pPr>
    </w:p>
    <w:p w:rsidR="00570DDF" w:rsidRPr="00570DDF" w:rsidRDefault="00570DDF" w:rsidP="00570DDF">
      <w:pPr>
        <w:rPr>
          <w:rFonts w:ascii="Times New Roman" w:hAnsi="Times New Roman" w:cs="Times New Roman"/>
          <w:sz w:val="24"/>
          <w:szCs w:val="24"/>
        </w:rPr>
      </w:pPr>
    </w:p>
    <w:p w:rsidR="00570DDF" w:rsidRPr="00570DDF" w:rsidRDefault="00570DDF" w:rsidP="00570DDF">
      <w:pPr>
        <w:rPr>
          <w:rFonts w:ascii="Times New Roman" w:hAnsi="Times New Roman" w:cs="Times New Roman"/>
          <w:sz w:val="24"/>
          <w:szCs w:val="24"/>
        </w:rPr>
      </w:pPr>
    </w:p>
    <w:p w:rsidR="00570DDF" w:rsidRPr="00570DDF" w:rsidRDefault="00570DDF" w:rsidP="00570DDF">
      <w:pPr>
        <w:rPr>
          <w:rFonts w:ascii="Times New Roman" w:hAnsi="Times New Roman" w:cs="Times New Roman"/>
          <w:sz w:val="24"/>
          <w:szCs w:val="24"/>
        </w:rPr>
      </w:pPr>
    </w:p>
    <w:p w:rsidR="00570DDF" w:rsidRPr="00570DDF" w:rsidRDefault="00570DDF" w:rsidP="00570DD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570DDF" w:rsidRPr="00570DDF" w:rsidRDefault="00570DDF" w:rsidP="00570DD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570DDF">
        <w:rPr>
          <w:rFonts w:ascii="Times New Roman" w:hAnsi="Times New Roman" w:cs="Times New Roman"/>
          <w:sz w:val="24"/>
          <w:szCs w:val="24"/>
          <w:lang w:val="en-GB"/>
        </w:rPr>
        <w:t xml:space="preserve">The only difference with the FC results obtained without using age as covariate (Table 3 of the manuscript) was highlighted in bold. </w:t>
      </w:r>
    </w:p>
    <w:p w:rsidR="00570DDF" w:rsidRPr="00570DDF" w:rsidRDefault="00570DDF" w:rsidP="00570DD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3E3ED6" w:rsidRPr="002B0380" w:rsidRDefault="00570DDF" w:rsidP="003E3ED6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4DA4">
        <w:rPr>
          <w:rFonts w:ascii="Times New Roman" w:hAnsi="Times New Roman" w:cs="Times New Roman"/>
          <w:sz w:val="24"/>
          <w:szCs w:val="24"/>
          <w:lang w:val="en-US"/>
        </w:rPr>
        <w:t xml:space="preserve">The table shows that all the main effects (significant FC values across groups) are retained using age as covariate. Only one post-hoc comparison was not significant between SSD-PD and control group for the FC between RIPL and RSFS. </w:t>
      </w:r>
      <w:bookmarkStart w:id="1" w:name="_GoBack"/>
      <w:bookmarkEnd w:id="1"/>
    </w:p>
    <w:p w:rsidR="00570DDF" w:rsidRPr="00D64DA4" w:rsidRDefault="00570DDF" w:rsidP="00570DD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70DDF" w:rsidRPr="00D64DA4" w:rsidRDefault="00570DDF" w:rsidP="00570DD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2B0380" w:rsidRPr="002B0380" w:rsidRDefault="002B0380" w:rsidP="002B038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B0380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Supplementary Table </w:t>
      </w:r>
      <w:r w:rsidR="00C76CBA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D64DA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2B0380">
        <w:rPr>
          <w:rFonts w:ascii="Times New Roman" w:hAnsi="Times New Roman" w:cs="Times New Roman"/>
          <w:sz w:val="24"/>
          <w:szCs w:val="24"/>
          <w:lang w:val="en-US"/>
        </w:rPr>
        <w:t xml:space="preserve"> Significant statistical results obtained from MANCOVA analysis on the comparison of the FC values among patients groups</w:t>
      </w:r>
      <w:r w:rsidR="00D64DA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64DA4" w:rsidRPr="002B0380">
        <w:rPr>
          <w:rFonts w:ascii="Times New Roman" w:hAnsi="Times New Roman" w:cs="Times New Roman"/>
          <w:sz w:val="24"/>
          <w:szCs w:val="24"/>
          <w:lang w:val="en-US"/>
        </w:rPr>
        <w:t>using FAB as covariates</w:t>
      </w:r>
      <w:r w:rsidRPr="002B038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2B0380" w:rsidRPr="002B0380" w:rsidRDefault="002B0380" w:rsidP="002B038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2B0380" w:rsidRPr="00CE1268" w:rsidRDefault="002B0380" w:rsidP="002B0380">
      <w:pPr>
        <w:spacing w:line="480" w:lineRule="auto"/>
        <w:rPr>
          <w:color w:val="FF0000"/>
          <w:lang w:val="en-US"/>
        </w:rPr>
      </w:pPr>
    </w:p>
    <w:p w:rsidR="002B0380" w:rsidRPr="00CE1268" w:rsidRDefault="002B0380" w:rsidP="002B0380">
      <w:pPr>
        <w:spacing w:line="480" w:lineRule="auto"/>
        <w:rPr>
          <w:color w:val="FF0000"/>
          <w:lang w:val="en-US"/>
        </w:rPr>
      </w:pPr>
    </w:p>
    <w:tbl>
      <w:tblPr>
        <w:tblStyle w:val="Grigliatabella"/>
        <w:tblpPr w:leftFromText="141" w:rightFromText="141" w:vertAnchor="page" w:horzAnchor="margin" w:tblpY="322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29"/>
        <w:gridCol w:w="516"/>
        <w:gridCol w:w="1606"/>
        <w:gridCol w:w="516"/>
        <w:gridCol w:w="1606"/>
      </w:tblGrid>
      <w:tr w:rsidR="002B0380" w:rsidRPr="002B0380" w:rsidTr="005D2539">
        <w:trPr>
          <w:trHeight w:val="465"/>
        </w:trPr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gridSpan w:val="2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FAB as covariate</w:t>
            </w:r>
          </w:p>
        </w:tc>
        <w:tc>
          <w:tcPr>
            <w:tcW w:w="0" w:type="auto"/>
            <w:gridSpan w:val="2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 covariate</w:t>
            </w:r>
          </w:p>
        </w:tc>
      </w:tr>
      <w:tr w:rsidR="002B0380" w:rsidRPr="002B0380" w:rsidTr="005D2539">
        <w:trPr>
          <w:trHeight w:val="465"/>
        </w:trPr>
        <w:tc>
          <w:tcPr>
            <w:tcW w:w="0" w:type="auto"/>
            <w:tcBorders>
              <w:bottom w:val="single" w:sz="4" w:space="0" w:color="auto"/>
            </w:tcBorders>
          </w:tcPr>
          <w:p w:rsidR="002B0380" w:rsidRPr="002B0380" w:rsidRDefault="002B0380" w:rsidP="0005764C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FC 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SSD-PD &lt; PD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SSD-PD &lt; PD</w:t>
            </w:r>
          </w:p>
        </w:tc>
      </w:tr>
      <w:tr w:rsidR="002B0380" w:rsidRPr="002B0380" w:rsidTr="005D2539">
        <w:trPr>
          <w:trHeight w:val="374"/>
        </w:trPr>
        <w:tc>
          <w:tcPr>
            <w:tcW w:w="0" w:type="auto"/>
            <w:tcBorders>
              <w:top w:val="single" w:sz="4" w:space="0" w:color="auto"/>
            </w:tcBorders>
          </w:tcPr>
          <w:p w:rsidR="002B0380" w:rsidRPr="002B0380" w:rsidRDefault="002B0380" w:rsidP="0005764C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Between DMN areas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B0380" w:rsidRPr="002B0380" w:rsidTr="005D2539">
        <w:trPr>
          <w:trHeight w:val="374"/>
        </w:trPr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PCC-RSFS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8.1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8.9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0.005</w:t>
            </w:r>
          </w:p>
        </w:tc>
      </w:tr>
      <w:tr w:rsidR="002B0380" w:rsidRPr="002B0380" w:rsidTr="005D2539">
        <w:trPr>
          <w:trHeight w:val="296"/>
        </w:trPr>
        <w:tc>
          <w:tcPr>
            <w:tcW w:w="0" w:type="auto"/>
          </w:tcPr>
          <w:p w:rsidR="002B0380" w:rsidRPr="002B0380" w:rsidRDefault="002B0380" w:rsidP="0005764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2B0380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PCC-LSFS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5.3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0.03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5.9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</w:tr>
      <w:tr w:rsidR="002B0380" w:rsidRPr="002B0380" w:rsidTr="005D2539">
        <w:trPr>
          <w:trHeight w:val="346"/>
        </w:trPr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RIPL-RSFS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8.1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8.8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0.005</w:t>
            </w:r>
          </w:p>
        </w:tc>
      </w:tr>
      <w:tr w:rsidR="002B0380" w:rsidRPr="002B0380" w:rsidTr="005D2539">
        <w:trPr>
          <w:trHeight w:val="346"/>
        </w:trPr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LIPL-RSFS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4.5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0.04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5.0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0.03</w:t>
            </w:r>
          </w:p>
        </w:tc>
      </w:tr>
      <w:tr w:rsidR="002B0380" w:rsidRPr="002B0380" w:rsidTr="005D2539">
        <w:trPr>
          <w:trHeight w:val="346"/>
        </w:trPr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LIPL-LSFS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7.6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0.009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8.3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0.007</w:t>
            </w:r>
          </w:p>
        </w:tc>
      </w:tr>
      <w:tr w:rsidR="002B0380" w:rsidRPr="002B0380" w:rsidTr="005D2539">
        <w:trPr>
          <w:trHeight w:val="346"/>
        </w:trPr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RLPC-LLPC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7.2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0.01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7.8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0.009</w:t>
            </w:r>
          </w:p>
        </w:tc>
      </w:tr>
      <w:tr w:rsidR="002B0380" w:rsidRPr="002B0380" w:rsidTr="005D2539">
        <w:trPr>
          <w:trHeight w:val="396"/>
        </w:trPr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DMN-Salience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B0380" w:rsidRPr="002B0380" w:rsidTr="005D2539">
        <w:trPr>
          <w:trHeight w:val="411"/>
        </w:trPr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PCC-ACC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5.6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5.6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</w:tr>
      <w:tr w:rsidR="002B0380" w:rsidRPr="002B0380" w:rsidTr="005D2539">
        <w:trPr>
          <w:trHeight w:val="411"/>
        </w:trPr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RLPC-RAI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8.2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0.007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6.7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0.01</w:t>
            </w:r>
          </w:p>
        </w:tc>
      </w:tr>
      <w:tr w:rsidR="002B0380" w:rsidRPr="002B0380" w:rsidTr="005D2539">
        <w:trPr>
          <w:trHeight w:val="411"/>
        </w:trPr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RMFG-RAI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9.6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0.004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8.4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0.006</w:t>
            </w:r>
          </w:p>
        </w:tc>
      </w:tr>
      <w:tr w:rsidR="002B0380" w:rsidRPr="002B0380" w:rsidTr="005D2539">
        <w:trPr>
          <w:trHeight w:val="411"/>
        </w:trPr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LMFG-RAI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6.9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0.01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6.7</w:t>
            </w:r>
          </w:p>
        </w:tc>
        <w:tc>
          <w:tcPr>
            <w:tcW w:w="0" w:type="auto"/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0.01</w:t>
            </w:r>
          </w:p>
        </w:tc>
      </w:tr>
      <w:tr w:rsidR="002B0380" w:rsidRPr="002B0380" w:rsidTr="005D2539">
        <w:trPr>
          <w:trHeight w:val="411"/>
        </w:trPr>
        <w:tc>
          <w:tcPr>
            <w:tcW w:w="0" w:type="auto"/>
            <w:tcBorders>
              <w:bottom w:val="single" w:sz="4" w:space="0" w:color="auto"/>
            </w:tcBorders>
          </w:tcPr>
          <w:p w:rsidR="002B0380" w:rsidRPr="002B0380" w:rsidRDefault="002B0380" w:rsidP="0005764C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LMFG-LAI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5.7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0.02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6.4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2B0380" w:rsidRPr="002B0380" w:rsidRDefault="002B0380" w:rsidP="0005764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B03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0.02</w:t>
            </w:r>
          </w:p>
        </w:tc>
      </w:tr>
    </w:tbl>
    <w:p w:rsidR="002B0380" w:rsidRDefault="002B0380" w:rsidP="002B0380">
      <w:pPr>
        <w:spacing w:line="480" w:lineRule="auto"/>
        <w:rPr>
          <w:lang w:val="en-US"/>
        </w:rPr>
      </w:pPr>
    </w:p>
    <w:p w:rsidR="002B0380" w:rsidRDefault="002B0380" w:rsidP="002B0380">
      <w:pPr>
        <w:spacing w:line="480" w:lineRule="auto"/>
        <w:rPr>
          <w:lang w:val="en-US"/>
        </w:rPr>
      </w:pPr>
    </w:p>
    <w:p w:rsidR="002B0380" w:rsidRPr="00072A33" w:rsidRDefault="002B0380" w:rsidP="002B0380">
      <w:pPr>
        <w:rPr>
          <w:lang w:val="en-US"/>
        </w:rPr>
      </w:pPr>
    </w:p>
    <w:p w:rsidR="002B0380" w:rsidRDefault="002B0380" w:rsidP="002B0380">
      <w:pPr>
        <w:rPr>
          <w:rFonts w:ascii="Times New Roman" w:hAnsi="Times New Roman" w:cs="Times New Roman"/>
          <w:color w:val="FF0000"/>
          <w:sz w:val="24"/>
          <w:szCs w:val="24"/>
          <w:lang w:val="en-GB"/>
        </w:rPr>
      </w:pPr>
    </w:p>
    <w:p w:rsidR="002B0380" w:rsidRDefault="002B0380" w:rsidP="002B0380">
      <w:pPr>
        <w:rPr>
          <w:rFonts w:ascii="Times New Roman" w:hAnsi="Times New Roman" w:cs="Times New Roman"/>
          <w:color w:val="000000"/>
          <w:sz w:val="24"/>
          <w:szCs w:val="24"/>
          <w:lang w:val="en-GB"/>
        </w:rPr>
      </w:pPr>
      <w:r w:rsidRPr="008E4C0D">
        <w:rPr>
          <w:rFonts w:ascii="Times New Roman" w:hAnsi="Times New Roman" w:cs="Times New Roman"/>
          <w:color w:val="FF0000"/>
          <w:sz w:val="24"/>
          <w:szCs w:val="24"/>
          <w:lang w:val="en-GB"/>
        </w:rPr>
        <w:br/>
      </w:r>
    </w:p>
    <w:p w:rsidR="002B0380" w:rsidRDefault="002B0380" w:rsidP="002B0380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</w:pPr>
      <w:r w:rsidRPr="0085189E">
        <w:rPr>
          <w:rFonts w:ascii="Times New Roman" w:hAnsi="Times New Roman" w:cs="Times New Roman"/>
          <w:color w:val="FF0000"/>
          <w:sz w:val="24"/>
          <w:szCs w:val="24"/>
          <w:lang w:val="en-GB"/>
        </w:rPr>
        <w:br/>
      </w:r>
      <w:r w:rsidRPr="005D2C11">
        <w:rPr>
          <w:rFonts w:ascii="Times New Roman" w:hAnsi="Times New Roman" w:cs="Times New Roman"/>
          <w:color w:val="000000"/>
          <w:sz w:val="24"/>
          <w:szCs w:val="24"/>
          <w:lang w:val="en-GB"/>
        </w:rPr>
        <w:br/>
      </w:r>
    </w:p>
    <w:p w:rsidR="002B0380" w:rsidRDefault="002B0380" w:rsidP="002B0380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</w:pPr>
    </w:p>
    <w:p w:rsidR="002B0380" w:rsidRDefault="002B0380" w:rsidP="002B0380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</w:pPr>
    </w:p>
    <w:p w:rsidR="002B0380" w:rsidRDefault="002B0380" w:rsidP="002B0380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</w:pPr>
    </w:p>
    <w:p w:rsidR="002B0380" w:rsidRDefault="002B0380" w:rsidP="002B0380">
      <w:pPr>
        <w:rPr>
          <w:rFonts w:ascii="Times New Roman" w:hAnsi="Times New Roman" w:cs="Times New Roman"/>
          <w:color w:val="FF0000"/>
          <w:sz w:val="24"/>
          <w:szCs w:val="24"/>
          <w:lang w:val="en-US"/>
        </w:rPr>
      </w:pPr>
    </w:p>
    <w:p w:rsidR="002B0380" w:rsidRDefault="002B0380" w:rsidP="002B0380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  <w:lang w:val="en-US"/>
        </w:rPr>
      </w:pPr>
    </w:p>
    <w:p w:rsidR="002B0380" w:rsidRDefault="002B0380" w:rsidP="002B0380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  <w:lang w:val="en-US"/>
        </w:rPr>
      </w:pPr>
    </w:p>
    <w:p w:rsidR="002B0380" w:rsidRDefault="002B0380" w:rsidP="002B0380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  <w:lang w:val="en-US"/>
        </w:rPr>
      </w:pPr>
    </w:p>
    <w:p w:rsidR="002B0380" w:rsidRPr="002B0380" w:rsidRDefault="002B0380" w:rsidP="002B038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B0380">
        <w:rPr>
          <w:rFonts w:ascii="Times New Roman" w:hAnsi="Times New Roman" w:cs="Times New Roman"/>
          <w:sz w:val="24"/>
          <w:szCs w:val="24"/>
          <w:lang w:val="en-US"/>
        </w:rPr>
        <w:t>The table show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2B0380">
        <w:rPr>
          <w:rFonts w:ascii="Times New Roman" w:hAnsi="Times New Roman" w:cs="Times New Roman"/>
          <w:sz w:val="24"/>
          <w:szCs w:val="24"/>
          <w:lang w:val="en-US"/>
        </w:rPr>
        <w:t xml:space="preserve"> that all the main effects reported in the manuscript are retained using FAB scores as covariate. The new significant main effects were highlighted in </w:t>
      </w:r>
      <w:r>
        <w:rPr>
          <w:rFonts w:ascii="Times New Roman" w:hAnsi="Times New Roman" w:cs="Times New Roman"/>
          <w:sz w:val="24"/>
          <w:szCs w:val="24"/>
          <w:lang w:val="en-US"/>
        </w:rPr>
        <w:t>bold</w:t>
      </w:r>
      <w:r w:rsidRPr="002B038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2B0380" w:rsidRDefault="0016718E" w:rsidP="002B038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No differences were found in the MANCOVA analysis as compared to MANOVA.</w:t>
      </w:r>
    </w:p>
    <w:p w:rsidR="0016718E" w:rsidRPr="002B0380" w:rsidRDefault="0016718E" w:rsidP="002B038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D82A83" w:rsidRDefault="00D82A83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2E3D42" w:rsidRDefault="002E3D42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  <w:r w:rsidRPr="004C77E0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Supplementary Table </w:t>
      </w:r>
      <w:r w:rsidR="00C76CBA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D64DA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4C77E0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Significant statistical results obtained from MANCOVA analysis on the comparison of the FC values among patients groups</w:t>
      </w:r>
      <w:r w:rsidR="00D64DA4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</w:t>
      </w:r>
      <w:r w:rsidR="00D64DA4" w:rsidRPr="004C77E0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using NPI as covariate</w:t>
      </w:r>
      <w:r w:rsidRPr="004C77E0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.</w:t>
      </w: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</w:p>
    <w:tbl>
      <w:tblPr>
        <w:tblStyle w:val="Grigliatabella"/>
        <w:tblpPr w:leftFromText="141" w:rightFromText="141" w:vertAnchor="page" w:horzAnchor="margin" w:tblpY="358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29"/>
        <w:gridCol w:w="636"/>
        <w:gridCol w:w="1606"/>
        <w:gridCol w:w="516"/>
        <w:gridCol w:w="1606"/>
      </w:tblGrid>
      <w:tr w:rsidR="005D2539" w:rsidRPr="004C77E0" w:rsidTr="005D2539">
        <w:trPr>
          <w:trHeight w:val="465"/>
        </w:trPr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gridSpan w:val="2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NPI as covariate</w:t>
            </w:r>
          </w:p>
        </w:tc>
        <w:tc>
          <w:tcPr>
            <w:tcW w:w="0" w:type="auto"/>
            <w:gridSpan w:val="2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 covariate</w:t>
            </w:r>
          </w:p>
        </w:tc>
      </w:tr>
      <w:tr w:rsidR="005D2539" w:rsidRPr="004C77E0" w:rsidTr="005D2539">
        <w:trPr>
          <w:trHeight w:val="465"/>
        </w:trPr>
        <w:tc>
          <w:tcPr>
            <w:tcW w:w="0" w:type="auto"/>
            <w:tcBorders>
              <w:bottom w:val="single" w:sz="4" w:space="0" w:color="auto"/>
            </w:tcBorders>
          </w:tcPr>
          <w:p w:rsidR="005D2539" w:rsidRPr="004C77E0" w:rsidRDefault="005D2539" w:rsidP="005D2539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FC 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SSD-PD &lt; PD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SSD-PD &lt; PD</w:t>
            </w:r>
          </w:p>
        </w:tc>
      </w:tr>
      <w:tr w:rsidR="005D2539" w:rsidRPr="004C77E0" w:rsidTr="005D2539">
        <w:trPr>
          <w:trHeight w:val="374"/>
        </w:trPr>
        <w:tc>
          <w:tcPr>
            <w:tcW w:w="0" w:type="auto"/>
            <w:tcBorders>
              <w:top w:val="single" w:sz="4" w:space="0" w:color="auto"/>
            </w:tcBorders>
          </w:tcPr>
          <w:p w:rsidR="005D2539" w:rsidRPr="004C77E0" w:rsidRDefault="005D2539" w:rsidP="005D2539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Between DMN areas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5D2539" w:rsidRPr="004C77E0" w:rsidTr="005D2539">
        <w:trPr>
          <w:trHeight w:val="374"/>
        </w:trPr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PCC-RSFS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10.4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0.003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8.9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0.005</w:t>
            </w:r>
          </w:p>
        </w:tc>
      </w:tr>
      <w:tr w:rsidR="005D2539" w:rsidRPr="004C77E0" w:rsidTr="005D2539">
        <w:trPr>
          <w:trHeight w:val="296"/>
        </w:trPr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4C77E0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PCC-LSFS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6.0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5.9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</w:tr>
      <w:tr w:rsidR="005D2539" w:rsidRPr="004C77E0" w:rsidTr="005D2539">
        <w:trPr>
          <w:trHeight w:val="346"/>
        </w:trPr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RIPL-RSFS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4.1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0.05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8.8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0.005</w:t>
            </w:r>
          </w:p>
        </w:tc>
      </w:tr>
      <w:tr w:rsidR="005D2539" w:rsidRPr="004C77E0" w:rsidTr="005D2539">
        <w:trPr>
          <w:trHeight w:val="346"/>
        </w:trPr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LIPL-RSFS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6.0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0.02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5.0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0.03</w:t>
            </w:r>
          </w:p>
        </w:tc>
      </w:tr>
      <w:tr w:rsidR="005D2539" w:rsidRPr="004C77E0" w:rsidTr="005D2539">
        <w:trPr>
          <w:trHeight w:val="346"/>
        </w:trPr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LIPL-LSFS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6.9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0.01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8.3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0.007</w:t>
            </w:r>
          </w:p>
        </w:tc>
      </w:tr>
      <w:tr w:rsidR="005D2539" w:rsidRPr="004C77E0" w:rsidTr="005D2539">
        <w:trPr>
          <w:trHeight w:val="346"/>
        </w:trPr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RLPC-LLPC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8.5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7.8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0.009</w:t>
            </w:r>
          </w:p>
        </w:tc>
      </w:tr>
      <w:tr w:rsidR="005D2539" w:rsidRPr="004C77E0" w:rsidTr="005D2539">
        <w:trPr>
          <w:trHeight w:val="396"/>
        </w:trPr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DMN-Salience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5D2539" w:rsidRPr="004C77E0" w:rsidTr="005D2539">
        <w:trPr>
          <w:trHeight w:val="411"/>
        </w:trPr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PCC-ACC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5.1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0.03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5.6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</w:tr>
      <w:tr w:rsidR="005D2539" w:rsidRPr="004C77E0" w:rsidTr="005D2539">
        <w:trPr>
          <w:trHeight w:val="411"/>
        </w:trPr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RLPC-RAI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9.7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0.004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6.7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0.01</w:t>
            </w:r>
          </w:p>
        </w:tc>
      </w:tr>
      <w:tr w:rsidR="005D2539" w:rsidRPr="004C77E0" w:rsidTr="005D2539">
        <w:trPr>
          <w:trHeight w:val="411"/>
        </w:trPr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RMFG-RAI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4.1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0.05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8.4</w:t>
            </w:r>
          </w:p>
        </w:tc>
        <w:tc>
          <w:tcPr>
            <w:tcW w:w="0" w:type="auto"/>
          </w:tcPr>
          <w:p w:rsidR="005D2539" w:rsidRPr="004C77E0" w:rsidRDefault="005D2539" w:rsidP="005D253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0.006</w:t>
            </w:r>
          </w:p>
        </w:tc>
      </w:tr>
    </w:tbl>
    <w:p w:rsidR="004C77E0" w:rsidRPr="004C77E0" w:rsidRDefault="004C77E0" w:rsidP="004C77E0">
      <w:pPr>
        <w:spacing w:after="0" w:line="480" w:lineRule="auto"/>
        <w:rPr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C77E0">
        <w:rPr>
          <w:rFonts w:ascii="Times New Roman" w:hAnsi="Times New Roman" w:cs="Times New Roman"/>
          <w:sz w:val="24"/>
          <w:szCs w:val="24"/>
          <w:lang w:val="en-US"/>
        </w:rPr>
        <w:t>The table show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4C77E0">
        <w:rPr>
          <w:rFonts w:ascii="Times New Roman" w:hAnsi="Times New Roman" w:cs="Times New Roman"/>
          <w:sz w:val="24"/>
          <w:szCs w:val="24"/>
          <w:lang w:val="en-US"/>
        </w:rPr>
        <w:t xml:space="preserve"> that all the main effects reported in the manuscript are retained using NPI scores as covariate. The new significant main effects were highlighted in </w:t>
      </w:r>
      <w:r>
        <w:rPr>
          <w:rFonts w:ascii="Times New Roman" w:hAnsi="Times New Roman" w:cs="Times New Roman"/>
          <w:sz w:val="24"/>
          <w:szCs w:val="24"/>
          <w:lang w:val="en-US"/>
        </w:rPr>
        <w:t>bold</w:t>
      </w:r>
      <w:r w:rsidRPr="004C77E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4C77E0" w:rsidRPr="004C77E0" w:rsidRDefault="0016718E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No differences were found in the MANCOVA analysis as compared to MANOVA.</w:t>
      </w: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</w:p>
    <w:p w:rsidR="0016718E" w:rsidRDefault="0016718E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  <w:r w:rsidRPr="004C77E0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Supplementary Table </w:t>
      </w:r>
      <w:r w:rsidR="00C76CBA"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D64DA4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C77E0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Significant statistical results obtained from MANCOVA analysis on the comparison of the FC values among the three groups</w:t>
      </w:r>
      <w:r w:rsidR="00D64DA4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</w:t>
      </w:r>
      <w:r w:rsidR="00D64DA4" w:rsidRPr="004C77E0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using SQ-Anxiety as covariate</w:t>
      </w:r>
      <w:r w:rsidRPr="004C77E0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.</w:t>
      </w: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</w:p>
    <w:tbl>
      <w:tblPr>
        <w:tblStyle w:val="Grigliatabella"/>
        <w:tblpPr w:leftFromText="141" w:rightFromText="141" w:vertAnchor="page" w:horzAnchor="margin" w:tblpY="304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29"/>
        <w:gridCol w:w="516"/>
        <w:gridCol w:w="930"/>
        <w:gridCol w:w="2126"/>
        <w:gridCol w:w="1606"/>
      </w:tblGrid>
      <w:tr w:rsidR="00FD44F7" w:rsidRPr="004C77E0" w:rsidTr="00FD44F7">
        <w:trPr>
          <w:trHeight w:val="465"/>
        </w:trPr>
        <w:tc>
          <w:tcPr>
            <w:tcW w:w="0" w:type="auto"/>
            <w:tcBorders>
              <w:bottom w:val="single" w:sz="4" w:space="0" w:color="auto"/>
            </w:tcBorders>
          </w:tcPr>
          <w:p w:rsidR="00FD44F7" w:rsidRPr="004C77E0" w:rsidRDefault="00FD44F7" w:rsidP="00FD44F7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FC 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 value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SSD-PD &lt; Controls 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SSD-PD &lt; PD</w:t>
            </w:r>
          </w:p>
        </w:tc>
      </w:tr>
      <w:tr w:rsidR="00FD44F7" w:rsidRPr="004C77E0" w:rsidTr="00FD44F7">
        <w:trPr>
          <w:trHeight w:val="374"/>
        </w:trPr>
        <w:tc>
          <w:tcPr>
            <w:tcW w:w="0" w:type="auto"/>
            <w:tcBorders>
              <w:top w:val="single" w:sz="4" w:space="0" w:color="auto"/>
            </w:tcBorders>
          </w:tcPr>
          <w:p w:rsidR="00FD44F7" w:rsidRPr="004C77E0" w:rsidRDefault="00FD44F7" w:rsidP="00FD44F7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Between DMN areas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FD44F7" w:rsidRPr="004C77E0" w:rsidTr="00FD44F7">
        <w:trPr>
          <w:trHeight w:val="374"/>
        </w:trPr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PCC-RSFS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6.3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0.003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0.01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0.007</w:t>
            </w:r>
          </w:p>
        </w:tc>
      </w:tr>
      <w:tr w:rsidR="00FD44F7" w:rsidRPr="004C77E0" w:rsidTr="00FD44F7">
        <w:trPr>
          <w:trHeight w:val="296"/>
        </w:trPr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4C77E0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PCC-LSFS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4.0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n.s</w:t>
            </w:r>
            <w:proofErr w:type="spellEnd"/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</w:tr>
      <w:tr w:rsidR="00FD44F7" w:rsidRPr="004C77E0" w:rsidTr="00FD44F7">
        <w:trPr>
          <w:trHeight w:val="346"/>
        </w:trPr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RIPL-RSFS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5.3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0.008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0.03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0.01</w:t>
            </w:r>
          </w:p>
        </w:tc>
      </w:tr>
      <w:tr w:rsidR="00FD44F7" w:rsidRPr="004C77E0" w:rsidTr="00FD44F7">
        <w:trPr>
          <w:trHeight w:val="346"/>
        </w:trPr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LIPL-RSFS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3.8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0.03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0.04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proofErr w:type="spellStart"/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n.s</w:t>
            </w:r>
            <w:proofErr w:type="spellEnd"/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</w:p>
        </w:tc>
      </w:tr>
      <w:tr w:rsidR="00FD44F7" w:rsidRPr="004C77E0" w:rsidTr="00FD44F7">
        <w:trPr>
          <w:trHeight w:val="346"/>
        </w:trPr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LIPL-LSFS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6.3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0.003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0.006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</w:tr>
      <w:tr w:rsidR="00FD44F7" w:rsidRPr="004C77E0" w:rsidTr="00FD44F7">
        <w:trPr>
          <w:trHeight w:val="346"/>
        </w:trPr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RLPC-LLPC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7.4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0.001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0.001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0.04</w:t>
            </w:r>
          </w:p>
        </w:tc>
      </w:tr>
      <w:tr w:rsidR="00FD44F7" w:rsidRPr="004C77E0" w:rsidTr="00FD44F7">
        <w:trPr>
          <w:trHeight w:val="396"/>
        </w:trPr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DMN-Salience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FD44F7" w:rsidRPr="004C77E0" w:rsidTr="00FD44F7">
        <w:trPr>
          <w:trHeight w:val="411"/>
        </w:trPr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PCC-ACC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3.6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0.03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n.s</w:t>
            </w:r>
            <w:proofErr w:type="spellEnd"/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0" w:type="auto"/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0.05</w:t>
            </w:r>
          </w:p>
        </w:tc>
      </w:tr>
      <w:tr w:rsidR="00FD44F7" w:rsidRPr="004C77E0" w:rsidTr="00FD44F7">
        <w:trPr>
          <w:trHeight w:val="411"/>
        </w:trPr>
        <w:tc>
          <w:tcPr>
            <w:tcW w:w="0" w:type="auto"/>
            <w:tcBorders>
              <w:bottom w:val="single" w:sz="4" w:space="0" w:color="auto"/>
            </w:tcBorders>
          </w:tcPr>
          <w:p w:rsidR="00FD44F7" w:rsidRPr="004C77E0" w:rsidRDefault="00FD44F7" w:rsidP="00FD44F7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RMFG-RAI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5.0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0.01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0.04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D44F7" w:rsidRPr="004C77E0" w:rsidRDefault="00FD44F7" w:rsidP="00FD44F7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</w:tr>
    </w:tbl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</w:p>
    <w:p w:rsidR="004C77E0" w:rsidRPr="004C77E0" w:rsidRDefault="004C77E0" w:rsidP="004C77E0">
      <w:pPr>
        <w:spacing w:after="0" w:line="480" w:lineRule="auto"/>
        <w:rPr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C77E0">
        <w:rPr>
          <w:rFonts w:ascii="Times New Roman" w:hAnsi="Times New Roman" w:cs="Times New Roman"/>
          <w:sz w:val="24"/>
          <w:szCs w:val="24"/>
          <w:lang w:val="en-US"/>
        </w:rPr>
        <w:t xml:space="preserve">The table shows that all the main effects (significant FC values across groups) are retained using </w:t>
      </w:r>
      <w:r w:rsidRPr="004C77E0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SQ-Anxiety</w:t>
      </w:r>
      <w:r w:rsidRPr="004C77E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C77E0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scores</w:t>
      </w:r>
      <w:r w:rsidRPr="004C77E0">
        <w:rPr>
          <w:rFonts w:ascii="Times New Roman" w:hAnsi="Times New Roman" w:cs="Times New Roman"/>
          <w:sz w:val="24"/>
          <w:szCs w:val="24"/>
          <w:lang w:val="en-US"/>
        </w:rPr>
        <w:t xml:space="preserve"> as covariate. The only new significant main effect was highlighted in </w:t>
      </w:r>
      <w:r>
        <w:rPr>
          <w:rFonts w:ascii="Times New Roman" w:hAnsi="Times New Roman" w:cs="Times New Roman"/>
          <w:sz w:val="24"/>
          <w:szCs w:val="24"/>
          <w:lang w:val="en-US"/>
        </w:rPr>
        <w:t>bold</w:t>
      </w:r>
      <w:r w:rsidRPr="004C77E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4C77E0" w:rsidRPr="004C77E0" w:rsidRDefault="004C77E0" w:rsidP="004C77E0">
      <w:pPr>
        <w:spacing w:after="0" w:line="480" w:lineRule="auto"/>
        <w:rPr>
          <w:lang w:val="en-US"/>
        </w:rPr>
      </w:pPr>
    </w:p>
    <w:p w:rsidR="004C77E0" w:rsidRPr="004C77E0" w:rsidRDefault="004C77E0" w:rsidP="004C77E0">
      <w:pPr>
        <w:tabs>
          <w:tab w:val="left" w:pos="3156"/>
        </w:tabs>
        <w:spacing w:after="0" w:line="480" w:lineRule="auto"/>
        <w:rPr>
          <w:lang w:val="en-US"/>
        </w:rPr>
      </w:pPr>
      <w:r w:rsidRPr="004C77E0">
        <w:rPr>
          <w:lang w:val="en-US"/>
        </w:rPr>
        <w:tab/>
      </w: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</w:p>
    <w:p w:rsidR="00C76CBA" w:rsidRDefault="00C76CBA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  <w:r w:rsidRPr="004C77E0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Supplementary Table </w:t>
      </w:r>
      <w:r w:rsidR="00C76CBA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D64DA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4C77E0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Significant statistical results obtained from MANCOVA analysis on the comparison of the FC values among the three groups</w:t>
      </w:r>
      <w:r w:rsidR="00D64DA4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</w:t>
      </w:r>
      <w:r w:rsidR="00D64DA4" w:rsidRPr="004C77E0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using SQ-Depression as covariate</w:t>
      </w:r>
      <w:r w:rsidRPr="004C77E0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.</w:t>
      </w:r>
    </w:p>
    <w:p w:rsidR="004C77E0" w:rsidRPr="004C77E0" w:rsidRDefault="004C77E0" w:rsidP="004C77E0">
      <w:pPr>
        <w:tabs>
          <w:tab w:val="left" w:pos="3156"/>
        </w:tabs>
        <w:spacing w:after="0" w:line="480" w:lineRule="auto"/>
        <w:rPr>
          <w:lang w:val="en-US"/>
        </w:rPr>
      </w:pPr>
    </w:p>
    <w:tbl>
      <w:tblPr>
        <w:tblStyle w:val="Grigliatabella"/>
        <w:tblpPr w:leftFromText="141" w:rightFromText="141" w:vertAnchor="page" w:horzAnchor="margin" w:tblpY="308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29"/>
        <w:gridCol w:w="516"/>
        <w:gridCol w:w="930"/>
        <w:gridCol w:w="2126"/>
        <w:gridCol w:w="1606"/>
      </w:tblGrid>
      <w:tr w:rsidR="004C77E0" w:rsidRPr="004C77E0" w:rsidTr="005D2539">
        <w:trPr>
          <w:trHeight w:val="420"/>
        </w:trPr>
        <w:tc>
          <w:tcPr>
            <w:tcW w:w="0" w:type="auto"/>
            <w:tcBorders>
              <w:bottom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FC 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 value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SSD-PD &lt; Controls 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SSD-PD &lt; PD</w:t>
            </w:r>
          </w:p>
        </w:tc>
      </w:tr>
      <w:tr w:rsidR="004C77E0" w:rsidRPr="004C77E0" w:rsidTr="005D2539">
        <w:trPr>
          <w:trHeight w:val="297"/>
        </w:trPr>
        <w:tc>
          <w:tcPr>
            <w:tcW w:w="0" w:type="auto"/>
            <w:tcBorders>
              <w:top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Between DMN areas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4C77E0" w:rsidRPr="004C77E0" w:rsidTr="005D2539">
        <w:trPr>
          <w:trHeight w:val="374"/>
        </w:trPr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PCC-RSFS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3.9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0.03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0.04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n.s</w:t>
            </w:r>
            <w:proofErr w:type="spellEnd"/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</w:tr>
      <w:tr w:rsidR="004C77E0" w:rsidRPr="004C77E0" w:rsidTr="004C77E0">
        <w:trPr>
          <w:trHeight w:val="346"/>
        </w:trPr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RIPL-RSFS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3.8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0.03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n.s</w:t>
            </w:r>
            <w:proofErr w:type="spellEnd"/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0.03</w:t>
            </w:r>
          </w:p>
        </w:tc>
      </w:tr>
      <w:tr w:rsidR="004C77E0" w:rsidRPr="004C77E0" w:rsidTr="004C77E0">
        <w:trPr>
          <w:trHeight w:val="346"/>
        </w:trPr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LIPL-LSFS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5.1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0.01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0.01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0.03</w:t>
            </w:r>
          </w:p>
        </w:tc>
      </w:tr>
      <w:tr w:rsidR="004C77E0" w:rsidRPr="004C77E0" w:rsidTr="004C77E0">
        <w:trPr>
          <w:trHeight w:val="346"/>
        </w:trPr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RLPC-LLPC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5.9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0.005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0.003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n.s</w:t>
            </w:r>
            <w:proofErr w:type="spellEnd"/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</w:tr>
      <w:tr w:rsidR="004C77E0" w:rsidRPr="004C77E0" w:rsidTr="004C77E0">
        <w:trPr>
          <w:trHeight w:val="346"/>
        </w:trPr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RLPC-LMFG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3.9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0.03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proofErr w:type="spellStart"/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n.s</w:t>
            </w:r>
            <w:proofErr w:type="spellEnd"/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0.03</w:t>
            </w:r>
          </w:p>
        </w:tc>
      </w:tr>
      <w:tr w:rsidR="004C77E0" w:rsidRPr="004C77E0" w:rsidTr="004C77E0">
        <w:trPr>
          <w:trHeight w:val="375"/>
        </w:trPr>
        <w:tc>
          <w:tcPr>
            <w:tcW w:w="0" w:type="auto"/>
            <w:tcBorders>
              <w:bottom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DMN-Salience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4C77E0" w:rsidRPr="004C77E0" w:rsidTr="004C77E0">
        <w:trPr>
          <w:trHeight w:val="411"/>
        </w:trPr>
        <w:tc>
          <w:tcPr>
            <w:tcW w:w="0" w:type="auto"/>
            <w:tcBorders>
              <w:top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PCC-ACC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3.6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0.04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n.s</w:t>
            </w:r>
            <w:proofErr w:type="spellEnd"/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0.04</w:t>
            </w:r>
          </w:p>
        </w:tc>
      </w:tr>
      <w:tr w:rsidR="004C77E0" w:rsidRPr="004C77E0" w:rsidTr="004C77E0">
        <w:trPr>
          <w:trHeight w:val="411"/>
        </w:trPr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RLPC-ACC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4.3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0.02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0.02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proofErr w:type="spellStart"/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n.s</w:t>
            </w:r>
            <w:proofErr w:type="spellEnd"/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</w:p>
        </w:tc>
      </w:tr>
      <w:tr w:rsidR="004C77E0" w:rsidRPr="004C77E0" w:rsidTr="004C77E0">
        <w:trPr>
          <w:trHeight w:val="411"/>
        </w:trPr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RLPC-RAI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3.3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0.04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proofErr w:type="spellStart"/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n.s</w:t>
            </w:r>
            <w:proofErr w:type="spellEnd"/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0.05</w:t>
            </w:r>
          </w:p>
        </w:tc>
      </w:tr>
      <w:tr w:rsidR="004C77E0" w:rsidRPr="004C77E0" w:rsidTr="004C77E0">
        <w:trPr>
          <w:trHeight w:val="411"/>
        </w:trPr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RLPC-LAI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3.8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0.03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0.05</w:t>
            </w:r>
          </w:p>
        </w:tc>
        <w:tc>
          <w:tcPr>
            <w:tcW w:w="0" w:type="auto"/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proofErr w:type="spellStart"/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n.s</w:t>
            </w:r>
            <w:proofErr w:type="spellEnd"/>
            <w:r w:rsidRPr="004C77E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</w:p>
        </w:tc>
      </w:tr>
      <w:tr w:rsidR="004C77E0" w:rsidRPr="004C77E0" w:rsidTr="004C77E0">
        <w:trPr>
          <w:trHeight w:val="411"/>
        </w:trPr>
        <w:tc>
          <w:tcPr>
            <w:tcW w:w="0" w:type="auto"/>
            <w:tcBorders>
              <w:bottom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RMFG-RAI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4.1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n.s</w:t>
            </w:r>
            <w:proofErr w:type="spellEnd"/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C77E0" w:rsidRPr="004C77E0" w:rsidRDefault="004C77E0" w:rsidP="004C77E0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7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0.03</w:t>
            </w:r>
          </w:p>
        </w:tc>
      </w:tr>
    </w:tbl>
    <w:p w:rsidR="004C77E0" w:rsidRPr="004C77E0" w:rsidRDefault="004C77E0" w:rsidP="004C77E0">
      <w:pPr>
        <w:tabs>
          <w:tab w:val="left" w:pos="3156"/>
        </w:tabs>
        <w:spacing w:after="0" w:line="480" w:lineRule="auto"/>
        <w:rPr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</w:p>
    <w:p w:rsidR="004C77E0" w:rsidRP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</w:p>
    <w:p w:rsidR="004C77E0" w:rsidRPr="004C77E0" w:rsidRDefault="004C77E0" w:rsidP="004C77E0">
      <w:pPr>
        <w:spacing w:after="0" w:line="480" w:lineRule="auto"/>
        <w:rPr>
          <w:lang w:val="en-US"/>
        </w:rPr>
      </w:pPr>
    </w:p>
    <w:p w:rsidR="004C77E0" w:rsidRPr="004C77E0" w:rsidRDefault="004C77E0" w:rsidP="004C77E0">
      <w:pPr>
        <w:tabs>
          <w:tab w:val="left" w:pos="3156"/>
        </w:tabs>
        <w:spacing w:after="0" w:line="480" w:lineRule="auto"/>
        <w:rPr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lang w:val="en-GB"/>
        </w:rPr>
      </w:pPr>
    </w:p>
    <w:p w:rsid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C77E0" w:rsidRDefault="004C77E0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C77E0" w:rsidRPr="004C77E0" w:rsidRDefault="004C77E0" w:rsidP="004C77E0">
      <w:pPr>
        <w:spacing w:after="0" w:line="480" w:lineRule="auto"/>
        <w:rPr>
          <w:lang w:val="en-GB"/>
        </w:rPr>
      </w:pPr>
      <w:r w:rsidRPr="004C77E0">
        <w:rPr>
          <w:rFonts w:ascii="Times New Roman" w:hAnsi="Times New Roman" w:cs="Times New Roman"/>
          <w:sz w:val="24"/>
          <w:szCs w:val="24"/>
          <w:lang w:val="en-US"/>
        </w:rPr>
        <w:t xml:space="preserve">The table shows that all the main effects except the FC between PCC and LSFS are retained using </w:t>
      </w:r>
      <w:r w:rsidRPr="004C77E0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SQ-Depression scores</w:t>
      </w:r>
      <w:r w:rsidRPr="004C77E0">
        <w:rPr>
          <w:rFonts w:ascii="Times New Roman" w:hAnsi="Times New Roman" w:cs="Times New Roman"/>
          <w:sz w:val="24"/>
          <w:szCs w:val="24"/>
          <w:lang w:val="en-US"/>
        </w:rPr>
        <w:t xml:space="preserve"> as covariate. The new significant main effects were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highlighted in bold</w:t>
      </w:r>
      <w:r w:rsidRPr="004C77E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4C77E0" w:rsidRPr="004C77E0" w:rsidRDefault="004C77E0" w:rsidP="004C77E0">
      <w:pPr>
        <w:spacing w:after="0" w:line="480" w:lineRule="auto"/>
        <w:rPr>
          <w:lang w:val="en-GB"/>
        </w:rPr>
      </w:pPr>
    </w:p>
    <w:p w:rsidR="00570DDF" w:rsidRPr="004C77E0" w:rsidRDefault="00570DDF" w:rsidP="004C77E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570DDF" w:rsidRPr="004C77E0" w:rsidSect="00630D67">
      <w:foot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1258" w:rsidRDefault="00A71258" w:rsidP="004C77E0">
      <w:pPr>
        <w:spacing w:after="0" w:line="240" w:lineRule="auto"/>
      </w:pPr>
      <w:r>
        <w:separator/>
      </w:r>
    </w:p>
  </w:endnote>
  <w:endnote w:type="continuationSeparator" w:id="0">
    <w:p w:rsidR="00A71258" w:rsidRDefault="00A71258" w:rsidP="004C77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19594188"/>
      <w:docPartObj>
        <w:docPartGallery w:val="Page Numbers (Bottom of Page)"/>
        <w:docPartUnique/>
      </w:docPartObj>
    </w:sdtPr>
    <w:sdtContent>
      <w:p w:rsidR="004C77E0" w:rsidRDefault="00A700B9">
        <w:pPr>
          <w:pStyle w:val="Pidipagina"/>
          <w:jc w:val="right"/>
        </w:pPr>
        <w:r>
          <w:rPr>
            <w:noProof/>
          </w:rPr>
          <w:fldChar w:fldCharType="begin"/>
        </w:r>
        <w:r w:rsidR="00D64DA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2E3D42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4C77E0" w:rsidRDefault="004C77E0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1258" w:rsidRDefault="00A71258" w:rsidP="004C77E0">
      <w:pPr>
        <w:spacing w:after="0" w:line="240" w:lineRule="auto"/>
      </w:pPr>
      <w:r>
        <w:separator/>
      </w:r>
    </w:p>
  </w:footnote>
  <w:footnote w:type="continuationSeparator" w:id="0">
    <w:p w:rsidR="00A71258" w:rsidRDefault="00A71258" w:rsidP="004C77E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70DDF"/>
    <w:rsid w:val="00015556"/>
    <w:rsid w:val="00025D6D"/>
    <w:rsid w:val="0016718E"/>
    <w:rsid w:val="002B0380"/>
    <w:rsid w:val="002E3D42"/>
    <w:rsid w:val="003E3ED6"/>
    <w:rsid w:val="00465129"/>
    <w:rsid w:val="004A4DAA"/>
    <w:rsid w:val="004C77E0"/>
    <w:rsid w:val="00570DDF"/>
    <w:rsid w:val="005D2539"/>
    <w:rsid w:val="00630D67"/>
    <w:rsid w:val="006B7AD7"/>
    <w:rsid w:val="00755159"/>
    <w:rsid w:val="009D5C2A"/>
    <w:rsid w:val="00A700B9"/>
    <w:rsid w:val="00A71258"/>
    <w:rsid w:val="00BD4EC8"/>
    <w:rsid w:val="00C5599A"/>
    <w:rsid w:val="00C76CBA"/>
    <w:rsid w:val="00D64DA4"/>
    <w:rsid w:val="00D82A83"/>
    <w:rsid w:val="00E127DA"/>
    <w:rsid w:val="00E427FB"/>
    <w:rsid w:val="00EF4537"/>
    <w:rsid w:val="00FD44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30D6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570DD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"/>
    <w:uiPriority w:val="99"/>
    <w:semiHidden/>
    <w:unhideWhenUsed/>
    <w:rsid w:val="004C77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4C77E0"/>
  </w:style>
  <w:style w:type="paragraph" w:styleId="Pidipagina">
    <w:name w:val="footer"/>
    <w:basedOn w:val="Normale"/>
    <w:link w:val="PidipaginaCarattere"/>
    <w:uiPriority w:val="99"/>
    <w:unhideWhenUsed/>
    <w:rsid w:val="004C77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C77E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749</Words>
  <Characters>4275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</cp:lastModifiedBy>
  <cp:revision>3</cp:revision>
  <dcterms:created xsi:type="dcterms:W3CDTF">2019-06-11T15:11:00Z</dcterms:created>
  <dcterms:modified xsi:type="dcterms:W3CDTF">2019-06-11T15:12:00Z</dcterms:modified>
</cp:coreProperties>
</file>