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947D8" w14:textId="7A741FA2" w:rsidR="00A6664B" w:rsidRPr="0034541A" w:rsidRDefault="0034541A" w:rsidP="007C0588">
      <w:pPr>
        <w:pStyle w:val="Normal1"/>
      </w:pPr>
      <w:r w:rsidRPr="0034541A">
        <w:t>Supplementary Material</w:t>
      </w:r>
    </w:p>
    <w:p w14:paraId="130087A3" w14:textId="1577C942" w:rsidR="00302F6B" w:rsidRPr="00275256" w:rsidRDefault="00275256" w:rsidP="00302F6B">
      <w:pPr>
        <w:pStyle w:val="Title1"/>
        <w:rPr>
          <w:sz w:val="32"/>
          <w:szCs w:val="18"/>
          <w:lang w:val="en-GB"/>
        </w:rPr>
      </w:pPr>
      <w:r w:rsidRPr="00275256">
        <w:rPr>
          <w:sz w:val="32"/>
          <w:szCs w:val="18"/>
          <w:lang w:val="en-GB"/>
        </w:rPr>
        <w:t>Tailored anti-biofilm activity – liposomal delivery for mimic of small antimicrobial peptide</w:t>
      </w:r>
    </w:p>
    <w:p w14:paraId="78B885BF" w14:textId="363A9886" w:rsidR="00B16130" w:rsidRPr="004863EA" w:rsidRDefault="00B16130" w:rsidP="00B16130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4863EA">
        <w:rPr>
          <w:rFonts w:ascii="Times New Roman" w:hAnsi="Times New Roman"/>
          <w:b/>
          <w:bCs/>
          <w:sz w:val="24"/>
          <w:szCs w:val="24"/>
        </w:rPr>
        <w:t xml:space="preserve">Lisa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Myrseth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Hemmingsen</w:t>
      </w:r>
      <w:r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a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, Barbara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Giordani</w:t>
      </w:r>
      <w:r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b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, Marianne H.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Paulsen</w:t>
      </w:r>
      <w:r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c,d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Željka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Vanić</w:t>
      </w:r>
      <w:r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e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Gøril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Eide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Flaten</w:t>
      </w:r>
      <w:r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a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, Beatrice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Vitali</w:t>
      </w:r>
      <w:r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b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Purusotam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Basnet</w:t>
      </w:r>
      <w:r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f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="00C30247" w:rsidRPr="004863EA">
        <w:rPr>
          <w:rFonts w:ascii="Times New Roman" w:hAnsi="Times New Roman"/>
          <w:b/>
          <w:bCs/>
          <w:sz w:val="24"/>
          <w:szCs w:val="24"/>
        </w:rPr>
        <w:t xml:space="preserve">Annette </w:t>
      </w:r>
      <w:proofErr w:type="spellStart"/>
      <w:r w:rsidR="00C30247" w:rsidRPr="004863EA">
        <w:rPr>
          <w:rFonts w:ascii="Times New Roman" w:hAnsi="Times New Roman"/>
          <w:b/>
          <w:bCs/>
          <w:sz w:val="24"/>
          <w:szCs w:val="24"/>
        </w:rPr>
        <w:t>Bayer</w:t>
      </w:r>
      <w:r w:rsidR="00C30247"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c</w:t>
      </w:r>
      <w:proofErr w:type="spellEnd"/>
      <w:r w:rsidR="00C30247" w:rsidRPr="004863E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4863EA">
        <w:rPr>
          <w:rFonts w:ascii="Times New Roman" w:hAnsi="Times New Roman"/>
          <w:b/>
          <w:bCs/>
          <w:sz w:val="24"/>
          <w:szCs w:val="24"/>
        </w:rPr>
        <w:t xml:space="preserve">Morten B.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Strøm</w:t>
      </w:r>
      <w:r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d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, and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Nataša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4863EA">
        <w:rPr>
          <w:rFonts w:ascii="Times New Roman" w:hAnsi="Times New Roman"/>
          <w:b/>
          <w:bCs/>
          <w:sz w:val="24"/>
          <w:szCs w:val="24"/>
        </w:rPr>
        <w:t>Škalko-Basnet</w:t>
      </w:r>
      <w:r w:rsidRPr="004863EA">
        <w:rPr>
          <w:rFonts w:ascii="Times New Roman" w:hAnsi="Times New Roman"/>
          <w:b/>
          <w:bCs/>
          <w:sz w:val="24"/>
          <w:szCs w:val="24"/>
          <w:vertAlign w:val="superscript"/>
        </w:rPr>
        <w:t>a</w:t>
      </w:r>
      <w:proofErr w:type="spellEnd"/>
      <w:r w:rsidRPr="004863EA">
        <w:rPr>
          <w:rFonts w:ascii="Times New Roman" w:hAnsi="Times New Roman"/>
          <w:b/>
          <w:bCs/>
          <w:sz w:val="24"/>
          <w:szCs w:val="24"/>
        </w:rPr>
        <w:t>*</w:t>
      </w:r>
    </w:p>
    <w:p w14:paraId="77711535" w14:textId="664952D0" w:rsidR="0034541A" w:rsidRDefault="0034541A" w:rsidP="008D747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067C26" w14:textId="7C5DB8EF" w:rsidR="001D4FAC" w:rsidRPr="00A8024A" w:rsidRDefault="001D4FAC" w:rsidP="008D7470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A8024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S1. </w:t>
      </w:r>
      <w:r w:rsidR="00E20F6B">
        <w:rPr>
          <w:rFonts w:ascii="Times New Roman" w:eastAsia="Times New Roman" w:hAnsi="Times New Roman" w:cs="Times New Roman"/>
          <w:b/>
          <w:bCs/>
          <w:sz w:val="28"/>
          <w:szCs w:val="28"/>
        </w:rPr>
        <w:t>S</w:t>
      </w:r>
      <w:r w:rsidR="000503E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upplementary methods </w:t>
      </w:r>
    </w:p>
    <w:p w14:paraId="47D59492" w14:textId="5C5C5CBB" w:rsidR="001D4FAC" w:rsidRPr="00A8024A" w:rsidRDefault="001D4FAC" w:rsidP="008D7470">
      <w:pPr>
        <w:spacing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8024A">
        <w:rPr>
          <w:rFonts w:ascii="Times New Roman" w:hAnsi="Times New Roman" w:cs="Times New Roman"/>
          <w:i/>
          <w:iCs/>
          <w:sz w:val="24"/>
          <w:szCs w:val="24"/>
        </w:rPr>
        <w:t xml:space="preserve">S1.1. </w:t>
      </w:r>
      <w:r w:rsidR="007E44EF">
        <w:rPr>
          <w:rFonts w:ascii="Times New Roman" w:hAnsi="Times New Roman" w:cs="Times New Roman"/>
          <w:i/>
          <w:iCs/>
          <w:sz w:val="24"/>
          <w:szCs w:val="24"/>
        </w:rPr>
        <w:t>7e-</w:t>
      </w:r>
      <w:r w:rsidR="00E20F6B">
        <w:rPr>
          <w:rFonts w:ascii="Times New Roman" w:hAnsi="Times New Roman" w:cs="Times New Roman"/>
          <w:i/>
          <w:iCs/>
          <w:sz w:val="24"/>
          <w:szCs w:val="24"/>
        </w:rPr>
        <w:t xml:space="preserve">SMAMP synthesis </w:t>
      </w:r>
    </w:p>
    <w:p w14:paraId="03CA588D" w14:textId="5CAD01F2" w:rsidR="00133B5F" w:rsidRDefault="00DC2EFB" w:rsidP="00815181">
      <w:pPr>
        <w:spacing w:line="360" w:lineRule="auto"/>
        <w:ind w:firstLine="20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First</w:t>
      </w:r>
      <w:r w:rsidR="00CD18C7">
        <w:rPr>
          <w:rFonts w:ascii="Times New Roman" w:hAnsi="Times New Roman" w:cs="Times New Roman"/>
          <w:sz w:val="24"/>
          <w:szCs w:val="24"/>
        </w:rPr>
        <w:t>ly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253F4A">
        <w:rPr>
          <w:rFonts w:ascii="Times New Roman" w:hAnsi="Times New Roman" w:cs="Times New Roman"/>
          <w:sz w:val="24"/>
          <w:szCs w:val="24"/>
        </w:rPr>
        <w:t>disubstituted ma</w:t>
      </w:r>
      <w:r w:rsidR="00AD62E8">
        <w:rPr>
          <w:rFonts w:ascii="Times New Roman" w:hAnsi="Times New Roman" w:cs="Times New Roman"/>
          <w:sz w:val="24"/>
          <w:szCs w:val="24"/>
        </w:rPr>
        <w:t>lonate (</w:t>
      </w:r>
      <w:r w:rsidR="00EC6F91">
        <w:rPr>
          <w:rFonts w:ascii="Times New Roman" w:hAnsi="Times New Roman" w:cs="Times New Roman"/>
          <w:sz w:val="24"/>
          <w:szCs w:val="24"/>
        </w:rPr>
        <w:t>d</w:t>
      </w:r>
      <w:r w:rsidR="00EC6F91" w:rsidRPr="00EC6F91">
        <w:rPr>
          <w:rFonts w:ascii="Times New Roman" w:hAnsi="Times New Roman" w:cs="Times New Roman"/>
          <w:sz w:val="24"/>
          <w:szCs w:val="24"/>
        </w:rPr>
        <w:t>iethyl 2</w:t>
      </w:r>
      <w:proofErr w:type="gramStart"/>
      <w:r w:rsidR="00EC6F91" w:rsidRPr="00EC6F91">
        <w:rPr>
          <w:rFonts w:ascii="Times New Roman" w:hAnsi="Times New Roman" w:cs="Times New Roman"/>
          <w:sz w:val="24"/>
          <w:szCs w:val="24"/>
        </w:rPr>
        <w:t>,2</w:t>
      </w:r>
      <w:proofErr w:type="gramEnd"/>
      <w:r w:rsidR="00EC6F91" w:rsidRPr="00EC6F91">
        <w:rPr>
          <w:rFonts w:ascii="Times New Roman" w:hAnsi="Times New Roman" w:cs="Times New Roman"/>
          <w:sz w:val="24"/>
          <w:szCs w:val="24"/>
        </w:rPr>
        <w:t>-</w:t>
      </w:r>
      <w:r w:rsidR="0068486B">
        <w:rPr>
          <w:rFonts w:ascii="Times New Roman" w:hAnsi="Times New Roman" w:cs="Times New Roman"/>
          <w:sz w:val="24"/>
          <w:szCs w:val="24"/>
        </w:rPr>
        <w:t>b</w:t>
      </w:r>
      <w:r w:rsidR="00EC6F91" w:rsidRPr="00EC6F91">
        <w:rPr>
          <w:rFonts w:ascii="Times New Roman" w:hAnsi="Times New Roman" w:cs="Times New Roman"/>
          <w:sz w:val="24"/>
          <w:szCs w:val="24"/>
        </w:rPr>
        <w:t>is(3,5-dibromobenzyl)malonate</w:t>
      </w:r>
      <w:r w:rsidR="00EC6F91">
        <w:rPr>
          <w:rFonts w:ascii="Times New Roman" w:hAnsi="Times New Roman" w:cs="Times New Roman"/>
          <w:sz w:val="24"/>
          <w:szCs w:val="24"/>
        </w:rPr>
        <w:t xml:space="preserve">)  was </w:t>
      </w:r>
      <w:r w:rsidR="00975C77" w:rsidRPr="00975C77">
        <w:rPr>
          <w:rFonts w:ascii="Times New Roman" w:hAnsi="Times New Roman" w:cs="Times New Roman"/>
          <w:sz w:val="24"/>
          <w:szCs w:val="24"/>
        </w:rPr>
        <w:t xml:space="preserve">synthesized </w:t>
      </w:r>
      <w:r w:rsidR="00681643">
        <w:rPr>
          <w:rFonts w:ascii="Times New Roman" w:hAnsi="Times New Roman" w:cs="Times New Roman"/>
          <w:sz w:val="24"/>
          <w:szCs w:val="24"/>
        </w:rPr>
        <w:t>by d</w:t>
      </w:r>
      <w:r w:rsidR="00D254FA">
        <w:rPr>
          <w:rFonts w:ascii="Times New Roman" w:hAnsi="Times New Roman" w:cs="Times New Roman"/>
          <w:sz w:val="24"/>
          <w:szCs w:val="24"/>
        </w:rPr>
        <w:t>i</w:t>
      </w:r>
      <w:r w:rsidR="00681643">
        <w:rPr>
          <w:rFonts w:ascii="Times New Roman" w:hAnsi="Times New Roman" w:cs="Times New Roman"/>
          <w:sz w:val="24"/>
          <w:szCs w:val="24"/>
        </w:rPr>
        <w:t xml:space="preserve">alkylation of </w:t>
      </w:r>
      <w:r w:rsidR="0041271D">
        <w:rPr>
          <w:rFonts w:ascii="Times New Roman" w:hAnsi="Times New Roman" w:cs="Times New Roman"/>
          <w:sz w:val="24"/>
          <w:szCs w:val="24"/>
        </w:rPr>
        <w:t>d</w:t>
      </w:r>
      <w:r w:rsidR="001D4FAC">
        <w:rPr>
          <w:rFonts w:ascii="Times New Roman" w:hAnsi="Times New Roman" w:cs="Times New Roman"/>
          <w:sz w:val="24"/>
          <w:szCs w:val="24"/>
        </w:rPr>
        <w:t>iethyl malonate</w:t>
      </w:r>
      <w:r w:rsidR="0041271D">
        <w:rPr>
          <w:rFonts w:ascii="Times New Roman" w:hAnsi="Times New Roman" w:cs="Times New Roman"/>
          <w:sz w:val="24"/>
          <w:szCs w:val="24"/>
        </w:rPr>
        <w:t xml:space="preserve"> with </w:t>
      </w:r>
      <w:r w:rsidR="0005525B" w:rsidRPr="0005525B">
        <w:rPr>
          <w:rFonts w:ascii="Times New Roman" w:hAnsi="Times New Roman" w:cs="Times New Roman"/>
          <w:sz w:val="24"/>
          <w:szCs w:val="24"/>
        </w:rPr>
        <w:t>1,3-dibromo-5(bromomethyl)benzene</w:t>
      </w:r>
      <w:r w:rsidR="00681643">
        <w:rPr>
          <w:rFonts w:ascii="Times New Roman" w:hAnsi="Times New Roman" w:cs="Times New Roman"/>
          <w:sz w:val="24"/>
          <w:szCs w:val="24"/>
        </w:rPr>
        <w:t xml:space="preserve">. </w:t>
      </w:r>
      <w:r w:rsidR="00C71B31">
        <w:rPr>
          <w:rFonts w:ascii="Times New Roman" w:hAnsi="Times New Roman" w:cs="Times New Roman"/>
          <w:sz w:val="24"/>
          <w:szCs w:val="24"/>
        </w:rPr>
        <w:t>Urea was then used for cycli</w:t>
      </w:r>
      <w:r w:rsidR="003D1C70">
        <w:rPr>
          <w:rFonts w:ascii="Times New Roman" w:hAnsi="Times New Roman" w:cs="Times New Roman"/>
          <w:sz w:val="24"/>
          <w:szCs w:val="24"/>
        </w:rPr>
        <w:t>z</w:t>
      </w:r>
      <w:r w:rsidR="00C71B31">
        <w:rPr>
          <w:rFonts w:ascii="Times New Roman" w:hAnsi="Times New Roman" w:cs="Times New Roman"/>
          <w:sz w:val="24"/>
          <w:szCs w:val="24"/>
        </w:rPr>
        <w:t>ation</w:t>
      </w:r>
      <w:r w:rsidR="003D1C70">
        <w:rPr>
          <w:rFonts w:ascii="Times New Roman" w:hAnsi="Times New Roman" w:cs="Times New Roman"/>
          <w:sz w:val="24"/>
          <w:szCs w:val="24"/>
        </w:rPr>
        <w:t xml:space="preserve"> of d</w:t>
      </w:r>
      <w:r w:rsidR="00653F0A" w:rsidRPr="00653F0A">
        <w:rPr>
          <w:rFonts w:ascii="Times New Roman" w:hAnsi="Times New Roman" w:cs="Times New Roman"/>
          <w:sz w:val="24"/>
          <w:szCs w:val="24"/>
        </w:rPr>
        <w:t>iethyl 2,2-</w:t>
      </w:r>
      <w:r w:rsidR="0068486B">
        <w:rPr>
          <w:rFonts w:ascii="Times New Roman" w:hAnsi="Times New Roman" w:cs="Times New Roman"/>
          <w:sz w:val="24"/>
          <w:szCs w:val="24"/>
        </w:rPr>
        <w:t>b</w:t>
      </w:r>
      <w:r w:rsidR="00653F0A" w:rsidRPr="00653F0A">
        <w:rPr>
          <w:rFonts w:ascii="Times New Roman" w:hAnsi="Times New Roman" w:cs="Times New Roman"/>
          <w:sz w:val="24"/>
          <w:szCs w:val="24"/>
        </w:rPr>
        <w:t>is(3,5-dibromobenzyl)malonate</w:t>
      </w:r>
      <w:r w:rsidR="00653F0A">
        <w:rPr>
          <w:rFonts w:ascii="Times New Roman" w:hAnsi="Times New Roman" w:cs="Times New Roman"/>
          <w:sz w:val="24"/>
          <w:szCs w:val="24"/>
        </w:rPr>
        <w:t xml:space="preserve"> </w:t>
      </w:r>
      <w:r w:rsidR="003D1C70">
        <w:rPr>
          <w:rFonts w:ascii="Times New Roman" w:hAnsi="Times New Roman" w:cs="Times New Roman"/>
          <w:sz w:val="24"/>
          <w:szCs w:val="24"/>
        </w:rPr>
        <w:t xml:space="preserve">yielding </w:t>
      </w:r>
      <w:r w:rsidR="0052784E" w:rsidRPr="0052784E">
        <w:rPr>
          <w:rFonts w:ascii="Times New Roman" w:hAnsi="Times New Roman" w:cs="Times New Roman"/>
          <w:sz w:val="24"/>
          <w:szCs w:val="24"/>
        </w:rPr>
        <w:t>5,5-</w:t>
      </w:r>
      <w:r w:rsidR="0068486B">
        <w:rPr>
          <w:rFonts w:ascii="Times New Roman" w:hAnsi="Times New Roman" w:cs="Times New Roman"/>
          <w:sz w:val="24"/>
          <w:szCs w:val="24"/>
        </w:rPr>
        <w:t>b</w:t>
      </w:r>
      <w:r w:rsidR="0052784E" w:rsidRPr="0052784E">
        <w:rPr>
          <w:rFonts w:ascii="Times New Roman" w:hAnsi="Times New Roman" w:cs="Times New Roman"/>
          <w:sz w:val="24"/>
          <w:szCs w:val="24"/>
        </w:rPr>
        <w:t>is(3,5-dibromobenzyl)pyrimidine-2,4,6-(1H,3H,5H)-</w:t>
      </w:r>
      <w:proofErr w:type="spellStart"/>
      <w:r w:rsidR="0052784E" w:rsidRPr="0052784E">
        <w:rPr>
          <w:rFonts w:ascii="Times New Roman" w:hAnsi="Times New Roman" w:cs="Times New Roman"/>
          <w:sz w:val="24"/>
          <w:szCs w:val="24"/>
        </w:rPr>
        <w:t>trione</w:t>
      </w:r>
      <w:proofErr w:type="spellEnd"/>
      <w:r w:rsidR="0052784E">
        <w:rPr>
          <w:rFonts w:ascii="Times New Roman" w:hAnsi="Times New Roman" w:cs="Times New Roman"/>
          <w:sz w:val="24"/>
          <w:szCs w:val="24"/>
        </w:rPr>
        <w:t xml:space="preserve">. </w:t>
      </w:r>
      <w:r w:rsidR="008F333E" w:rsidRPr="008F333E">
        <w:rPr>
          <w:rFonts w:ascii="Times New Roman" w:hAnsi="Times New Roman" w:cs="Times New Roman"/>
          <w:sz w:val="24"/>
          <w:szCs w:val="24"/>
        </w:rPr>
        <w:t>1,4-dibromobutane</w:t>
      </w:r>
      <w:r w:rsidR="008F333E">
        <w:rPr>
          <w:rFonts w:ascii="Times New Roman" w:hAnsi="Times New Roman" w:cs="Times New Roman"/>
          <w:sz w:val="24"/>
          <w:szCs w:val="24"/>
        </w:rPr>
        <w:t xml:space="preserve"> was used for </w:t>
      </w:r>
      <w:r w:rsidR="008F333E" w:rsidRPr="004015C3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8F333E">
        <w:rPr>
          <w:rFonts w:ascii="Times New Roman" w:hAnsi="Times New Roman" w:cs="Times New Roman"/>
          <w:sz w:val="24"/>
          <w:szCs w:val="24"/>
        </w:rPr>
        <w:t>-</w:t>
      </w:r>
      <w:r w:rsidR="004015C3">
        <w:rPr>
          <w:rFonts w:ascii="Times New Roman" w:hAnsi="Times New Roman" w:cs="Times New Roman"/>
          <w:sz w:val="24"/>
          <w:szCs w:val="24"/>
        </w:rPr>
        <w:t>alkylation</w:t>
      </w:r>
      <w:r w:rsidR="003E29AC">
        <w:rPr>
          <w:rFonts w:ascii="Times New Roman" w:hAnsi="Times New Roman" w:cs="Times New Roman"/>
          <w:sz w:val="24"/>
          <w:szCs w:val="24"/>
        </w:rPr>
        <w:t xml:space="preserve"> </w:t>
      </w:r>
      <w:r w:rsidR="003E4274">
        <w:rPr>
          <w:rFonts w:ascii="Times New Roman" w:hAnsi="Times New Roman" w:cs="Times New Roman"/>
          <w:sz w:val="24"/>
          <w:szCs w:val="24"/>
        </w:rPr>
        <w:t xml:space="preserve">under </w:t>
      </w:r>
      <w:r w:rsidR="000C3539">
        <w:rPr>
          <w:rFonts w:ascii="Times New Roman" w:hAnsi="Times New Roman" w:cs="Times New Roman"/>
          <w:sz w:val="24"/>
          <w:szCs w:val="24"/>
        </w:rPr>
        <w:t xml:space="preserve">basic conditions </w:t>
      </w:r>
      <w:r w:rsidR="003E29AC">
        <w:rPr>
          <w:rFonts w:ascii="Times New Roman" w:hAnsi="Times New Roman" w:cs="Times New Roman"/>
          <w:sz w:val="24"/>
          <w:szCs w:val="24"/>
        </w:rPr>
        <w:t xml:space="preserve">followed by </w:t>
      </w:r>
      <w:r w:rsidR="002572E8">
        <w:rPr>
          <w:rFonts w:ascii="Times New Roman" w:hAnsi="Times New Roman" w:cs="Times New Roman"/>
          <w:sz w:val="24"/>
          <w:szCs w:val="24"/>
        </w:rPr>
        <w:t xml:space="preserve">bromine substitution with </w:t>
      </w:r>
      <w:proofErr w:type="spellStart"/>
      <w:r w:rsidR="002572E8">
        <w:rPr>
          <w:rFonts w:ascii="Times New Roman" w:hAnsi="Times New Roman" w:cs="Times New Roman"/>
          <w:sz w:val="24"/>
          <w:szCs w:val="24"/>
        </w:rPr>
        <w:t>azide</w:t>
      </w:r>
      <w:proofErr w:type="spellEnd"/>
      <w:r w:rsidR="002572E8">
        <w:rPr>
          <w:rFonts w:ascii="Times New Roman" w:hAnsi="Times New Roman" w:cs="Times New Roman"/>
          <w:sz w:val="24"/>
          <w:szCs w:val="24"/>
        </w:rPr>
        <w:t xml:space="preserve"> to </w:t>
      </w:r>
      <w:r w:rsidR="009601C6">
        <w:rPr>
          <w:rFonts w:ascii="Times New Roman" w:hAnsi="Times New Roman" w:cs="Times New Roman"/>
          <w:sz w:val="24"/>
          <w:szCs w:val="24"/>
        </w:rPr>
        <w:t xml:space="preserve">produce </w:t>
      </w:r>
      <w:r w:rsidR="006522EE" w:rsidRPr="006522EE">
        <w:rPr>
          <w:rFonts w:ascii="Times New Roman" w:hAnsi="Times New Roman" w:cs="Times New Roman"/>
          <w:sz w:val="24"/>
          <w:szCs w:val="24"/>
        </w:rPr>
        <w:t>1,3-</w:t>
      </w:r>
      <w:r w:rsidR="0068486B">
        <w:rPr>
          <w:rFonts w:ascii="Times New Roman" w:hAnsi="Times New Roman" w:cs="Times New Roman"/>
          <w:sz w:val="24"/>
          <w:szCs w:val="24"/>
        </w:rPr>
        <w:t>b</w:t>
      </w:r>
      <w:r w:rsidR="006522EE" w:rsidRPr="006522EE">
        <w:rPr>
          <w:rFonts w:ascii="Times New Roman" w:hAnsi="Times New Roman" w:cs="Times New Roman"/>
          <w:sz w:val="24"/>
          <w:szCs w:val="24"/>
        </w:rPr>
        <w:t>is(4-azidobutyl)-5,5-bis(3,5-dibromobenzyl)pyrimidine</w:t>
      </w:r>
      <w:r w:rsidR="00805E1E">
        <w:rPr>
          <w:rFonts w:ascii="Times New Roman" w:hAnsi="Times New Roman" w:cs="Times New Roman"/>
          <w:sz w:val="24"/>
          <w:szCs w:val="24"/>
        </w:rPr>
        <w:t>-</w:t>
      </w:r>
      <w:r w:rsidR="006522EE" w:rsidRPr="006522EE">
        <w:rPr>
          <w:rFonts w:ascii="Times New Roman" w:hAnsi="Times New Roman" w:cs="Times New Roman"/>
          <w:sz w:val="24"/>
          <w:szCs w:val="24"/>
        </w:rPr>
        <w:t>2,4,6-(1H,3H,5H)-trione</w:t>
      </w:r>
      <w:r w:rsidR="006522EE">
        <w:rPr>
          <w:rFonts w:ascii="Times New Roman" w:hAnsi="Times New Roman" w:cs="Times New Roman"/>
          <w:sz w:val="24"/>
          <w:szCs w:val="24"/>
        </w:rPr>
        <w:t>.</w:t>
      </w:r>
      <w:r w:rsidR="00B934C8">
        <w:rPr>
          <w:rFonts w:ascii="Times New Roman" w:hAnsi="Times New Roman" w:cs="Times New Roman"/>
          <w:sz w:val="24"/>
          <w:szCs w:val="24"/>
        </w:rPr>
        <w:t xml:space="preserve"> </w:t>
      </w:r>
      <w:r w:rsidR="00AE1CCD">
        <w:rPr>
          <w:rFonts w:ascii="Times New Roman" w:hAnsi="Times New Roman" w:cs="Times New Roman"/>
          <w:sz w:val="24"/>
          <w:szCs w:val="24"/>
          <w:lang w:val="en-US"/>
        </w:rPr>
        <w:t xml:space="preserve">Finally, </w:t>
      </w:r>
      <w:proofErr w:type="spellStart"/>
      <w:r w:rsidR="00AE1CCD">
        <w:rPr>
          <w:rFonts w:ascii="Times New Roman" w:hAnsi="Times New Roman" w:cs="Times New Roman"/>
          <w:sz w:val="24"/>
          <w:szCs w:val="24"/>
          <w:lang w:val="en-US"/>
        </w:rPr>
        <w:t>azide</w:t>
      </w:r>
      <w:proofErr w:type="spellEnd"/>
      <w:r w:rsidR="00AE1C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E1CCD" w:rsidRPr="007F7AF0">
        <w:rPr>
          <w:rFonts w:ascii="Times New Roman" w:hAnsi="Times New Roman" w:cs="Times New Roman"/>
          <w:sz w:val="24"/>
          <w:szCs w:val="24"/>
          <w:lang w:val="en-US"/>
        </w:rPr>
        <w:t>reduction to amine using 1,3-propanedithiol and sodium</w:t>
      </w:r>
      <w:r w:rsidR="00AE1CCD">
        <w:rPr>
          <w:rFonts w:ascii="Times New Roman" w:hAnsi="Times New Roman" w:cs="Times New Roman"/>
          <w:sz w:val="24"/>
          <w:szCs w:val="24"/>
          <w:lang w:val="en-US"/>
        </w:rPr>
        <w:t xml:space="preserve"> borohydride was performed prior to </w:t>
      </w:r>
      <w:proofErr w:type="spellStart"/>
      <w:r w:rsidR="00AE1CCD">
        <w:rPr>
          <w:rFonts w:ascii="Times New Roman" w:hAnsi="Times New Roman" w:cs="Times New Roman"/>
          <w:sz w:val="24"/>
          <w:szCs w:val="24"/>
          <w:lang w:val="en-US"/>
        </w:rPr>
        <w:t>guanidinylation</w:t>
      </w:r>
      <w:proofErr w:type="spellEnd"/>
      <w:r w:rsidR="00AE1CCD">
        <w:rPr>
          <w:rFonts w:ascii="Times New Roman" w:hAnsi="Times New Roman" w:cs="Times New Roman"/>
          <w:sz w:val="24"/>
          <w:szCs w:val="24"/>
          <w:lang w:val="en-US"/>
        </w:rPr>
        <w:t xml:space="preserve"> to the </w:t>
      </w:r>
      <w:proofErr w:type="spellStart"/>
      <w:r w:rsidR="00AE1CCD">
        <w:rPr>
          <w:rFonts w:ascii="Times New Roman" w:hAnsi="Times New Roman" w:cs="Times New Roman"/>
          <w:sz w:val="24"/>
          <w:szCs w:val="24"/>
          <w:lang w:val="en-US"/>
        </w:rPr>
        <w:t>guanylated</w:t>
      </w:r>
      <w:proofErr w:type="spellEnd"/>
      <w:r w:rsidR="00AE1CCD">
        <w:rPr>
          <w:rFonts w:ascii="Times New Roman" w:hAnsi="Times New Roman" w:cs="Times New Roman"/>
          <w:sz w:val="24"/>
          <w:szCs w:val="24"/>
          <w:lang w:val="en-US"/>
        </w:rPr>
        <w:t xml:space="preserve"> barbiturate 1,1′-((5,5-</w:t>
      </w:r>
      <w:r w:rsidR="003F02DF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AE1CCD">
        <w:rPr>
          <w:rFonts w:ascii="Times New Roman" w:hAnsi="Times New Roman" w:cs="Times New Roman"/>
          <w:sz w:val="24"/>
          <w:szCs w:val="24"/>
          <w:lang w:val="en-US"/>
        </w:rPr>
        <w:t>is(3,5-dibromobenzyl)-2,4,6-trioxodihydropyrimidine1,3(2H,4H)-diyl)bis(butane-4,1-diyl))diguanidine (7e-SMAMP)</w:t>
      </w:r>
      <w:r w:rsidR="005535E4">
        <w:rPr>
          <w:rFonts w:ascii="Times New Roman" w:hAnsi="Times New Roman" w:cs="Times New Roman"/>
          <w:sz w:val="24"/>
          <w:szCs w:val="24"/>
        </w:rPr>
        <w:t xml:space="preserve"> </w:t>
      </w:r>
      <w:r w:rsidR="005535E4" w:rsidRPr="00A87A36">
        <w:rPr>
          <w:rFonts w:ascii="Times New Roman" w:hAnsi="Times New Roman" w:cs="Times New Roman"/>
          <w:sz w:val="24"/>
          <w:szCs w:val="24"/>
        </w:rPr>
        <w:t>[15].</w:t>
      </w:r>
      <w:r w:rsidR="005535E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ABAF03" w14:textId="2A07AED1" w:rsidR="0034541A" w:rsidRDefault="00215092" w:rsidP="008D747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5C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E3F9AF" w14:textId="359D1648" w:rsidR="00133B5F" w:rsidRPr="007E6A46" w:rsidRDefault="003D492C" w:rsidP="00133B5F">
      <w:pPr>
        <w:pStyle w:val="Head2"/>
        <w:rPr>
          <w:lang w:val="en-GB"/>
        </w:rPr>
      </w:pPr>
      <w:r>
        <w:rPr>
          <w:lang w:val="en-GB"/>
        </w:rPr>
        <w:t>S1</w:t>
      </w:r>
      <w:r w:rsidR="00133B5F" w:rsidRPr="007E6A46">
        <w:rPr>
          <w:lang w:val="en-GB"/>
        </w:rPr>
        <w:t>.</w:t>
      </w:r>
      <w:r>
        <w:rPr>
          <w:lang w:val="en-GB"/>
        </w:rPr>
        <w:t>2</w:t>
      </w:r>
      <w:r w:rsidR="00133B5F" w:rsidRPr="007E6A46">
        <w:rPr>
          <w:lang w:val="en-GB"/>
        </w:rPr>
        <w:t xml:space="preserve">. UV-VIS </w:t>
      </w:r>
      <w:r w:rsidR="000503EE">
        <w:rPr>
          <w:lang w:val="en-GB"/>
        </w:rPr>
        <w:t>s</w:t>
      </w:r>
      <w:r w:rsidR="00133B5F" w:rsidRPr="007E6A46">
        <w:rPr>
          <w:lang w:val="en-GB"/>
        </w:rPr>
        <w:t xml:space="preserve">can </w:t>
      </w:r>
      <w:r w:rsidR="000503EE">
        <w:rPr>
          <w:lang w:val="en-GB"/>
        </w:rPr>
        <w:t>a</w:t>
      </w:r>
      <w:r w:rsidR="00133B5F" w:rsidRPr="007E6A46">
        <w:rPr>
          <w:lang w:val="en-GB"/>
        </w:rPr>
        <w:t>nalysis</w:t>
      </w:r>
    </w:p>
    <w:p w14:paraId="5CEE9A52" w14:textId="3B421B06" w:rsidR="00133B5F" w:rsidRDefault="00133B5F" w:rsidP="00133B5F">
      <w:pPr>
        <w:pStyle w:val="Normal1"/>
        <w:ind w:firstLine="202"/>
        <w:rPr>
          <w:szCs w:val="24"/>
          <w:lang w:val="en-GB"/>
        </w:rPr>
      </w:pPr>
      <w:r w:rsidRPr="007E6A46">
        <w:rPr>
          <w:lang w:val="en-GB"/>
        </w:rPr>
        <w:t xml:space="preserve">Stock solutions of </w:t>
      </w:r>
      <w:r>
        <w:rPr>
          <w:lang w:val="en-GB"/>
        </w:rPr>
        <w:t>7e-SMAMP</w:t>
      </w:r>
      <w:r w:rsidRPr="007E6A46">
        <w:rPr>
          <w:lang w:val="en-GB"/>
        </w:rPr>
        <w:t xml:space="preserve"> (100 </w:t>
      </w:r>
      <w:r w:rsidRPr="007E6A46">
        <w:rPr>
          <w:rFonts w:ascii="Calibri" w:hAnsi="Calibri" w:cs="Calibri"/>
          <w:lang w:val="en-GB"/>
        </w:rPr>
        <w:t>µ</w:t>
      </w:r>
      <w:r w:rsidRPr="007E6A46">
        <w:rPr>
          <w:lang w:val="en-GB"/>
        </w:rPr>
        <w:t xml:space="preserve">M) were prepared in 1% (v/v) glycerol in </w:t>
      </w:r>
      <w:proofErr w:type="spellStart"/>
      <w:r w:rsidRPr="007E6A46">
        <w:rPr>
          <w:lang w:val="en-GB"/>
        </w:rPr>
        <w:t>milli</w:t>
      </w:r>
      <w:proofErr w:type="spellEnd"/>
      <w:r w:rsidRPr="007E6A46">
        <w:rPr>
          <w:lang w:val="en-GB"/>
        </w:rPr>
        <w:t>-Q water (</w:t>
      </w:r>
      <w:proofErr w:type="spellStart"/>
      <w:r w:rsidRPr="007E6A46">
        <w:rPr>
          <w:lang w:val="en-GB"/>
        </w:rPr>
        <w:t>mQ</w:t>
      </w:r>
      <w:proofErr w:type="spellEnd"/>
      <w:r w:rsidRPr="007E6A46">
        <w:rPr>
          <w:lang w:val="en-GB"/>
        </w:rPr>
        <w:t>) and stirred mechanically overnight at room temperature (2</w:t>
      </w:r>
      <w:r w:rsidR="0068486B">
        <w:rPr>
          <w:lang w:val="en-GB"/>
        </w:rPr>
        <w:t>1</w:t>
      </w:r>
      <w:r w:rsidRPr="007E6A46">
        <w:rPr>
          <w:lang w:val="en-GB"/>
        </w:rPr>
        <w:t xml:space="preserve"> ± 1°C). These stock solutions were diluted to 10, 25</w:t>
      </w:r>
      <w:r w:rsidR="004B7F97">
        <w:rPr>
          <w:lang w:val="en-GB"/>
        </w:rPr>
        <w:t>,</w:t>
      </w:r>
      <w:r w:rsidRPr="007E6A46">
        <w:rPr>
          <w:lang w:val="en-GB"/>
        </w:rPr>
        <w:t xml:space="preserve"> and 50 µM in </w:t>
      </w:r>
      <w:proofErr w:type="spellStart"/>
      <w:r w:rsidRPr="007E6A46">
        <w:rPr>
          <w:lang w:val="en-GB"/>
        </w:rPr>
        <w:t>mQ</w:t>
      </w:r>
      <w:proofErr w:type="spellEnd"/>
      <w:r w:rsidRPr="007E6A46">
        <w:rPr>
          <w:lang w:val="en-GB"/>
        </w:rPr>
        <w:t xml:space="preserve"> and scanned using absorbance scan (200-</w:t>
      </w:r>
      <w:r w:rsidRPr="00284486">
        <w:rPr>
          <w:lang w:val="en-GB"/>
        </w:rPr>
        <w:t>800</w:t>
      </w:r>
      <w:r w:rsidRPr="007E6A46">
        <w:rPr>
          <w:lang w:val="en-GB"/>
        </w:rPr>
        <w:t xml:space="preserve"> nm) on a UV–VIS plate reader (</w:t>
      </w:r>
      <w:proofErr w:type="spellStart"/>
      <w:r w:rsidRPr="007E6A46">
        <w:rPr>
          <w:lang w:val="en-GB"/>
        </w:rPr>
        <w:t>Tecan</w:t>
      </w:r>
      <w:proofErr w:type="spellEnd"/>
      <w:r w:rsidRPr="007E6A46">
        <w:rPr>
          <w:lang w:val="en-GB"/>
        </w:rPr>
        <w:t xml:space="preserve"> Trading AG, </w:t>
      </w:r>
      <w:proofErr w:type="spellStart"/>
      <w:r w:rsidRPr="007E6A46">
        <w:rPr>
          <w:lang w:val="en-GB"/>
        </w:rPr>
        <w:t>Männedorf</w:t>
      </w:r>
      <w:proofErr w:type="spellEnd"/>
      <w:r w:rsidRPr="007E6A46">
        <w:rPr>
          <w:lang w:val="en-GB"/>
        </w:rPr>
        <w:t xml:space="preserve">, Switzerland) together with the stock solution (100 </w:t>
      </w:r>
      <w:r w:rsidRPr="007E6A46">
        <w:rPr>
          <w:rFonts w:ascii="Calibri" w:hAnsi="Calibri" w:cs="Calibri"/>
          <w:lang w:val="en-GB"/>
        </w:rPr>
        <w:t>µ</w:t>
      </w:r>
      <w:r w:rsidRPr="007E6A46">
        <w:rPr>
          <w:lang w:val="en-GB"/>
        </w:rPr>
        <w:t>M)</w:t>
      </w:r>
      <w:r w:rsidR="003D492C">
        <w:rPr>
          <w:lang w:val="en-GB"/>
        </w:rPr>
        <w:t xml:space="preserve"> </w:t>
      </w:r>
      <w:r w:rsidR="003D492C" w:rsidRPr="00284486">
        <w:rPr>
          <w:lang w:val="en-GB"/>
        </w:rPr>
        <w:t>[2</w:t>
      </w:r>
      <w:r w:rsidR="00D13589">
        <w:rPr>
          <w:lang w:val="en-GB"/>
        </w:rPr>
        <w:t>7</w:t>
      </w:r>
      <w:r w:rsidR="003D492C" w:rsidRPr="00284486">
        <w:rPr>
          <w:lang w:val="en-GB"/>
        </w:rPr>
        <w:t>].</w:t>
      </w:r>
      <w:r>
        <w:rPr>
          <w:lang w:val="en-GB"/>
        </w:rPr>
        <w:t xml:space="preserve"> </w:t>
      </w:r>
      <w:r w:rsidRPr="007E6A46">
        <w:rPr>
          <w:szCs w:val="24"/>
          <w:lang w:val="en-GB"/>
        </w:rPr>
        <w:t xml:space="preserve">All </w:t>
      </w:r>
      <w:r>
        <w:rPr>
          <w:szCs w:val="24"/>
          <w:lang w:val="en-GB"/>
        </w:rPr>
        <w:t>solutions</w:t>
      </w:r>
      <w:r w:rsidRPr="007E6A46">
        <w:rPr>
          <w:szCs w:val="24"/>
          <w:lang w:val="en-GB"/>
        </w:rPr>
        <w:t xml:space="preserve"> were stored for 7 days at 4, 25</w:t>
      </w:r>
      <w:r w:rsidR="004B7F97">
        <w:rPr>
          <w:szCs w:val="24"/>
          <w:lang w:val="en-GB"/>
        </w:rPr>
        <w:t>,</w:t>
      </w:r>
      <w:r w:rsidRPr="007E6A46">
        <w:rPr>
          <w:szCs w:val="24"/>
          <w:lang w:val="en-GB"/>
        </w:rPr>
        <w:t xml:space="preserve"> </w:t>
      </w:r>
      <w:r>
        <w:rPr>
          <w:szCs w:val="24"/>
          <w:lang w:val="en-GB"/>
        </w:rPr>
        <w:t>or</w:t>
      </w:r>
      <w:r w:rsidRPr="007E6A46">
        <w:rPr>
          <w:szCs w:val="24"/>
          <w:lang w:val="en-GB"/>
        </w:rPr>
        <w:t xml:space="preserve"> 32 °C. UV-VIS analysis was performed at preparation and after 1- and 7-days storage.</w:t>
      </w:r>
    </w:p>
    <w:p w14:paraId="616A39C7" w14:textId="43378493" w:rsidR="009336ED" w:rsidRDefault="009336ED" w:rsidP="00133B5F">
      <w:pPr>
        <w:pStyle w:val="Normal1"/>
        <w:ind w:firstLine="202"/>
        <w:rPr>
          <w:szCs w:val="24"/>
          <w:lang w:val="en-GB"/>
        </w:rPr>
      </w:pPr>
    </w:p>
    <w:p w14:paraId="617D90DA" w14:textId="715081AA" w:rsidR="009336ED" w:rsidRPr="007E6A46" w:rsidRDefault="009336ED" w:rsidP="009336ED">
      <w:pPr>
        <w:pStyle w:val="Head2"/>
        <w:rPr>
          <w:lang w:val="en-GB"/>
        </w:rPr>
      </w:pPr>
      <w:r>
        <w:rPr>
          <w:lang w:val="en-GB"/>
        </w:rPr>
        <w:t>S1</w:t>
      </w:r>
      <w:r w:rsidRPr="007E6A46">
        <w:rPr>
          <w:lang w:val="en-GB"/>
        </w:rPr>
        <w:t>.</w:t>
      </w:r>
      <w:r>
        <w:rPr>
          <w:lang w:val="en-GB"/>
        </w:rPr>
        <w:t>3</w:t>
      </w:r>
      <w:r w:rsidRPr="007E6A46">
        <w:rPr>
          <w:lang w:val="en-GB"/>
        </w:rPr>
        <w:t xml:space="preserve">. Liposome </w:t>
      </w:r>
      <w:r w:rsidR="000503EE">
        <w:rPr>
          <w:lang w:val="en-GB"/>
        </w:rPr>
        <w:t>s</w:t>
      </w:r>
      <w:r w:rsidRPr="007E6A46">
        <w:rPr>
          <w:lang w:val="en-GB"/>
        </w:rPr>
        <w:t>tability</w:t>
      </w:r>
    </w:p>
    <w:p w14:paraId="292AE12D" w14:textId="47BF2885" w:rsidR="009336ED" w:rsidRPr="007E6A46" w:rsidRDefault="009336ED" w:rsidP="009336ED">
      <w:pPr>
        <w:pStyle w:val="Normal1"/>
        <w:ind w:firstLine="202"/>
        <w:rPr>
          <w:lang w:val="en-GB"/>
        </w:rPr>
      </w:pPr>
      <w:r w:rsidRPr="007E6A46">
        <w:rPr>
          <w:lang w:val="en-GB"/>
        </w:rPr>
        <w:t xml:space="preserve">The </w:t>
      </w:r>
      <w:r w:rsidRPr="00CA2851">
        <w:rPr>
          <w:lang w:val="en-GB"/>
        </w:rPr>
        <w:t>liposomes were evaluated for a period of 12 weeks (2, 4</w:t>
      </w:r>
      <w:r w:rsidR="00D13589" w:rsidRPr="00CA2851">
        <w:rPr>
          <w:lang w:val="en-GB"/>
        </w:rPr>
        <w:t>,</w:t>
      </w:r>
      <w:r w:rsidRPr="00CA2851">
        <w:rPr>
          <w:lang w:val="en-GB"/>
        </w:rPr>
        <w:t xml:space="preserve"> and 12 weeks, 4 </w:t>
      </w:r>
      <w:r w:rsidRPr="00CA2851">
        <w:rPr>
          <w:rFonts w:cs="Times"/>
          <w:lang w:val="en-GB"/>
        </w:rPr>
        <w:t>°</w:t>
      </w:r>
      <w:r w:rsidRPr="00CA2851">
        <w:rPr>
          <w:lang w:val="en-GB"/>
        </w:rPr>
        <w:t xml:space="preserve">C) for </w:t>
      </w:r>
      <w:r w:rsidR="005F2E42" w:rsidRPr="00CA2851">
        <w:rPr>
          <w:lang w:val="en-GB"/>
        </w:rPr>
        <w:t xml:space="preserve">confirmation </w:t>
      </w:r>
      <w:r w:rsidRPr="00CA2851">
        <w:rPr>
          <w:lang w:val="en-GB"/>
        </w:rPr>
        <w:t>of the stability. The evaluated parameters were the size, PI, zeta potential, pH</w:t>
      </w:r>
      <w:r w:rsidR="00381BBD" w:rsidRPr="00CA2851">
        <w:rPr>
          <w:lang w:val="en-GB"/>
        </w:rPr>
        <w:t>,</w:t>
      </w:r>
      <w:r w:rsidRPr="00CA2851">
        <w:rPr>
          <w:lang w:val="en-GB"/>
        </w:rPr>
        <w:t xml:space="preserve"> and entrapment effi</w:t>
      </w:r>
      <w:r w:rsidRPr="007E6A46">
        <w:rPr>
          <w:lang w:val="en-GB"/>
        </w:rPr>
        <w:t>ciency as described in the section 2.</w:t>
      </w:r>
      <w:r>
        <w:rPr>
          <w:lang w:val="en-GB"/>
        </w:rPr>
        <w:t>5</w:t>
      </w:r>
      <w:r w:rsidRPr="007E6A46">
        <w:rPr>
          <w:lang w:val="en-GB"/>
        </w:rPr>
        <w:t>.</w:t>
      </w:r>
    </w:p>
    <w:p w14:paraId="43E5C9DA" w14:textId="77777777" w:rsidR="009336ED" w:rsidRPr="007E6A46" w:rsidRDefault="009336ED" w:rsidP="00133B5F">
      <w:pPr>
        <w:pStyle w:val="Normal1"/>
        <w:ind w:firstLine="202"/>
        <w:rPr>
          <w:lang w:val="en-GB"/>
        </w:rPr>
      </w:pPr>
    </w:p>
    <w:p w14:paraId="2F114428" w14:textId="22510C1A" w:rsidR="00DA287B" w:rsidRPr="00A8024A" w:rsidRDefault="00DA287B" w:rsidP="00DA287B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A8024A">
        <w:rPr>
          <w:rFonts w:ascii="Times New Roman" w:eastAsia="Times New Roman" w:hAnsi="Times New Roman" w:cs="Times New Roman"/>
          <w:b/>
          <w:bCs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</w:t>
      </w:r>
      <w:r w:rsidRPr="00A8024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S</w:t>
      </w:r>
      <w:r w:rsidR="008F3CB6">
        <w:rPr>
          <w:rFonts w:ascii="Times New Roman" w:eastAsia="Times New Roman" w:hAnsi="Times New Roman" w:cs="Times New Roman"/>
          <w:b/>
          <w:bCs/>
          <w:sz w:val="28"/>
          <w:szCs w:val="28"/>
        </w:rPr>
        <w:t>upplementary results and d</w:t>
      </w:r>
      <w:r w:rsidR="000503EE">
        <w:rPr>
          <w:rFonts w:ascii="Times New Roman" w:eastAsia="Times New Roman" w:hAnsi="Times New Roman" w:cs="Times New Roman"/>
          <w:b/>
          <w:bCs/>
          <w:sz w:val="28"/>
          <w:szCs w:val="28"/>
        </w:rPr>
        <w:t>iscussions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</w:p>
    <w:p w14:paraId="71484747" w14:textId="0CAD2756" w:rsidR="00023150" w:rsidRPr="007E6A46" w:rsidRDefault="00023150" w:rsidP="00023150">
      <w:pPr>
        <w:pStyle w:val="Head2"/>
        <w:rPr>
          <w:lang w:val="en-GB"/>
        </w:rPr>
      </w:pPr>
      <w:r>
        <w:rPr>
          <w:lang w:val="en-GB"/>
        </w:rPr>
        <w:t>S2</w:t>
      </w:r>
      <w:r w:rsidRPr="007E6A46">
        <w:rPr>
          <w:lang w:val="en-GB"/>
        </w:rPr>
        <w:t xml:space="preserve">.1. </w:t>
      </w:r>
      <w:r>
        <w:rPr>
          <w:lang w:val="en-GB"/>
        </w:rPr>
        <w:t>7e-SMAMP</w:t>
      </w:r>
      <w:r w:rsidRPr="007E6A46">
        <w:rPr>
          <w:lang w:val="en-GB"/>
        </w:rPr>
        <w:t xml:space="preserve"> </w:t>
      </w:r>
      <w:r>
        <w:rPr>
          <w:lang w:val="en-GB"/>
        </w:rPr>
        <w:t xml:space="preserve">UV-VIS analysis </w:t>
      </w:r>
    </w:p>
    <w:p w14:paraId="6643A061" w14:textId="015F8AA6" w:rsidR="00703CFA" w:rsidRDefault="00CE1467" w:rsidP="00CE1467">
      <w:pPr>
        <w:pStyle w:val="Normal1"/>
        <w:ind w:firstLine="202"/>
        <w:rPr>
          <w:lang w:val="en-GB"/>
        </w:rPr>
      </w:pPr>
      <w:r w:rsidRPr="007E6A46">
        <w:rPr>
          <w:lang w:val="en-GB"/>
        </w:rPr>
        <w:t xml:space="preserve">Typically, </w:t>
      </w:r>
      <w:r>
        <w:rPr>
          <w:lang w:val="en-GB"/>
        </w:rPr>
        <w:t>the AMPs</w:t>
      </w:r>
      <w:r w:rsidRPr="007E6A46">
        <w:rPr>
          <w:lang w:val="en-GB"/>
        </w:rPr>
        <w:t xml:space="preserve"> have distinct UV absorption at 180-230 nm and 230–300 nm</w:t>
      </w:r>
      <w:r>
        <w:rPr>
          <w:lang w:val="en-GB"/>
        </w:rPr>
        <w:t>,</w:t>
      </w:r>
      <w:r w:rsidRPr="007E6A46">
        <w:rPr>
          <w:lang w:val="en-GB"/>
        </w:rPr>
        <w:t xml:space="preserve"> and</w:t>
      </w:r>
      <w:r w:rsidR="003A571E">
        <w:rPr>
          <w:lang w:val="en-GB"/>
        </w:rPr>
        <w:t xml:space="preserve"> </w:t>
      </w:r>
      <w:r w:rsidRPr="007E6A46">
        <w:rPr>
          <w:lang w:val="en-GB"/>
        </w:rPr>
        <w:t xml:space="preserve">therefore analysed </w:t>
      </w:r>
      <w:r>
        <w:rPr>
          <w:lang w:val="en-GB"/>
        </w:rPr>
        <w:t>with</w:t>
      </w:r>
      <w:r w:rsidRPr="007E6A46">
        <w:rPr>
          <w:lang w:val="en-GB"/>
        </w:rPr>
        <w:t>in these ranges. The first absorption range is mediated by π → π</w:t>
      </w:r>
      <w:r w:rsidRPr="007E6A46">
        <w:rPr>
          <w:rFonts w:ascii="Cambria Math" w:hAnsi="Cambria Math" w:cs="Cambria Math"/>
          <w:lang w:val="en-GB"/>
        </w:rPr>
        <w:t>∗</w:t>
      </w:r>
      <w:r w:rsidRPr="007E6A46">
        <w:rPr>
          <w:lang w:val="en-GB"/>
        </w:rPr>
        <w:t xml:space="preserve"> transitions </w:t>
      </w:r>
      <w:r>
        <w:rPr>
          <w:lang w:val="en-GB"/>
        </w:rPr>
        <w:t>of</w:t>
      </w:r>
      <w:r w:rsidRPr="007E6A46">
        <w:rPr>
          <w:lang w:val="en-GB"/>
        </w:rPr>
        <w:t xml:space="preserve"> the peptide bonds or peptide backbone</w:t>
      </w:r>
      <w:r w:rsidR="002C3E23">
        <w:rPr>
          <w:lang w:val="en-GB"/>
        </w:rPr>
        <w:t xml:space="preserve"> and in our </w:t>
      </w:r>
      <w:r w:rsidR="00737927">
        <w:rPr>
          <w:lang w:val="en-GB"/>
        </w:rPr>
        <w:t>case,</w:t>
      </w:r>
      <w:r w:rsidR="002C3E23">
        <w:rPr>
          <w:lang w:val="en-GB"/>
        </w:rPr>
        <w:t xml:space="preserve"> amide bonds</w:t>
      </w:r>
      <w:r w:rsidR="00737927">
        <w:rPr>
          <w:lang w:val="en-GB"/>
        </w:rPr>
        <w:t xml:space="preserve"> in the SMAMP</w:t>
      </w:r>
      <w:r w:rsidRPr="007E6A46">
        <w:rPr>
          <w:lang w:val="en-GB"/>
        </w:rPr>
        <w:t>, while the second absorption range originates from aromatic side chains</w:t>
      </w:r>
      <w:r w:rsidR="00E01235">
        <w:rPr>
          <w:lang w:val="en-GB"/>
        </w:rPr>
        <w:t xml:space="preserve"> </w:t>
      </w:r>
      <w:r w:rsidR="00E01235">
        <w:rPr>
          <w:noProof/>
          <w:lang w:val="en-GB"/>
        </w:rPr>
        <w:t>[</w:t>
      </w:r>
      <w:r w:rsidR="006113BF">
        <w:rPr>
          <w:noProof/>
          <w:lang w:val="en-GB"/>
        </w:rPr>
        <w:t>S</w:t>
      </w:r>
      <w:r w:rsidR="00E01235">
        <w:rPr>
          <w:noProof/>
          <w:lang w:val="en-GB"/>
        </w:rPr>
        <w:t>1</w:t>
      </w:r>
      <w:r w:rsidR="006113BF">
        <w:rPr>
          <w:noProof/>
          <w:lang w:val="en-GB"/>
        </w:rPr>
        <w:t>, 2</w:t>
      </w:r>
      <w:r w:rsidR="00D13589">
        <w:rPr>
          <w:noProof/>
          <w:lang w:val="en-GB"/>
        </w:rPr>
        <w:t>7</w:t>
      </w:r>
      <w:r w:rsidR="00E01235">
        <w:rPr>
          <w:noProof/>
          <w:lang w:val="en-GB"/>
        </w:rPr>
        <w:t>]</w:t>
      </w:r>
      <w:r w:rsidR="00E01235">
        <w:rPr>
          <w:lang w:val="en-GB"/>
        </w:rPr>
        <w:t>.</w:t>
      </w:r>
      <w:r>
        <w:rPr>
          <w:lang w:val="en-GB"/>
        </w:rPr>
        <w:t xml:space="preserve"> </w:t>
      </w:r>
      <w:r w:rsidRPr="007E6A46">
        <w:rPr>
          <w:lang w:val="en-GB"/>
        </w:rPr>
        <w:t xml:space="preserve">These aromatic side chains are important to ensure that the </w:t>
      </w:r>
      <w:r w:rsidRPr="00AE1CCD">
        <w:rPr>
          <w:lang w:val="en-GB"/>
        </w:rPr>
        <w:t>facially amphiphilic character</w:t>
      </w:r>
      <w:r w:rsidRPr="007E6A46">
        <w:rPr>
          <w:lang w:val="en-GB"/>
        </w:rPr>
        <w:t xml:space="preserve"> is maintained</w:t>
      </w:r>
      <w:r>
        <w:rPr>
          <w:lang w:val="en-GB"/>
        </w:rPr>
        <w:t xml:space="preserve"> and are </w:t>
      </w:r>
      <w:r w:rsidRPr="00E01235">
        <w:rPr>
          <w:lang w:val="en-GB"/>
        </w:rPr>
        <w:t>therefore often pre</w:t>
      </w:r>
      <w:r>
        <w:rPr>
          <w:lang w:val="en-GB"/>
        </w:rPr>
        <w:t xml:space="preserve">served in the </w:t>
      </w:r>
      <w:r w:rsidRPr="006113BF">
        <w:rPr>
          <w:lang w:val="en-GB"/>
        </w:rPr>
        <w:t xml:space="preserve">mimics </w:t>
      </w:r>
      <w:r w:rsidR="00E01235" w:rsidRPr="006113BF">
        <w:rPr>
          <w:noProof/>
          <w:lang w:val="en-GB"/>
        </w:rPr>
        <w:t>[</w:t>
      </w:r>
      <w:r w:rsidR="006113BF" w:rsidRPr="006113BF">
        <w:rPr>
          <w:noProof/>
          <w:lang w:val="en-GB"/>
        </w:rPr>
        <w:t>S</w:t>
      </w:r>
      <w:r w:rsidR="00E01235" w:rsidRPr="006113BF">
        <w:rPr>
          <w:noProof/>
          <w:lang w:val="en-GB"/>
        </w:rPr>
        <w:t>2]</w:t>
      </w:r>
      <w:r w:rsidRPr="006113BF">
        <w:rPr>
          <w:lang w:val="en-GB"/>
        </w:rPr>
        <w:t>. Consequently</w:t>
      </w:r>
      <w:r w:rsidRPr="007E6A46">
        <w:rPr>
          <w:lang w:val="en-GB"/>
        </w:rPr>
        <w:t xml:space="preserve">, the range 250–300 nm </w:t>
      </w:r>
      <w:r>
        <w:rPr>
          <w:lang w:val="en-GB"/>
        </w:rPr>
        <w:t>is</w:t>
      </w:r>
      <w:r w:rsidRPr="007E6A46">
        <w:rPr>
          <w:lang w:val="en-GB"/>
        </w:rPr>
        <w:t xml:space="preserve"> most often used in </w:t>
      </w:r>
      <w:r w:rsidRPr="00CA2851">
        <w:rPr>
          <w:lang w:val="en-GB"/>
        </w:rPr>
        <w:t>analysis; however, we assessed the range 260-320 nm in this study due to the disubstitution with bromide on the side chains</w:t>
      </w:r>
      <w:r w:rsidR="00452EFE" w:rsidRPr="00CA2851">
        <w:rPr>
          <w:lang w:val="en-GB"/>
        </w:rPr>
        <w:t xml:space="preserve"> where these could be followed and are important features of the SMAMP structure</w:t>
      </w:r>
      <w:r w:rsidR="00703CFA" w:rsidRPr="00CA2851">
        <w:rPr>
          <w:lang w:val="en-GB"/>
        </w:rPr>
        <w:t xml:space="preserve"> (Fig</w:t>
      </w:r>
      <w:r w:rsidR="007259B3" w:rsidRPr="00CA2851">
        <w:rPr>
          <w:lang w:val="en-GB"/>
        </w:rPr>
        <w:t>.</w:t>
      </w:r>
      <w:r w:rsidR="00703CFA" w:rsidRPr="00CA2851">
        <w:rPr>
          <w:lang w:val="en-GB"/>
        </w:rPr>
        <w:t xml:space="preserve"> </w:t>
      </w:r>
      <w:r w:rsidR="000877D7" w:rsidRPr="00CA2851">
        <w:rPr>
          <w:lang w:val="en-GB"/>
        </w:rPr>
        <w:t>1</w:t>
      </w:r>
      <w:r w:rsidR="00703CFA" w:rsidRPr="00CA2851">
        <w:rPr>
          <w:lang w:val="en-GB"/>
        </w:rPr>
        <w:t>)</w:t>
      </w:r>
      <w:r w:rsidRPr="00CA2851">
        <w:rPr>
          <w:lang w:val="en-GB"/>
        </w:rPr>
        <w:t xml:space="preserve"> </w:t>
      </w:r>
      <w:r w:rsidR="00E01235" w:rsidRPr="00CA2851">
        <w:rPr>
          <w:noProof/>
          <w:lang w:val="en-GB"/>
        </w:rPr>
        <w:t>[</w:t>
      </w:r>
      <w:r w:rsidR="006113BF" w:rsidRPr="00CA2851">
        <w:rPr>
          <w:noProof/>
          <w:lang w:val="en-GB"/>
        </w:rPr>
        <w:t>S</w:t>
      </w:r>
      <w:r w:rsidR="00E01235" w:rsidRPr="006113BF">
        <w:rPr>
          <w:noProof/>
          <w:lang w:val="en-GB"/>
        </w:rPr>
        <w:t xml:space="preserve">3, </w:t>
      </w:r>
      <w:r w:rsidR="006113BF" w:rsidRPr="006113BF">
        <w:rPr>
          <w:noProof/>
          <w:lang w:val="en-GB"/>
        </w:rPr>
        <w:t>S</w:t>
      </w:r>
      <w:r w:rsidR="00E01235" w:rsidRPr="006113BF">
        <w:rPr>
          <w:noProof/>
          <w:lang w:val="en-GB"/>
        </w:rPr>
        <w:t>4]</w:t>
      </w:r>
      <w:r w:rsidRPr="006113BF">
        <w:rPr>
          <w:lang w:val="en-GB"/>
        </w:rPr>
        <w:t xml:space="preserve">. </w:t>
      </w:r>
    </w:p>
    <w:p w14:paraId="1728B68F" w14:textId="77777777" w:rsidR="00703CFA" w:rsidRDefault="00703CFA" w:rsidP="007259B3">
      <w:pPr>
        <w:pStyle w:val="Normal1"/>
        <w:rPr>
          <w:lang w:val="en-GB"/>
        </w:rPr>
      </w:pPr>
    </w:p>
    <w:p w14:paraId="74F86925" w14:textId="2FCF359E" w:rsidR="00CE1467" w:rsidRPr="007E6A46" w:rsidRDefault="00CE1467" w:rsidP="00CE1467">
      <w:pPr>
        <w:pStyle w:val="Normal1"/>
        <w:ind w:firstLine="202"/>
        <w:rPr>
          <w:lang w:val="en-GB"/>
        </w:rPr>
      </w:pPr>
      <w:r w:rsidRPr="006113BF">
        <w:rPr>
          <w:lang w:val="en-GB"/>
        </w:rPr>
        <w:t>Fig</w:t>
      </w:r>
      <w:r w:rsidRPr="007E6A46">
        <w:rPr>
          <w:lang w:val="en-GB"/>
        </w:rPr>
        <w:t xml:space="preserve">. </w:t>
      </w:r>
      <w:r w:rsidR="001B5176">
        <w:rPr>
          <w:lang w:val="en-GB"/>
        </w:rPr>
        <w:t>S</w:t>
      </w:r>
      <w:r w:rsidR="00910A9F">
        <w:rPr>
          <w:lang w:val="en-GB"/>
        </w:rPr>
        <w:t>1</w:t>
      </w:r>
      <w:r w:rsidRPr="007E6A46">
        <w:rPr>
          <w:lang w:val="en-GB"/>
        </w:rPr>
        <w:t xml:space="preserve"> presents </w:t>
      </w:r>
      <w:r>
        <w:rPr>
          <w:lang w:val="en-GB"/>
        </w:rPr>
        <w:t>7e-SMAMP</w:t>
      </w:r>
      <w:r w:rsidRPr="007E6A46">
        <w:rPr>
          <w:lang w:val="en-GB"/>
        </w:rPr>
        <w:t xml:space="preserve"> absorbance scan</w:t>
      </w:r>
      <w:r>
        <w:rPr>
          <w:lang w:val="en-GB"/>
        </w:rPr>
        <w:t xml:space="preserve">s </w:t>
      </w:r>
      <w:r w:rsidRPr="007E6A46">
        <w:rPr>
          <w:lang w:val="en-GB"/>
        </w:rPr>
        <w:t>following preparation and after storage at three different temperatures, namely 4 (Fig</w:t>
      </w:r>
      <w:r w:rsidR="00E33C4D">
        <w:rPr>
          <w:lang w:val="en-GB"/>
        </w:rPr>
        <w:t>.</w:t>
      </w:r>
      <w:r w:rsidRPr="007E6A46">
        <w:rPr>
          <w:lang w:val="en-GB"/>
        </w:rPr>
        <w:t xml:space="preserve"> </w:t>
      </w:r>
      <w:r w:rsidR="001B5176">
        <w:rPr>
          <w:lang w:val="en-GB"/>
        </w:rPr>
        <w:t>S</w:t>
      </w:r>
      <w:r w:rsidR="005F2C8E">
        <w:rPr>
          <w:lang w:val="en-GB"/>
        </w:rPr>
        <w:t>1</w:t>
      </w:r>
      <w:r w:rsidRPr="007E6A46">
        <w:rPr>
          <w:lang w:val="en-GB"/>
        </w:rPr>
        <w:t xml:space="preserve">a), 25 (Fig </w:t>
      </w:r>
      <w:r w:rsidR="001B5176">
        <w:rPr>
          <w:lang w:val="en-GB"/>
        </w:rPr>
        <w:t>S</w:t>
      </w:r>
      <w:r w:rsidR="005F2C8E">
        <w:rPr>
          <w:lang w:val="en-GB"/>
        </w:rPr>
        <w:t>1</w:t>
      </w:r>
      <w:r w:rsidRPr="007E6A46">
        <w:rPr>
          <w:lang w:val="en-GB"/>
        </w:rPr>
        <w:t>b)</w:t>
      </w:r>
      <w:r w:rsidR="00381BBD">
        <w:rPr>
          <w:lang w:val="en-GB"/>
        </w:rPr>
        <w:t>,</w:t>
      </w:r>
      <w:r w:rsidRPr="007E6A46">
        <w:rPr>
          <w:lang w:val="en-GB"/>
        </w:rPr>
        <w:t xml:space="preserve"> and 32 °C (Fig </w:t>
      </w:r>
      <w:r w:rsidR="001B5176">
        <w:rPr>
          <w:lang w:val="en-GB"/>
        </w:rPr>
        <w:t>S</w:t>
      </w:r>
      <w:r w:rsidR="005F2C8E">
        <w:rPr>
          <w:lang w:val="en-GB"/>
        </w:rPr>
        <w:t>1</w:t>
      </w:r>
      <w:r w:rsidRPr="007E6A46">
        <w:rPr>
          <w:lang w:val="en-GB"/>
        </w:rPr>
        <w:t>c), and at four different concentrations (10, 25, 50</w:t>
      </w:r>
      <w:r w:rsidR="005F2C8E">
        <w:rPr>
          <w:lang w:val="en-GB"/>
        </w:rPr>
        <w:t>,</w:t>
      </w:r>
      <w:r w:rsidRPr="007E6A46">
        <w:rPr>
          <w:lang w:val="en-GB"/>
        </w:rPr>
        <w:t xml:space="preserve"> and 100 µM). A peak around 280 nm is evident </w:t>
      </w:r>
      <w:r>
        <w:rPr>
          <w:lang w:val="en-GB"/>
        </w:rPr>
        <w:t>for</w:t>
      </w:r>
      <w:r w:rsidRPr="007E6A46">
        <w:rPr>
          <w:lang w:val="en-GB"/>
        </w:rPr>
        <w:t xml:space="preserve"> all</w:t>
      </w:r>
      <w:r>
        <w:rPr>
          <w:lang w:val="en-GB"/>
        </w:rPr>
        <w:t xml:space="preserve"> </w:t>
      </w:r>
      <w:r w:rsidRPr="007E6A46">
        <w:rPr>
          <w:lang w:val="en-GB"/>
        </w:rPr>
        <w:t>condition</w:t>
      </w:r>
      <w:r w:rsidRPr="006113BF">
        <w:rPr>
          <w:lang w:val="en-GB"/>
        </w:rPr>
        <w:t>s.</w:t>
      </w:r>
      <w:r w:rsidRPr="007E6A46">
        <w:rPr>
          <w:lang w:val="en-GB"/>
        </w:rPr>
        <w:t xml:space="preserve"> As seen in the Fig</w:t>
      </w:r>
      <w:r w:rsidR="00E33C4D">
        <w:rPr>
          <w:lang w:val="en-GB"/>
        </w:rPr>
        <w:t>.</w:t>
      </w:r>
      <w:r w:rsidRPr="007E6A46">
        <w:rPr>
          <w:lang w:val="en-GB"/>
        </w:rPr>
        <w:t xml:space="preserve"> </w:t>
      </w:r>
      <w:r w:rsidR="00910A9F">
        <w:rPr>
          <w:lang w:val="en-GB"/>
        </w:rPr>
        <w:t>1</w:t>
      </w:r>
      <w:r w:rsidR="00707ED5" w:rsidRPr="007E6A46">
        <w:rPr>
          <w:lang w:val="en-GB"/>
        </w:rPr>
        <w:t>a</w:t>
      </w:r>
      <w:r w:rsidRPr="007E6A46">
        <w:rPr>
          <w:lang w:val="en-GB"/>
        </w:rPr>
        <w:t xml:space="preserve">, there were no changes in the </w:t>
      </w:r>
      <w:r>
        <w:rPr>
          <w:lang w:val="en-GB"/>
        </w:rPr>
        <w:t>peak wavelength over</w:t>
      </w:r>
      <w:r w:rsidRPr="007E6A46">
        <w:rPr>
          <w:lang w:val="en-GB"/>
        </w:rPr>
        <w:t xml:space="preserve"> time or at different concentrations. </w:t>
      </w:r>
      <w:r>
        <w:rPr>
          <w:lang w:val="en-GB"/>
        </w:rPr>
        <w:t>However</w:t>
      </w:r>
      <w:r w:rsidRPr="007E6A46">
        <w:rPr>
          <w:lang w:val="en-GB"/>
        </w:rPr>
        <w:t xml:space="preserve">, </w:t>
      </w:r>
      <w:r>
        <w:rPr>
          <w:lang w:val="en-GB"/>
        </w:rPr>
        <w:t>small deviations</w:t>
      </w:r>
      <w:r w:rsidRPr="007E6A46">
        <w:rPr>
          <w:lang w:val="en-GB"/>
        </w:rPr>
        <w:t xml:space="preserve"> </w:t>
      </w:r>
      <w:r>
        <w:rPr>
          <w:lang w:val="en-GB"/>
        </w:rPr>
        <w:t>in</w:t>
      </w:r>
      <w:r w:rsidRPr="007E6A46">
        <w:rPr>
          <w:lang w:val="en-GB"/>
        </w:rPr>
        <w:t xml:space="preserve"> the absorbance peak</w:t>
      </w:r>
      <w:r>
        <w:rPr>
          <w:lang w:val="en-GB"/>
        </w:rPr>
        <w:t>s</w:t>
      </w:r>
      <w:r w:rsidRPr="007E6A46">
        <w:rPr>
          <w:lang w:val="en-GB"/>
        </w:rPr>
        <w:t xml:space="preserve"> were observed when </w:t>
      </w:r>
      <w:r>
        <w:rPr>
          <w:lang w:val="en-GB"/>
        </w:rPr>
        <w:t>7e-SMAMP</w:t>
      </w:r>
      <w:r w:rsidRPr="007E6A46">
        <w:rPr>
          <w:lang w:val="en-GB"/>
        </w:rPr>
        <w:t xml:space="preserve"> was stored at 25 or 32 °C</w:t>
      </w:r>
      <w:r>
        <w:rPr>
          <w:lang w:val="en-GB"/>
        </w:rPr>
        <w:t xml:space="preserve"> compared to storage temperature of 4 °C</w:t>
      </w:r>
      <w:r w:rsidRPr="007E6A46">
        <w:rPr>
          <w:lang w:val="en-GB"/>
        </w:rPr>
        <w:t xml:space="preserve">. These results indicate that </w:t>
      </w:r>
      <w:r>
        <w:rPr>
          <w:lang w:val="en-GB"/>
        </w:rPr>
        <w:t>7e-SMAMP</w:t>
      </w:r>
      <w:r w:rsidRPr="007E6A46">
        <w:rPr>
          <w:lang w:val="en-GB"/>
        </w:rPr>
        <w:t xml:space="preserve"> is relatively stabl</w:t>
      </w:r>
      <w:r>
        <w:rPr>
          <w:lang w:val="en-GB"/>
        </w:rPr>
        <w:t xml:space="preserve">e while stored </w:t>
      </w:r>
      <w:r w:rsidR="00426FD4">
        <w:rPr>
          <w:lang w:val="en-GB"/>
        </w:rPr>
        <w:t xml:space="preserve">at </w:t>
      </w:r>
      <w:r w:rsidRPr="007E6A46">
        <w:rPr>
          <w:lang w:val="en-GB"/>
        </w:rPr>
        <w:t>4 °C</w:t>
      </w:r>
      <w:r>
        <w:rPr>
          <w:lang w:val="en-GB"/>
        </w:rPr>
        <w:t>.</w:t>
      </w:r>
    </w:p>
    <w:p w14:paraId="78E69BF6" w14:textId="457300F9" w:rsidR="00CE1467" w:rsidRDefault="00CE1467" w:rsidP="00BB72A3">
      <w:pPr>
        <w:pStyle w:val="VAFigureCaption"/>
        <w:spacing w:line="360" w:lineRule="auto"/>
        <w:rPr>
          <w:rStyle w:val="FigurecapChar"/>
          <w:lang w:val="en-GB"/>
        </w:rPr>
      </w:pPr>
      <w:r w:rsidRPr="007E6A46">
        <w:rPr>
          <w:noProof/>
        </w:rPr>
        <w:lastRenderedPageBreak/>
        <w:drawing>
          <wp:inline distT="0" distB="0" distL="0" distR="0" wp14:anchorId="41FA1F62" wp14:editId="3392C58C">
            <wp:extent cx="5943600" cy="3598605"/>
            <wp:effectExtent l="0" t="0" r="0" b="1905"/>
            <wp:docPr id="11" name="Picture 1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Graphical user interface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9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E6A46">
        <w:rPr>
          <w:b/>
          <w:i/>
          <w:lang w:val="en-GB"/>
        </w:rPr>
        <w:t xml:space="preserve"> </w:t>
      </w:r>
      <w:r w:rsidRPr="007E6A46">
        <w:rPr>
          <w:rStyle w:val="FigurecapChar"/>
          <w:b/>
          <w:bCs/>
          <w:lang w:val="en-GB"/>
        </w:rPr>
        <w:t xml:space="preserve">Figure </w:t>
      </w:r>
      <w:r w:rsidR="00EF2FE4">
        <w:rPr>
          <w:rStyle w:val="FigurecapChar"/>
          <w:b/>
          <w:bCs/>
          <w:lang w:val="en-GB"/>
        </w:rPr>
        <w:t>S</w:t>
      </w:r>
      <w:r w:rsidR="00910A9F">
        <w:rPr>
          <w:rStyle w:val="FigurecapChar"/>
          <w:b/>
          <w:bCs/>
          <w:lang w:val="en-GB"/>
        </w:rPr>
        <w:t>1</w:t>
      </w:r>
      <w:r w:rsidRPr="007E6A46">
        <w:rPr>
          <w:rStyle w:val="FigurecapChar"/>
          <w:lang w:val="en-GB"/>
        </w:rPr>
        <w:t xml:space="preserve">. Absorbance scan (200-320 nm) of non-formulated </w:t>
      </w:r>
      <w:r>
        <w:rPr>
          <w:lang w:val="en-GB"/>
        </w:rPr>
        <w:t>7e-SMAMP</w:t>
      </w:r>
      <w:r w:rsidRPr="007E6A46">
        <w:rPr>
          <w:rStyle w:val="FigurecapChar"/>
          <w:lang w:val="en-GB"/>
        </w:rPr>
        <w:t xml:space="preserve"> in concentration ra</w:t>
      </w:r>
      <w:r>
        <w:rPr>
          <w:rStyle w:val="FigurecapChar"/>
          <w:lang w:val="en-GB"/>
        </w:rPr>
        <w:t>n</w:t>
      </w:r>
      <w:r w:rsidRPr="007E6A46">
        <w:rPr>
          <w:rStyle w:val="FigurecapChar"/>
          <w:lang w:val="en-GB"/>
        </w:rPr>
        <w:t xml:space="preserve">ge of 10 to 100 µM. The </w:t>
      </w:r>
      <w:r>
        <w:rPr>
          <w:lang w:val="en-GB"/>
        </w:rPr>
        <w:t>7e-SMAMP</w:t>
      </w:r>
      <w:r w:rsidRPr="007E6A46">
        <w:rPr>
          <w:rStyle w:val="FigurecapChar"/>
          <w:lang w:val="en-GB"/>
        </w:rPr>
        <w:t xml:space="preserve"> was assessed under different temperature conditions, namely a) 4 °C, b) 25 °C</w:t>
      </w:r>
      <w:r w:rsidR="008F3CB6">
        <w:rPr>
          <w:rStyle w:val="FigurecapChar"/>
          <w:lang w:val="en-GB"/>
        </w:rPr>
        <w:t>,</w:t>
      </w:r>
      <w:r w:rsidRPr="007E6A46">
        <w:rPr>
          <w:rStyle w:val="FigurecapChar"/>
          <w:lang w:val="en-GB"/>
        </w:rPr>
        <w:t xml:space="preserve"> and c) 32 °C. </w:t>
      </w:r>
      <w:r w:rsidR="00A30752">
        <w:rPr>
          <w:rStyle w:val="FigurecapChar"/>
          <w:lang w:val="en-GB"/>
        </w:rPr>
        <w:t>The boxed areas (f</w:t>
      </w:r>
      <w:r w:rsidRPr="007E6A46">
        <w:rPr>
          <w:rStyle w:val="FigurecapChar"/>
          <w:lang w:val="en-GB"/>
        </w:rPr>
        <w:t>igure zoom</w:t>
      </w:r>
      <w:r w:rsidR="00A30752">
        <w:rPr>
          <w:rStyle w:val="FigurecapChar"/>
          <w:lang w:val="en-GB"/>
        </w:rPr>
        <w:t>)</w:t>
      </w:r>
      <w:r w:rsidRPr="007E6A46">
        <w:rPr>
          <w:rStyle w:val="FigurecapChar"/>
          <w:lang w:val="en-GB"/>
        </w:rPr>
        <w:t xml:space="preserve"> highlights wavelength ranging between 260 and 320 nm. The absorbance scan was performed upon initial preparation and after 1- and 7-days storage (n=3).</w:t>
      </w:r>
    </w:p>
    <w:p w14:paraId="6FA579CD" w14:textId="77777777" w:rsidR="002E30FF" w:rsidRPr="002E30FF" w:rsidRDefault="002E30FF" w:rsidP="002E30FF"/>
    <w:p w14:paraId="40B44CA7" w14:textId="2ADEAF59" w:rsidR="002E30FF" w:rsidRPr="007E6A46" w:rsidRDefault="00411A10" w:rsidP="002E30FF">
      <w:pPr>
        <w:pStyle w:val="Head2"/>
        <w:rPr>
          <w:lang w:val="en-GB"/>
        </w:rPr>
      </w:pPr>
      <w:r>
        <w:rPr>
          <w:lang w:val="en-GB"/>
        </w:rPr>
        <w:t>S2</w:t>
      </w:r>
      <w:r w:rsidR="002E30FF" w:rsidRPr="00411A10">
        <w:rPr>
          <w:lang w:val="en-GB"/>
        </w:rPr>
        <w:t>.</w:t>
      </w:r>
      <w:r>
        <w:rPr>
          <w:lang w:val="en-GB"/>
        </w:rPr>
        <w:t>2</w:t>
      </w:r>
      <w:r w:rsidR="002E30FF" w:rsidRPr="00411A10">
        <w:rPr>
          <w:lang w:val="en-GB"/>
        </w:rPr>
        <w:t xml:space="preserve">. Liposome </w:t>
      </w:r>
      <w:r w:rsidR="000503EE">
        <w:rPr>
          <w:lang w:val="en-GB"/>
        </w:rPr>
        <w:t>s</w:t>
      </w:r>
      <w:r w:rsidR="002E30FF" w:rsidRPr="00411A10">
        <w:rPr>
          <w:lang w:val="en-GB"/>
        </w:rPr>
        <w:t>tability</w:t>
      </w:r>
    </w:p>
    <w:p w14:paraId="5FED6FC4" w14:textId="72DB24A5" w:rsidR="002E30FF" w:rsidRPr="004F2758" w:rsidRDefault="002E30FF" w:rsidP="002E30FF">
      <w:pPr>
        <w:pStyle w:val="Normal1"/>
        <w:ind w:firstLine="202"/>
        <w:rPr>
          <w:strike/>
          <w:lang w:val="en-GB"/>
        </w:rPr>
      </w:pPr>
      <w:r w:rsidRPr="007E6A46">
        <w:rPr>
          <w:lang w:val="en-GB"/>
        </w:rPr>
        <w:t xml:space="preserve">The stability of </w:t>
      </w:r>
      <w:r>
        <w:rPr>
          <w:lang w:val="en-GB"/>
        </w:rPr>
        <w:t>7e-SMAMP</w:t>
      </w:r>
      <w:r w:rsidRPr="007E6A46">
        <w:rPr>
          <w:lang w:val="en-GB"/>
        </w:rPr>
        <w:t xml:space="preserve">-liposomes was examined to ensure that the liposomes maintained </w:t>
      </w:r>
      <w:r>
        <w:rPr>
          <w:lang w:val="en-GB"/>
        </w:rPr>
        <w:t>the</w:t>
      </w:r>
      <w:r w:rsidRPr="007E6A46">
        <w:rPr>
          <w:lang w:val="en-GB"/>
        </w:rPr>
        <w:t xml:space="preserve"> acceptable size, size distribution, zeta potential, entrapment, and pH. The </w:t>
      </w:r>
      <w:r>
        <w:rPr>
          <w:lang w:val="en-GB"/>
        </w:rPr>
        <w:t>liposomes</w:t>
      </w:r>
      <w:r w:rsidRPr="007E6A46">
        <w:rPr>
          <w:lang w:val="en-GB"/>
        </w:rPr>
        <w:t xml:space="preserve"> were stored at 4 °C and the stability was determined after 2-, 4-</w:t>
      </w:r>
      <w:r w:rsidR="008F3CB6">
        <w:rPr>
          <w:lang w:val="en-GB"/>
        </w:rPr>
        <w:t>,</w:t>
      </w:r>
      <w:r w:rsidRPr="007E6A46">
        <w:rPr>
          <w:lang w:val="en-GB"/>
        </w:rPr>
        <w:t xml:space="preserve"> and 12-weeks storage. The characteristics of the formulation demonstrated no significant changes (</w:t>
      </w:r>
      <w:r w:rsidRPr="007E6A46">
        <w:rPr>
          <w:i/>
          <w:iCs/>
          <w:lang w:val="en-GB"/>
        </w:rPr>
        <w:t>p</w:t>
      </w:r>
      <w:r w:rsidRPr="007E6A46">
        <w:rPr>
          <w:lang w:val="en-GB"/>
        </w:rPr>
        <w:t xml:space="preserve"> &lt; 0.05) in any of the parameters as </w:t>
      </w:r>
      <w:r>
        <w:rPr>
          <w:lang w:val="en-GB"/>
        </w:rPr>
        <w:t>presented</w:t>
      </w:r>
      <w:r w:rsidRPr="007E6A46">
        <w:rPr>
          <w:lang w:val="en-GB"/>
        </w:rPr>
        <w:t xml:space="preserve"> in Table </w:t>
      </w:r>
      <w:r w:rsidR="00B12147">
        <w:rPr>
          <w:lang w:val="en-GB"/>
        </w:rPr>
        <w:t>S1</w:t>
      </w:r>
      <w:r w:rsidRPr="007E6A46">
        <w:rPr>
          <w:lang w:val="en-GB"/>
        </w:rPr>
        <w:t>.</w:t>
      </w:r>
    </w:p>
    <w:p w14:paraId="32E5AEE3" w14:textId="538B7E41" w:rsidR="002E30FF" w:rsidRDefault="002E30FF" w:rsidP="002E30FF">
      <w:pPr>
        <w:pStyle w:val="Normal1"/>
        <w:rPr>
          <w:lang w:val="en-GB"/>
        </w:rPr>
      </w:pPr>
    </w:p>
    <w:p w14:paraId="29775EE1" w14:textId="637F9A5A" w:rsidR="00494995" w:rsidRDefault="00494995" w:rsidP="002E30FF">
      <w:pPr>
        <w:pStyle w:val="Normal1"/>
        <w:rPr>
          <w:lang w:val="en-GB"/>
        </w:rPr>
      </w:pPr>
    </w:p>
    <w:p w14:paraId="31516CE0" w14:textId="1BCAA2B9" w:rsidR="00494995" w:rsidRDefault="00494995" w:rsidP="002E30FF">
      <w:pPr>
        <w:pStyle w:val="Normal1"/>
        <w:rPr>
          <w:lang w:val="en-GB"/>
        </w:rPr>
      </w:pPr>
    </w:p>
    <w:p w14:paraId="47D14269" w14:textId="77777777" w:rsidR="00494995" w:rsidRPr="007E6A46" w:rsidRDefault="00494995" w:rsidP="002E30FF">
      <w:pPr>
        <w:pStyle w:val="Normal1"/>
        <w:rPr>
          <w:lang w:val="en-GB"/>
        </w:rPr>
      </w:pPr>
    </w:p>
    <w:p w14:paraId="3072F788" w14:textId="55818600" w:rsidR="002E30FF" w:rsidRPr="007E6A46" w:rsidRDefault="002E30FF" w:rsidP="00BB72A3">
      <w:pPr>
        <w:pStyle w:val="Figurecap"/>
        <w:spacing w:line="360" w:lineRule="auto"/>
        <w:rPr>
          <w:szCs w:val="18"/>
          <w:lang w:val="en-GB"/>
        </w:rPr>
      </w:pPr>
      <w:r w:rsidRPr="007E6A46">
        <w:rPr>
          <w:b/>
          <w:lang w:val="en-GB"/>
        </w:rPr>
        <w:lastRenderedPageBreak/>
        <w:t xml:space="preserve">Table </w:t>
      </w:r>
      <w:r w:rsidR="00B12147" w:rsidRPr="00B12147">
        <w:rPr>
          <w:b/>
          <w:iCs/>
          <w:lang w:val="en-GB"/>
        </w:rPr>
        <w:t>S1</w:t>
      </w:r>
      <w:r w:rsidRPr="007E6A46">
        <w:rPr>
          <w:b/>
          <w:lang w:val="en-GB"/>
        </w:rPr>
        <w:t>.</w:t>
      </w:r>
      <w:r w:rsidRPr="007E6A46">
        <w:rPr>
          <w:lang w:val="en-GB"/>
        </w:rPr>
        <w:t xml:space="preserve"> Stability</w:t>
      </w:r>
      <w:r>
        <w:rPr>
          <w:lang w:val="en-GB"/>
        </w:rPr>
        <w:t xml:space="preserve"> of 7e-SMAMP</w:t>
      </w:r>
      <w:r w:rsidRPr="007E6A46">
        <w:rPr>
          <w:lang w:val="en-GB"/>
        </w:rPr>
        <w:t>-liposome</w:t>
      </w:r>
      <w:r>
        <w:rPr>
          <w:lang w:val="en-GB"/>
        </w:rPr>
        <w:t>s</w:t>
      </w:r>
      <w:r w:rsidR="00C47461">
        <w:rPr>
          <w:lang w:val="en-GB"/>
        </w:rPr>
        <w:t>: mean diameter</w:t>
      </w:r>
      <w:r w:rsidR="00C47461" w:rsidRPr="00EB62FB">
        <w:rPr>
          <w:lang w:val="en-GB"/>
        </w:rPr>
        <w:t xml:space="preserve">, </w:t>
      </w:r>
      <w:r w:rsidR="00C47461">
        <w:rPr>
          <w:lang w:val="en-GB"/>
        </w:rPr>
        <w:t>p</w:t>
      </w:r>
      <w:r w:rsidR="00C47461" w:rsidRPr="00EB62FB">
        <w:rPr>
          <w:lang w:val="en-GB"/>
        </w:rPr>
        <w:t>olydispersity</w:t>
      </w:r>
      <w:r w:rsidR="00C47461">
        <w:rPr>
          <w:lang w:val="en-GB"/>
        </w:rPr>
        <w:t xml:space="preserve"> index (PI)</w:t>
      </w:r>
      <w:r w:rsidR="00C47461" w:rsidRPr="00EB62FB">
        <w:rPr>
          <w:lang w:val="en-GB"/>
        </w:rPr>
        <w:t xml:space="preserve">, </w:t>
      </w:r>
      <w:r w:rsidR="00C47461">
        <w:rPr>
          <w:lang w:val="en-GB"/>
        </w:rPr>
        <w:t>z</w:t>
      </w:r>
      <w:r w:rsidR="00C47461" w:rsidRPr="00EB62FB">
        <w:rPr>
          <w:lang w:val="en-GB"/>
        </w:rPr>
        <w:t xml:space="preserve">eta potential, </w:t>
      </w:r>
      <w:r w:rsidR="00C47461">
        <w:rPr>
          <w:lang w:val="en-GB"/>
        </w:rPr>
        <w:t>e</w:t>
      </w:r>
      <w:r w:rsidR="00C47461" w:rsidRPr="00EB62FB">
        <w:rPr>
          <w:lang w:val="en-GB"/>
        </w:rPr>
        <w:t>ntrapment</w:t>
      </w:r>
      <w:r w:rsidR="00C47461">
        <w:rPr>
          <w:lang w:val="en-GB"/>
        </w:rPr>
        <w:t xml:space="preserve"> efficacy (</w:t>
      </w:r>
      <w:r w:rsidR="008A506B">
        <w:rPr>
          <w:lang w:val="en-GB"/>
        </w:rPr>
        <w:t>EE</w:t>
      </w:r>
      <w:r w:rsidR="00C47461">
        <w:rPr>
          <w:lang w:val="en-GB"/>
        </w:rPr>
        <w:t>%)</w:t>
      </w:r>
      <w:r w:rsidR="00C47461" w:rsidRPr="00EB62FB">
        <w:rPr>
          <w:lang w:val="en-GB"/>
        </w:rPr>
        <w:t>, and pH</w:t>
      </w:r>
      <w:r w:rsidR="00C47461" w:rsidRPr="007E6A46">
        <w:rPr>
          <w:lang w:val="en-GB"/>
        </w:rPr>
        <w:t xml:space="preserve"> </w:t>
      </w:r>
      <w:r w:rsidR="00C47461">
        <w:rPr>
          <w:lang w:val="en-GB"/>
        </w:rPr>
        <w:t>in aqueous medium</w:t>
      </w:r>
      <w:r w:rsidRPr="007E6A46">
        <w:rPr>
          <w:lang w:val="en-GB"/>
        </w:rPr>
        <w:t xml:space="preserve">. </w:t>
      </w:r>
    </w:p>
    <w:tbl>
      <w:tblPr>
        <w:tblW w:w="8878" w:type="dxa"/>
        <w:jc w:val="center"/>
        <w:tblLook w:val="04A0" w:firstRow="1" w:lastRow="0" w:firstColumn="1" w:lastColumn="0" w:noHBand="0" w:noVBand="1"/>
      </w:tblPr>
      <w:tblGrid>
        <w:gridCol w:w="803"/>
        <w:gridCol w:w="1696"/>
        <w:gridCol w:w="1564"/>
        <w:gridCol w:w="1560"/>
        <w:gridCol w:w="1984"/>
        <w:gridCol w:w="1271"/>
      </w:tblGrid>
      <w:tr w:rsidR="002E30FF" w:rsidRPr="007E6A46" w14:paraId="64218755" w14:textId="77777777" w:rsidTr="002E30FF">
        <w:trPr>
          <w:trHeight w:val="300"/>
          <w:jc w:val="center"/>
        </w:trPr>
        <w:tc>
          <w:tcPr>
            <w:tcW w:w="8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8EF7AB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b/>
                <w:bCs/>
                <w:lang w:val="en-GB" w:eastAsia="en-GB"/>
              </w:rPr>
            </w:pPr>
            <w:r w:rsidRPr="007E6A46">
              <w:rPr>
                <w:rFonts w:ascii="Times New Roman" w:hAnsi="Times New Roman"/>
                <w:b/>
                <w:bCs/>
                <w:lang w:val="en-GB" w:eastAsia="en-GB"/>
              </w:rPr>
              <w:t>Week</w:t>
            </w:r>
          </w:p>
        </w:tc>
        <w:tc>
          <w:tcPr>
            <w:tcW w:w="16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C03E1B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b/>
                <w:bCs/>
                <w:lang w:val="en-GB" w:eastAsia="en-GB"/>
              </w:rPr>
            </w:pPr>
            <w:r w:rsidRPr="007E6A46">
              <w:rPr>
                <w:rFonts w:ascii="Times New Roman" w:hAnsi="Times New Roman"/>
                <w:b/>
                <w:bCs/>
                <w:lang w:val="en-GB" w:eastAsia="en-GB"/>
              </w:rPr>
              <w:t>Size (nm)</w:t>
            </w:r>
          </w:p>
        </w:tc>
        <w:tc>
          <w:tcPr>
            <w:tcW w:w="156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221B4343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b/>
                <w:bCs/>
                <w:lang w:val="en-GB" w:eastAsia="en-GB"/>
              </w:rPr>
            </w:pPr>
            <w:proofErr w:type="spellStart"/>
            <w:r w:rsidRPr="007E6A46">
              <w:rPr>
                <w:rFonts w:ascii="Times New Roman" w:hAnsi="Times New Roman"/>
                <w:b/>
                <w:bCs/>
                <w:lang w:val="en-GB"/>
              </w:rPr>
              <w:t>PI</w:t>
            </w:r>
            <w:r w:rsidRPr="007E6A46">
              <w:rPr>
                <w:rFonts w:ascii="Times New Roman" w:hAnsi="Times New Roman"/>
                <w:b/>
                <w:bCs/>
                <w:vertAlign w:val="superscript"/>
                <w:lang w:val="en-GB"/>
              </w:rPr>
              <w:t>a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0AF036B0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b/>
                <w:bCs/>
                <w:lang w:val="en-GB" w:eastAsia="en-GB"/>
              </w:rPr>
            </w:pPr>
            <w:r w:rsidRPr="007E6A46">
              <w:rPr>
                <w:rFonts w:ascii="Times New Roman" w:hAnsi="Times New Roman"/>
                <w:b/>
                <w:bCs/>
                <w:lang w:val="en-GB" w:eastAsia="en-GB"/>
              </w:rPr>
              <w:t>Zeta potential (mV)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C6EAD25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b/>
                <w:bCs/>
                <w:lang w:val="en-GB" w:eastAsia="en-GB"/>
              </w:rPr>
            </w:pPr>
            <w:proofErr w:type="spellStart"/>
            <w:r w:rsidRPr="007E6A46">
              <w:rPr>
                <w:rFonts w:ascii="Times New Roman" w:hAnsi="Times New Roman"/>
                <w:b/>
                <w:bCs/>
                <w:lang w:val="en-GB"/>
              </w:rPr>
              <w:t>EE%</w:t>
            </w:r>
            <w:r w:rsidRPr="007E6A46">
              <w:rPr>
                <w:rFonts w:ascii="Times New Roman" w:hAnsi="Times New Roman"/>
                <w:b/>
                <w:bCs/>
                <w:vertAlign w:val="superscript"/>
                <w:lang w:val="en-GB"/>
              </w:rPr>
              <w:t>b</w:t>
            </w:r>
            <w:proofErr w:type="spellEnd"/>
          </w:p>
        </w:tc>
        <w:tc>
          <w:tcPr>
            <w:tcW w:w="127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F5288C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b/>
                <w:bCs/>
                <w:lang w:val="en-GB" w:eastAsia="en-GB"/>
              </w:rPr>
            </w:pPr>
            <w:r w:rsidRPr="007E6A46">
              <w:rPr>
                <w:rFonts w:ascii="Times New Roman" w:hAnsi="Times New Roman"/>
                <w:b/>
                <w:bCs/>
                <w:lang w:val="en-GB" w:eastAsia="en-GB"/>
              </w:rPr>
              <w:t>pH</w:t>
            </w:r>
          </w:p>
        </w:tc>
      </w:tr>
      <w:tr w:rsidR="002E30FF" w:rsidRPr="007E6A46" w14:paraId="206DE0DB" w14:textId="77777777" w:rsidTr="002E30FF">
        <w:trPr>
          <w:trHeight w:val="300"/>
          <w:jc w:val="center"/>
        </w:trPr>
        <w:tc>
          <w:tcPr>
            <w:tcW w:w="80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1A71C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2</w:t>
            </w:r>
          </w:p>
        </w:tc>
        <w:tc>
          <w:tcPr>
            <w:tcW w:w="16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884D834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291 ± 33</w:t>
            </w:r>
          </w:p>
        </w:tc>
        <w:tc>
          <w:tcPr>
            <w:tcW w:w="156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B67269E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0.19 ± 0.02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F417289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61.2 ± 5.1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CD3C46A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73.1 ± 7.1</w:t>
            </w:r>
          </w:p>
        </w:tc>
        <w:tc>
          <w:tcPr>
            <w:tcW w:w="1271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322FDC2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5.2 ± 0.2</w:t>
            </w:r>
          </w:p>
        </w:tc>
      </w:tr>
      <w:tr w:rsidR="002E30FF" w:rsidRPr="007E6A46" w14:paraId="2F15C291" w14:textId="77777777" w:rsidTr="002E30FF">
        <w:trPr>
          <w:trHeight w:val="300"/>
          <w:jc w:val="center"/>
        </w:trPr>
        <w:tc>
          <w:tcPr>
            <w:tcW w:w="8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2580242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4</w:t>
            </w:r>
          </w:p>
        </w:tc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B6980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314 ± 35</w:t>
            </w:r>
          </w:p>
        </w:tc>
        <w:tc>
          <w:tcPr>
            <w:tcW w:w="15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B574C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0.19 ± 0.01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0EBEE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59.0 ± 1.1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7E3D3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73.8 ± 8.1</w:t>
            </w:r>
          </w:p>
        </w:tc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BF1BE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5.1 ± 0.3</w:t>
            </w:r>
          </w:p>
        </w:tc>
      </w:tr>
      <w:tr w:rsidR="002E30FF" w:rsidRPr="007E6A46" w14:paraId="32A14F57" w14:textId="77777777" w:rsidTr="002E30FF">
        <w:trPr>
          <w:trHeight w:val="300"/>
          <w:jc w:val="center"/>
        </w:trPr>
        <w:tc>
          <w:tcPr>
            <w:tcW w:w="8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0D60585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12</w:t>
            </w:r>
          </w:p>
        </w:tc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D9EBF25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310 ± 26</w:t>
            </w:r>
          </w:p>
        </w:tc>
        <w:tc>
          <w:tcPr>
            <w:tcW w:w="15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E17C3C9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0.20 ± 0.01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0BECB96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65.5 ± 4.7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29523F8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71.4 ± 8.8</w:t>
            </w:r>
          </w:p>
        </w:tc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E9198D6" w14:textId="77777777" w:rsidR="002E30FF" w:rsidRPr="007E6A46" w:rsidRDefault="002E30FF" w:rsidP="00A9620A">
            <w:pPr>
              <w:pStyle w:val="TCTableBody"/>
              <w:jc w:val="center"/>
              <w:rPr>
                <w:rFonts w:ascii="Times New Roman" w:hAnsi="Times New Roman"/>
                <w:lang w:val="en-GB" w:eastAsia="en-GB"/>
              </w:rPr>
            </w:pPr>
            <w:r w:rsidRPr="007E6A46">
              <w:rPr>
                <w:rFonts w:ascii="Times New Roman" w:hAnsi="Times New Roman"/>
                <w:lang w:val="en-GB" w:eastAsia="en-GB"/>
              </w:rPr>
              <w:t>4.9 ± 0.1</w:t>
            </w:r>
          </w:p>
        </w:tc>
      </w:tr>
    </w:tbl>
    <w:p w14:paraId="716D9159" w14:textId="557D1747" w:rsidR="002E30FF" w:rsidRPr="007E6A46" w:rsidRDefault="00C47461" w:rsidP="002E30FF">
      <w:pPr>
        <w:pStyle w:val="Normal1"/>
        <w:rPr>
          <w:lang w:val="en-GB"/>
        </w:rPr>
      </w:pPr>
      <w:r>
        <w:rPr>
          <w:lang w:val="en-GB"/>
        </w:rPr>
        <w:t>Liposome</w:t>
      </w:r>
      <w:r w:rsidR="002E30FF" w:rsidRPr="007E6A46">
        <w:rPr>
          <w:lang w:val="en-GB"/>
        </w:rPr>
        <w:t xml:space="preserve"> characteristics evaluated 2, 4</w:t>
      </w:r>
      <w:r>
        <w:rPr>
          <w:lang w:val="en-GB"/>
        </w:rPr>
        <w:t>,</w:t>
      </w:r>
      <w:r w:rsidR="002E30FF" w:rsidRPr="007E6A46">
        <w:rPr>
          <w:lang w:val="en-GB"/>
        </w:rPr>
        <w:t xml:space="preserve"> and 12 weeks after preparation.                                           </w:t>
      </w:r>
    </w:p>
    <w:p w14:paraId="2290ADC8" w14:textId="469D3E4B" w:rsidR="002E30FF" w:rsidRPr="007E6A46" w:rsidRDefault="002E30FF" w:rsidP="00C47461">
      <w:pPr>
        <w:pStyle w:val="Normal1"/>
        <w:rPr>
          <w:lang w:val="en-GB"/>
        </w:rPr>
      </w:pPr>
      <w:r w:rsidRPr="007E6A46">
        <w:rPr>
          <w:lang w:val="en-GB"/>
        </w:rPr>
        <w:t>Results are expressed as means with their respective SD (n = 3).</w:t>
      </w:r>
    </w:p>
    <w:p w14:paraId="697372A0" w14:textId="77777777" w:rsidR="0036208C" w:rsidRDefault="0036208C" w:rsidP="008D7470">
      <w:pPr>
        <w:spacing w:line="360" w:lineRule="auto"/>
        <w:jc w:val="both"/>
        <w:rPr>
          <w:sz w:val="24"/>
          <w:szCs w:val="24"/>
        </w:rPr>
      </w:pPr>
    </w:p>
    <w:p w14:paraId="0667BF3D" w14:textId="2DF4BB3A" w:rsidR="0036208C" w:rsidRPr="00370E8E" w:rsidRDefault="00370E8E" w:rsidP="008D7470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A8024A">
        <w:rPr>
          <w:rFonts w:ascii="Times New Roman" w:eastAsia="Times New Roman" w:hAnsi="Times New Roman" w:cs="Times New Roman"/>
          <w:b/>
          <w:bCs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3</w:t>
      </w:r>
      <w:r w:rsidRPr="00A8024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S</w:t>
      </w:r>
      <w:r w:rsidR="008F3CB6">
        <w:rPr>
          <w:rFonts w:ascii="Times New Roman" w:eastAsia="Times New Roman" w:hAnsi="Times New Roman" w:cs="Times New Roman"/>
          <w:b/>
          <w:bCs/>
          <w:sz w:val="28"/>
          <w:szCs w:val="28"/>
        </w:rPr>
        <w:t>upplementary references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</w:t>
      </w:r>
    </w:p>
    <w:p w14:paraId="6C8817E0" w14:textId="2CA73626" w:rsidR="00E01235" w:rsidRPr="004C46CF" w:rsidRDefault="00E01235" w:rsidP="004C46CF">
      <w:pPr>
        <w:pStyle w:val="EndNoteBibliography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52347">
        <w:rPr>
          <w:rFonts w:ascii="Times New Roman" w:hAnsi="Times New Roman" w:cs="Times New Roman"/>
          <w:sz w:val="24"/>
          <w:szCs w:val="24"/>
        </w:rPr>
        <w:t>[</w:t>
      </w:r>
      <w:r w:rsidR="00252347">
        <w:rPr>
          <w:rFonts w:ascii="Times New Roman" w:hAnsi="Times New Roman" w:cs="Times New Roman"/>
          <w:sz w:val="24"/>
          <w:szCs w:val="24"/>
        </w:rPr>
        <w:t>S</w:t>
      </w:r>
      <w:r w:rsidRPr="00252347">
        <w:rPr>
          <w:rFonts w:ascii="Times New Roman" w:hAnsi="Times New Roman" w:cs="Times New Roman"/>
          <w:sz w:val="24"/>
          <w:szCs w:val="24"/>
        </w:rPr>
        <w:t>1] J</w:t>
      </w:r>
      <w:r w:rsidRPr="004C46CF">
        <w:rPr>
          <w:rFonts w:ascii="Times New Roman" w:hAnsi="Times New Roman" w:cs="Times New Roman"/>
          <w:sz w:val="24"/>
          <w:szCs w:val="24"/>
        </w:rPr>
        <w:t xml:space="preserve">.M. Antosiewicz, D. Shugar, UV–Vis spectroscopy of tyrosine side-groups in studies of protein structure. Part 2: selected applications, Biophys. Rev., 8 (2016) 163-177; </w:t>
      </w:r>
      <w:hyperlink r:id="rId8" w:history="1">
        <w:r w:rsidR="004C46CF" w:rsidRPr="004C2D78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https://doi.org/10.1007/s12551-016-0197-7</w:t>
        </w:r>
      </w:hyperlink>
      <w:r w:rsidRPr="004C46CF">
        <w:rPr>
          <w:rFonts w:ascii="Times New Roman" w:hAnsi="Times New Roman" w:cs="Times New Roman"/>
          <w:sz w:val="24"/>
          <w:szCs w:val="24"/>
        </w:rPr>
        <w:t>.</w:t>
      </w:r>
      <w:r w:rsidR="004C46C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0FE24D" w14:textId="3CEEF1B1" w:rsidR="00E01235" w:rsidRPr="004C46CF" w:rsidRDefault="00E01235" w:rsidP="004C46CF">
      <w:pPr>
        <w:pStyle w:val="EndNoteBibliography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C46CF">
        <w:rPr>
          <w:rFonts w:ascii="Times New Roman" w:hAnsi="Times New Roman" w:cs="Times New Roman"/>
          <w:sz w:val="24"/>
          <w:szCs w:val="24"/>
        </w:rPr>
        <w:t>[</w:t>
      </w:r>
      <w:r w:rsidR="00252347">
        <w:rPr>
          <w:rFonts w:ascii="Times New Roman" w:hAnsi="Times New Roman" w:cs="Times New Roman"/>
          <w:sz w:val="24"/>
          <w:szCs w:val="24"/>
        </w:rPr>
        <w:t>S</w:t>
      </w:r>
      <w:r w:rsidRPr="004C46CF">
        <w:rPr>
          <w:rFonts w:ascii="Times New Roman" w:hAnsi="Times New Roman" w:cs="Times New Roman"/>
          <w:sz w:val="24"/>
          <w:szCs w:val="24"/>
        </w:rPr>
        <w:t xml:space="preserve">2] F. Sgolastra, B.M. deRonde, J.M. Sarapas, A. Som, G.N. Tew, Designing Mimics of Membrane Active Proteins, Acc. Chem. Res., 46 (2013) 2977-2987; </w:t>
      </w:r>
      <w:hyperlink r:id="rId9" w:history="1">
        <w:r w:rsidR="004C46CF" w:rsidRPr="004C2D78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https://doi.org/10.1021/ar400066v</w:t>
        </w:r>
      </w:hyperlink>
      <w:r w:rsidRPr="004C46CF">
        <w:rPr>
          <w:rFonts w:ascii="Times New Roman" w:hAnsi="Times New Roman" w:cs="Times New Roman"/>
          <w:sz w:val="24"/>
          <w:szCs w:val="24"/>
        </w:rPr>
        <w:t>.</w:t>
      </w:r>
      <w:r w:rsidR="004C46C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43E795" w14:textId="075985A7" w:rsidR="00E01235" w:rsidRPr="004C46CF" w:rsidRDefault="00E01235" w:rsidP="004C46CF">
      <w:pPr>
        <w:pStyle w:val="EndNoteBibliography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C46CF">
        <w:rPr>
          <w:rFonts w:ascii="Times New Roman" w:hAnsi="Times New Roman" w:cs="Times New Roman"/>
          <w:sz w:val="24"/>
          <w:szCs w:val="24"/>
        </w:rPr>
        <w:t>[</w:t>
      </w:r>
      <w:r w:rsidR="00252347">
        <w:rPr>
          <w:rFonts w:ascii="Times New Roman" w:hAnsi="Times New Roman" w:cs="Times New Roman"/>
          <w:sz w:val="24"/>
          <w:szCs w:val="24"/>
        </w:rPr>
        <w:t>S</w:t>
      </w:r>
      <w:r w:rsidRPr="004C46CF">
        <w:rPr>
          <w:rFonts w:ascii="Times New Roman" w:hAnsi="Times New Roman" w:cs="Times New Roman"/>
          <w:sz w:val="24"/>
          <w:szCs w:val="24"/>
        </w:rPr>
        <w:t xml:space="preserve">3] W.F. Forbes, Light absorption studies. Part XVIII. The ultraviolet absorption spectra of bromobenzenes, Can. J. Chem., 39 (1961) 1131-1142; </w:t>
      </w:r>
      <w:hyperlink r:id="rId10" w:history="1">
        <w:r w:rsidR="004C46CF" w:rsidRPr="004C2D78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https://doi.org/10.1139/v61-140</w:t>
        </w:r>
      </w:hyperlink>
      <w:r w:rsidRPr="004C46CF">
        <w:rPr>
          <w:rFonts w:ascii="Times New Roman" w:hAnsi="Times New Roman" w:cs="Times New Roman"/>
          <w:sz w:val="24"/>
          <w:szCs w:val="24"/>
        </w:rPr>
        <w:t>.</w:t>
      </w:r>
      <w:r w:rsidR="004C46C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F8BE84" w14:textId="02A5503D" w:rsidR="002F0903" w:rsidRDefault="00E01235" w:rsidP="00FC168D">
      <w:pPr>
        <w:pStyle w:val="EndNoteBibliography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46CF">
        <w:rPr>
          <w:rFonts w:ascii="Times New Roman" w:hAnsi="Times New Roman" w:cs="Times New Roman"/>
          <w:sz w:val="24"/>
          <w:szCs w:val="24"/>
        </w:rPr>
        <w:t>[</w:t>
      </w:r>
      <w:r w:rsidR="00252347">
        <w:rPr>
          <w:rFonts w:ascii="Times New Roman" w:hAnsi="Times New Roman" w:cs="Times New Roman"/>
          <w:sz w:val="24"/>
          <w:szCs w:val="24"/>
        </w:rPr>
        <w:t>S</w:t>
      </w:r>
      <w:r w:rsidRPr="004C46CF">
        <w:rPr>
          <w:rFonts w:ascii="Times New Roman" w:hAnsi="Times New Roman" w:cs="Times New Roman"/>
          <w:sz w:val="24"/>
          <w:szCs w:val="24"/>
        </w:rPr>
        <w:t>4] M.R. Liyanage, K. Bakshi, D.B. Volkin, C.R. Middaugh, Ultraviolet absorption spectroscopy of peptides, in: A.E. Nixon (Ed.) Therapeutic Peptides: Methods and Protocols, Methods in Molecular Biology, Humana Press, Totowa, NJ, USA, 2014, pp. 225-236.</w:t>
      </w:r>
    </w:p>
    <w:p w14:paraId="1B03EE9B" w14:textId="77777777" w:rsidR="00347032" w:rsidRPr="00FC168D" w:rsidRDefault="00347032" w:rsidP="00FC168D">
      <w:pPr>
        <w:pStyle w:val="EndNoteBibliography"/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347032" w:rsidRPr="00FC168D" w:rsidSect="00494995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A2F9B3" w14:textId="77777777" w:rsidR="0098266C" w:rsidRDefault="0098266C" w:rsidP="0034541A">
      <w:pPr>
        <w:spacing w:after="0" w:line="240" w:lineRule="auto"/>
      </w:pPr>
      <w:r>
        <w:separator/>
      </w:r>
    </w:p>
  </w:endnote>
  <w:endnote w:type="continuationSeparator" w:id="0">
    <w:p w14:paraId="336A3D02" w14:textId="77777777" w:rsidR="0098266C" w:rsidRDefault="0098266C" w:rsidP="003454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2389361"/>
      <w:docPartObj>
        <w:docPartGallery w:val="Page Numbers (Bottom of Page)"/>
        <w:docPartUnique/>
      </w:docPartObj>
    </w:sdtPr>
    <w:sdtEndPr/>
    <w:sdtContent>
      <w:p w14:paraId="57A6E3A4" w14:textId="394B4E2E" w:rsidR="0034541A" w:rsidRDefault="0034541A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47032" w:rsidRPr="00347032">
          <w:rPr>
            <w:noProof/>
            <w:lang w:val="nb-NO"/>
          </w:rPr>
          <w:t>4</w:t>
        </w:r>
        <w:r>
          <w:fldChar w:fldCharType="end"/>
        </w:r>
      </w:p>
    </w:sdtContent>
  </w:sdt>
  <w:p w14:paraId="66630135" w14:textId="77777777" w:rsidR="0034541A" w:rsidRDefault="0034541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59C1C4" w14:textId="77777777" w:rsidR="0098266C" w:rsidRDefault="0098266C" w:rsidP="0034541A">
      <w:pPr>
        <w:spacing w:after="0" w:line="240" w:lineRule="auto"/>
      </w:pPr>
      <w:r>
        <w:separator/>
      </w:r>
    </w:p>
  </w:footnote>
  <w:footnote w:type="continuationSeparator" w:id="0">
    <w:p w14:paraId="095DBAD8" w14:textId="77777777" w:rsidR="0098266C" w:rsidRDefault="0098266C" w:rsidP="003454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J Controlled Release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fadwzrte1davpbe50pixe25rffww5s25xxef&quot;&gt;My EndNote Library2&lt;record-ids&gt;&lt;item&gt;2687&lt;/item&gt;&lt;item&gt;2688&lt;/item&gt;&lt;item&gt;2689&lt;/item&gt;&lt;item&gt;2816&lt;/item&gt;&lt;/record-ids&gt;&lt;/item&gt;&lt;/Libraries&gt;"/>
  </w:docVars>
  <w:rsids>
    <w:rsidRoot w:val="0034541A"/>
    <w:rsid w:val="000125BC"/>
    <w:rsid w:val="00023150"/>
    <w:rsid w:val="000503EE"/>
    <w:rsid w:val="0005525B"/>
    <w:rsid w:val="000877D7"/>
    <w:rsid w:val="000B4EEA"/>
    <w:rsid w:val="000C3539"/>
    <w:rsid w:val="001026B8"/>
    <w:rsid w:val="00133B5F"/>
    <w:rsid w:val="00156800"/>
    <w:rsid w:val="00193B58"/>
    <w:rsid w:val="001B5176"/>
    <w:rsid w:val="001D1DA1"/>
    <w:rsid w:val="001D4FAC"/>
    <w:rsid w:val="00215092"/>
    <w:rsid w:val="00252347"/>
    <w:rsid w:val="00253F4A"/>
    <w:rsid w:val="00256072"/>
    <w:rsid w:val="002572E8"/>
    <w:rsid w:val="002575ED"/>
    <w:rsid w:val="00275256"/>
    <w:rsid w:val="00284486"/>
    <w:rsid w:val="002B4796"/>
    <w:rsid w:val="002C3E23"/>
    <w:rsid w:val="002E30FF"/>
    <w:rsid w:val="002F0903"/>
    <w:rsid w:val="00302F6B"/>
    <w:rsid w:val="00307D7D"/>
    <w:rsid w:val="00332351"/>
    <w:rsid w:val="0034541A"/>
    <w:rsid w:val="00347032"/>
    <w:rsid w:val="003607BC"/>
    <w:rsid w:val="0036208C"/>
    <w:rsid w:val="00370E8E"/>
    <w:rsid w:val="00381BBD"/>
    <w:rsid w:val="003A2209"/>
    <w:rsid w:val="003A571E"/>
    <w:rsid w:val="003C7C5F"/>
    <w:rsid w:val="003D1C70"/>
    <w:rsid w:val="003D2030"/>
    <w:rsid w:val="003D492C"/>
    <w:rsid w:val="003E29AC"/>
    <w:rsid w:val="003E4274"/>
    <w:rsid w:val="003F02DF"/>
    <w:rsid w:val="003F751A"/>
    <w:rsid w:val="004015C3"/>
    <w:rsid w:val="00411A10"/>
    <w:rsid w:val="0041271D"/>
    <w:rsid w:val="00412862"/>
    <w:rsid w:val="004168B2"/>
    <w:rsid w:val="00426FD4"/>
    <w:rsid w:val="00452EFE"/>
    <w:rsid w:val="00473CF0"/>
    <w:rsid w:val="004750EF"/>
    <w:rsid w:val="004863EA"/>
    <w:rsid w:val="00494995"/>
    <w:rsid w:val="004A0E07"/>
    <w:rsid w:val="004B7F97"/>
    <w:rsid w:val="004C46CF"/>
    <w:rsid w:val="0052784E"/>
    <w:rsid w:val="0054080B"/>
    <w:rsid w:val="005535E4"/>
    <w:rsid w:val="005651D2"/>
    <w:rsid w:val="00567280"/>
    <w:rsid w:val="00593E00"/>
    <w:rsid w:val="005F2C8E"/>
    <w:rsid w:val="005F2E42"/>
    <w:rsid w:val="006113BF"/>
    <w:rsid w:val="006522EE"/>
    <w:rsid w:val="00653F0A"/>
    <w:rsid w:val="00667613"/>
    <w:rsid w:val="00681643"/>
    <w:rsid w:val="0068486B"/>
    <w:rsid w:val="006C4494"/>
    <w:rsid w:val="006D1687"/>
    <w:rsid w:val="007010F6"/>
    <w:rsid w:val="00703CFA"/>
    <w:rsid w:val="00707ED5"/>
    <w:rsid w:val="0071547C"/>
    <w:rsid w:val="007259B3"/>
    <w:rsid w:val="00730FE4"/>
    <w:rsid w:val="00737927"/>
    <w:rsid w:val="00776072"/>
    <w:rsid w:val="007C0588"/>
    <w:rsid w:val="007E44EF"/>
    <w:rsid w:val="007F43B6"/>
    <w:rsid w:val="007F7AF0"/>
    <w:rsid w:val="00805E1E"/>
    <w:rsid w:val="00807E7A"/>
    <w:rsid w:val="00813E0E"/>
    <w:rsid w:val="00815181"/>
    <w:rsid w:val="008523DD"/>
    <w:rsid w:val="008637B9"/>
    <w:rsid w:val="008A506B"/>
    <w:rsid w:val="008C65DB"/>
    <w:rsid w:val="008D7470"/>
    <w:rsid w:val="008E161D"/>
    <w:rsid w:val="008F1934"/>
    <w:rsid w:val="008F333E"/>
    <w:rsid w:val="008F3CB6"/>
    <w:rsid w:val="00910A9F"/>
    <w:rsid w:val="0092787E"/>
    <w:rsid w:val="009336ED"/>
    <w:rsid w:val="009601C6"/>
    <w:rsid w:val="00975C77"/>
    <w:rsid w:val="0098266C"/>
    <w:rsid w:val="00985A1B"/>
    <w:rsid w:val="00986E41"/>
    <w:rsid w:val="00A23ECF"/>
    <w:rsid w:val="00A30752"/>
    <w:rsid w:val="00A46BBD"/>
    <w:rsid w:val="00A66F8A"/>
    <w:rsid w:val="00A8024A"/>
    <w:rsid w:val="00A83A9D"/>
    <w:rsid w:val="00A87A36"/>
    <w:rsid w:val="00AD62E8"/>
    <w:rsid w:val="00AD63D2"/>
    <w:rsid w:val="00AE1CCD"/>
    <w:rsid w:val="00B051F0"/>
    <w:rsid w:val="00B12147"/>
    <w:rsid w:val="00B16130"/>
    <w:rsid w:val="00B50634"/>
    <w:rsid w:val="00B848D8"/>
    <w:rsid w:val="00B861AD"/>
    <w:rsid w:val="00B865C4"/>
    <w:rsid w:val="00B93168"/>
    <w:rsid w:val="00B934C8"/>
    <w:rsid w:val="00BB72A3"/>
    <w:rsid w:val="00BC02C5"/>
    <w:rsid w:val="00BE42B7"/>
    <w:rsid w:val="00C0168D"/>
    <w:rsid w:val="00C30247"/>
    <w:rsid w:val="00C47461"/>
    <w:rsid w:val="00C63578"/>
    <w:rsid w:val="00C71B31"/>
    <w:rsid w:val="00CA2851"/>
    <w:rsid w:val="00CD18C7"/>
    <w:rsid w:val="00CD204D"/>
    <w:rsid w:val="00CE1467"/>
    <w:rsid w:val="00D02022"/>
    <w:rsid w:val="00D13589"/>
    <w:rsid w:val="00D254FA"/>
    <w:rsid w:val="00D420EA"/>
    <w:rsid w:val="00DA287B"/>
    <w:rsid w:val="00DB537F"/>
    <w:rsid w:val="00DC2EFB"/>
    <w:rsid w:val="00DC57F5"/>
    <w:rsid w:val="00DF6D4E"/>
    <w:rsid w:val="00E01235"/>
    <w:rsid w:val="00E13404"/>
    <w:rsid w:val="00E20F6B"/>
    <w:rsid w:val="00E22825"/>
    <w:rsid w:val="00E33C4D"/>
    <w:rsid w:val="00E95FD3"/>
    <w:rsid w:val="00EA1B3E"/>
    <w:rsid w:val="00EC6F91"/>
    <w:rsid w:val="00ED5F33"/>
    <w:rsid w:val="00EF2FE4"/>
    <w:rsid w:val="00F34CDB"/>
    <w:rsid w:val="00F4480F"/>
    <w:rsid w:val="00F766A9"/>
    <w:rsid w:val="00FC168D"/>
    <w:rsid w:val="00FF2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FF5E02"/>
  <w15:chartTrackingRefBased/>
  <w15:docId w15:val="{B80698DF-21DA-4159-B55F-0342985B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454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541A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3454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541A"/>
    <w:rPr>
      <w:lang w:val="en-GB"/>
    </w:rPr>
  </w:style>
  <w:style w:type="paragraph" w:customStyle="1" w:styleId="EndNoteBibliographyTitle">
    <w:name w:val="EndNote Bibliography Title"/>
    <w:basedOn w:val="Normal"/>
    <w:link w:val="EndNoteBibliographyTitleChar"/>
    <w:rsid w:val="0036208C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6208C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36208C"/>
    <w:pPr>
      <w:spacing w:line="240" w:lineRule="auto"/>
      <w:jc w:val="both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36208C"/>
    <w:rPr>
      <w:rFonts w:ascii="Calibri" w:hAnsi="Calibri" w:cs="Calibri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36208C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6208C"/>
    <w:rPr>
      <w:color w:val="605E5C"/>
      <w:shd w:val="clear" w:color="auto" w:fill="E1DFDD"/>
    </w:rPr>
  </w:style>
  <w:style w:type="paragraph" w:customStyle="1" w:styleId="Title1">
    <w:name w:val="Title 1"/>
    <w:basedOn w:val="Normal"/>
    <w:link w:val="Title1Char"/>
    <w:qFormat/>
    <w:rsid w:val="00302F6B"/>
    <w:pPr>
      <w:spacing w:before="720" w:after="360" w:line="360" w:lineRule="auto"/>
    </w:pPr>
    <w:rPr>
      <w:rFonts w:ascii="Times New Roman" w:eastAsia="Times New Roman" w:hAnsi="Times New Roman" w:cs="Times New Roman"/>
      <w:sz w:val="36"/>
      <w:szCs w:val="20"/>
      <w:lang w:val="en-US"/>
    </w:rPr>
  </w:style>
  <w:style w:type="character" w:customStyle="1" w:styleId="Title1Char">
    <w:name w:val="Title 1 Char"/>
    <w:basedOn w:val="DefaultParagraphFont"/>
    <w:link w:val="Title1"/>
    <w:rsid w:val="00302F6B"/>
    <w:rPr>
      <w:rFonts w:ascii="Times New Roman" w:eastAsia="Times New Roman" w:hAnsi="Times New Roman" w:cs="Times New Roman"/>
      <w:sz w:val="36"/>
      <w:szCs w:val="20"/>
      <w:lang w:val="en-US"/>
    </w:rPr>
  </w:style>
  <w:style w:type="paragraph" w:customStyle="1" w:styleId="Normal1">
    <w:name w:val="Normal 1"/>
    <w:basedOn w:val="Normal"/>
    <w:link w:val="Normal1Char"/>
    <w:qFormat/>
    <w:rsid w:val="00133B5F"/>
    <w:pPr>
      <w:spacing w:after="200" w:line="360" w:lineRule="auto"/>
      <w:jc w:val="both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Normal1Char">
    <w:name w:val="Normal 1 Char"/>
    <w:basedOn w:val="DefaultParagraphFont"/>
    <w:link w:val="Normal1"/>
    <w:rsid w:val="00133B5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Head2">
    <w:name w:val="Head2"/>
    <w:basedOn w:val="Normal"/>
    <w:link w:val="Head2Char"/>
    <w:qFormat/>
    <w:rsid w:val="00133B5F"/>
    <w:pPr>
      <w:spacing w:after="0" w:line="480" w:lineRule="auto"/>
      <w:ind w:firstLine="202"/>
      <w:jc w:val="both"/>
    </w:pPr>
    <w:rPr>
      <w:rFonts w:ascii="Times New Roman" w:eastAsia="Times New Roman" w:hAnsi="Times New Roman" w:cs="Times New Roman"/>
      <w:bCs/>
      <w:i/>
      <w:sz w:val="24"/>
      <w:szCs w:val="20"/>
      <w:lang w:val="en-US"/>
    </w:rPr>
  </w:style>
  <w:style w:type="character" w:customStyle="1" w:styleId="Head2Char">
    <w:name w:val="Head2 Char"/>
    <w:basedOn w:val="DefaultParagraphFont"/>
    <w:link w:val="Head2"/>
    <w:rsid w:val="00133B5F"/>
    <w:rPr>
      <w:rFonts w:ascii="Times New Roman" w:eastAsia="Times New Roman" w:hAnsi="Times New Roman" w:cs="Times New Roman"/>
      <w:bCs/>
      <w:i/>
      <w:sz w:val="24"/>
      <w:szCs w:val="20"/>
      <w:lang w:val="en-US"/>
    </w:rPr>
  </w:style>
  <w:style w:type="paragraph" w:customStyle="1" w:styleId="VAFigureCaption">
    <w:name w:val="VA_Figure_Caption"/>
    <w:basedOn w:val="Normal"/>
    <w:next w:val="Normal"/>
    <w:link w:val="VAFigureCaptionChar"/>
    <w:rsid w:val="00CE1467"/>
    <w:pPr>
      <w:spacing w:after="200" w:line="48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paragraph" w:customStyle="1" w:styleId="Figurecap">
    <w:name w:val="Figure cap"/>
    <w:basedOn w:val="VAFigureCaption"/>
    <w:link w:val="FigurecapChar"/>
    <w:qFormat/>
    <w:rsid w:val="00CE1467"/>
    <w:rPr>
      <w:rFonts w:ascii="Times New Roman" w:hAnsi="Times New Roman"/>
    </w:rPr>
  </w:style>
  <w:style w:type="character" w:customStyle="1" w:styleId="VAFigureCaptionChar">
    <w:name w:val="VA_Figure_Caption Char"/>
    <w:basedOn w:val="DefaultParagraphFont"/>
    <w:link w:val="VAFigureCaption"/>
    <w:rsid w:val="00CE1467"/>
    <w:rPr>
      <w:rFonts w:ascii="Times" w:eastAsia="Times New Roman" w:hAnsi="Times" w:cs="Times New Roman"/>
      <w:sz w:val="24"/>
      <w:szCs w:val="20"/>
      <w:lang w:val="en-US"/>
    </w:rPr>
  </w:style>
  <w:style w:type="character" w:customStyle="1" w:styleId="FigurecapChar">
    <w:name w:val="Figure cap Char"/>
    <w:basedOn w:val="VAFigureCaptionChar"/>
    <w:link w:val="Figurecap"/>
    <w:rsid w:val="00CE1467"/>
    <w:rPr>
      <w:rFonts w:ascii="Times New Roman" w:eastAsia="Times New Roman" w:hAnsi="Times New Roman" w:cs="Times New Roman"/>
      <w:sz w:val="24"/>
      <w:szCs w:val="20"/>
      <w:lang w:val="en-US"/>
    </w:rPr>
  </w:style>
  <w:style w:type="character" w:styleId="CommentReference">
    <w:name w:val="annotation reference"/>
    <w:basedOn w:val="DefaultParagraphFont"/>
    <w:semiHidden/>
    <w:unhideWhenUsed/>
    <w:rsid w:val="00CE1467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CE1467"/>
    <w:pPr>
      <w:spacing w:after="200" w:line="240" w:lineRule="auto"/>
      <w:jc w:val="both"/>
    </w:pPr>
    <w:rPr>
      <w:rFonts w:ascii="Times" w:eastAsia="Times New Roman" w:hAnsi="Times" w:cs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semiHidden/>
    <w:rsid w:val="00CE1467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TCTableBody">
    <w:name w:val="TC_Table_Body"/>
    <w:basedOn w:val="Normal"/>
    <w:rsid w:val="002E30FF"/>
    <w:pPr>
      <w:spacing w:after="200" w:line="24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B1214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537F"/>
    <w:pPr>
      <w:spacing w:after="160"/>
      <w:jc w:val="left"/>
    </w:pPr>
    <w:rPr>
      <w:rFonts w:asciiTheme="minorHAnsi" w:eastAsiaTheme="minorHAnsi" w:hAnsiTheme="minorHAnsi" w:cstheme="minorBidi"/>
      <w:b/>
      <w:bCs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537F"/>
    <w:rPr>
      <w:rFonts w:ascii="Times" w:eastAsia="Times New Roman" w:hAnsi="Times" w:cs="Times New Roman"/>
      <w:b/>
      <w:bCs/>
      <w:sz w:val="20"/>
      <w:szCs w:val="20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BE42B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Revision">
    <w:name w:val="Revision"/>
    <w:hidden/>
    <w:uiPriority w:val="99"/>
    <w:semiHidden/>
    <w:rsid w:val="00CD18C7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07/s12551-016-0197-7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doi.org/10.1139/v61-14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21/ar400066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E2FF2E-392B-412D-93FB-452134225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UiT The Arctic University of Norway</Company>
  <LinksUpToDate>false</LinksUpToDate>
  <CharactersWithSpaces>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Myrseth Hemmingsen</dc:creator>
  <cp:keywords/>
  <dc:description/>
  <cp:lastModifiedBy>Arden Badon</cp:lastModifiedBy>
  <cp:revision>9</cp:revision>
  <dcterms:created xsi:type="dcterms:W3CDTF">2022-11-15T09:52:00Z</dcterms:created>
  <dcterms:modified xsi:type="dcterms:W3CDTF">2022-12-13T03:13:00Z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50b96d7-1f7d-4a0a-b8d6-ae343a69b897_Enabled">
    <vt:lpwstr>true</vt:lpwstr>
  </property>
  <property fmtid="{D5CDD505-2E9C-101B-9397-08002B2CF9AE}" pid="3" name="MSIP_Label_950b96d7-1f7d-4a0a-b8d6-ae343a69b897_SetDate">
    <vt:lpwstr>2022-04-25T09:45:13Z</vt:lpwstr>
  </property>
  <property fmtid="{D5CDD505-2E9C-101B-9397-08002B2CF9AE}" pid="4" name="MSIP_Label_950b96d7-1f7d-4a0a-b8d6-ae343a69b897_Method">
    <vt:lpwstr>Privileged</vt:lpwstr>
  </property>
  <property fmtid="{D5CDD505-2E9C-101B-9397-08002B2CF9AE}" pid="5" name="MSIP_Label_950b96d7-1f7d-4a0a-b8d6-ae343a69b897_Name">
    <vt:lpwstr>950b96d7-1f7d-4a0a-b8d6-ae343a69b897</vt:lpwstr>
  </property>
  <property fmtid="{D5CDD505-2E9C-101B-9397-08002B2CF9AE}" pid="6" name="MSIP_Label_950b96d7-1f7d-4a0a-b8d6-ae343a69b897_SiteId">
    <vt:lpwstr>4e7f212d-74db-4563-a57b-8ae44ed05526</vt:lpwstr>
  </property>
  <property fmtid="{D5CDD505-2E9C-101B-9397-08002B2CF9AE}" pid="7" name="MSIP_Label_950b96d7-1f7d-4a0a-b8d6-ae343a69b897_ActionId">
    <vt:lpwstr>e6a30036-c991-42d5-8338-5ad528461ead</vt:lpwstr>
  </property>
  <property fmtid="{D5CDD505-2E9C-101B-9397-08002B2CF9AE}" pid="8" name="MSIP_Label_950b96d7-1f7d-4a0a-b8d6-ae343a69b897_ContentBits">
    <vt:lpwstr>0</vt:lpwstr>
  </property>
</Properties>
</file>