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01C7FF" w14:textId="190A2713" w:rsidR="009B2B4A" w:rsidRPr="00966B21" w:rsidRDefault="002873BA" w:rsidP="002753DB">
      <w:pPr>
        <w:spacing w:after="0" w:line="240" w:lineRule="auto"/>
        <w:jc w:val="both"/>
        <w:rPr>
          <w:rFonts w:ascii="Times New Roman" w:hAnsi="Times New Roman" w:cs="Times New Roman"/>
          <w:color w:val="000000" w:themeColor="text1"/>
          <w:sz w:val="24"/>
          <w:szCs w:val="24"/>
          <w:lang w:val="en-GB"/>
        </w:rPr>
      </w:pPr>
      <w:bookmarkStart w:id="0" w:name="_Hlk174958521"/>
      <w:r w:rsidRPr="00966B21">
        <w:rPr>
          <w:rFonts w:ascii="Times New Roman" w:hAnsi="Times New Roman" w:cs="Times New Roman"/>
          <w:color w:val="000000" w:themeColor="text1"/>
          <w:sz w:val="24"/>
          <w:szCs w:val="24"/>
          <w:lang w:val="en-GB"/>
        </w:rPr>
        <w:t xml:space="preserve">Hydrophobic Eutectic Solvents for </w:t>
      </w:r>
      <w:r w:rsidR="0019507F" w:rsidRPr="00966B21">
        <w:rPr>
          <w:rFonts w:ascii="Times New Roman" w:hAnsi="Times New Roman" w:cs="Times New Roman"/>
          <w:color w:val="000000" w:themeColor="text1"/>
          <w:sz w:val="24"/>
          <w:szCs w:val="24"/>
          <w:lang w:val="en-GB"/>
        </w:rPr>
        <w:t xml:space="preserve">Sustainable Recovery of </w:t>
      </w:r>
      <w:r w:rsidRPr="00966B21">
        <w:rPr>
          <w:rFonts w:ascii="Times New Roman" w:hAnsi="Times New Roman" w:cs="Times New Roman"/>
          <w:color w:val="000000" w:themeColor="text1"/>
          <w:sz w:val="24"/>
          <w:szCs w:val="24"/>
          <w:lang w:val="en-GB"/>
        </w:rPr>
        <w:t>Carotenoid</w:t>
      </w:r>
      <w:r w:rsidR="006F0502" w:rsidRPr="00966B21">
        <w:rPr>
          <w:rFonts w:ascii="Times New Roman" w:hAnsi="Times New Roman" w:cs="Times New Roman"/>
          <w:color w:val="000000" w:themeColor="text1"/>
          <w:sz w:val="24"/>
          <w:szCs w:val="24"/>
          <w:lang w:val="en-GB"/>
        </w:rPr>
        <w:t>s</w:t>
      </w:r>
      <w:r w:rsidRPr="00966B21">
        <w:rPr>
          <w:rFonts w:ascii="Times New Roman" w:hAnsi="Times New Roman" w:cs="Times New Roman"/>
          <w:color w:val="000000" w:themeColor="text1"/>
          <w:sz w:val="24"/>
          <w:szCs w:val="24"/>
          <w:lang w:val="en-GB"/>
        </w:rPr>
        <w:t xml:space="preserve"> from Mango Peel: Extraction Optimization and Insights into Molecular Interactions at </w:t>
      </w:r>
      <w:r w:rsidR="000A772D" w:rsidRPr="00966B21">
        <w:rPr>
          <w:rFonts w:ascii="Times New Roman" w:hAnsi="Times New Roman" w:cs="Times New Roman"/>
          <w:color w:val="000000" w:themeColor="text1"/>
          <w:sz w:val="24"/>
          <w:szCs w:val="24"/>
          <w:lang w:val="en-GB"/>
        </w:rPr>
        <w:t>P</w:t>
      </w:r>
      <w:r w:rsidRPr="00966B21">
        <w:rPr>
          <w:rFonts w:ascii="Times New Roman" w:hAnsi="Times New Roman" w:cs="Times New Roman"/>
          <w:color w:val="000000" w:themeColor="text1"/>
          <w:sz w:val="24"/>
          <w:szCs w:val="24"/>
          <w:lang w:val="en-GB"/>
        </w:rPr>
        <w:t>lay</w:t>
      </w:r>
    </w:p>
    <w:p w14:paraId="3F626D02" w14:textId="77777777" w:rsidR="002873BA" w:rsidRPr="00966B21" w:rsidRDefault="002873BA" w:rsidP="002753DB">
      <w:pPr>
        <w:spacing w:after="0" w:line="240" w:lineRule="auto"/>
        <w:jc w:val="both"/>
        <w:rPr>
          <w:rFonts w:ascii="Times New Roman" w:hAnsi="Times New Roman" w:cs="Times New Roman"/>
          <w:color w:val="000000" w:themeColor="text1"/>
          <w:sz w:val="24"/>
          <w:szCs w:val="24"/>
          <w:lang w:val="en-GB"/>
        </w:rPr>
      </w:pPr>
    </w:p>
    <w:bookmarkEnd w:id="0"/>
    <w:p w14:paraId="3DFCCABB" w14:textId="77777777" w:rsidR="00D07927" w:rsidRPr="00966B21" w:rsidRDefault="00294294" w:rsidP="002753DB">
      <w:pPr>
        <w:spacing w:after="0" w:line="240" w:lineRule="auto"/>
        <w:jc w:val="center"/>
        <w:rPr>
          <w:rFonts w:ascii="Times New Roman" w:hAnsi="Times New Roman" w:cs="Times New Roman"/>
          <w:sz w:val="24"/>
          <w:szCs w:val="24"/>
          <w:lang w:val="it-IT"/>
        </w:rPr>
      </w:pPr>
      <w:r w:rsidRPr="00966B21">
        <w:rPr>
          <w:rFonts w:ascii="Times New Roman" w:hAnsi="Times New Roman" w:cs="Times New Roman"/>
          <w:sz w:val="24"/>
          <w:szCs w:val="24"/>
          <w:lang w:val="it-IT"/>
        </w:rPr>
        <w:t>Gonzalo A. Ojeda</w:t>
      </w:r>
      <w:r w:rsidR="006A12DA" w:rsidRPr="00966B21">
        <w:rPr>
          <w:rFonts w:ascii="Times New Roman" w:hAnsi="Times New Roman" w:cs="Times New Roman"/>
          <w:sz w:val="24"/>
          <w:szCs w:val="24"/>
          <w:vertAlign w:val="superscript"/>
          <w:lang w:val="it-IT"/>
        </w:rPr>
        <w:t>a</w:t>
      </w:r>
      <w:r w:rsidR="00706AF9" w:rsidRPr="00966B21">
        <w:rPr>
          <w:rFonts w:ascii="Times New Roman" w:hAnsi="Times New Roman" w:cs="Times New Roman"/>
          <w:sz w:val="24"/>
          <w:szCs w:val="24"/>
          <w:vertAlign w:val="superscript"/>
          <w:lang w:val="it-IT"/>
        </w:rPr>
        <w:t>*</w:t>
      </w:r>
      <w:r w:rsidRPr="00966B21">
        <w:rPr>
          <w:rFonts w:ascii="Times New Roman" w:hAnsi="Times New Roman" w:cs="Times New Roman"/>
          <w:sz w:val="24"/>
          <w:szCs w:val="24"/>
          <w:lang w:val="it-IT"/>
        </w:rPr>
        <w:t>, Margarita</w:t>
      </w:r>
      <w:r w:rsidR="00B4042B" w:rsidRPr="00966B21">
        <w:rPr>
          <w:rFonts w:ascii="Times New Roman" w:hAnsi="Times New Roman" w:cs="Times New Roman"/>
          <w:sz w:val="24"/>
          <w:szCs w:val="24"/>
          <w:lang w:val="it-IT"/>
        </w:rPr>
        <w:t xml:space="preserve"> M.</w:t>
      </w:r>
      <w:r w:rsidRPr="00966B21">
        <w:rPr>
          <w:rFonts w:ascii="Times New Roman" w:hAnsi="Times New Roman" w:cs="Times New Roman"/>
          <w:sz w:val="24"/>
          <w:szCs w:val="24"/>
          <w:lang w:val="it-IT"/>
        </w:rPr>
        <w:t xml:space="preserve"> Vallejos</w:t>
      </w:r>
      <w:r w:rsidR="006A12DA" w:rsidRPr="00966B21">
        <w:rPr>
          <w:rFonts w:ascii="Times New Roman" w:hAnsi="Times New Roman" w:cs="Times New Roman"/>
          <w:sz w:val="24"/>
          <w:szCs w:val="24"/>
          <w:vertAlign w:val="superscript"/>
          <w:lang w:val="it-IT"/>
        </w:rPr>
        <w:t>a</w:t>
      </w:r>
      <w:r w:rsidRPr="00966B21">
        <w:rPr>
          <w:rFonts w:ascii="Times New Roman" w:hAnsi="Times New Roman" w:cs="Times New Roman"/>
          <w:sz w:val="24"/>
          <w:szCs w:val="24"/>
          <w:lang w:val="it-IT"/>
        </w:rPr>
        <w:t xml:space="preserve">, </w:t>
      </w:r>
      <w:bookmarkStart w:id="1" w:name="_Hlk174958585"/>
      <w:r w:rsidR="00B85698" w:rsidRPr="00966B21">
        <w:rPr>
          <w:rFonts w:ascii="Times New Roman" w:hAnsi="Times New Roman" w:cs="Times New Roman"/>
          <w:sz w:val="24"/>
          <w:szCs w:val="24"/>
          <w:lang w:val="it-IT"/>
        </w:rPr>
        <w:t xml:space="preserve">Chiara </w:t>
      </w:r>
      <w:r w:rsidRPr="00966B21">
        <w:rPr>
          <w:rFonts w:ascii="Times New Roman" w:hAnsi="Times New Roman" w:cs="Times New Roman"/>
          <w:sz w:val="24"/>
          <w:szCs w:val="24"/>
          <w:lang w:val="it-IT"/>
        </w:rPr>
        <w:t>Samor</w:t>
      </w:r>
      <w:r w:rsidR="00B85698" w:rsidRPr="00966B21">
        <w:rPr>
          <w:rFonts w:ascii="Times New Roman" w:hAnsi="Times New Roman" w:cs="Times New Roman"/>
          <w:sz w:val="24"/>
          <w:szCs w:val="24"/>
          <w:lang w:val="it-IT"/>
        </w:rPr>
        <w:t>ì</w:t>
      </w:r>
      <w:r w:rsidR="006A12DA" w:rsidRPr="00966B21">
        <w:rPr>
          <w:rFonts w:ascii="Times New Roman" w:hAnsi="Times New Roman" w:cs="Times New Roman"/>
          <w:sz w:val="24"/>
          <w:szCs w:val="24"/>
          <w:vertAlign w:val="superscript"/>
          <w:lang w:val="it-IT"/>
        </w:rPr>
        <w:t>b</w:t>
      </w:r>
      <w:r w:rsidRPr="00966B21">
        <w:rPr>
          <w:rFonts w:ascii="Times New Roman" w:hAnsi="Times New Roman" w:cs="Times New Roman"/>
          <w:sz w:val="24"/>
          <w:szCs w:val="24"/>
          <w:lang w:val="it-IT"/>
        </w:rPr>
        <w:t xml:space="preserve">, </w:t>
      </w:r>
      <w:r w:rsidR="00B85698" w:rsidRPr="00966B21">
        <w:rPr>
          <w:rFonts w:ascii="Times New Roman" w:hAnsi="Times New Roman" w:cs="Times New Roman"/>
          <w:sz w:val="24"/>
          <w:szCs w:val="24"/>
          <w:lang w:val="it-IT"/>
        </w:rPr>
        <w:t xml:space="preserve">Paola </w:t>
      </w:r>
      <w:r w:rsidRPr="00966B21">
        <w:rPr>
          <w:rFonts w:ascii="Times New Roman" w:hAnsi="Times New Roman" w:cs="Times New Roman"/>
          <w:sz w:val="24"/>
          <w:szCs w:val="24"/>
          <w:lang w:val="it-IT"/>
        </w:rPr>
        <w:t>Galletti</w:t>
      </w:r>
      <w:r w:rsidR="006A12DA" w:rsidRPr="00966B21">
        <w:rPr>
          <w:rFonts w:ascii="Times New Roman" w:hAnsi="Times New Roman" w:cs="Times New Roman"/>
          <w:sz w:val="24"/>
          <w:szCs w:val="24"/>
          <w:vertAlign w:val="superscript"/>
          <w:lang w:val="it-IT"/>
        </w:rPr>
        <w:t>b</w:t>
      </w:r>
      <w:r w:rsidRPr="00966B21">
        <w:rPr>
          <w:rFonts w:ascii="Times New Roman" w:hAnsi="Times New Roman" w:cs="Times New Roman"/>
          <w:sz w:val="24"/>
          <w:szCs w:val="24"/>
          <w:lang w:val="it-IT"/>
        </w:rPr>
        <w:t xml:space="preserve"> </w:t>
      </w:r>
    </w:p>
    <w:bookmarkEnd w:id="1"/>
    <w:p w14:paraId="25FA3C14" w14:textId="77777777" w:rsidR="006A12DA" w:rsidRPr="00966B21" w:rsidRDefault="006A12DA" w:rsidP="002753DB">
      <w:pPr>
        <w:spacing w:after="0" w:line="240" w:lineRule="auto"/>
        <w:jc w:val="both"/>
        <w:rPr>
          <w:rFonts w:ascii="Times New Roman" w:hAnsi="Times New Roman" w:cs="Times New Roman"/>
          <w:sz w:val="24"/>
          <w:szCs w:val="24"/>
          <w:lang w:val="it-IT"/>
        </w:rPr>
      </w:pPr>
      <w:r w:rsidRPr="00966B21">
        <w:rPr>
          <w:rFonts w:ascii="Times New Roman" w:hAnsi="Times New Roman" w:cs="Times New Roman"/>
          <w:sz w:val="24"/>
          <w:szCs w:val="24"/>
          <w:vertAlign w:val="superscript"/>
        </w:rPr>
        <w:t>a</w:t>
      </w:r>
      <w:r w:rsidRPr="00966B21">
        <w:rPr>
          <w:rFonts w:ascii="Times New Roman" w:hAnsi="Times New Roman" w:cs="Times New Roman"/>
          <w:sz w:val="24"/>
          <w:szCs w:val="24"/>
        </w:rPr>
        <w:t xml:space="preserve"> Instituto de Química Básica y Aplicada del NEA – Consejo Nacional de Investigaciones Científicas y Técnicas – Universidad Nacional del Nordeste (IQUIBA NEA CONICET – UNNE). </w:t>
      </w:r>
      <w:r w:rsidRPr="00966B21">
        <w:rPr>
          <w:rFonts w:ascii="Times New Roman" w:hAnsi="Times New Roman" w:cs="Times New Roman"/>
          <w:sz w:val="24"/>
          <w:szCs w:val="24"/>
          <w:lang w:val="it-IT"/>
        </w:rPr>
        <w:t>Av. Libertad 5400, Corrientes (3400), Argentina.</w:t>
      </w:r>
    </w:p>
    <w:p w14:paraId="0BDFA46F" w14:textId="77777777" w:rsidR="006A12DA" w:rsidRPr="00966B21" w:rsidRDefault="006A12DA" w:rsidP="002753DB">
      <w:pPr>
        <w:spacing w:after="0" w:line="240" w:lineRule="auto"/>
        <w:jc w:val="both"/>
        <w:rPr>
          <w:rFonts w:ascii="Times New Roman" w:hAnsi="Times New Roman" w:cs="Times New Roman"/>
          <w:sz w:val="24"/>
          <w:szCs w:val="24"/>
          <w:lang w:val="it-IT"/>
        </w:rPr>
      </w:pPr>
      <w:r w:rsidRPr="00966B21">
        <w:rPr>
          <w:rFonts w:ascii="Times New Roman" w:hAnsi="Times New Roman" w:cs="Times New Roman"/>
          <w:sz w:val="24"/>
          <w:szCs w:val="24"/>
          <w:vertAlign w:val="superscript"/>
          <w:lang w:val="it-IT"/>
        </w:rPr>
        <w:t xml:space="preserve">b </w:t>
      </w:r>
      <w:bookmarkStart w:id="2" w:name="_Hlk174958560"/>
      <w:r w:rsidRPr="00966B21">
        <w:rPr>
          <w:rFonts w:ascii="Times New Roman" w:hAnsi="Times New Roman" w:cs="Times New Roman"/>
          <w:sz w:val="24"/>
          <w:szCs w:val="24"/>
          <w:lang w:val="it-IT"/>
        </w:rPr>
        <w:t>Dipartimento di Chimica “Giacomo Ciamician”, Università di Bologna, via Sant’Alberto 163, Ravenna, Italy</w:t>
      </w:r>
    </w:p>
    <w:p w14:paraId="1DB3EFA6" w14:textId="77777777" w:rsidR="00A10B87" w:rsidRPr="00966B21" w:rsidRDefault="00706AF9" w:rsidP="002753DB">
      <w:pPr>
        <w:spacing w:after="0" w:line="240" w:lineRule="auto"/>
        <w:jc w:val="both"/>
        <w:rPr>
          <w:rFonts w:ascii="Times New Roman" w:hAnsi="Times New Roman" w:cs="Times New Roman"/>
          <w:sz w:val="24"/>
          <w:szCs w:val="24"/>
          <w:lang w:val="en-GB"/>
        </w:rPr>
      </w:pPr>
      <w:r w:rsidRPr="00966B21">
        <w:rPr>
          <w:rFonts w:ascii="Times New Roman" w:hAnsi="Times New Roman" w:cs="Times New Roman"/>
          <w:sz w:val="24"/>
          <w:szCs w:val="24"/>
          <w:lang w:val="en-GB"/>
        </w:rPr>
        <w:t>*</w:t>
      </w:r>
      <w:r w:rsidRPr="00966B21">
        <w:rPr>
          <w:rFonts w:ascii="Times" w:eastAsia="Times New Roman" w:hAnsi="Times" w:cstheme="minorHAnsi"/>
          <w:color w:val="000000" w:themeColor="text1"/>
          <w:sz w:val="24"/>
          <w:szCs w:val="24"/>
          <w:lang w:val="en-GB"/>
        </w:rPr>
        <w:t xml:space="preserve"> </w:t>
      </w:r>
      <w:r w:rsidRPr="00966B21">
        <w:rPr>
          <w:rFonts w:ascii="Times New Roman" w:hAnsi="Times New Roman" w:cs="Times New Roman"/>
          <w:sz w:val="24"/>
          <w:szCs w:val="24"/>
          <w:lang w:val="en-GB"/>
        </w:rPr>
        <w:t xml:space="preserve">Corresponding author e-mail: </w:t>
      </w:r>
      <w:hyperlink r:id="rId6" w:history="1">
        <w:r w:rsidRPr="00966B21">
          <w:rPr>
            <w:rStyle w:val="Collegamentoipertestuale"/>
            <w:rFonts w:ascii="Times New Roman" w:hAnsi="Times New Roman" w:cs="Times New Roman"/>
            <w:sz w:val="24"/>
            <w:szCs w:val="24"/>
            <w:lang w:val="en-GB"/>
          </w:rPr>
          <w:t>gaojeda@exa.unne.edu.ar</w:t>
        </w:r>
      </w:hyperlink>
    </w:p>
    <w:bookmarkEnd w:id="2"/>
    <w:p w14:paraId="01D2E1C1" w14:textId="77777777" w:rsidR="0024099E" w:rsidRPr="00966B21" w:rsidRDefault="0024099E" w:rsidP="002753DB">
      <w:pPr>
        <w:spacing w:after="0" w:line="240" w:lineRule="auto"/>
        <w:jc w:val="both"/>
        <w:rPr>
          <w:rFonts w:ascii="Times New Roman" w:hAnsi="Times New Roman" w:cs="Times New Roman"/>
          <w:b/>
          <w:sz w:val="24"/>
          <w:szCs w:val="24"/>
          <w:lang w:val="en-GB"/>
        </w:rPr>
      </w:pPr>
    </w:p>
    <w:p w14:paraId="061ABB4E" w14:textId="7DB0C718" w:rsidR="0092157A" w:rsidRPr="00966B21" w:rsidRDefault="0092157A" w:rsidP="002753DB">
      <w:pPr>
        <w:spacing w:after="0" w:line="240" w:lineRule="auto"/>
        <w:jc w:val="both"/>
        <w:rPr>
          <w:rFonts w:ascii="Times New Roman" w:hAnsi="Times New Roman" w:cs="Times New Roman"/>
          <w:b/>
          <w:sz w:val="24"/>
          <w:szCs w:val="24"/>
          <w:lang w:val="en-GB"/>
        </w:rPr>
      </w:pPr>
      <w:r w:rsidRPr="00966B21">
        <w:rPr>
          <w:rFonts w:ascii="Times New Roman" w:hAnsi="Times New Roman" w:cs="Times New Roman"/>
          <w:b/>
          <w:sz w:val="24"/>
          <w:szCs w:val="24"/>
          <w:lang w:val="en-GB"/>
        </w:rPr>
        <w:t>Abstract</w:t>
      </w:r>
    </w:p>
    <w:p w14:paraId="4A90646B" w14:textId="772F0703" w:rsidR="00304561" w:rsidRPr="00966B21" w:rsidRDefault="0092157A" w:rsidP="00304561">
      <w:pPr>
        <w:pStyle w:val="NormaleWeb"/>
        <w:spacing w:before="0" w:beforeAutospacing="0" w:after="0" w:afterAutospacing="0"/>
        <w:jc w:val="both"/>
        <w:rPr>
          <w:lang w:val="en-GB"/>
        </w:rPr>
      </w:pPr>
      <w:r w:rsidRPr="00966B21">
        <w:rPr>
          <w:lang w:val="en-GB"/>
        </w:rPr>
        <w:t xml:space="preserve">Mango peel, </w:t>
      </w:r>
      <w:r w:rsidR="000A772D" w:rsidRPr="00966B21">
        <w:rPr>
          <w:lang w:val="en-GB"/>
        </w:rPr>
        <w:t>one of the main</w:t>
      </w:r>
      <w:r w:rsidRPr="00966B21">
        <w:rPr>
          <w:lang w:val="en-GB"/>
        </w:rPr>
        <w:t xml:space="preserve"> by-product</w:t>
      </w:r>
      <w:r w:rsidR="000A772D" w:rsidRPr="00966B21">
        <w:rPr>
          <w:lang w:val="en-GB"/>
        </w:rPr>
        <w:t>s</w:t>
      </w:r>
      <w:r w:rsidRPr="00966B21">
        <w:rPr>
          <w:lang w:val="en-GB"/>
        </w:rPr>
        <w:t xml:space="preserve"> of the mango processing industry, is emerging as a valuable source of bioactive compounds, particularly carotenoids. However, efficient extraction and preservation of these compounds remain challeng</w:t>
      </w:r>
      <w:r w:rsidR="000A772D" w:rsidRPr="00966B21">
        <w:rPr>
          <w:lang w:val="en-GB"/>
        </w:rPr>
        <w:t>ing</w:t>
      </w:r>
      <w:r w:rsidRPr="00966B21">
        <w:rPr>
          <w:lang w:val="en-GB"/>
        </w:rPr>
        <w:t>. This study explored the potential of hydrophobic eutectic solvents (HES</w:t>
      </w:r>
      <w:r w:rsidR="0019507F" w:rsidRPr="00966B21">
        <w:rPr>
          <w:lang w:val="en-GB"/>
        </w:rPr>
        <w:t>s</w:t>
      </w:r>
      <w:r w:rsidRPr="00966B21">
        <w:rPr>
          <w:lang w:val="en-GB"/>
        </w:rPr>
        <w:t xml:space="preserve">) for extracting carotenoids from mango </w:t>
      </w:r>
      <w:r w:rsidR="00ED0E2A" w:rsidRPr="00966B21">
        <w:rPr>
          <w:i/>
          <w:lang w:val="en-GB"/>
        </w:rPr>
        <w:t>criollo</w:t>
      </w:r>
      <w:r w:rsidRPr="00966B21">
        <w:rPr>
          <w:lang w:val="en-GB"/>
        </w:rPr>
        <w:t xml:space="preserve"> peels. </w:t>
      </w:r>
      <w:r w:rsidR="00ED0E2A" w:rsidRPr="00966B21">
        <w:rPr>
          <w:lang w:val="en-GB"/>
        </w:rPr>
        <w:t>Several HESs demonstrated enhanced extraction efficiency and improved carotenoid stability under light and thermal stress conditions compared to conventional solvents</w:t>
      </w:r>
      <w:r w:rsidRPr="00966B21">
        <w:rPr>
          <w:lang w:val="en-GB"/>
        </w:rPr>
        <w:t>. Response surface methodology was employed to optimize the extraction process using a thymol-menthol</w:t>
      </w:r>
      <w:r w:rsidR="00ED0E2A" w:rsidRPr="00966B21">
        <w:rPr>
          <w:lang w:val="en-GB"/>
        </w:rPr>
        <w:t>-</w:t>
      </w:r>
      <w:r w:rsidRPr="00966B21">
        <w:rPr>
          <w:lang w:val="en-GB"/>
        </w:rPr>
        <w:t xml:space="preserve">based HES, resulting in a significant increase in carotenoid yield. The optimized extract </w:t>
      </w:r>
      <w:r w:rsidR="000A772D" w:rsidRPr="00966B21">
        <w:rPr>
          <w:lang w:val="en-GB"/>
        </w:rPr>
        <w:t>had a higher</w:t>
      </w:r>
      <w:r w:rsidRPr="00966B21">
        <w:rPr>
          <w:lang w:val="en-GB"/>
        </w:rPr>
        <w:t xml:space="preserve"> light stability, </w:t>
      </w:r>
      <w:r w:rsidR="00D248C7" w:rsidRPr="00966B21">
        <w:rPr>
          <w:lang w:val="en-GB"/>
        </w:rPr>
        <w:t>maintaining</w:t>
      </w:r>
      <w:r w:rsidRPr="00966B21">
        <w:rPr>
          <w:lang w:val="en-GB"/>
        </w:rPr>
        <w:t xml:space="preserve"> 87% of its initial antioxidant activity after 480 minutes of UV-A exposure.</w:t>
      </w:r>
      <w:r w:rsidR="00AB4FEF" w:rsidRPr="00966B21">
        <w:rPr>
          <w:lang w:val="en-GB"/>
        </w:rPr>
        <w:t xml:space="preserve"> The most abundant carotenoids in the optimized extract evaluated by HPLC-DA</w:t>
      </w:r>
      <w:r w:rsidR="00706AF9" w:rsidRPr="00966B21">
        <w:rPr>
          <w:lang w:val="en-GB"/>
        </w:rPr>
        <w:t>D</w:t>
      </w:r>
      <w:r w:rsidR="00AB4FEF" w:rsidRPr="00966B21">
        <w:rPr>
          <w:lang w:val="en-GB"/>
        </w:rPr>
        <w:t xml:space="preserve"> were β-carotene and lutein.</w:t>
      </w:r>
      <w:r w:rsidR="009B2B4A" w:rsidRPr="00966B21">
        <w:rPr>
          <w:lang w:val="en-GB"/>
        </w:rPr>
        <w:t xml:space="preserve"> </w:t>
      </w:r>
      <w:r w:rsidR="00D248C7" w:rsidRPr="00966B21">
        <w:rPr>
          <w:lang w:val="en-GB"/>
        </w:rPr>
        <w:t>A t</w:t>
      </w:r>
      <w:r w:rsidR="009B2B4A" w:rsidRPr="00966B21">
        <w:rPr>
          <w:lang w:val="en-GB"/>
        </w:rPr>
        <w:t xml:space="preserve">heoretical study using density functional theory (DFT) and Quantum Theory of Atoms in Molecules (QTAIM) was performed to elucidate the interactions between β-carotene and thymol-menthol complexes. Weak interactions create multiple contact points between β-carotene and thymol-menthol, which are crucial for both the extraction process and complex stabilization. Additionally, the electron density of intermolecular interactions has </w:t>
      </w:r>
      <w:r w:rsidR="00D248C7" w:rsidRPr="00966B21">
        <w:rPr>
          <w:lang w:val="en-GB"/>
        </w:rPr>
        <w:t xml:space="preserve">been </w:t>
      </w:r>
      <w:r w:rsidR="009B2B4A" w:rsidRPr="00966B21">
        <w:rPr>
          <w:lang w:val="en-GB"/>
        </w:rPr>
        <w:t xml:space="preserve">demonstrated to be a reliable indicator of stability, making it a valuable parameter for </w:t>
      </w:r>
      <w:r w:rsidR="00ED0E2A" w:rsidRPr="00966B21">
        <w:rPr>
          <w:lang w:val="en-GB"/>
        </w:rPr>
        <w:t>designing</w:t>
      </w:r>
      <w:r w:rsidR="009B2B4A" w:rsidRPr="00966B21">
        <w:rPr>
          <w:lang w:val="en-GB"/>
        </w:rPr>
        <w:t xml:space="preserve"> novel eutectic solvents.</w:t>
      </w:r>
    </w:p>
    <w:p w14:paraId="206948D8" w14:textId="77777777" w:rsidR="00A10B87" w:rsidRPr="00966B21" w:rsidRDefault="00A10B87" w:rsidP="002753DB">
      <w:pPr>
        <w:pStyle w:val="NormaleWeb"/>
        <w:spacing w:before="0" w:beforeAutospacing="0" w:after="0" w:afterAutospacing="0"/>
        <w:jc w:val="both"/>
        <w:rPr>
          <w:lang w:val="en-GB"/>
        </w:rPr>
      </w:pPr>
    </w:p>
    <w:p w14:paraId="021C567F" w14:textId="6C300ADF" w:rsidR="0092157A" w:rsidRPr="00966B21" w:rsidRDefault="0092157A" w:rsidP="002753DB">
      <w:pPr>
        <w:pStyle w:val="NormaleWeb"/>
        <w:spacing w:before="0" w:beforeAutospacing="0" w:after="0" w:afterAutospacing="0"/>
        <w:jc w:val="both"/>
        <w:rPr>
          <w:lang w:val="en-GB"/>
        </w:rPr>
      </w:pPr>
      <w:r w:rsidRPr="00966B21">
        <w:rPr>
          <w:rStyle w:val="Enfasigrassetto"/>
          <w:lang w:val="en-GB"/>
        </w:rPr>
        <w:t>Keywords:</w:t>
      </w:r>
      <w:r w:rsidRPr="00966B21">
        <w:rPr>
          <w:lang w:val="en-GB"/>
        </w:rPr>
        <w:t xml:space="preserve"> </w:t>
      </w:r>
      <w:r w:rsidR="00A626E8" w:rsidRPr="00966B21">
        <w:rPr>
          <w:lang w:val="en-GB"/>
        </w:rPr>
        <w:t>carotenoids</w:t>
      </w:r>
      <w:r w:rsidRPr="00966B21">
        <w:rPr>
          <w:lang w:val="en-GB"/>
        </w:rPr>
        <w:t xml:space="preserve">, </w:t>
      </w:r>
      <w:r w:rsidR="005F7A81" w:rsidRPr="00966B21">
        <w:rPr>
          <w:lang w:val="en-GB"/>
        </w:rPr>
        <w:t>eutectic solvent</w:t>
      </w:r>
      <w:r w:rsidR="00C30E1C" w:rsidRPr="00966B21">
        <w:rPr>
          <w:lang w:val="en-GB"/>
        </w:rPr>
        <w:t>,</w:t>
      </w:r>
      <w:r w:rsidR="005F7A81" w:rsidRPr="00966B21">
        <w:rPr>
          <w:lang w:val="en-GB"/>
        </w:rPr>
        <w:t xml:space="preserve"> molecular interactions</w:t>
      </w:r>
      <w:r w:rsidR="00A10B87" w:rsidRPr="00966B21">
        <w:rPr>
          <w:lang w:val="en-GB"/>
        </w:rPr>
        <w:t>, DFT, QTAIM.</w:t>
      </w:r>
    </w:p>
    <w:p w14:paraId="142EF951" w14:textId="77777777" w:rsidR="00A10B87" w:rsidRPr="00966B21" w:rsidRDefault="00A10B87" w:rsidP="002753DB">
      <w:pPr>
        <w:pStyle w:val="NormaleWeb"/>
        <w:spacing w:before="0" w:beforeAutospacing="0" w:after="0" w:afterAutospacing="0"/>
        <w:jc w:val="both"/>
        <w:rPr>
          <w:lang w:val="en-GB"/>
        </w:rPr>
      </w:pPr>
    </w:p>
    <w:p w14:paraId="691F4E39" w14:textId="77777777" w:rsidR="00D07927" w:rsidRPr="00966B21" w:rsidRDefault="00397D2A" w:rsidP="002753DB">
      <w:pPr>
        <w:spacing w:after="0" w:line="240" w:lineRule="auto"/>
        <w:jc w:val="both"/>
        <w:rPr>
          <w:rFonts w:ascii="Times New Roman" w:hAnsi="Times New Roman" w:cs="Times New Roman"/>
          <w:b/>
          <w:sz w:val="24"/>
          <w:szCs w:val="24"/>
          <w:lang w:val="en-GB"/>
        </w:rPr>
      </w:pPr>
      <w:r w:rsidRPr="00966B21">
        <w:rPr>
          <w:rFonts w:ascii="Times New Roman" w:hAnsi="Times New Roman" w:cs="Times New Roman"/>
          <w:b/>
          <w:sz w:val="24"/>
          <w:szCs w:val="24"/>
          <w:lang w:val="en-GB"/>
        </w:rPr>
        <w:t xml:space="preserve">1 </w:t>
      </w:r>
      <w:r w:rsidR="00D07927" w:rsidRPr="00966B21">
        <w:rPr>
          <w:rFonts w:ascii="Times New Roman" w:hAnsi="Times New Roman" w:cs="Times New Roman"/>
          <w:b/>
          <w:sz w:val="24"/>
          <w:szCs w:val="24"/>
          <w:lang w:val="en-GB"/>
        </w:rPr>
        <w:t xml:space="preserve">Introduction </w:t>
      </w:r>
    </w:p>
    <w:p w14:paraId="7108E195" w14:textId="77777777" w:rsidR="00A10B87" w:rsidRPr="00966B21" w:rsidRDefault="00A10B87" w:rsidP="002753DB">
      <w:pPr>
        <w:spacing w:after="0" w:line="240" w:lineRule="auto"/>
        <w:jc w:val="both"/>
        <w:rPr>
          <w:rFonts w:ascii="Times New Roman" w:hAnsi="Times New Roman" w:cs="Times New Roman"/>
          <w:b/>
          <w:sz w:val="24"/>
          <w:szCs w:val="24"/>
          <w:lang w:val="en-GB"/>
        </w:rPr>
      </w:pPr>
    </w:p>
    <w:p w14:paraId="7CC2FB26" w14:textId="60135258" w:rsidR="003161FF" w:rsidRPr="00966B21" w:rsidRDefault="00D248C7" w:rsidP="002753DB">
      <w:pPr>
        <w:pStyle w:val="NormaleWeb"/>
        <w:spacing w:before="0" w:beforeAutospacing="0" w:after="0" w:afterAutospacing="0"/>
        <w:jc w:val="both"/>
        <w:rPr>
          <w:lang w:val="en-US"/>
        </w:rPr>
      </w:pPr>
      <w:r w:rsidRPr="00966B21">
        <w:rPr>
          <w:lang w:val="en-GB"/>
        </w:rPr>
        <w:t>Waste valorisation is a pillar of the circular economy and in recent years, interest in utilizing by-products from various industries</w:t>
      </w:r>
      <w:r w:rsidR="00CA7138" w:rsidRPr="00966B21">
        <w:rPr>
          <w:lang w:val="en-GB"/>
        </w:rPr>
        <w:t xml:space="preserve"> or non-</w:t>
      </w:r>
      <w:r w:rsidR="001D08CA" w:rsidRPr="00966B21">
        <w:rPr>
          <w:lang w:val="en-GB"/>
        </w:rPr>
        <w:t>marketable</w:t>
      </w:r>
      <w:r w:rsidR="00CA7138" w:rsidRPr="00966B21">
        <w:rPr>
          <w:lang w:val="en-GB"/>
        </w:rPr>
        <w:t xml:space="preserve"> fruits</w:t>
      </w:r>
      <w:r w:rsidRPr="00966B21">
        <w:rPr>
          <w:lang w:val="en-GB"/>
        </w:rPr>
        <w:t xml:space="preserve"> to extract valuable bioactive compounds has exponentially increased.</w:t>
      </w:r>
      <w:r w:rsidR="00CA7138" w:rsidRPr="00966B21">
        <w:rPr>
          <w:lang w:val="en-GB"/>
        </w:rPr>
        <w:t xml:space="preserve"> </w:t>
      </w:r>
      <w:r w:rsidR="00CA7138" w:rsidRPr="00966B21">
        <w:rPr>
          <w:lang w:val="en-US"/>
        </w:rPr>
        <w:t>In the Northeast region of Argentina (NEA), there are more than 50,000 wild mango trees.</w:t>
      </w:r>
      <w:r w:rsidR="00685578" w:rsidRPr="00966B21">
        <w:rPr>
          <w:lang w:val="en-US"/>
        </w:rPr>
        <w:t xml:space="preserve"> </w:t>
      </w:r>
      <w:r w:rsidR="00CA7138" w:rsidRPr="00966B21">
        <w:rPr>
          <w:lang w:val="en-US"/>
        </w:rPr>
        <w:t>Despite t</w:t>
      </w:r>
      <w:r w:rsidR="0024038B" w:rsidRPr="00966B21">
        <w:rPr>
          <w:lang w:val="en-US"/>
        </w:rPr>
        <w:t>he</w:t>
      </w:r>
      <w:r w:rsidR="00CA7138" w:rsidRPr="00966B21">
        <w:rPr>
          <w:lang w:val="en-US"/>
        </w:rPr>
        <w:t xml:space="preserve"> good taste</w:t>
      </w:r>
      <w:r w:rsidR="0024038B" w:rsidRPr="00966B21">
        <w:rPr>
          <w:lang w:val="en-US"/>
        </w:rPr>
        <w:t xml:space="preserve"> of the fruits</w:t>
      </w:r>
      <w:r w:rsidR="00CA7138" w:rsidRPr="00966B21">
        <w:rPr>
          <w:lang w:val="en-US"/>
        </w:rPr>
        <w:t xml:space="preserve">, almost all of these are discarded due to their high fiber content </w:t>
      </w:r>
      <w:r w:rsidR="00CA7138" w:rsidRPr="00966B21">
        <w:rPr>
          <w:lang w:val="en-US"/>
        </w:rPr>
        <w:fldChar w:fldCharType="begin" w:fldLock="1"/>
      </w:r>
      <w:r w:rsidR="00CA7138" w:rsidRPr="00966B21">
        <w:rPr>
          <w:lang w:val="en-US"/>
        </w:rPr>
        <w:instrText>ADDIN CSL_CITATION {"citationItems":[{"id":"ITEM-1","itemData":{"DOI":"10.24215/30089336e001","abstract":"El mango (Mangifera indica L.) es un fruto tropical de amplia comercialización en el mercado internacional, con características organolépticas y nutricionales muy atractivas. En el Nordeste de Argentina se encuentran numerosas plantaciones silvestres de estos árboles que dan un fruto conocido como mango criollo, no habiendo información acerca de su composición. En este trabajo se caracterizaron los frutos producidos en la provincia de Corrientes (Argentina) entre los años 2008 y 2015, encontrándose elevados contenidos de agua (&gt;75 %), azúcares totales y reductores (11.95±1.32 y 2.72±0.16 g glucosa/100 g de tejido), fibra bruta (&gt;0.70 %) y fibra dietaria total (8.10±0.25 %). A su vez, estos frutos poseen una alta actividad antioxidante debida principalmente a los niveles de fenoles y carotenoides totales (1117.46±18.51 μg ácido clorogénico/g de tejido y 43.09±3.48 μg β-caroteno/g de tejido), siendo los tenores de ácido ascórbico reducidos.","author":[{"dropping-particle":"","family":"Arias Gorman","given":"Adriana María","non-dropping-particle":"","parse-names":false,"suffix":""},{"dropping-particle":"","family":"Sgroppo","given":"Sonia Cecilia","non-dropping-particle":"","parse-names":false,"suffix":""},{"dropping-particle":"","family":"Zaritzky","given":"Noemi Elisabet","non-dropping-particle":"","parse-names":false,"suffix":""}],"container-title":"Investigaciones Básicas y Aplicadas en Alimentos","id":"ITEM-1","issue":"1","issued":{"date-parts":[["2024"]]},"page":"e001","title":"Caracterización fisicoquímica de frutos de mango (Mangifera indica L.) silvestre de la provincia de Corrientes","type":"article-journal"},"uris":["http://www.mendeley.com/documents/?uuid=cfed4bca-3cc1-4fc5-82b4-0991a90905a1"]}],"mendeley":{"formattedCitation":"[1]","plainTextFormattedCitation":"[1]","previouslyFormattedCitation":"[1]"},"properties":{"noteIndex":0},"schema":"https://github.com/citation-style-language/schema/raw/master/csl-citation.json"}</w:instrText>
      </w:r>
      <w:r w:rsidR="00CA7138" w:rsidRPr="00966B21">
        <w:rPr>
          <w:lang w:val="en-US"/>
        </w:rPr>
        <w:fldChar w:fldCharType="separate"/>
      </w:r>
      <w:r w:rsidR="00CA7138" w:rsidRPr="00966B21">
        <w:rPr>
          <w:noProof/>
          <w:lang w:val="en-US"/>
        </w:rPr>
        <w:t>[1]</w:t>
      </w:r>
      <w:r w:rsidR="00CA7138" w:rsidRPr="00966B21">
        <w:rPr>
          <w:lang w:val="en-US"/>
        </w:rPr>
        <w:fldChar w:fldCharType="end"/>
      </w:r>
      <w:r w:rsidR="00CA7138" w:rsidRPr="00966B21">
        <w:rPr>
          <w:lang w:val="en-US"/>
        </w:rPr>
        <w:t xml:space="preserve">. This mango </w:t>
      </w:r>
      <w:r w:rsidR="0024038B" w:rsidRPr="00966B21">
        <w:rPr>
          <w:lang w:val="en-US"/>
        </w:rPr>
        <w:t>variety</w:t>
      </w:r>
      <w:r w:rsidR="00CA7138" w:rsidRPr="00966B21">
        <w:rPr>
          <w:lang w:val="en-US"/>
        </w:rPr>
        <w:t xml:space="preserve"> is locally known as “mango criollo”</w:t>
      </w:r>
      <w:r w:rsidR="00685578" w:rsidRPr="00966B21">
        <w:rPr>
          <w:lang w:val="en-US"/>
        </w:rPr>
        <w:t xml:space="preserve"> and</w:t>
      </w:r>
      <w:r w:rsidR="00CA7138" w:rsidRPr="00966B21">
        <w:rPr>
          <w:lang w:val="en-US"/>
        </w:rPr>
        <w:t xml:space="preserve"> its by-products have been previously studied as source of bioactives</w:t>
      </w:r>
      <w:r w:rsidR="00685578" w:rsidRPr="00966B21">
        <w:rPr>
          <w:lang w:val="en-US"/>
        </w:rPr>
        <w:t xml:space="preserve"> such as polyphenols</w:t>
      </w:r>
      <w:r w:rsidR="00CA7138" w:rsidRPr="00966B21">
        <w:rPr>
          <w:lang w:val="en-US"/>
        </w:rPr>
        <w:t xml:space="preserve"> </w:t>
      </w:r>
      <w:r w:rsidR="00CA7138" w:rsidRPr="00966B21">
        <w:rPr>
          <w:lang w:val="en-US"/>
        </w:rPr>
        <w:fldChar w:fldCharType="begin" w:fldLock="1"/>
      </w:r>
      <w:r w:rsidR="00CD7D53" w:rsidRPr="00966B21">
        <w:rPr>
          <w:lang w:val="en-US"/>
        </w:rPr>
        <w:instrText>ADDIN CSL_CITATION {"citationItems":[{"id":"ITEM-1","itemData":{"DOI":"10.1016/j.heliyon.2023.e16912","ISSN":"24058440","abstract":"Deep eutectic solvents (DESs) potential for the extraction of polyphenolic compounds (PC) from mango by-products (peel and seed) was evaluated. Ultrasound (US) and agitation were applied to evaluate the effects of solvent and extraction methodology. The extracts were characterized with antioxidant capacity and HPLC-DAD profile. A theoretical study was performed using density functional theory and the QTAIM approach. β-alanine and choline chloride based DESs were effective to extract PC from peel and seed. Some DES increased PC extraction up to three times for peel (23.05 ± 1.22 mg/g DW) and up to five time for seeds (60.01 ± 1.40 mg/g DW). The PC profile varied with the solvent (DES vs EtOH/MeOH), procedure (US vs agitation) and material (peel or seed). Mangiferin extraction from peels was significantly increased with β-alanine based DES (676.08 ± 20.34 μg/gDW). The strength of H-bonds had a determining effect on the viscosity of DESs. The solute-solvent solvation energy was suitable to estimate the strength of H-bond interactions between DES and target compounds. This study demonstrates the remarkable capacity of DESs to extract PC from mango by-products and provides insights into the factors controlling extraction properties.","author":[{"dropping-particle":"","family":"Ojeda","given":"Gonzalo A.","non-dropping-particle":"","parse-names":false,"suffix":""},{"dropping-particle":"","family":"Vallejos","given":"Margarita M.","non-dropping-particle":"","parse-names":false,"suffix":""},{"dropping-particle":"","family":"Sgroppo","given":"Sonia C.","non-dropping-particle":"","parse-names":false,"suffix":""},{"dropping-particle":"","family":"Sánchez-Moreno","given":"Concepción","non-dropping-particle":"","parse-names":false,"suffix":""},{"dropping-particle":"","family":"Ancos","given":"Begoña","non-dropping-particle":"de","parse-names":false,"suffix":""}],"container-title":"Heliyon","id":"ITEM-1","issue":"6","issued":{"date-parts":[["2023"]]},"page":"1-14","title":"Enhanced extraction of phenolic compounds from mango by-products using deep eutectic solvents","type":"article-journal","volume":"9"},"uris":["http://www.mendeley.com/documents/?uuid=912cf1d0-faf4-4619-ba81-33fc85d08b06"]},{"id":"ITEM-2","itemData":{"DOI":"10.1016/j.foodchem.2022.133738","ISSN":"18737072","PMID":"35872495","abstract":"Ultrasound assisted extraction (UAE) was evaluated as a green procedure for the recovery of phenolic compounds with antioxidant capacity from underutilized mango 'criollo' (peel, pulp and seed). Magnetic stirred was performed as conventional extraction. Response surface methodology using a three-factor (% ethanol, amplitude and time) central composite design was used to maximize the extraction for total phenolic compounds (TPC), total flavonoids and antioxidant capacity. The operational conditions to maximize extraction were: peel, 46% ethanol/amplitude 60% (36 µm)/6.5 min; pulp, 25% ethanol/amplitude 75% (45 µm)/30 min; seed 49% ethanol/100% (60 µm) amplitude/20 min. The phenolic composition of the optimized extracts was characterized by HPLC-QTOF-MS/MS and 45 compounds were tentatively identified as xanthones (mangiferin), flavonoids (quercetin), ellagic acid, benzophenones (maclurin), gallate derivatives and gallotannins. UAE increased TPC extraction (33%); interestingly mangiferin extraction increased 53% in peel, similarly, ellagic acid increased up to 2.5 and 4.4 times in peel and seed extracts.","author":[{"dropping-particle":"","family":"Ojeda","given":"Gonzalo Adrián","non-dropping-particle":"","parse-names":false,"suffix":""},{"dropping-particle":"","family":"Sgroppo","given":"Sonia Cecilia","non-dropping-particle":"","parse-names":false,"suffix":""},{"dropping-particle":"","family":"Sánchez Moreno","given":"Concepción","non-dropping-particle":"","parse-names":false,"suffix":""},{"dropping-particle":"","family":"Ancos Siguero","given":"Begoña","non-dropping-particle":"de","parse-names":false,"suffix":""}],"container-title":"Food Chemistry","id":"ITEM-2","issue":"December 2021","issued":{"date-parts":[["2022"]]},"title":"Mango ‘criollo’ by-products as a source of polyphenols with antioxidant capacity. Ultrasound assisted extraction evaluated by response surface methodology and HPLC-ESI-QTOF-MS/MS characterization","type":"article-journal","volume":"396"},"uris":["http://www.mendeley.com/documents/?uuid=ce45e82d-e3fc-439e-aea3-2781f6875545"]}],"mendeley":{"formattedCitation":"[2,3]","plainTextFormattedCitation":"[2,3]","previouslyFormattedCitation":"[2,3]"},"properties":{"noteIndex":0},"schema":"https://github.com/citation-style-language/schema/raw/master/csl-citation.json"}</w:instrText>
      </w:r>
      <w:r w:rsidR="00CA7138" w:rsidRPr="00966B21">
        <w:rPr>
          <w:lang w:val="en-US"/>
        </w:rPr>
        <w:fldChar w:fldCharType="separate"/>
      </w:r>
      <w:r w:rsidR="00CA7138" w:rsidRPr="00966B21">
        <w:rPr>
          <w:noProof/>
          <w:lang w:val="en-US"/>
        </w:rPr>
        <w:t>[2,3]</w:t>
      </w:r>
      <w:r w:rsidR="00CA7138" w:rsidRPr="00966B21">
        <w:rPr>
          <w:lang w:val="en-US"/>
        </w:rPr>
        <w:fldChar w:fldCharType="end"/>
      </w:r>
      <w:r w:rsidR="00CA7138" w:rsidRPr="00966B21">
        <w:rPr>
          <w:lang w:val="en-US"/>
        </w:rPr>
        <w:t xml:space="preserve">. </w:t>
      </w:r>
      <w:r w:rsidRPr="00966B21">
        <w:rPr>
          <w:lang w:val="en-GB"/>
        </w:rPr>
        <w:t xml:space="preserve">Mango peel </w:t>
      </w:r>
      <w:r w:rsidR="00AF1215" w:rsidRPr="00966B21">
        <w:rPr>
          <w:lang w:val="en-GB"/>
        </w:rPr>
        <w:t>represents</w:t>
      </w:r>
      <w:r w:rsidRPr="00966B21">
        <w:rPr>
          <w:lang w:val="en-GB"/>
        </w:rPr>
        <w:t xml:space="preserve"> around 20–30% dry weight of the fruit and rich in bioactive compounds such as carotenoids, polyphenols and fibre</w:t>
      </w:r>
      <w:r w:rsidR="004B2C68" w:rsidRPr="00966B21">
        <w:rPr>
          <w:lang w:val="en-GB"/>
        </w:rPr>
        <w:t xml:space="preserve"> </w:t>
      </w:r>
      <w:r w:rsidR="00E01993" w:rsidRPr="00966B21">
        <w:rPr>
          <w:lang w:val="en-GB"/>
        </w:rPr>
        <w:fldChar w:fldCharType="begin" w:fldLock="1"/>
      </w:r>
      <w:r w:rsidR="00CD7D53" w:rsidRPr="00966B21">
        <w:rPr>
          <w:lang w:val="en-GB"/>
        </w:rPr>
        <w:instrText>ADDIN CSL_CITATION {"citationItems":[{"id":"ITEM-1","itemData":{"DOI":"10.1016/j.supflu.2019.104574","ISSN":"08968446","abstract":"Mango peel (MP) is an important by-product of the industrial mango processing, rich in phytochemical compounds. This study optimized the operating parameters of the supercritical CO2 extraction (ScCO2) of carotenoids from MP by means of a Box-Behnken design. The MP was characterized in terms of its proximate composition, and the effects of freeze-drying and air-drying on its total carotenoid content were investigated. The carotenoids profile of the optimal ScCO2 extract was characterized by RP-UHPLC-DAD. This extract was evaluated as natural antioxidant for sunflower oil, using the Rancimat® method. MP displayed high contents of crude protein and phenolic compounds. Although freeze-drying prevented the degradation of all-trans-β-carotene, air-drying was selected for the valorisation strategy. The higher yields of carotenoids were found at 25.0 MPa, 60 °C, and 15% w/w ethanol. Under these conditions the MP-extracts protected the sunflower oil against lipid oxidation, which could be regarded as an interesting alternative for MP valorisation.","author":[{"dropping-particle":"","family":"Sánchez-Camargo","given":"Andrea del Pilar","non-dropping-particle":"","parse-names":false,"suffix":""},{"dropping-particle":"","family":"Gutiérrez","given":"Luis Felipe","non-dropping-particle":"","parse-names":false,"suffix":""},{"dropping-particle":"","family":"Vargas","given":"Sandra Milena","non-dropping-particle":"","parse-names":false,"suffix":""},{"dropping-particle":"","family":"Martinez-Correa","given":"Hugo A.","non-dropping-particle":"","parse-names":false,"suffix":""},{"dropping-particle":"","family":"Parada-Alfonso","given":"Fabián","non-dropping-particle":"","parse-names":false,"suffix":""},{"dropping-particle":"","family":"Narváez-Cuenca","given":"Carlos Eduardo","non-dropping-particle":"","parse-names":false,"suffix":""}],"container-title":"Journal of Supercritical Fluids","id":"ITEM-1","issued":{"date-parts":[["2019"]]},"page":"104574","publisher":"Elsevier B.V.","title":"Valorisation of mango peel: Proximate composition, supercritical fluid extraction of carotenoids, and application as an antioxidant additive for an edible oil","type":"article-journal","volume":"152"},"uris":["http://www.mendeley.com/documents/?uuid=bd6bba22-083e-4b89-89b6-6e37e20d20ad","http://www.mendeley.com/documents/?uuid=1039c72d-53c1-4cb5-ae37-a01f19151c23"]}],"mendeley":{"formattedCitation":"[4]","plainTextFormattedCitation":"[4]","previouslyFormattedCitation":"[6]"},"properties":{"noteIndex":0},"schema":"https://github.com/citation-style-language/schema/raw/master/csl-citation.json"}</w:instrText>
      </w:r>
      <w:r w:rsidR="00E01993" w:rsidRPr="00966B21">
        <w:rPr>
          <w:lang w:val="en-GB"/>
        </w:rPr>
        <w:fldChar w:fldCharType="separate"/>
      </w:r>
      <w:r w:rsidR="00CD7D53" w:rsidRPr="00966B21">
        <w:rPr>
          <w:noProof/>
          <w:lang w:val="en-GB"/>
        </w:rPr>
        <w:t>[4]</w:t>
      </w:r>
      <w:r w:rsidR="00E01993" w:rsidRPr="00966B21">
        <w:rPr>
          <w:lang w:val="en-GB"/>
        </w:rPr>
        <w:fldChar w:fldCharType="end"/>
      </w:r>
      <w:r w:rsidR="00415B99" w:rsidRPr="00966B21">
        <w:rPr>
          <w:lang w:val="en-GB"/>
        </w:rPr>
        <w:t xml:space="preserve">. </w:t>
      </w:r>
      <w:r w:rsidRPr="00966B21">
        <w:rPr>
          <w:rFonts w:eastAsia="CharisSIL"/>
          <w:lang w:val="en-GB"/>
        </w:rPr>
        <w:t>The content of</w:t>
      </w:r>
      <w:r w:rsidR="00E665DD" w:rsidRPr="00966B21">
        <w:rPr>
          <w:rFonts w:eastAsia="CharisSIL"/>
          <w:lang w:val="en-GB"/>
        </w:rPr>
        <w:t xml:space="preserve"> car</w:t>
      </w:r>
      <w:r w:rsidR="008C6912" w:rsidRPr="00966B21">
        <w:rPr>
          <w:rFonts w:eastAsia="CharisSIL"/>
          <w:lang w:val="en-GB"/>
        </w:rPr>
        <w:t>o</w:t>
      </w:r>
      <w:r w:rsidR="00E665DD" w:rsidRPr="00966B21">
        <w:rPr>
          <w:rFonts w:eastAsia="CharisSIL"/>
          <w:lang w:val="en-GB"/>
        </w:rPr>
        <w:t>tenoid</w:t>
      </w:r>
      <w:r w:rsidR="00D77903" w:rsidRPr="00966B21">
        <w:rPr>
          <w:rFonts w:eastAsia="CharisSIL"/>
          <w:lang w:val="en-GB"/>
        </w:rPr>
        <w:t>s</w:t>
      </w:r>
      <w:r w:rsidR="00E665DD" w:rsidRPr="00966B21">
        <w:rPr>
          <w:rFonts w:eastAsia="CharisSIL"/>
          <w:lang w:val="en-GB"/>
        </w:rPr>
        <w:t xml:space="preserve"> </w:t>
      </w:r>
      <w:r w:rsidR="00D77903" w:rsidRPr="00966B21">
        <w:rPr>
          <w:rFonts w:eastAsia="CharisSIL"/>
          <w:lang w:val="en-GB"/>
        </w:rPr>
        <w:t>in</w:t>
      </w:r>
      <w:r w:rsidR="008417C4" w:rsidRPr="00966B21">
        <w:rPr>
          <w:rFonts w:eastAsia="CharisSIL"/>
          <w:lang w:val="en-GB"/>
        </w:rPr>
        <w:t xml:space="preserve"> mango</w:t>
      </w:r>
      <w:r w:rsidR="00E665DD" w:rsidRPr="00966B21">
        <w:rPr>
          <w:rFonts w:eastAsia="CharisSIL"/>
          <w:lang w:val="en-GB"/>
        </w:rPr>
        <w:t xml:space="preserve"> peels</w:t>
      </w:r>
      <w:r w:rsidR="008417C4" w:rsidRPr="00966B21">
        <w:rPr>
          <w:rFonts w:eastAsia="CharisSIL"/>
          <w:lang w:val="en-GB"/>
        </w:rPr>
        <w:t xml:space="preserve"> ranges</w:t>
      </w:r>
      <w:r w:rsidR="008417C4" w:rsidRPr="00966B21">
        <w:rPr>
          <w:lang w:val="en-GB"/>
        </w:rPr>
        <w:t xml:space="preserve"> </w:t>
      </w:r>
      <w:r w:rsidR="0054210E" w:rsidRPr="00966B21">
        <w:rPr>
          <w:rFonts w:eastAsia="CharisSIL"/>
          <w:lang w:val="en-GB"/>
        </w:rPr>
        <w:t>from 90 to 160</w:t>
      </w:r>
      <w:r w:rsidR="008417C4" w:rsidRPr="00966B21">
        <w:rPr>
          <w:rFonts w:eastAsia="CharisSIL"/>
          <w:lang w:val="en-GB"/>
        </w:rPr>
        <w:t xml:space="preserve"> mg/kg</w:t>
      </w:r>
      <w:r w:rsidR="00D825A2" w:rsidRPr="00966B21">
        <w:rPr>
          <w:rFonts w:eastAsia="CharisSIL"/>
          <w:lang w:val="en-GB"/>
        </w:rPr>
        <w:t xml:space="preserve"> </w:t>
      </w:r>
      <w:r w:rsidR="00E01993" w:rsidRPr="00966B21">
        <w:rPr>
          <w:rFonts w:eastAsia="CharisSIL"/>
          <w:lang w:val="en-GB"/>
        </w:rPr>
        <w:fldChar w:fldCharType="begin" w:fldLock="1"/>
      </w:r>
      <w:r w:rsidR="00CD7D53" w:rsidRPr="00966B21">
        <w:rPr>
          <w:rFonts w:eastAsia="CharisSIL"/>
          <w:lang w:val="en-GB"/>
        </w:rPr>
        <w:instrText>ADDIN CSL_CITATION {"citationItems":[{"id":"ITEM-1","itemData":{"DOI":"10.1016/j.lwt.2019.01.044","ISSN":"00236438","abstract":"Mango, king of all fruits, is a good source of carotenoids. The present investigation was aimed at extraction of carotenoids from mango pulp using bio-refinery concept. Three green solvents, namely groundnut, sunflower and flaxseed oil were used. The carotenoids were extracted for different time intervals in different green solvents at different pulp to vegetable oil ratio using magnetic stirring (MS), ultrasonication (US), microwave (MW) and high shear dispersion (HSD) techniques. Out of 540 samples (3 × 180) analyzed, one combination was selected on the basis of highest total carotenoid content (TCC) using split plot design of statistical analysis. Maximum extraction was possible in flaxseed oil by using HSD technique. The selected combination was compared with corresponding vegetable oil (used as a control) for TCC, antioxidant activity (ABTS, μg Trolox eq./ml; DPPH, μg Trolox eq./ml and FRAP, μM Trolox eq./ml), tocopherol content and colour value (L, a, b) and showed a respective increase of 158.8-6, 123.72, 33.37, 11.95, 15.15% and 12.77, 5.57, 21.51 units. The increase in carotenoid content was further confirmed by Attenuated Total Reflectance-Fourier Transform Infra-Red spectroscopy (ATR-FTIR). The carotenoid-rich extract can be applied in food formulations for preparation of functional foods.","author":[{"dropping-particle":"","family":"Baria","given":"Bhavesh","non-dropping-particle":"","parse-names":false,"suffix":""},{"dropping-particle":"","family":"Upadhyay","given":"Neelam","non-dropping-particle":"","parse-names":false,"suffix":""},{"dropping-particle":"","family":"Singh","given":"Ashish Kumar","non-dropping-particle":"","parse-names":false,"suffix":""},{"dropping-particle":"","family":"Malhotra","given":"Ravinder Kumar","non-dropping-particle":"","parse-names":false,"suffix":""}],"container-title":"Lwt","id":"ITEM-1","issue":"January","issued":{"date-parts":[["2019"]]},"page":"186-194","publisher":"Elsevier","title":"Optimization of ‘green’ extraction of carotenoids from mango pulp using split plot design and its characterization","type":"article-journal","volume":"104"},"uris":["http://www.mendeley.com/documents/?uuid=613830f8-f63b-4387-92bd-bdd8ac6f0ce9","http://www.mendeley.com/documents/?uuid=640049e4-56a4-4cb8-8c57-2f7757ef2410"]},{"id":"ITEM-2","itemData":{"DOI":"10.1080/10942912.2023.2281255","ISSN":"15322386","abstract":"Mango is an important tropical edible fruit having economic importance, which is cultivated mainly in India (36.6%). It contains various macronutrients, micronutrients, antioxidants, and other bioactive compounds. It is consumed in fresh form or processed into different products namely pulp, juice, puree, pickle, jam, and nectar. It has been predicted mango processing will increase considerably reaching USD 1.8 billion in 2029.] The by-products generated during the processing of mangoes are peel, pomace, seed, and kernel which constitute 25–40% of fresh fruit. This review article describes the nutritional composition of mango peels and also provides detailed insights into different extraction methodologies for value-added compounds. This review also explores the available literature reports that prove mango peels are an excellent source of carotenoids, pectin, phenolic compounds, and volatile aroma compounds. Mango peels contain significantly higher amounts of minerals compared to pulp. It possesses antioxidant, antimicrobial, cardioprotective, anti-diabetic, and anti-cancer properties. This article emphasizes the advantages of green extraction methodologies like ultrasound or microwave-assisted deep eutectic solvents compared to conventional extraction methods. The sustainable valorization of mango peels generated during processing can be economical as well as environmentally feasible.","author":[{"dropping-particle":"","family":"Jeevitha","given":"G. C.","non-dropping-particle":"","parse-names":false,"suffix":""},{"dropping-particle":"","family":"Ramamoorthy","given":"Siva","non-dropping-particle":"","parse-names":false,"suffix":""},{"dropping-particle":"","family":"Ahmad","given":"Faraz","non-dropping-particle":"","parse-names":false,"suffix":""},{"dropping-particle":"","family":"Saravanan","given":"R.","non-dropping-particle":"","parse-names":false,"suffix":""},{"dropping-particle":"","family":"Haque","given":"Shafiul","non-dropping-particle":"","parse-names":false,"suffix":""},{"dropping-particle":"","family":"Capanoglu","given":"Esra","non-dropping-particle":"","parse-names":false,"suffix":""}],"container-title":"International Journal of Food Properties","id":"ITEM-2","issue":"2","issued":{"date-parts":[["2023"]]},"page":"3492-3511","publisher":"Taylor &amp; Francis","title":"Recent advances in extraction methodologies for the valorization of mango peel wastes","type":"article-journal","volume":"26"},"uris":["http://www.mendeley.com/documents/?uuid=6f24ec80-03a1-455b-a460-44e4ed415892","http://www.mendeley.com/documents/?uuid=b07d41bc-0f3e-4647-86d9-29af0dac602a"]}],"mendeley":{"formattedCitation":"[5,6]","plainTextFormattedCitation":"[5,6]","previouslyFormattedCitation":"[4,7]"},"properties":{"noteIndex":0},"schema":"https://github.com/citation-style-language/schema/raw/master/csl-citation.json"}</w:instrText>
      </w:r>
      <w:r w:rsidR="00E01993" w:rsidRPr="00966B21">
        <w:rPr>
          <w:rFonts w:eastAsia="CharisSIL"/>
          <w:lang w:val="en-GB"/>
        </w:rPr>
        <w:fldChar w:fldCharType="separate"/>
      </w:r>
      <w:r w:rsidR="00CD7D53" w:rsidRPr="00966B21">
        <w:rPr>
          <w:rFonts w:eastAsia="CharisSIL"/>
          <w:noProof/>
          <w:lang w:val="en-GB"/>
        </w:rPr>
        <w:t>[5,6]</w:t>
      </w:r>
      <w:r w:rsidR="00E01993" w:rsidRPr="00966B21">
        <w:rPr>
          <w:rFonts w:eastAsia="CharisSIL"/>
          <w:lang w:val="en-GB"/>
        </w:rPr>
        <w:fldChar w:fldCharType="end"/>
      </w:r>
      <w:r w:rsidR="008417C4" w:rsidRPr="00966B21">
        <w:rPr>
          <w:lang w:val="en-GB"/>
        </w:rPr>
        <w:t>.</w:t>
      </w:r>
      <w:r w:rsidR="00F15FB3" w:rsidRPr="00966B21">
        <w:rPr>
          <w:lang w:val="en-GB"/>
        </w:rPr>
        <w:t xml:space="preserve"> </w:t>
      </w:r>
    </w:p>
    <w:p w14:paraId="179F2B95" w14:textId="183A0D82" w:rsidR="00F00922" w:rsidRPr="00966B21" w:rsidRDefault="00B67F98" w:rsidP="002753DB">
      <w:pPr>
        <w:pStyle w:val="NormaleWeb"/>
        <w:spacing w:before="0" w:beforeAutospacing="0" w:after="0" w:afterAutospacing="0"/>
        <w:jc w:val="both"/>
        <w:rPr>
          <w:lang w:val="en-GB"/>
        </w:rPr>
      </w:pPr>
      <w:r w:rsidRPr="00966B21">
        <w:rPr>
          <w:lang w:val="en-GB"/>
        </w:rPr>
        <w:t xml:space="preserve">The preservation of colour and bioactivity </w:t>
      </w:r>
      <w:r w:rsidR="00C41219" w:rsidRPr="00966B21">
        <w:rPr>
          <w:lang w:val="en-GB"/>
        </w:rPr>
        <w:t xml:space="preserve">of carotenoids </w:t>
      </w:r>
      <w:r w:rsidRPr="00966B21">
        <w:rPr>
          <w:lang w:val="en-GB"/>
        </w:rPr>
        <w:t xml:space="preserve">during the extraction process is </w:t>
      </w:r>
      <w:r w:rsidR="00C41219" w:rsidRPr="00966B21">
        <w:rPr>
          <w:lang w:val="en-GB"/>
        </w:rPr>
        <w:t>a major</w:t>
      </w:r>
      <w:r w:rsidRPr="00966B21">
        <w:rPr>
          <w:lang w:val="en-GB"/>
        </w:rPr>
        <w:t xml:space="preserve"> factor for the industry </w:t>
      </w:r>
      <w:r w:rsidR="00E01993" w:rsidRPr="00966B21">
        <w:rPr>
          <w:lang w:val="en-GB"/>
        </w:rPr>
        <w:fldChar w:fldCharType="begin" w:fldLock="1"/>
      </w:r>
      <w:r w:rsidR="00CD7D53" w:rsidRPr="00966B21">
        <w:rPr>
          <w:lang w:val="en-GB"/>
        </w:rPr>
        <w:instrText>ADDIN CSL_CITATION {"citationItems":[{"id":"ITEM-1","itemData":{"DOI":"10.1016/j.foodchem.2024.138530","ISSN":"18737072","PMID":"38271911","abstract":"Orange peels contain a considerable number of bioactive compounds such as carotenoids, that can be used as ingredients in high-value products. The aim of this study was to compare orange peel extracts obtained with different green solvents (vegetable oils, fatty acids, and deep eutectic solvents (DES)). In addition, the chemical characterization of a new hydrophobic DES formed by octanoic acid and L-proline (C8:Pro) was performed. The extracts were compared in terms of carotenoid extraction, antioxidant activity by three methods, color, and environmental impact. The results confirmed that the mixture of C8:Pro is a DES and showed the highest carotenoid extraction (46.01 µg/g) compared to hexane (39.28 µg/g). The antioxidant activity was also the highest in C8:Pro (2438.8 µM TE/mL). Finally, two assessment models were used to evaluate the greenness and sustainability of the proposed extractions. These results demonstrated the potential use of orange peels in the circular economy and industry.","author":[{"dropping-particle":"","family":"Viñas-Ospino","given":"Adriana","non-dropping-particle":"","parse-names":false,"suffix":""},{"dropping-particle":"","family":"Rita Jesus","given":"Ana","non-dropping-particle":"","parse-names":false,"suffix":""},{"dropping-particle":"","family":"Paiva","given":"Alexandre","non-dropping-particle":"","parse-names":false,"suffix":""},{"dropping-particle":"","family":"Esteve","given":"Maria J.","non-dropping-particle":"","parse-names":false,"suffix":""},{"dropping-particle":"","family":"Frígola","given":"Ana","non-dropping-particle":"","parse-names":false,"suffix":""},{"dropping-particle":"","family":"Blesa","given":"Jesús","non-dropping-particle":"","parse-names":false,"suffix":""},{"dropping-particle":"","family":"López-Malo","given":"Daniel","non-dropping-particle":"","parse-names":false,"suffix":""}],"container-title":"Food Chemistry","id":"ITEM-1","issue":"January","issued":{"date-parts":[["2024"]]},"title":"Comparison of green solvents for the revalorization of orange by-products: Carotenoid extraction and in vitro antioxidant activity","type":"article-journal","volume":"442"},"uris":["http://www.mendeley.com/documents/?uuid=b33cd102-bc57-41a8-9c13-7d3597cb0149","http://www.mendeley.com/documents/?uuid=9f4b194e-a2fc-442e-84c4-4d755dbe9b72"]}],"mendeley":{"formattedCitation":"[7]","plainTextFormattedCitation":"[7]","previouslyFormattedCitation":"[8]"},"properties":{"noteIndex":0},"schema":"https://github.com/citation-style-language/schema/raw/master/csl-citation.json"}</w:instrText>
      </w:r>
      <w:r w:rsidR="00E01993" w:rsidRPr="00966B21">
        <w:rPr>
          <w:lang w:val="en-GB"/>
        </w:rPr>
        <w:fldChar w:fldCharType="separate"/>
      </w:r>
      <w:r w:rsidR="00CD7D53" w:rsidRPr="00966B21">
        <w:rPr>
          <w:noProof/>
          <w:lang w:val="en-GB"/>
        </w:rPr>
        <w:t>[7]</w:t>
      </w:r>
      <w:r w:rsidR="00E01993" w:rsidRPr="00966B21">
        <w:rPr>
          <w:lang w:val="en-GB"/>
        </w:rPr>
        <w:fldChar w:fldCharType="end"/>
      </w:r>
      <w:r w:rsidRPr="00966B21">
        <w:rPr>
          <w:lang w:val="en-GB"/>
        </w:rPr>
        <w:t xml:space="preserve">. </w:t>
      </w:r>
      <w:r w:rsidR="00F00922" w:rsidRPr="00966B21">
        <w:rPr>
          <w:lang w:val="en-GB"/>
        </w:rPr>
        <w:t xml:space="preserve">Traditionally, the recovery of more hydrophobic carotenoids, such as lycopene and β-carotene, is achieved through non-polar volatile organic solvents like petroleum ether, hexane, and ethyl acetate </w:t>
      </w:r>
      <w:r w:rsidR="00E01993" w:rsidRPr="00966B21">
        <w:rPr>
          <w:lang w:val="en-GB"/>
        </w:rPr>
        <w:fldChar w:fldCharType="begin" w:fldLock="1"/>
      </w:r>
      <w:r w:rsidR="00CD7D53" w:rsidRPr="00966B21">
        <w:rPr>
          <w:lang w:val="en-GB"/>
        </w:rPr>
        <w:instrText>ADDIN CSL_CITATION {"citationItems":[{"id":"ITEM-1","itemData":{"DOI":"10.3390/antiox13020239","ISSN":"20763921","abstract":"Carotenoids are ubiquitous and versatile isoprenoid compounds. The intake of foods rich in these pigments is often associated with health benefits, attributable to the provitamin A activity of some of them and different mechanisms. The importance of carotenoids and their derivatives for the production of foods and health-promotion through the diet is beyond doubt. In the new circular economy paradigm, the recovery of carotenoids in the biorefinery process is highly desirable, for which greener processes and solvents are being advocated for, considering the many studies being conducted at the laboratory scale. This review summarizes information on different extraction technologies (ultrasound, microwaves, pulsed electric fields, pressurized liquid extraction, sub- and supercritical fluid extraction, and enzyme-assisted extraction) and green solvents (ethyl lactate, 2-methyltetrahydrofuran, natural deep eutectic solvents, and ionic liquids), which are potential substitutes for more toxic and less environmentally friendly solvents. Additionally, it discusses the results of the latest studies on the sustainable green extraction of carotenoids. The conclusions drawn from the review indicate that while laboratory results are often promising, the scalability to real industrial scenarios poses a significant challenge. Furthermore, incorporating life cycle assessment analyses is crucial for a comprehensive evaluation of the sustainability of innovative extraction processes compared to industry-standard methods.","author":[{"dropping-particle":"","family":"Morón-Ortiz","given":"Ángeles","non-dropping-particle":"","parse-names":false,"suffix":""},{"dropping-particle":"","family":"Mapelli-Brahm","given":"Paula","non-dropping-particle":"","parse-names":false,"suffix":""},{"dropping-particle":"","family":"Meléndez-Martínez","given":"Antonio J.","non-dropping-particle":"","parse-names":false,"suffix":""}],"container-title":"Antioxidants","id":"ITEM-1","issue":"2","issued":{"date-parts":[["2024"]]},"title":"Sustainable Green Extraction of Carotenoid Pigments: Innovative Technologies and Bio-Based Solvents","type":"article-journal","volume":"13"},"uris":["http://www.mendeley.com/documents/?uuid=066c5372-beeb-4fca-aa37-31fc10b498b5","http://www.mendeley.com/documents/?uuid=0f25e7bf-d7fd-4bd2-a743-dbe5e2ce64c9"]},{"id":"ITEM-2","itemData":{"DOI":"10.1016/j.lwt.2015.01.026","ISSN":"00236438","abstract":"The aim of this study was to exploit mango peel waste (Mangifera indica L.) to obtain bioactive extracts. Mango peel waste was subjected to two sequential extraction steps: supercritical CO2 extraction (ScCO2), followed by pressurized ethanol (PE) from the residue of the first stage. Both extractions were carried out at 30MPa and 40°C. The extracts obtained were evaluated by spectrophotometric method in terms of Total Carotenoids Content (TCC), Total Phenolic Content (TPC), Total Flavonoids Content (TFC); and Antioxidant Activity (%AA) by DPPH method. Were performed in duplicate; an ANOVA and Tukey test were used. Results demonstrated that TCC value is dependent on the solvent, being high for ScCO2 with carotenoids contents of 5604.61±0.51μg β-carotene/g db in contrast to PE. Results showed that combination of extraction methods achieves satisfactory results and suggests the potential use of this residue.","author":[{"dropping-particle":"","family":"Garcia-Mendoza","given":"Maria P.","non-dropping-particle":"","parse-names":false,"suffix":""},{"dropping-particle":"","family":"Paula","given":"Julia T.","non-dropping-particle":"","parse-names":false,"suffix":""},{"dropping-particle":"","family":"Paviani","given":"Losiane C.","non-dropping-particle":"","parse-names":false,"suffix":""},{"dropping-particle":"","family":"Cabral","given":"Fernando A.","non-dropping-particle":"","parse-names":false,"suffix":""},{"dropping-particle":"","family":"Martinez-Correa","given":"Hugo A.","non-dropping-particle":"","parse-names":false,"suffix":""}],"container-title":"LWT - Food Science and Technology","id":"ITEM-2","issue":"1","issued":{"date-parts":[["2015"]]},"page":"131-137","publisher":"Elsevier Ltd","title":"Extracts from mango peel by-product obtained by supercritical CO2 and pressurized solvent processes","type":"article-journal","volume":"62"},"uris":["http://www.mendeley.com/documents/?uuid=6fcd2d06-7350-4540-8f70-12cf955f21e8"]}],"mendeley":{"formattedCitation":"[8,9]","plainTextFormattedCitation":"[8,9]","previouslyFormattedCitation":"[9,10]"},"properties":{"noteIndex":0},"schema":"https://github.com/citation-style-language/schema/raw/master/csl-citation.json"}</w:instrText>
      </w:r>
      <w:r w:rsidR="00E01993" w:rsidRPr="00966B21">
        <w:rPr>
          <w:lang w:val="en-GB"/>
        </w:rPr>
        <w:fldChar w:fldCharType="separate"/>
      </w:r>
      <w:r w:rsidR="00CD7D53" w:rsidRPr="00966B21">
        <w:rPr>
          <w:noProof/>
          <w:lang w:val="en-GB"/>
        </w:rPr>
        <w:t>[8,9]</w:t>
      </w:r>
      <w:r w:rsidR="00E01993" w:rsidRPr="00966B21">
        <w:rPr>
          <w:lang w:val="en-GB"/>
        </w:rPr>
        <w:fldChar w:fldCharType="end"/>
      </w:r>
      <w:r w:rsidRPr="00966B21">
        <w:rPr>
          <w:lang w:val="en-GB"/>
        </w:rPr>
        <w:t xml:space="preserve">. </w:t>
      </w:r>
      <w:r w:rsidR="00F00922" w:rsidRPr="00966B21">
        <w:rPr>
          <w:lang w:val="en-GB"/>
        </w:rPr>
        <w:t xml:space="preserve">In contrast, polar </w:t>
      </w:r>
      <w:r w:rsidR="00F00922" w:rsidRPr="00966B21">
        <w:rPr>
          <w:lang w:val="en-GB"/>
        </w:rPr>
        <w:lastRenderedPageBreak/>
        <w:t xml:space="preserve">solvents such as dimethyl sulfoxide, ethanol, methanol, and acetone, among others are commonly used to extract astaxanthin, zeaxanthin, and canthaxanthin </w:t>
      </w:r>
      <w:r w:rsidR="00E01993" w:rsidRPr="00966B21">
        <w:rPr>
          <w:lang w:val="en-GB"/>
        </w:rPr>
        <w:fldChar w:fldCharType="begin" w:fldLock="1"/>
      </w:r>
      <w:r w:rsidR="00CD7D53" w:rsidRPr="00966B21">
        <w:rPr>
          <w:lang w:val="en-GB"/>
        </w:rPr>
        <w:instrText>ADDIN CSL_CITATION {"citationItems":[{"id":"ITEM-1","itemData":{"DOI":"10.1016/j.seppur.2023.124632","ISSN":"18733794","abstract":"Carotenoids are highly valuable compounds for food, pharmaceutical, and cosmetic applications, given their natural biological activities. Due to their hydrophobic nature, the processes of separation and purification present some limitations. This work aimed to promote a comparative study on different classes of green solvents: deep eutectic solvents (DES), ionic liquids (ILs), and supramolecular solvents (SUPRAS). The solvents were compared regarding the ability of each solvent to recover natural carotenoids from Eugenia uniflora L. pulp and the preservative effect of the solvent against thermal and photodegradation. The solvent recycling and its capacity to be reused were also evaluated. The results indicate that SUPRAS (60.45 ± 0.55 %) promoted a higher recovery yield than ILs (29.72 ± 0.27 %) and DES (9.50 ± 0.23 %). Besides, the higher thermal stability of the carotenoids was observed for the carotenoids-rich extracts obtained with DES (at 40 °C, half-life time of 353.39 h and 50 °C half-life time of 279.44 h) and SUPRAS (at 60 °C, half-life time of 143.13 h). The thermodynamic parameters showed superior activation energy for AC: ET and DES-based extracts, besides demonstrating that the degradation processes had positive free Gibbs energy and enthalpy and negative entropy values. For the light stability assays, IL had the highest protective capacity against UV (half-life time 54.6 h) and LED (half-life time 216.6 h) lights. Finally, the best systems were integrated with a liquid–liquid system envisioning carotenoid recovery, solvent recycling, and economic viability evaluation. In this context, the SUPRAS could be reused for up to four cycles compared to three cycles of ILs, besides providing a lower process cost than ILs solutions.","author":[{"dropping-particle":"","family":"Mayumi Ueda","given":"Karina","non-dropping-particle":"","parse-names":false,"suffix":""},{"dropping-particle":"","family":"Castro Leal","given":"Fernando","non-dropping-particle":"","parse-names":false,"suffix":""},{"dropping-particle":"","family":"Oliveira Farias","given":"Fabiane","non-dropping-particle":"","parse-names":false,"suffix":""},{"dropping-particle":"","family":"Mussagy","given":"Cassamo U.","non-dropping-particle":"","parse-names":false,"suffix":""},{"dropping-particle":"","family":"Igarashi-Mafra","given":"Luciana","non-dropping-particle":"","parse-names":false,"suffix":""},{"dropping-particle":"","family":"Mafra","given":"Marcos R.","non-dropping-particle":"","parse-names":false,"suffix":""}],"container-title":"Separation and Purification Technology","id":"ITEM-1","issue":"May","issued":{"date-parts":[["2023"]]},"page":"124632","publisher":"Elsevier B.V.","title":"Enhancing the carotenoid recovery from Eugenia uniflora l. pulp: A comparative study of supramolecular solvents, ionic liquids, and deep eutectic solvents","type":"article-journal","volume":"324"},"uris":["http://www.mendeley.com/documents/?uuid=efba26be-922c-4cde-bb77-3f720d49f39d","http://www.mendeley.com/documents/?uuid=46f8366c-0da1-434a-afd2-b592aa25aa2c"]},{"id":"ITEM-2","itemData":{"DOI":"10.1016/j.fbio.2017.12.012","ISSN":"22124306","abstract":"Mango by-products (peel and paste) are a source of carotenoids, but their bioaccessibility (BA) can be limited by dietary fiber (DF), since it retains these compounds within its structure. The aim of this study was to evaluate the influence of ultrasound-assisted extraction (UAE) on the BA of carotenoids by an in vitro digestion model. The β-cryptoxanthin (βCr) content (3.59 ± 0.43 mg/g DW) in UAE-peel was higher than that in Control-peel (0.66 ± 0.03 mg/g DW). The β-carotene (βC) content in UAE-peel and UAE-paste was higher than that in Control-peel and Control-paste. The %BA in the UAE-peel improved by 46.93%, 35.21% and 32.62% for βCr, Lutein (Lut), and βC, respectively, compared to that in the Control-peel, and in the UAE-paste, the treatment improved the %BA for Lut, βCr, and βC by 46.04%, 44.16%, and 44.01% respectively, compared with that of the Control-paste. A high percentage of non-bioaccessible βC was shown for the Control-peel (79.48%) and Control-paste (70.41%), and the percentage was lower in the UAE samples. The released carotenoids were quantified in a kinetic model, and β-Cr, Lut, and βC were effectively released in mango UAE-peel. The constant release rate, k, did not show significant differences in both samples. A 2-parameter non-linear regression model was the best fit for the release kinetics. The use of UAE on in vitro digestion conditions noticeably improved the bioaccessibility of carotenoids in mango by-products.","author":[{"dropping-particle":"","family":"Mercado-Mercado","given":"Gilberto","non-dropping-particle":"","parse-names":false,"suffix":""},{"dropping-particle":"","family":"Montalvo-González","given":"Efigenia","non-dropping-particle":"","parse-names":false,"suffix":""},{"dropping-particle":"","family":"González-Aguilar","given":"Gustavo A.","non-dropping-particle":"","parse-names":false,"suffix":""},{"dropping-particle":"","family":"Alvarez-Parrilla","given":"Emilio","non-dropping-particle":"","parse-names":false,"suffix":""},{"dropping-particle":"","family":"Sáyago-Ayerdi","given":"Sonia G.","non-dropping-particle":"","parse-names":false,"suffix":""}],"container-title":"Food Bioscience","id":"ITEM-2","issue":"September 2017","issued":{"date-parts":[["2018"]]},"page":"125-131","title":"Ultrasound-assisted extraction of carotenoids from mango (Mangifera indica L. ‘Ataulfo’) by-products on in vitro bioaccessibility","type":"article-journal","volume":"21"},"uris":["http://www.mendeley.com/documents/?uuid=43da02eb-a2db-4275-aa35-e1088e144231"]}],"mendeley":{"formattedCitation":"[10,11]","plainTextFormattedCitation":"[10,11]","previouslyFormattedCitation":"[11,12]"},"properties":{"noteIndex":0},"schema":"https://github.com/citation-style-language/schema/raw/master/csl-citation.json"}</w:instrText>
      </w:r>
      <w:r w:rsidR="00E01993" w:rsidRPr="00966B21">
        <w:rPr>
          <w:lang w:val="en-GB"/>
        </w:rPr>
        <w:fldChar w:fldCharType="separate"/>
      </w:r>
      <w:r w:rsidR="00CD7D53" w:rsidRPr="00966B21">
        <w:rPr>
          <w:noProof/>
          <w:lang w:val="en-GB"/>
        </w:rPr>
        <w:t>[10,11]</w:t>
      </w:r>
      <w:r w:rsidR="00E01993" w:rsidRPr="00966B21">
        <w:rPr>
          <w:lang w:val="en-GB"/>
        </w:rPr>
        <w:fldChar w:fldCharType="end"/>
      </w:r>
      <w:r w:rsidRPr="00966B21">
        <w:rPr>
          <w:lang w:val="en-GB"/>
        </w:rPr>
        <w:t xml:space="preserve">. </w:t>
      </w:r>
      <w:r w:rsidR="00F00922" w:rsidRPr="00966B21">
        <w:rPr>
          <w:lang w:val="en-GB"/>
        </w:rPr>
        <w:t>The stability of carotenoids in these solvents is variable; in general</w:t>
      </w:r>
      <w:r w:rsidR="00ED0E2A" w:rsidRPr="00966B21">
        <w:rPr>
          <w:lang w:val="en-GB"/>
        </w:rPr>
        <w:t>,</w:t>
      </w:r>
      <w:r w:rsidR="00F00922" w:rsidRPr="00966B21">
        <w:rPr>
          <w:lang w:val="en-GB"/>
        </w:rPr>
        <w:t xml:space="preserve"> they are susceptible to oxidation due to light exposure and/or temperature changes </w:t>
      </w:r>
      <w:r w:rsidR="00E01993" w:rsidRPr="00966B21">
        <w:rPr>
          <w:lang w:val="en-GB"/>
        </w:rPr>
        <w:fldChar w:fldCharType="begin" w:fldLock="1"/>
      </w:r>
      <w:r w:rsidR="00CD7D53" w:rsidRPr="00966B21">
        <w:rPr>
          <w:lang w:val="en-GB"/>
        </w:rPr>
        <w:instrText>ADDIN CSL_CITATION {"citationItems":[{"id":"ITEM-1","itemData":{"DOI":"10.3390/foods12040863","ISSN":"23048158","abstract":"Carotenoids have important implications for human health and the food industry due to their antioxidant and functional properties. Their extraction is a crucial step for being able to concentrate them and potentially include them in food products. Traditionally, the extraction of carotenoids is performed using organic solvents that have toxicological effects. Developing greener solvents and techniques for extracting high-value compounds is one of the principles of green chemistry and a challenge for the food industry. This review will analyze the use of green solvents, namely, vegetable oils, supercritical fluids, deep eutectic solvents, ionic liquids, and limonene, combined with nonconventional techniques (ultrasound-assisted extraction and microwave), for carotenoid extraction from fruit and vegetable by-products as upcoming alternatives to organic solvents. Recent developments in the isolation of carotenoids from green solvents and their inclusion in food products will also be discussed. The use of green solvents offers significant advantages in extracting carotenoids, both by decreasing the downstream process of solvent elimination, and the fact that the carotenoids can be included directly in food products without posing a risk to human health.","author":[{"dropping-particle":"","family":"Viñas-Ospino","given":"Adriana","non-dropping-particle":"","parse-names":false,"suffix":""},{"dropping-particle":"","family":"López-Malo","given":"Daniel","non-dropping-particle":"","parse-names":false,"suffix":""},{"dropping-particle":"","family":"Esteve","given":"María José","non-dropping-particle":"","parse-names":false,"suffix":""},{"dropping-particle":"","family":"Frígola","given":"Ana","non-dropping-particle":"","parse-names":false,"suffix":""},{"dropping-particle":"","family":"Blesa","given":"Jesús","non-dropping-particle":"","parse-names":false,"suffix":""}],"container-title":"Foods","id":"ITEM-1","issue":"4","issued":{"date-parts":[["2023"]]},"page":"1-19","title":"Green Solvents: Emerging Alternatives for Carotenoid Extraction from Fruit and Vegetable By-Products","type":"article-journal","volume":"12"},"uris":["http://www.mendeley.com/documents/?uuid=6ed6c6e5-c9bc-49a1-b9c2-848abe70f662","http://www.mendeley.com/documents/?uuid=3a8b0235-0fa1-4472-bc24-ba8393d0d4a6"]},{"id":"ITEM-2","itemData":{"DOI":"10.1016/j.supflu.2019.104574","ISSN":"08968446","abstract":"Mango peel (MP) is an important by-product of the industrial mango processing, rich in phytochemical compounds. This study optimized the operating parameters of the supercritical CO2 extraction (ScCO2) of carotenoids from MP by means of a Box-Behnken design. The MP was characterized in terms of its proximate composition, and the effects of freeze-drying and air-drying on its total carotenoid content were investigated. The carotenoids profile of the optimal ScCO2 extract was characterized by RP-UHPLC-DAD. This extract was evaluated as natural antioxidant for sunflower oil, using the Rancimat® method. MP displayed high contents of crude protein and phenolic compounds. Although freeze-drying prevented the degradation of all-trans-β-carotene, air-drying was selected for the valorisation strategy. The higher yields of carotenoids were found at 25.0 MPa, 60 °C, and 15% w/w ethanol. Under these conditions the MP-extracts protected the sunflower oil against lipid oxidation, which could be regarded as an interesting alternative for MP valorisation.","author":[{"dropping-particle":"","family":"Sánchez-Camargo","given":"Andrea del Pilar","non-dropping-particle":"","parse-names":false,"suffix":""},{"dropping-particle":"","family":"Gutiérrez","given":"Luis Felipe","non-dropping-particle":"","parse-names":false,"suffix":""},{"dropping-particle":"","family":"Vargas","given":"Sandra Milena","non-dropping-particle":"","parse-names":false,"suffix":""},{"dropping-particle":"","family":"Martinez-Correa","given":"Hugo A.","non-dropping-particle":"","parse-names":false,"suffix":""},{"dropping-particle":"","family":"Parada-Alfonso","given":"Fabián","non-dropping-particle":"","parse-names":false,"suffix":""},{"dropping-particle":"","family":"Narváez-Cuenca","given":"Carlos Eduardo","non-dropping-particle":"","parse-names":false,"suffix":""}],"container-title":"Journal of Supercritical Fluids","id":"ITEM-2","issued":{"date-parts":[["2019"]]},"page":"104574","publisher":"Elsevier B.V.","title":"Valorisation of mango peel: Proximate composition, supercritical fluid extraction of carotenoids, and application as an antioxidant additive for an edible oil","type":"article-journal","volume":"152"},"uris":["http://www.mendeley.com/documents/?uuid=1039c72d-53c1-4cb5-ae37-a01f19151c23","http://www.mendeley.com/documents/?uuid=bd6bba22-083e-4b89-89b6-6e37e20d20ad"]}],"mendeley":{"formattedCitation":"[4,12]","plainTextFormattedCitation":"[4,12]","previouslyFormattedCitation":"[6,13]"},"properties":{"noteIndex":0},"schema":"https://github.com/citation-style-language/schema/raw/master/csl-citation.json"}</w:instrText>
      </w:r>
      <w:r w:rsidR="00E01993" w:rsidRPr="00966B21">
        <w:rPr>
          <w:lang w:val="en-GB"/>
        </w:rPr>
        <w:fldChar w:fldCharType="separate"/>
      </w:r>
      <w:r w:rsidR="00CD7D53" w:rsidRPr="00966B21">
        <w:rPr>
          <w:noProof/>
          <w:lang w:val="en-GB"/>
        </w:rPr>
        <w:t>[4,12]</w:t>
      </w:r>
      <w:r w:rsidR="00E01993" w:rsidRPr="00966B21">
        <w:rPr>
          <w:lang w:val="en-GB"/>
        </w:rPr>
        <w:fldChar w:fldCharType="end"/>
      </w:r>
      <w:r w:rsidR="00F00922" w:rsidRPr="00966B21">
        <w:rPr>
          <w:lang w:val="en-GB"/>
        </w:rPr>
        <w:t xml:space="preserve">, thus stabilizers like antioxidants (i.e. butylhydroxytoluene) are needed to stabilize the extracts. </w:t>
      </w:r>
    </w:p>
    <w:p w14:paraId="64CC59EB" w14:textId="3365D03A" w:rsidR="007E368D" w:rsidRPr="00966B21" w:rsidRDefault="00B67F98" w:rsidP="002753DB">
      <w:pPr>
        <w:pStyle w:val="NormaleWeb"/>
        <w:spacing w:before="0" w:beforeAutospacing="0" w:after="0" w:afterAutospacing="0"/>
        <w:jc w:val="both"/>
        <w:rPr>
          <w:lang w:val="en-GB"/>
        </w:rPr>
      </w:pPr>
      <w:r w:rsidRPr="00966B21">
        <w:rPr>
          <w:lang w:val="en-GB"/>
        </w:rPr>
        <w:t xml:space="preserve">Various </w:t>
      </w:r>
      <w:r w:rsidR="0024099E" w:rsidRPr="00966B21">
        <w:rPr>
          <w:lang w:val="en-GB"/>
        </w:rPr>
        <w:t>alternative</w:t>
      </w:r>
      <w:r w:rsidRPr="00966B21">
        <w:rPr>
          <w:lang w:val="en-GB"/>
        </w:rPr>
        <w:t xml:space="preserve"> solvents, including supercritical fluids, vegetable oils, ionic liquids, deep eutectic solvents (DES), and terpenoids, </w:t>
      </w:r>
      <w:r w:rsidR="001B316E" w:rsidRPr="00966B21">
        <w:rPr>
          <w:lang w:val="en-GB"/>
        </w:rPr>
        <w:t>have been reported</w:t>
      </w:r>
      <w:r w:rsidRPr="00966B21">
        <w:rPr>
          <w:lang w:val="en-GB"/>
        </w:rPr>
        <w:t xml:space="preserve"> for carotenoid extraction</w:t>
      </w:r>
      <w:r w:rsidR="001B316E" w:rsidRPr="00966B21">
        <w:rPr>
          <w:lang w:val="en-GB"/>
        </w:rPr>
        <w:t xml:space="preserve"> </w:t>
      </w:r>
      <w:r w:rsidR="00E01993" w:rsidRPr="00966B21">
        <w:rPr>
          <w:lang w:val="en-GB"/>
        </w:rPr>
        <w:fldChar w:fldCharType="begin" w:fldLock="1"/>
      </w:r>
      <w:r w:rsidR="00CD7D53" w:rsidRPr="00966B21">
        <w:rPr>
          <w:lang w:val="en-GB"/>
        </w:rPr>
        <w:instrText>ADDIN CSL_CITATION {"citationItems":[{"id":"ITEM-1","itemData":{"DOI":"10.1016/j.foodchem.2022.132156","ISSN":"18737072","PMID":"35065488","abstract":"Three novel hydrophobic deep eutectic solvents (DESs) based on oleic acid and terpenes (thymol, DL-menthol, and geraniol) were prepared, characterized, and used to extract astaxanthin from the microalga Haematococcus pluvialis without any pre-treatment of the cells. The three DES were composed of Generally Recognized As Safe (GRAS) and edible ingredients. All the tested DESs gave astaxanthin recovery values of about 60 and 30% in 6 h if applied on freeze-dried biomass or directly on algae culture, respectively. The carotenoid profile was qualitatively identical to what was obtained by using traditional organic solvents, regardless of the DES used; the monoesters of astaxanthin with C18-fatty acids were the main compounds found in all the carotenoid extracts. The thymol:oleic acid DES (TAO) could preserve astaxanthin content after prolonged oxidative stress (40% of the astaxanthin initially extracted was still present after 13.5 h of light exposure), thanks to the superior antioxidant properties of thymol. The capacity of improving astaxanthin stability combined with the intrinsic safety and edibility of the DES components makes the formulation astaxanthin-TAO appealing for the food ingredients/additives industry.","author":[{"dropping-particle":"","family":"Pitacco","given":"Walter","non-dropping-particle":"","parse-names":false,"suffix":""},{"dropping-particle":"","family":"Samorì","given":"Chiara","non-dropping-particle":"","parse-names":false,"suffix":""},{"dropping-particle":"","family":"Pezzolesi","given":"Laura","non-dropping-particle":"","parse-names":false,"suffix":""},{"dropping-particle":"","family":"Gori","given":"Virginia","non-dropping-particle":"","parse-names":false,"suffix":""},{"dropping-particle":"","family":"Grillo","given":"Antonio","non-dropping-particle":"","parse-names":false,"suffix":""},{"dropping-particle":"","family":"Tiecco","given":"Matteo","non-dropping-particle":"","parse-names":false,"suffix":""},{"dropping-particle":"","family":"Vagnoni","given":"Martina","non-dropping-particle":"","parse-names":false,"suffix":""},{"dropping-particle":"","family":"Galletti","given":"Paola","non-dropping-particle":"","parse-names":false,"suffix":""}],"container-title":"Food Chemistry","id":"ITEM-1","issue":"December 2021","issued":{"date-parts":[["2022"]]},"page":"132156","publisher":"Elsevier Ltd","title":"Extraction of astaxanthin from Haematococcus pluvialis with hydrophobic deep eutectic solvents based on oleic acid","type":"article-journal","volume":"379"},"uris":["http://www.mendeley.com/documents/?uuid=c140366c-fbe3-4c8a-9727-223df10407fe","http://www.mendeley.com/documents/?uuid=ffee883b-bdbe-4286-a29d-18cf90527c4e"]},{"id":"ITEM-2","itemData":{"DOI":"10.1016/j.foodchem.2024.138530","ISSN":"18737072","PMID":"38271911","abstract":"Orange peels contain a considerable number of bioactive compounds such as carotenoids, that can be used as ingredients in high-value products. The aim of this study was to compare orange peel extracts obtained with different green solvents (vegetable oils, fatty acids, and deep eutectic solvents (DES)). In addition, the chemical characterization of a new hydrophobic DES formed by octanoic acid and L-proline (C8:Pro) was performed. The extracts were compared in terms of carotenoid extraction, antioxidant activity by three methods, color, and environmental impact. The results confirmed that the mixture of C8:Pro is a DES and showed the highest carotenoid extraction (46.01 µg/g) compared to hexane (39.28 µg/g). The antioxidant activity was also the highest in C8:Pro (2438.8 µM TE/mL). Finally, two assessment models were used to evaluate the greenness and sustainability of the proposed extractions. These results demonstrated the potential use of orange peels in the circular economy and industry.","author":[{"dropping-particle":"","family":"Viñas-Ospino","given":"Adriana","non-dropping-particle":"","parse-names":false,"suffix":""},{"dropping-particle":"","family":"Rita Jesus","given":"Ana","non-dropping-particle":"","parse-names":false,"suffix":""},{"dropping-particle":"","family":"Paiva","given":"Alexandre","non-dropping-particle":"","parse-names":false,"suffix":""},{"dropping-particle":"","family":"Esteve","given":"Maria J.","non-dropping-particle":"","parse-names":false,"suffix":""},{"dropping-particle":"","family":"Frígola","given":"Ana","non-dropping-particle":"","parse-names":false,"suffix":""},{"dropping-particle":"","family":"Blesa","given":"Jesús","non-dropping-particle":"","parse-names":false,"suffix":""},{"dropping-particle":"","family":"López-Malo","given":"Daniel","non-dropping-particle":"","parse-names":false,"suffix":""}],"container-title":"Food Chemistry","id":"ITEM-2","issue":"January","issued":{"date-parts":[["2024"]]},"title":"Comparison of green solvents for the revalorization of orange by-products: Carotenoid extraction and in vitro antioxidant activity","type":"article-journal","volume":"442"},"uris":["http://www.mendeley.com/documents/?uuid=9f4b194e-a2fc-442e-84c4-4d755dbe9b72","http://www.mendeley.com/documents/?uuid=b33cd102-bc57-41a8-9c13-7d3597cb0149"]},{"id":"ITEM-3","itemData":{"DOI":"10.1002/jsfa.11455","ISSN":"10970010","PMID":"34324201","abstract":"Mango (Mangifera indica) has been recognized as a rich source of bioactive compounds with potential pharmaceutical and nutraceutical applications and has attracted increasing interest from research. Phytochemistry studies have demonstrated that phenolic compounds are one of the most important biologically active components of M. indica extracts. Ultrasound‑ and microwave-assisted extractions and supercritical fluids have been employed to obtain bioactive molecules, such as phenolic acids, terpenoids, carotenoids, and fatty acids. These phytochemicals exhibit antioxidant, antimicrobial, anti-inflammatory, and anticancer activity, and depending on the source (bark, leaves, seeds, flowers, or peel) and extraction method there will be differences in the structure and bioactivity. This review examines the bioactive compounds, extraction techniques, and biological function of different parts of M. indica of great importance as nutraceuticals and functional compounds with potential application as therapeutic agents and functional foods. © 2021 Society of Chemical Industry.","author":[{"dropping-particle":"","family":"Quintana","given":"Somaris E.","non-dropping-particle":"","parse-names":false,"suffix":""},{"dropping-particle":"","family":"Salas","given":"Stephanie","non-dropping-particle":"","parse-names":false,"suffix":""},{"dropping-particle":"","family":"García-Zapateiro","given":"Luis A.","non-dropping-particle":"","parse-names":false,"suffix":""}],"container-title":"Journal of the Science of Food and Agriculture","id":"ITEM-3","issue":"15","issued":{"date-parts":[["2021"]]},"page":"6186-6192","title":"Bioactive compounds of mango (Mangifera indica): a review of extraction technologies and chemical constituents","type":"article-journal","volume":"101"},"uris":["http://www.mendeley.com/documents/?uuid=ec5d955c-3120-41dd-8da6-ebc22044f7c1"]}],"mendeley":{"formattedCitation":"[7,13,14]","plainTextFormattedCitation":"[7,13,14]","previouslyFormattedCitation":"[5,8,14]"},"properties":{"noteIndex":0},"schema":"https://github.com/citation-style-language/schema/raw/master/csl-citation.json"}</w:instrText>
      </w:r>
      <w:r w:rsidR="00E01993" w:rsidRPr="00966B21">
        <w:rPr>
          <w:lang w:val="en-GB"/>
        </w:rPr>
        <w:fldChar w:fldCharType="separate"/>
      </w:r>
      <w:r w:rsidR="00CD7D53" w:rsidRPr="00966B21">
        <w:rPr>
          <w:noProof/>
          <w:lang w:val="en-GB"/>
        </w:rPr>
        <w:t>[7,13,14]</w:t>
      </w:r>
      <w:r w:rsidR="00E01993" w:rsidRPr="00966B21">
        <w:rPr>
          <w:lang w:val="en-GB"/>
        </w:rPr>
        <w:fldChar w:fldCharType="end"/>
      </w:r>
      <w:r w:rsidRPr="00966B21">
        <w:rPr>
          <w:lang w:val="en-GB"/>
        </w:rPr>
        <w:t xml:space="preserve">. </w:t>
      </w:r>
      <w:r w:rsidR="0024099E" w:rsidRPr="00966B21">
        <w:rPr>
          <w:lang w:val="en-GB"/>
        </w:rPr>
        <w:t>Hydrophobic eutectic solvents (HES</w:t>
      </w:r>
      <w:r w:rsidR="00DF780C" w:rsidRPr="00966B21">
        <w:rPr>
          <w:lang w:val="en-GB"/>
        </w:rPr>
        <w:t>) and hydrophobic deep eutectic solvents (HDES)</w:t>
      </w:r>
      <w:r w:rsidR="0024099E" w:rsidRPr="00966B21">
        <w:rPr>
          <w:lang w:val="en-GB"/>
        </w:rPr>
        <w:t xml:space="preserve">, obtained by combining a hydrogen bond acceptor (HBA) such as a quaternary ammonium salt, and a hydrogen bond donor (HBD) were first described in 2015 </w:t>
      </w:r>
      <w:r w:rsidR="00E01993" w:rsidRPr="00966B21">
        <w:rPr>
          <w:lang w:val="en-GB"/>
        </w:rPr>
        <w:fldChar w:fldCharType="begin" w:fldLock="1"/>
      </w:r>
      <w:r w:rsidR="00CD7D53" w:rsidRPr="00966B21">
        <w:rPr>
          <w:lang w:val="en-GB"/>
        </w:rPr>
        <w:instrText>ADDIN CSL_CITATION {"citationItems":[{"id":"ITEM-1","itemData":{"DOI":"10.1039/c5gc01451d","ISSN":"14639270","abstract":"Hydrophobic deep eutectic solvents (DESs) are presented for the first time. They consist of decanoic acid and various quaternary ammonium salts. The effect of the alkyl chains on the hydrophobicity and the equilibrium of the two-phase DES-water system were investigated. These new DESs were successfully evaluated for the recovery of volatile fatty acids from diluted aqueous solutions.","author":[{"dropping-particle":"","family":"Osch","given":"Dannie J.G.P.","non-dropping-particle":"Van","parse-names":false,"suffix":""},{"dropping-particle":"","family":"Zubeir","given":"Lawien F.","non-dropping-particle":"","parse-names":false,"suffix":""},{"dropping-particle":"","family":"Bruinhorst","given":"Adriaan","non-dropping-particle":"Van Den","parse-names":false,"suffix":""},{"dropping-particle":"","family":"Rocha","given":"Marisa A.A.","non-dropping-particle":"","parse-names":false,"suffix":""},{"dropping-particle":"","family":"Kroon","given":"Maaike C.","non-dropping-particle":"","parse-names":false,"suffix":""}],"container-title":"Green Chemistry","id":"ITEM-1","issue":"9","issued":{"date-parts":[["2015"]]},"page":"4518-4521","title":"Hydrophobic deep eutectic solvents as water-immiscible extractants","type":"article-journal","volume":"17"},"uris":["http://www.mendeley.com/documents/?uuid=3d6568fe-33f7-47e9-b3f8-1d1031168ebe","http://www.mendeley.com/documents/?uuid=241ab59d-bea4-4849-bf9b-9eb2459dfbe9"]}],"mendeley":{"formattedCitation":"[15]","plainTextFormattedCitation":"[15]","previouslyFormattedCitation":"[15]"},"properties":{"noteIndex":0},"schema":"https://github.com/citation-style-language/schema/raw/master/csl-citation.json"}</w:instrText>
      </w:r>
      <w:r w:rsidR="00E01993" w:rsidRPr="00966B21">
        <w:rPr>
          <w:lang w:val="en-GB"/>
        </w:rPr>
        <w:fldChar w:fldCharType="separate"/>
      </w:r>
      <w:r w:rsidR="00CA7138" w:rsidRPr="00966B21">
        <w:rPr>
          <w:noProof/>
          <w:lang w:val="en-GB"/>
        </w:rPr>
        <w:t>[15]</w:t>
      </w:r>
      <w:r w:rsidR="00E01993" w:rsidRPr="00966B21">
        <w:rPr>
          <w:lang w:val="en-GB"/>
        </w:rPr>
        <w:fldChar w:fldCharType="end"/>
      </w:r>
      <w:r w:rsidR="00F14679" w:rsidRPr="00966B21">
        <w:rPr>
          <w:lang w:val="en-GB"/>
        </w:rPr>
        <w:t xml:space="preserve"> </w:t>
      </w:r>
      <w:r w:rsidR="0024099E" w:rsidRPr="00966B21">
        <w:rPr>
          <w:lang w:val="en-GB"/>
        </w:rPr>
        <w:t>and have gained great attention since then. At present, those composed of non-ionic substances like terpenoids and other substances constitute the so</w:t>
      </w:r>
      <w:r w:rsidR="001B6F31" w:rsidRPr="00966B21">
        <w:rPr>
          <w:lang w:val="en-GB"/>
        </w:rPr>
        <w:t>-</w:t>
      </w:r>
      <w:r w:rsidR="0024099E" w:rsidRPr="00966B21">
        <w:rPr>
          <w:lang w:val="en-GB"/>
        </w:rPr>
        <w:t>call</w:t>
      </w:r>
      <w:r w:rsidR="00ED0E2A" w:rsidRPr="00966B21">
        <w:rPr>
          <w:lang w:val="en-GB"/>
        </w:rPr>
        <w:t>ed</w:t>
      </w:r>
      <w:r w:rsidR="0024099E" w:rsidRPr="00966B21">
        <w:rPr>
          <w:lang w:val="en-GB"/>
        </w:rPr>
        <w:t xml:space="preserve"> Type V eutectic solvents </w:t>
      </w:r>
      <w:r w:rsidR="00E01993" w:rsidRPr="00966B21">
        <w:rPr>
          <w:lang w:val="en-GB"/>
        </w:rPr>
        <w:fldChar w:fldCharType="begin" w:fldLock="1"/>
      </w:r>
      <w:r w:rsidR="00CD7D53" w:rsidRPr="00966B21">
        <w:rPr>
          <w:lang w:val="en-GB"/>
        </w:rPr>
        <w:instrText>ADDIN CSL_CITATION {"citationItems":[{"id":"ITEM-1","itemData":{"DOI":"10.3390/pr9050796","ISBN":"3153489289","ISSN":"22279717","abstract":"The solid–liquid equilibrium (SLE) behavior and liquid–liquid extraction (LLX) abilities of deep eutectic solvents (DESs) containing (a) thymol and L-menthol, and (b) trioctylphosphine oxide (TOPO) and L-menthol were evaluated. The distribution coefficients (KD) were determined for the solutes relevant for two biorefinery cases, including formic acid, levulinic acid, furfural, acetic acid, propionic acid, butyric acid, and L-lactic acid. Overall, for both cases, an increasing KD was observed for both DESs for acids increasing in size and thus hydrophobicity. Furfural, being the most hydrophobic, was seen to extract the highest KD (for DES (a) 14.2 ± 2.2 and (b) 4.1 ± 0.3), and the KD of lactic acid was small, independent of the DESs (DES (a) 0.5 ± 0.07 and DES (b) 0.4 ± 0.05). The KD of the acids for the TOPO and L-menthol DES were in similar ranges as for traditional TOPOcontaining composite solvents, while for the thymol/L-menthol DES, in the absence of the Lewis base functionality, a smaller KD was observed. The selectivity of formic acid and levulinic acid separation was different for the two DESs investigated because of the acid–base interaction of the phosphine group. The thymol and L-menthol DES was selective towards levulinic acid (Sij = 9.3 +/− 0.10, and the TOPO and L-menthol DES was selective towards FA (Sij = 2.1 +/− 0.28).","author":[{"dropping-particle":"","family":"Brouwer","given":"Thomas","non-dropping-particle":"","parse-names":false,"suffix":""},{"dropping-particle":"","family":"Dielis","given":"Bas C.","non-dropping-particle":"","parse-names":false,"suffix":""},{"dropping-particle":"","family":"Bock","given":"Jorrit M.","non-dropping-particle":"","parse-names":false,"suffix":""},{"dropping-particle":"","family":"Schuur","given":"Boelo","non-dropping-particle":"","parse-names":false,"suffix":""}],"container-title":"Processes","id":"ITEM-1","issue":"5","issued":{"date-parts":[["2021"]]},"title":"Hydrophobic deep eutectic solvents for the recovery of bio-based chemicals: Solid–liquid equilibria and liquid–liquid extraction","type":"article-journal","volume":"9"},"uris":["http://www.mendeley.com/documents/?uuid=33ca52f6-0a6b-49c1-a166-1e1e91445b66","http://www.mendeley.com/documents/?uuid=a117239d-9c35-424b-8196-b560e18b37fc"]},{"id":"ITEM-2","itemData":{"DOI":"10.1063/5.0080470","ISSN":"10897690","PMID":"35259877","abstract":"Type V natural deep eutectic solvents considering menthol, thymol, and levulinic acids are studied considering a combined experimental and theoretical approach to develop a multiscale characterization of these fluids with particular attention to intermolecular forces (hydrogen bonding) and their relationships with macroscopic behavior. Density, viscosity, refraction index, and thermal conductivity were measured as a function of temperature, providing a thermophysical characterization of the fluids. Quantum chemistry was applied to characterize hydrogen bonding in minimal molecular clusters, allowing us to quantify interaction strength, topology (according to atoms in a molecule theory), and electronic properties. Classical molecular dynamics simulations were also performed, allowing us to characterize bulk liquid phases at the nanoscopic level, analyzing the fluid's structuring, void distribution, and dynamics. The reported results allowed us to infer nano-macro relationships, which are required for the proper design of these green solvents and their application for different technologies.","author":[{"dropping-particle":"","family":"Gutiérrez","given":"Alberto","non-dropping-particle":"","parse-names":false,"suffix":""},{"dropping-particle":"","family":"Zamora","given":"Lorena","non-dropping-particle":"","parse-names":false,"suffix":""},{"dropping-particle":"","family":"Benito","given":"Cristina","non-dropping-particle":"","parse-names":false,"suffix":""},{"dropping-particle":"","family":"Atilhan","given":"Mert","non-dropping-particle":"","parse-names":false,"suffix":""},{"dropping-particle":"","family":"Aparicio","given":"Santiago","non-dropping-particle":"","parse-names":false,"suffix":""}],"container-title":"Journal of Chemical Physics","id":"ITEM-2","issue":"9","issued":{"date-parts":[["2022"]]},"publisher":"AIP Publishing, LLC","title":"Insights on novel type v deep eutectic solvents based on levulinic acid","type":"article-journal","volume":"156"},"uris":["http://www.mendeley.com/documents/?uuid=c1bfaf0b-fa99-445c-bf14-6abd95fec313","http://www.mendeley.com/documents/?uuid=de690111-b838-4d5f-b39a-0b0115c6002e"]}],"mendeley":{"formattedCitation":"[16,17]","plainTextFormattedCitation":"[16,17]","previouslyFormattedCitation":"[16,17]"},"properties":{"noteIndex":0},"schema":"https://github.com/citation-style-language/schema/raw/master/csl-citation.json"}</w:instrText>
      </w:r>
      <w:r w:rsidR="00E01993" w:rsidRPr="00966B21">
        <w:rPr>
          <w:lang w:val="en-GB"/>
        </w:rPr>
        <w:fldChar w:fldCharType="separate"/>
      </w:r>
      <w:r w:rsidR="00CA7138" w:rsidRPr="00966B21">
        <w:rPr>
          <w:noProof/>
          <w:lang w:val="en-GB"/>
        </w:rPr>
        <w:t>[16,17]</w:t>
      </w:r>
      <w:r w:rsidR="00E01993" w:rsidRPr="00966B21">
        <w:rPr>
          <w:lang w:val="en-GB"/>
        </w:rPr>
        <w:fldChar w:fldCharType="end"/>
      </w:r>
      <w:r w:rsidR="00397D2A" w:rsidRPr="00966B21">
        <w:rPr>
          <w:lang w:val="en-GB"/>
        </w:rPr>
        <w:t xml:space="preserve">. </w:t>
      </w:r>
      <w:r w:rsidR="0024099E" w:rsidRPr="00966B21">
        <w:rPr>
          <w:lang w:val="en-GB"/>
        </w:rPr>
        <w:t xml:space="preserve">Moreover, those prepared with fatty acids or terpenoids, can dissolve natural products with limited water solubility and protect them during storage and exposure to middle-high temperatures </w:t>
      </w:r>
      <w:r w:rsidR="00E01993" w:rsidRPr="00966B21">
        <w:rPr>
          <w:lang w:val="en-GB"/>
        </w:rPr>
        <w:fldChar w:fldCharType="begin" w:fldLock="1"/>
      </w:r>
      <w:r w:rsidR="00CD7D53" w:rsidRPr="00966B21">
        <w:rPr>
          <w:lang w:val="en-GB"/>
        </w:rPr>
        <w:instrText>ADDIN CSL_CITATION {"citationItems":[{"id":"ITEM-1","itemData":{"DOI":"10.1021/acssuschemeng.8b01203","ISSN":"21680485","abstract":"Recently, some works claim that hydrophobic deep eutectic solvents could be prepared based on menthol and monocarboxylic acids. Despite of some promising potential applications, these systems were poorly understood, and this work addresses this issue. Here, the characterization of eutectic solvents composed of the terpenes thymol or l(-)-menthol and monocarboxylic acids is studied aiming the design of these solvents. Their solid-liquid phase diagrams were measured by differential scanning calorimetry in the whole composition range, showing that a broader composition range, and not only fixed stoichiometric proportions, can be used as solvents at low temperatures. Additionally, solvent densities and viscosities close to the eutectic compositions were measured, showing low viscosity and lower density than water. The solvatochromic parameters at the eutectic composition were also investigated aiming at better understanding their polarity. The high acidity is mainly provided by the presence of thymol in the mixture, while l(-)-menthol plays the major role on the hydrogen-bond basicity. The measured mutual solubilities with water attest to the hydrophobic character of the mixtures investigated. The experimental solid-liquid phase diagrams were described using the PC-SAFT equation of state that is shown to accurately describe the experimental data and quantify the small deviations from ideality.","author":[{"dropping-particle":"","family":"Martins","given":"Mónia A.R.","non-dropping-particle":"","parse-names":false,"suffix":""},{"dropping-particle":"","family":"Crespo","given":"Emanuel A.","non-dropping-particle":"","parse-names":false,"suffix":""},{"dropping-particle":"","family":"Pontes","given":"Paula V.A.","non-dropping-particle":"","parse-names":false,"suffix":""},{"dropping-particle":"","family":"Silva","given":"Liliana P.","non-dropping-particle":"","parse-names":false,"suffix":""},{"dropping-particle":"","family":"Bülow","given":"Mark","non-dropping-particle":"","parse-names":false,"suffix":""},{"dropping-particle":"","family":"Maximo","given":"Guilherme J.","non-dropping-particle":"","parse-names":false,"suffix":""},{"dropping-particle":"","family":"Batista","given":"Eduardo A.C.","non-dropping-particle":"","parse-names":false,"suffix":""},{"dropping-particle":"","family":"Held","given":"Christoph","non-dropping-particle":"","parse-names":false,"suffix":""},{"dropping-particle":"","family":"Pinho","given":"Simao P.","non-dropping-particle":"","parse-names":false,"suffix":""},{"dropping-particle":"","family":"Coutinho","given":"Joao A.P.","non-dropping-particle":"","parse-names":false,"suffix":""}],"container-title":"ACS Sustainable Chemistry and Engineering","id":"ITEM-1","issue":"7","issued":{"date-parts":[["2018"]]},"page":"8836-8846","title":"Tunable Hydrophobic Eutectic Solvents Based on Terpenes and Monocarboxylic Acids","type":"article-journal","volume":"6"},"uris":["http://www.mendeley.com/documents/?uuid=7317d34e-9890-446f-95c8-052a335c9a13","http://www.mendeley.com/documents/?uuid=d8f7d029-bf48-4d7a-8307-46f7cd60d508"]}],"mendeley":{"formattedCitation":"[18]","plainTextFormattedCitation":"[18]","previouslyFormattedCitation":"[18]"},"properties":{"noteIndex":0},"schema":"https://github.com/citation-style-language/schema/raw/master/csl-citation.json"}</w:instrText>
      </w:r>
      <w:r w:rsidR="00E01993" w:rsidRPr="00966B21">
        <w:rPr>
          <w:lang w:val="en-GB"/>
        </w:rPr>
        <w:fldChar w:fldCharType="separate"/>
      </w:r>
      <w:r w:rsidR="00CA7138" w:rsidRPr="00966B21">
        <w:rPr>
          <w:noProof/>
          <w:lang w:val="en-GB"/>
        </w:rPr>
        <w:t>[18]</w:t>
      </w:r>
      <w:r w:rsidR="00E01993" w:rsidRPr="00966B21">
        <w:rPr>
          <w:lang w:val="en-GB"/>
        </w:rPr>
        <w:fldChar w:fldCharType="end"/>
      </w:r>
      <w:r w:rsidRPr="00966B21">
        <w:rPr>
          <w:lang w:val="en-GB"/>
        </w:rPr>
        <w:t xml:space="preserve">. </w:t>
      </w:r>
      <w:bookmarkStart w:id="3" w:name="_Hlk176422992"/>
      <w:r w:rsidR="0024099E" w:rsidRPr="00966B21">
        <w:rPr>
          <w:lang w:val="en-GB"/>
        </w:rPr>
        <w:t>HES  have a great capacity to stabilize biomolecules, which opens up intriguing possibilities for incorporating them in extraction processes</w:t>
      </w:r>
      <w:bookmarkEnd w:id="3"/>
      <w:r w:rsidR="0024099E" w:rsidRPr="00966B21">
        <w:rPr>
          <w:lang w:val="en-GB"/>
        </w:rPr>
        <w:t xml:space="preserve"> </w:t>
      </w:r>
      <w:r w:rsidR="00E01993" w:rsidRPr="00966B21">
        <w:rPr>
          <w:lang w:val="en-GB"/>
        </w:rPr>
        <w:fldChar w:fldCharType="begin" w:fldLock="1"/>
      </w:r>
      <w:r w:rsidR="00CD7D53" w:rsidRPr="00966B21">
        <w:rPr>
          <w:lang w:val="en-GB"/>
        </w:rPr>
        <w:instrText>ADDIN CSL_CITATION {"citationItems":[{"id":"ITEM-1","itemData":{"DOI":"10.3390/antiox13020239","ISSN":"20763921","abstract":"Carotenoids are ubiquitous and versatile isoprenoid compounds. The intake of foods rich in these pigments is often associated with health benefits, attributable to the provitamin A activity of some of them and different mechanisms. The importance of carotenoids and their derivatives for the production of foods and health-promotion through the diet is beyond doubt. In the new circular economy paradigm, the recovery of carotenoids in the biorefinery process is highly desirable, for which greener processes and solvents are being advocated for, considering the many studies being conducted at the laboratory scale. This review summarizes information on different extraction technologies (ultrasound, microwaves, pulsed electric fields, pressurized liquid extraction, sub- and supercritical fluid extraction, and enzyme-assisted extraction) and green solvents (ethyl lactate, 2-methyltetrahydrofuran, natural deep eutectic solvents, and ionic liquids), which are potential substitutes for more toxic and less environmentally friendly solvents. Additionally, it discusses the results of the latest studies on the sustainable green extraction of carotenoids. The conclusions drawn from the review indicate that while laboratory results are often promising, the scalability to real industrial scenarios poses a significant challenge. Furthermore, incorporating life cycle assessment analyses is crucial for a comprehensive evaluation of the sustainability of innovative extraction processes compared to industry-standard methods.","author":[{"dropping-particle":"","family":"Morón-Ortiz","given":"Ángeles","non-dropping-particle":"","parse-names":false,"suffix":""},{"dropping-particle":"","family":"Mapelli-Brahm","given":"Paula","non-dropping-particle":"","parse-names":false,"suffix":""},{"dropping-particle":"","family":"Meléndez-Martínez","given":"Antonio J.","non-dropping-particle":"","parse-names":false,"suffix":""}],"container-title":"Antioxidants","id":"ITEM-1","issue":"2","issued":{"date-parts":[["2024"]]},"title":"Sustainable Green Extraction of Carotenoid Pigments: Innovative Technologies and Bio-Based Solvents","type":"article-journal","volume":"13"},"uris":["http://www.mendeley.com/documents/?uuid=0f25e7bf-d7fd-4bd2-a743-dbe5e2ce64c9","http://www.mendeley.com/documents/?uuid=066c5372-beeb-4fca-aa37-31fc10b498b5"]},{"id":"ITEM-2","itemData":{"DOI":"10.3390/appliedchem3040028","ISSN":"26739623","abstract":"The food industry produces substantial amounts of waste, which can cause a lot of environmental issues. However, such waste is also a valuable source of bioactive substances that can potentially be used either by the food industry or other types of industries, in the production of medicines, nutraceuticals, cosmetics, etc. The present study proposes a novel approach to extract such bioactive compounds from orange peel waste using hydrophobic eutectic solvents synthesized with thymol and fatty acids (hexanoic and octanoic acid). A response surface methodology was employed to optimize the extraction conditions and achieve maximum recovery of carotenoids. The optimal hydrophobic eutectic solvent consisted of thymol and hexanoic acid at a molar ratio of 2:1, and the optimum extraction was achieved using a solvent-to-solid ratio of 12:1 and a temperature of 20 °C for 78 min; this resulted in a recovery of 259.45 μg of total carotenoids per g of dry matter, which is a significantly higher recovery compared to common organic solvents. Based on the above, it is demonstrated that hydrophobic eutectic solvents is a promising solvent that can be used to extract bioactive compounds from orange peel waste.","author":[{"dropping-particle":"","family":"Terlidis","given":"Konstantinos","non-dropping-particle":"","parse-names":false,"suffix":""},{"dropping-particle":"","family":"Athanasiadis","given":"Vassilis","non-dropping-particle":"","parse-names":false,"suffix":""},{"dropping-particle":"","family":"Chatzimitakos","given":"Theodoros","non-dropping-particle":"","parse-names":false,"suffix":""},{"dropping-particle":"","family":"Bozinou","given":"Eleni","non-dropping-particle":"","parse-names":false,"suffix":""},{"dropping-particle":"","family":"Lalas","given":"Stavros I.","non-dropping-particle":"","parse-names":false,"suffix":""}],"container-title":"AppliedChem","id":"ITEM-2","issue":"4","issued":{"date-parts":[["2023"]]},"page":"437-451","title":"Carotenoids Extraction from Orange Peels Using a Thymol-Based Hydrophobic Eutectic Solvent","type":"article-journal","volume":"3"},"uris":["http://www.mendeley.com/documents/?uuid=de94b5c4-8ca1-4fa0-9c57-3ceb3f1fb2eb"]}],"mendeley":{"formattedCitation":"[8,19]","plainTextFormattedCitation":"[8,19]","previouslyFormattedCitation":"[9]"},"properties":{"noteIndex":0},"schema":"https://github.com/citation-style-language/schema/raw/master/csl-citation.json"}</w:instrText>
      </w:r>
      <w:r w:rsidR="00E01993" w:rsidRPr="00966B21">
        <w:rPr>
          <w:lang w:val="en-GB"/>
        </w:rPr>
        <w:fldChar w:fldCharType="separate"/>
      </w:r>
      <w:r w:rsidR="00CD7D53" w:rsidRPr="00966B21">
        <w:rPr>
          <w:noProof/>
          <w:lang w:val="en-GB"/>
        </w:rPr>
        <w:t>[8,19]</w:t>
      </w:r>
      <w:r w:rsidR="00E01993" w:rsidRPr="00966B21">
        <w:rPr>
          <w:lang w:val="en-GB"/>
        </w:rPr>
        <w:fldChar w:fldCharType="end"/>
      </w:r>
      <w:r w:rsidRPr="00966B21">
        <w:rPr>
          <w:lang w:val="en-GB"/>
        </w:rPr>
        <w:t>.</w:t>
      </w:r>
      <w:r w:rsidR="007E368D" w:rsidRPr="00966B21">
        <w:rPr>
          <w:lang w:val="en-GB"/>
        </w:rPr>
        <w:t xml:space="preserve"> </w:t>
      </w:r>
      <w:r w:rsidR="00940923" w:rsidRPr="00966B21">
        <w:rPr>
          <w:lang w:val="en-GB"/>
        </w:rPr>
        <w:t xml:space="preserve">Experimental design and </w:t>
      </w:r>
      <w:r w:rsidR="007E368D" w:rsidRPr="00966B21">
        <w:rPr>
          <w:lang w:val="en-GB"/>
        </w:rPr>
        <w:t>optimization techniques could be applied to fine-tune the extraction process, enhancing the yield and purity of the carotenoid extracts.</w:t>
      </w:r>
    </w:p>
    <w:p w14:paraId="0EA28802" w14:textId="23F69D5F" w:rsidR="002873BA" w:rsidRPr="00966B21" w:rsidRDefault="002873BA" w:rsidP="002753DB">
      <w:pPr>
        <w:pStyle w:val="NormaleWeb"/>
        <w:spacing w:before="0" w:beforeAutospacing="0" w:after="0" w:afterAutospacing="0"/>
        <w:jc w:val="both"/>
        <w:rPr>
          <w:u w:val="single"/>
          <w:lang w:val="en-GB"/>
        </w:rPr>
      </w:pPr>
      <w:r w:rsidRPr="00966B21">
        <w:rPr>
          <w:lang w:val="en-GB"/>
        </w:rPr>
        <w:t xml:space="preserve">Several properties of eutectic solvents have been attributed to the molecular interactions among their components, especially the network of hydrogen bonds </w:t>
      </w:r>
      <w:r w:rsidRPr="00966B21">
        <w:rPr>
          <w:lang w:val="en-GB"/>
        </w:rPr>
        <w:fldChar w:fldCharType="begin" w:fldLock="1"/>
      </w:r>
      <w:r w:rsidR="00CD7D53" w:rsidRPr="00966B21">
        <w:rPr>
          <w:lang w:val="en-GB"/>
        </w:rPr>
        <w:instrText>ADDIN CSL_CITATION {"citationItems":[{"id":"ITEM-1","itemData":{"DOI":"10.1021/ac400432p","ISSN":"00032700","PMID":"23710664","abstract":"Developing green solvents with low toxicity and cost is an important issue for the biochemical industry. Synthetic ionic liquids and deep eutectic solvents have received considerable attention due to their negligible volatility at room temperature, high solubilization ability, and tunable selectivity. However, the potential toxicity of the synthetic ionic liquids and the solid state at room temperature of most deep eutectic solvents hamper their application as extraction solvents. In this study, a wide range of recently discovered natural ionic liquids and deep eutectic solvents (NADES) composed of natural compounds were investigated for the extraction of phenolic compounds of diverse polarity. Safflower was selected as a case study because its aromatic pigments cover a wide range of polarities. Many advantageous features of NADES (such as their sustainability, biodegradability combined with acceptable pharmaceutical toxicity profiles, and their high solubilization power of both polar and nonpolar compounds) suggest their potential as green solvents for extraction. Experiments with different NADES and multivariate data analysis demonstrated that the extractability of both polar and less polar metabolites was greater with NADES than conventional solvents. The water content in NADES proved to have the biggest effect on the yield of phenolic compounds. Most major phenolic compounds were recovered from NADES with a yield between 75% and 97%. This study reveals the potential of NADES for applications involving the extraction of bioactive compounds from natural sources. © 2013 American Chemical Society.","author":[{"dropping-particle":"","family":"Dai","given":"Yuntao","non-dropping-particle":"","parse-names":false,"suffix":""},{"dropping-particle":"","family":"Witkamp","given":"Geert Jan","non-dropping-particle":"","parse-names":false,"suffix":""},{"dropping-particle":"","family":"Verpoorte","given":"Robert","non-dropping-particle":"","parse-names":false,"suffix":""},{"dropping-particle":"","family":"Choi","given":"Young Hae","non-dropping-particle":"","parse-names":false,"suffix":""}],"container-title":"Analytical Chemistry","id":"ITEM-1","issue":"13","issued":{"date-parts":[["2013"]]},"page":"6272-6278","title":"Natural deep eutectic solvents as a new extraction media for phenolic metabolites in carthamus tinctorius L.","type":"article-journal","volume":"85"},"uris":["http://www.mendeley.com/documents/?uuid=938a83d6-9b1a-4db1-b696-a626dc4e32ef"]}],"mendeley":{"formattedCitation":"[20]","plainTextFormattedCitation":"[20]","previouslyFormattedCitation":"[19]"},"properties":{"noteIndex":0},"schema":"https://github.com/citation-style-language/schema/raw/master/csl-citation.json"}</w:instrText>
      </w:r>
      <w:r w:rsidRPr="00966B21">
        <w:rPr>
          <w:lang w:val="en-GB"/>
        </w:rPr>
        <w:fldChar w:fldCharType="separate"/>
      </w:r>
      <w:r w:rsidR="00CD7D53" w:rsidRPr="00966B21">
        <w:rPr>
          <w:noProof/>
          <w:lang w:val="en-GB"/>
        </w:rPr>
        <w:t>[20]</w:t>
      </w:r>
      <w:r w:rsidRPr="00966B21">
        <w:rPr>
          <w:lang w:val="en-GB"/>
        </w:rPr>
        <w:fldChar w:fldCharType="end"/>
      </w:r>
      <w:r w:rsidRPr="00966B21">
        <w:rPr>
          <w:lang w:val="en-GB"/>
        </w:rPr>
        <w:t>. In the case of H</w:t>
      </w:r>
      <w:r w:rsidR="006A4EEC" w:rsidRPr="00966B21">
        <w:rPr>
          <w:lang w:val="en-GB"/>
        </w:rPr>
        <w:t>D</w:t>
      </w:r>
      <w:r w:rsidRPr="00966B21">
        <w:rPr>
          <w:lang w:val="en-GB"/>
        </w:rPr>
        <w:t>ESs (type V DESs), phenolic components can enhance the solubility of other aromatic compounds through the formation of π-interactions between the solvent and solute</w:t>
      </w:r>
      <w:r w:rsidR="00711053" w:rsidRPr="00966B21">
        <w:rPr>
          <w:lang w:val="en-GB"/>
        </w:rPr>
        <w:t xml:space="preserve"> </w:t>
      </w:r>
      <w:r w:rsidR="00711053" w:rsidRPr="00966B21">
        <w:rPr>
          <w:lang w:val="en-GB"/>
        </w:rPr>
        <w:fldChar w:fldCharType="begin" w:fldLock="1"/>
      </w:r>
      <w:r w:rsidR="00CD7D53" w:rsidRPr="00966B21">
        <w:rPr>
          <w:lang w:val="en-GB"/>
        </w:rPr>
        <w:instrText>ADDIN CSL_CITATION {"citationItems":[{"id":"ITEM-1","itemData":{"DOI":"10.1007/s11224-023-02180-6","ISBN":"0123456789","ISSN":"15729001","abstract":"This study investigated the possibility to replace organic solvent by new type of green solvent (hydrophobic deep eutectic solvent) for the extraction of phenolic compounds by evaluating the interactions between phenolic compounds and water or hydrophobic deep eutectic solvent. With a comparison of both interactions, the ability of the solvent to extract targeted molecule can be predicted. First, study of molecular conformations of phenol, guaiacol, pyrocatechol and eugenol was performed using Density Functional Theory (DFT) with the model M06-2X and the basis set cc-pVTZ. Influence of water involved in {water-phenolic compound} clusters on electronegativity and hardness was investigated. In addition, hydrogen bonds involved in the hydrophobic deep eutectic solvent menthol: dodecanoic acid [2:1] were also evaluated. Finally, study of {hydrophobic deep eutectic solvent- phenol} cluster was performed. The results show that the interaction energy of the {phenol-HDES menthol: dodecanoic acid [2:1]} cluster (53.63 kcal.mol−1) is higher than the one calculated for {phenol-water} (35.26 kcal.mol−1) reflecting the ability of this HDES to extract phenol from water. Natural bond analysis (NBO) reports a strong stabilisation of hydrogen bonds involved in all systems. For the {phenol-HDES} cluster, the largest stabilisation energy (4 kcal.mol−1) is obtained for the hydrogen bond between the phenol and the carboxyl acid of the HDES. Frequency results show that this particular OH-bond is the most red-shifted in cluster in comparison with isolated form.","author":[{"dropping-particle":"","family":"Cablé","given":"Pierre Alann","non-dropping-particle":"","parse-names":false,"suffix":""},{"dropping-particle":"","family":"Brech","given":"Yann","non-dropping-particle":"Le","parse-names":false,"suffix":""},{"dropping-particle":"","family":"Mutelet","given":"Fabrice","non-dropping-particle":"","parse-names":false,"suffix":""}],"container-title":"Structural Chemistry","id":"ITEM-1","issue":"1","issued":{"date-parts":[["2024"]]},"page":"321-339","publisher":"Springer US","title":"Density functional theory investigation of interactions between phenolic compounds and water or hydrophobic deep eutectic solvent","type":"article-journal","volume":"35"},"uris":["http://www.mendeley.com/documents/?uuid=18caadf5-ba58-42e0-9960-332d1be351f5"]},{"id":"ITEM-2","itemData":{"DOI":"10.1016/j.molliq.2021.116620","ISSN":"01677322","abstract":"As promising green alternative solvents for ionic liquids, deep eutectic solvents (DESs) have been widely used in separation, catalysis, synthesis, etc. Most of the researches have focused on the application of DESs formed by hydrogen bonding interaction. In this paper, amide-based type IV DESs were synthesized from metal chloride and amides with coordination interaction, and they were used for extractive desulfurization of fuels. The experimental results showed the DES ZnCl2/N-methylformanilide (ZnCl2/MFA) had the highest desulfurization efficiency with the Nernst partition coefficient (KN) as 2.41. The extraction mechanism was firstly explored by Fourier transform infrared spectrometer (FT-IR) and 1H nuclear magnetic resonance (1H NMR). Then density functional theory (DFT) study suggested that π-π interactions and C–H···π interactions contribute mainly to effective removal of DBT from fuel oil by DESs.","author":[{"dropping-particle":"","family":"Xu","given":"Lixian","non-dropping-particle":"","parse-names":false,"suffix":""},{"dropping-particle":"","family":"Luo","given":"Yaping","non-dropping-particle":"","parse-names":false,"suffix":""},{"dropping-particle":"","family":"Liu","given":"Hui","non-dropping-particle":"","parse-names":false,"suffix":""},{"dropping-particle":"","family":"Yin","given":"Jie","non-dropping-particle":"","parse-names":false,"suffix":""},{"dropping-particle":"","family":"Li","given":"Hongping","non-dropping-particle":"","parse-names":false,"suffix":""},{"dropping-particle":"","family":"Jiang","given":"Wei","non-dropping-particle":"","parse-names":false,"suffix":""},{"dropping-particle":"","family":"Zhu","given":"Wenshuai","non-dropping-particle":"","parse-names":false,"suffix":""},{"dropping-particle":"","family":"Li","given":"Huaming","non-dropping-particle":"","parse-names":false,"suffix":""},{"dropping-particle":"","family":"Ji","given":"Hongbing","non-dropping-particle":"","parse-names":false,"suffix":""}],"container-title":"Journal of Molecular Liquids","id":"ITEM-2","issued":{"date-parts":[["2021"]]},"page":"116620","publisher":"Elsevier B.V.","title":"Extractive desulfurization of diesel fuel by amide-based type IV deep eutectic solvents","type":"article-journal","volume":"338"},"uris":["http://www.mendeley.com/documents/?uuid=ede9f933-330a-4c1e-b3c4-ad4a7bda2ddc"]}],"mendeley":{"formattedCitation":"[21,22]","plainTextFormattedCitation":"[21,22]","previouslyFormattedCitation":"[20,21]"},"properties":{"noteIndex":0},"schema":"https://github.com/citation-style-language/schema/raw/master/csl-citation.json"}</w:instrText>
      </w:r>
      <w:r w:rsidR="00711053" w:rsidRPr="00966B21">
        <w:rPr>
          <w:lang w:val="en-GB"/>
        </w:rPr>
        <w:fldChar w:fldCharType="separate"/>
      </w:r>
      <w:r w:rsidR="00CD7D53" w:rsidRPr="00966B21">
        <w:rPr>
          <w:noProof/>
          <w:lang w:val="en-GB"/>
        </w:rPr>
        <w:t>[21,22]</w:t>
      </w:r>
      <w:r w:rsidR="00711053" w:rsidRPr="00966B21">
        <w:rPr>
          <w:lang w:val="en-GB"/>
        </w:rPr>
        <w:fldChar w:fldCharType="end"/>
      </w:r>
      <w:r w:rsidR="00711053" w:rsidRPr="00966B21">
        <w:rPr>
          <w:lang w:val="en-GB"/>
        </w:rPr>
        <w:t xml:space="preserve">. </w:t>
      </w:r>
      <w:r w:rsidRPr="00966B21">
        <w:rPr>
          <w:lang w:val="en-GB"/>
        </w:rPr>
        <w:t xml:space="preserve">These intermolecular interactions are also likely involved in improving the stability and bioactivity of phytochemicals dissolved in deep eutectic solvents </w:t>
      </w:r>
      <w:r w:rsidR="00711053" w:rsidRPr="00966B21">
        <w:rPr>
          <w:lang w:val="en-GB"/>
        </w:rPr>
        <w:fldChar w:fldCharType="begin" w:fldLock="1"/>
      </w:r>
      <w:r w:rsidR="00CD7D53" w:rsidRPr="00966B21">
        <w:rPr>
          <w:lang w:val="en-GB"/>
        </w:rPr>
        <w:instrText>ADDIN CSL_CITATION {"citationItems":[{"id":"ITEM-1","itemData":{"DOI":"10.1016/j.molliq.2020.113997","ISSN":"01677322","abstract":"Plants serve as major sources of bioactive phytochemicals and provide an enormous space for drug discovery. Most of phytochemicals' utilizations are limited by the low water-solubility and thereby low bioavailability. The development of biocompatible solvents with high solvation is a simple and efficient method to improve the solubilities of phytochemicals. In this work, four water-insoluble phytochemicals were chosen as the models to systematically investigate the potential of (natural) deep eutectic solvents ((NA)DESs) as delivery vehicles. After preliminary screening, ten (NA)DESs from sixty prepared (NA)DESs were found to be low viscous and applied to safety evaluation. The cytotoxicity studies revealed that the ten (NA)DESs were safe enough to be used in pharmaceutical and food industry. The solubilities of four model phytochemicals in (NA)DESs were 252–4453 folds higher than those in water. Several solvatochromic parameters were correlated with the solubilities of phytochemicals to tentatively study the solvation between phytochemicals and (NA)DESs. The high solubility could be interpreted by the solute-solvent interactions between phytochemicals and (NA)DESs, such as dipole-dipole interactions and hydrogen bond interactions. The stabilities and bioactivities of phytochemicals dissolved in (NA)DESs were also investigated. It was indicated that not only the stabilities but also the bioactivities were improved by (NA)DESs. The findings of this study show bright application prospect of (NA)DESs as delivery vehicles, which will be of significance for improving the utilization of plant resources.","author":[{"dropping-particle":"","family":"Cao","given":"Jun","non-dropping-particle":"","parse-names":false,"suffix":""},{"dropping-particle":"","family":"Cao","given":"Jiarui","non-dropping-particle":"","parse-names":false,"suffix":""},{"dropping-particle":"","family":"Wang","given":"Huimin","non-dropping-particle":"","parse-names":false,"suffix":""},{"dropping-particle":"","family":"Chen","given":"Luyao","non-dropping-particle":"","parse-names":false,"suffix":""},{"dropping-particle":"","family":"Cao","given":"Fuliang","non-dropping-particle":"","parse-names":false,"suffix":""},{"dropping-particle":"","family":"Su","given":"Erzheng","non-dropping-particle":"","parse-names":false,"suffix":""}],"container-title":"Journal of Molecular Liquids","id":"ITEM-1","issued":{"date-parts":[["2020"]]},"page":"113997","publisher":"Elsevier B.V.","title":"Solubility improvement of phytochemicals using (natural) deep eutectic solvents and their bioactivity evaluation","type":"article-journal","volume":"318"},"uris":["http://www.mendeley.com/documents/?uuid=0f510a4c-1de6-4b1f-a1f2-b793ecb42862"]}],"mendeley":{"formattedCitation":"[23]","plainTextFormattedCitation":"[23]","previouslyFormattedCitation":"[22]"},"properties":{"noteIndex":0},"schema":"https://github.com/citation-style-language/schema/raw/master/csl-citation.json"}</w:instrText>
      </w:r>
      <w:r w:rsidR="00711053" w:rsidRPr="00966B21">
        <w:rPr>
          <w:lang w:val="en-GB"/>
        </w:rPr>
        <w:fldChar w:fldCharType="separate"/>
      </w:r>
      <w:r w:rsidR="00CD7D53" w:rsidRPr="00966B21">
        <w:rPr>
          <w:noProof/>
          <w:lang w:val="en-GB"/>
        </w:rPr>
        <w:t>[23]</w:t>
      </w:r>
      <w:r w:rsidR="00711053" w:rsidRPr="00966B21">
        <w:rPr>
          <w:lang w:val="en-GB"/>
        </w:rPr>
        <w:fldChar w:fldCharType="end"/>
      </w:r>
      <w:r w:rsidRPr="00966B21">
        <w:rPr>
          <w:lang w:val="en-GB"/>
        </w:rPr>
        <w:t xml:space="preserve">. </w:t>
      </w:r>
    </w:p>
    <w:p w14:paraId="0C485CF7" w14:textId="60147FE0" w:rsidR="002873BA" w:rsidRPr="00966B21" w:rsidRDefault="0024099E" w:rsidP="002753DB">
      <w:pPr>
        <w:pStyle w:val="NormaleWeb"/>
        <w:spacing w:before="0" w:beforeAutospacing="0" w:after="0" w:afterAutospacing="0"/>
        <w:jc w:val="both"/>
        <w:rPr>
          <w:lang w:val="en-GB"/>
        </w:rPr>
      </w:pPr>
      <w:r w:rsidRPr="00966B21">
        <w:rPr>
          <w:lang w:val="en-GB"/>
        </w:rPr>
        <w:t xml:space="preserve">Understanding the nature and characteristics of interactions between HESs and target molecules is essential for gaining deeper insights into the extraction process and the resulting stability of the extracted compounds. Computational chemistry has emerged as a key tool in this investigation, providing valuable insights into molecular interactions </w:t>
      </w:r>
      <w:r w:rsidR="00711053" w:rsidRPr="00966B21">
        <w:rPr>
          <w:lang w:val="en-GB"/>
        </w:rPr>
        <w:fldChar w:fldCharType="begin" w:fldLock="1"/>
      </w:r>
      <w:r w:rsidR="00CD7D53" w:rsidRPr="00966B21">
        <w:rPr>
          <w:lang w:val="en-GB"/>
        </w:rPr>
        <w:instrText>ADDIN CSL_CITATION {"citationItems":[{"id":"ITEM-1","itemData":{"DOI":"10.3390/ijms23020645","ISSN":"14220067","PMID":"35054840","abstract":"Deep eutectic solvents (DESs) are one of the most rapidly evolving types of solvents, appearing in a broad range of applications, such as nanotechnology, electrochemistry, biomass trans-formation, pharmaceuticals, membrane technology, biocomposite development, modern 3D-printing, and many others. The range of their applicability continues to expand, which demands the development of new DESs with improved properties. To do so requires an understanding of the fundamental relationship between the structure and properties of DESs. Computer simulation and machine learning techniques provide a fruitful approach as they can predict and reveal physical mechanisms and readily be linked to experiments. This review is devoted to the computational research of DESs and describes technical features of DES simulations and the corresponding perspectives on various DES applications. The aim is to demonstrate the current frontiers of computational research of DESs and discuss future perspectives.","author":[{"dropping-particle":"","family":"Tolmachev","given":"Dmitry","non-dropping-particle":"","parse-names":false,"suffix":""},{"dropping-particle":"","family":"Lukasheva","given":"Natalia","non-dropping-particle":"","parse-names":false,"suffix":""},{"dropping-particle":"","family":"Ramazanov","given":"Ruslan","non-dropping-particle":"","parse-names":false,"suffix":""},{"dropping-particle":"","family":"Nazarychev","given":"Victor","non-dropping-particle":"","parse-names":false,"suffix":""},{"dropping-particle":"","family":"Borzdun","given":"Natalia","non-dropping-particle":"","parse-names":false,"suffix":""},{"dropping-particle":"","family":"Volgin","given":"Igor","non-dropping-particle":"","parse-names":false,"suffix":""},{"dropping-particle":"","family":"Andreeva","given":"Maria","non-dropping-particle":"","parse-names":false,"suffix":""},{"dropping-particle":"","family":"Glova","given":"Artyom","non-dropping-particle":"","parse-names":false,"suffix":""},{"dropping-particle":"","family":"Melnikova","given":"Sofia","non-dropping-particle":"","parse-names":false,"suffix":""},{"dropping-particle":"","family":"Dobrovskiy","given":"Alexey","non-dropping-particle":"","parse-names":false,"suffix":""},{"dropping-particle":"","family":"Silber","given":"Steven A.","non-dropping-particle":"","parse-names":false,"suffix":""},{"dropping-particle":"","family":"Larin","given":"Sergey","non-dropping-particle":"","parse-names":false,"suffix":""},{"dropping-particle":"","family":"Souza","given":"Rafael Maglia","non-dropping-particle":"de","parse-names":false,"suffix":""},{"dropping-particle":"","family":"Ribeiro","given":"Mauro Carlos Costa","non-dropping-particle":"","parse-names":false,"suffix":""},{"dropping-particle":"","family":"Lyulin","given":"Sergey","non-dropping-particle":"","parse-names":false,"suffix":""},{"dropping-particle":"","family":"Karttunen","given":"Mikko","non-dropping-particle":"","parse-names":false,"suffix":""}],"container-title":"International Journal of Molecular Sciences","id":"ITEM-1","issue":"2","issued":{"date-parts":[["2022"]]},"title":"Computer Simulations of Deep Eutectic Solvents: Challenges, Solutions, and Perspectives","type":"article-journal","volume":"23"},"uris":["http://www.mendeley.com/documents/?uuid=43cca354-e33a-4c8f-86c4-b511a1f8528d"]}],"mendeley":{"formattedCitation":"[24]","plainTextFormattedCitation":"[24]","previouslyFormattedCitation":"[23]"},"properties":{"noteIndex":0},"schema":"https://github.com/citation-style-language/schema/raw/master/csl-citation.json"}</w:instrText>
      </w:r>
      <w:r w:rsidR="00711053" w:rsidRPr="00966B21">
        <w:rPr>
          <w:lang w:val="en-GB"/>
        </w:rPr>
        <w:fldChar w:fldCharType="separate"/>
      </w:r>
      <w:r w:rsidR="00CD7D53" w:rsidRPr="00966B21">
        <w:rPr>
          <w:noProof/>
          <w:lang w:val="en-GB"/>
        </w:rPr>
        <w:t>[24]</w:t>
      </w:r>
      <w:r w:rsidR="00711053" w:rsidRPr="00966B21">
        <w:rPr>
          <w:lang w:val="en-GB"/>
        </w:rPr>
        <w:fldChar w:fldCharType="end"/>
      </w:r>
      <w:r w:rsidR="002873BA" w:rsidRPr="00966B21">
        <w:rPr>
          <w:lang w:val="en-GB"/>
        </w:rPr>
        <w:t xml:space="preserve">. </w:t>
      </w:r>
      <w:r w:rsidRPr="00966B21">
        <w:rPr>
          <w:lang w:val="en-GB"/>
        </w:rPr>
        <w:t xml:space="preserve">Density Functional Theory (DFT) is particularly effective for describing the geometry and electronic structure of chemical systems, while Quantum Theory of Atoms in Molecules (QTAIM) provides a robust framework for characterizing bonding interactions </w:t>
      </w:r>
      <w:r w:rsidR="00711053" w:rsidRPr="00966B21">
        <w:rPr>
          <w:lang w:val="en-GB"/>
        </w:rPr>
        <w:fldChar w:fldCharType="begin" w:fldLock="1"/>
      </w:r>
      <w:r w:rsidR="00CD7D53" w:rsidRPr="00966B21">
        <w:rPr>
          <w:lang w:val="en-GB"/>
        </w:rPr>
        <w:instrText>ADDIN CSL_CITATION {"citationItems":[{"id":"ITEM-1","itemData":{"ISBN":"0198558651","abstract":"The molecular structure hypothesis--the proposition that a molecule is a collection of atoms linked by a network of bonds--provides the principal means of ordering and classifying observations in chemistry. It is not, however, directly related to the physics which govern the motions of atomic nuclei and electrons. This important book develops a theory establishing that molecular structure--with properties predicted and defined by the laws of quantum mechanics--can be explained in terms of underlying physics. As a result, the classification based upon the concept of atoms in molecules is freed from its empirical constraints and the full predictive power of quantum mechanics can be incorporated into the resulting theory--a theory of atoms in molecules. Eminently accessible and readable, this unique book will interest all physical scientists who use the concepts of atoms, bonds, and structure in the interpretation of their work.","author":[{"dropping-particle":"","family":"Bader","given":"Richard F W","non-dropping-particle":"","parse-names":false,"suffix":""}],"id":"ITEM-1","issued":{"date-parts":[["1990"]]},"language":"eng","publisher":"Oxford : Clarendon press","title":"Atoms in molecules : a quantum theory","type":"book"},"uris":["http://www.mendeley.com/documents/?uuid=0ac30052-03c1-4f8f-8344-8b0e55ec7549"]}],"mendeley":{"formattedCitation":"[25]","plainTextFormattedCitation":"[25]","previouslyFormattedCitation":"[24]"},"properties":{"noteIndex":0},"schema":"https://github.com/citation-style-language/schema/raw/master/csl-citation.json"}</w:instrText>
      </w:r>
      <w:r w:rsidR="00711053" w:rsidRPr="00966B21">
        <w:rPr>
          <w:lang w:val="en-GB"/>
        </w:rPr>
        <w:fldChar w:fldCharType="separate"/>
      </w:r>
      <w:r w:rsidR="00CD7D53" w:rsidRPr="00966B21">
        <w:rPr>
          <w:noProof/>
          <w:lang w:val="en-GB"/>
        </w:rPr>
        <w:t>[25]</w:t>
      </w:r>
      <w:r w:rsidR="00711053" w:rsidRPr="00966B21">
        <w:rPr>
          <w:lang w:val="en-GB"/>
        </w:rPr>
        <w:fldChar w:fldCharType="end"/>
      </w:r>
      <w:r w:rsidR="002873BA" w:rsidRPr="00966B21">
        <w:rPr>
          <w:lang w:val="en-GB"/>
        </w:rPr>
        <w:t xml:space="preserve">. </w:t>
      </w:r>
      <w:r w:rsidRPr="00966B21">
        <w:rPr>
          <w:lang w:val="en-GB"/>
        </w:rPr>
        <w:t xml:space="preserve">These methods have been applied to study hydrogen bonding in DESs, contributing to a better understanding and prediction of their various properties </w:t>
      </w:r>
      <w:r w:rsidR="00711053" w:rsidRPr="00966B21">
        <w:rPr>
          <w:lang w:val="en-GB"/>
        </w:rPr>
        <w:fldChar w:fldCharType="begin" w:fldLock="1"/>
      </w:r>
      <w:r w:rsidR="00CD7D53" w:rsidRPr="00966B21">
        <w:rPr>
          <w:lang w:val="en-GB"/>
        </w:rPr>
        <w:instrText>ADDIN CSL_CITATION {"citationItems":[{"id":"ITEM-1","itemData":{"DOI":"10.1016/j.cplett.2015.06.017","ISSN":"00092614","abstract":"Abstract Deep eutectic solvents are a new generation of solvents formed by the combination of an ionic compound with an hydrogen bond donor, which leads to a low temperature melting mixture. This work reports a Density Functional Theory study combined with a topological analysis of the electronic density for deep eutectic solvents to rationalize melting temperature at the molecular level. The reported results show a direct relationship between the melting temperature and the hydrogen bond network features. The proposed methodology shows the feasibility of tailoring macroscopic properties of deep eutectic solvents through the molecular structure of involved compounds.","author":[{"dropping-particle":"","family":"García","given":"Gregorio","non-dropping-particle":"","parse-names":false,"suffix":""},{"dropping-particle":"","family":"Atilhan","given":"Mert","non-dropping-particle":"","parse-names":false,"suffix":""},{"dropping-particle":"","family":"Aparicio","given":"Santiago","non-dropping-particle":"","parse-names":false,"suffix":""}],"container-title":"Chemical Physics Letters","id":"ITEM-1","issued":{"date-parts":[["2015"]]},"page":"151-155","title":"An approach for the rationalization of melting temperature for deep eutectic solvents from DFT","type":"article-journal","volume":"634"},"uris":["http://www.mendeley.com/documents/?uuid=2f6ec629-e0d3-4d02-bb10-7fe370521d51"]},{"id":"ITEM-2","itemData":{"DOI":"10.1039/c8gc00900g","ISSN":"14639270","abstract":"As an emerging generation of green solvents, deep eutectic solvents (DESs) are promising for the pretreatment of lignocellulose and the production of biochemicals. However, not all DESs are effective for the cleavage of lignin-carbohydrate complexes (LCCs) in lignocellulose and the fractionation of lignin. In this study, we analyzed the nature of complex molecular interactions between choline chloride (ChCl) and glycerol in ChCl/glycerol (1:2) DES using density functional theory and the Kamlet-Taft solvatochromic method. The ChCl-glycerol DES exhibited weak competing interactions towards the linkages in the LCC network because the intramolecular hydrogen bonds (H-bonds) in ChCl-glycerol were constrained by mutually anionic H-bonds ([Cl(glycerol)]-) and cationic H-bonds ([Ch(glycerol)]+). Furthermore, because of the absence of active protons and acidic sites, the DES was unable to cleave ether bond linkages in the LCCs. Accordingly, we designed a three-constituent DES (3c-DES) by coordinating AlCl3·6H2O in ChCl/glycerol DES based on an acidic multisite coordination theory. The competition of anionic H-bonds and unidentate aluminum ligands was synchronized to form supramolecular complexes, allowing the multisite bridging ligands to cleave both the H-bonds and ether bonds in LCCs. Consequently, the lignin fractionation efficiency was significantly improved from 3.61% to 95.46%, and the lignin purity reached 94 ± 0.45%.","author":[{"dropping-particle":"","family":"Xia","given":"Qinqin","non-dropping-particle":"","parse-names":false,"suffix":""},{"dropping-particle":"","family":"Liu","given":"Yongzhuang","non-dropping-particle":"","parse-names":false,"suffix":""},{"dropping-particle":"","family":"Meng","given":"Juan","non-dropping-particle":"","parse-names":false,"suffix":""},{"dropping-particle":"","family":"Cheng","given":"Wanke","non-dropping-particle":"","parse-names":false,"suffix":""},{"dropping-particle":"","family":"Chen","given":"Wenshuai","non-dropping-particle":"","parse-names":false,"suffix":""},{"dropping-particle":"","family":"Liu","given":"Shouxin","non-dropping-particle":"","parse-names":false,"suffix":""},{"dropping-particle":"","family":"Liu","given":"Yixing","non-dropping-particle":"","parse-names":false,"suffix":""},{"dropping-particle":"","family":"Li","given":"Jian","non-dropping-particle":"","parse-names":false,"suffix":""},{"dropping-particle":"","family":"Yu","given":"Haipeng","non-dropping-particle":"","parse-names":false,"suffix":""}],"container-title":"Green Chemistry","id":"ITEM-2","issue":"12","issued":{"date-parts":[["2018"]]},"page":"2711-2721","title":"Multiple hydrogen bond coordination in three-constituent deep eutectic solvents enhances lignin fractionation from biomass","type":"article-journal","volume":"20"},"uris":["http://www.mendeley.com/documents/?uuid=ebb87b25-6a5f-4fcc-808e-634580ba96cd"]}],"mendeley":{"formattedCitation":"[26,27]","plainTextFormattedCitation":"[26,27]","previouslyFormattedCitation":"[25,26]"},"properties":{"noteIndex":0},"schema":"https://github.com/citation-style-language/schema/raw/master/csl-citation.json"}</w:instrText>
      </w:r>
      <w:r w:rsidR="00711053" w:rsidRPr="00966B21">
        <w:rPr>
          <w:lang w:val="en-GB"/>
        </w:rPr>
        <w:fldChar w:fldCharType="separate"/>
      </w:r>
      <w:r w:rsidR="00CD7D53" w:rsidRPr="00966B21">
        <w:rPr>
          <w:noProof/>
          <w:lang w:val="en-GB"/>
        </w:rPr>
        <w:t>[26,27]</w:t>
      </w:r>
      <w:r w:rsidR="00711053" w:rsidRPr="00966B21">
        <w:rPr>
          <w:lang w:val="en-GB"/>
        </w:rPr>
        <w:fldChar w:fldCharType="end"/>
      </w:r>
      <w:r w:rsidR="002753DB" w:rsidRPr="00966B21">
        <w:rPr>
          <w:lang w:val="en-GB"/>
        </w:rPr>
        <w:t>.</w:t>
      </w:r>
    </w:p>
    <w:p w14:paraId="1526B61B" w14:textId="34B8C32F" w:rsidR="002753DB" w:rsidRPr="00966B21" w:rsidRDefault="00F162A7" w:rsidP="002753DB">
      <w:pPr>
        <w:pStyle w:val="NormaleWeb"/>
        <w:spacing w:before="0" w:beforeAutospacing="0" w:after="0" w:afterAutospacing="0"/>
        <w:jc w:val="both"/>
        <w:rPr>
          <w:lang w:val="en-GB"/>
        </w:rPr>
      </w:pPr>
      <w:r w:rsidRPr="00966B21">
        <w:rPr>
          <w:lang w:val="en-GB"/>
        </w:rPr>
        <w:t>Th</w:t>
      </w:r>
      <w:r w:rsidR="00ED0E2A" w:rsidRPr="00966B21">
        <w:rPr>
          <w:lang w:val="en-GB"/>
        </w:rPr>
        <w:t>i</w:t>
      </w:r>
      <w:r w:rsidR="001B6F31" w:rsidRPr="00966B21">
        <w:rPr>
          <w:lang w:val="en-GB"/>
        </w:rPr>
        <w:t>s</w:t>
      </w:r>
      <w:r w:rsidR="00ED0E2A" w:rsidRPr="00966B21">
        <w:rPr>
          <w:lang w:val="en-GB"/>
        </w:rPr>
        <w:t xml:space="preserve"> study aimed </w:t>
      </w:r>
      <w:r w:rsidRPr="00966B21">
        <w:rPr>
          <w:lang w:val="en-GB"/>
        </w:rPr>
        <w:t xml:space="preserve">to evaluate the ability of hydrophobic eutectic solvents for the extraction of carotenoids from mango </w:t>
      </w:r>
      <w:r w:rsidRPr="00966B21">
        <w:rPr>
          <w:i/>
          <w:lang w:val="en-GB"/>
        </w:rPr>
        <w:t>criollo</w:t>
      </w:r>
      <w:r w:rsidRPr="00966B21">
        <w:rPr>
          <w:lang w:val="en-GB"/>
        </w:rPr>
        <w:t xml:space="preserve"> peels. T</w:t>
      </w:r>
      <w:r w:rsidR="00ED0E2A" w:rsidRPr="00966B21">
        <w:rPr>
          <w:lang w:val="en-GB"/>
        </w:rPr>
        <w:t>he t</w:t>
      </w:r>
      <w:r w:rsidRPr="00966B21">
        <w:rPr>
          <w:lang w:val="en-GB"/>
        </w:rPr>
        <w:t xml:space="preserve">hermal and light stability of the extracted carotenoids was evaluated to select a solvent with increased </w:t>
      </w:r>
      <w:r w:rsidR="009A586D" w:rsidRPr="00966B21">
        <w:rPr>
          <w:lang w:val="en-GB"/>
        </w:rPr>
        <w:t>stability</w:t>
      </w:r>
      <w:r w:rsidRPr="00966B21">
        <w:rPr>
          <w:lang w:val="en-GB"/>
        </w:rPr>
        <w:t>. The extraction process was optimized through surface response methodology.</w:t>
      </w:r>
      <w:r w:rsidR="002753DB" w:rsidRPr="00966B21">
        <w:rPr>
          <w:lang w:val="en-GB"/>
        </w:rPr>
        <w:t xml:space="preserve"> Additionally, a theoretical study employing DFT and QTAIM approaches was conducted to gain deeper insights into the molecular interactions involved in the extraction process and the stability of the extracted compounds. </w:t>
      </w:r>
    </w:p>
    <w:p w14:paraId="7663B328" w14:textId="77777777" w:rsidR="008852C6" w:rsidRPr="00966B21" w:rsidRDefault="008852C6" w:rsidP="002753DB">
      <w:pPr>
        <w:pStyle w:val="NormaleWeb"/>
        <w:spacing w:before="0" w:beforeAutospacing="0" w:after="0" w:afterAutospacing="0"/>
        <w:jc w:val="both"/>
        <w:rPr>
          <w:lang w:val="en-GB"/>
        </w:rPr>
      </w:pPr>
    </w:p>
    <w:p w14:paraId="0924E634" w14:textId="77777777" w:rsidR="00D4264B" w:rsidRPr="00966B21" w:rsidRDefault="00397D2A" w:rsidP="002753DB">
      <w:pPr>
        <w:pStyle w:val="NormaleWeb"/>
        <w:spacing w:before="0" w:beforeAutospacing="0" w:after="0" w:afterAutospacing="0"/>
        <w:jc w:val="both"/>
        <w:rPr>
          <w:b/>
          <w:lang w:val="en-GB"/>
        </w:rPr>
      </w:pPr>
      <w:r w:rsidRPr="00966B21">
        <w:rPr>
          <w:b/>
          <w:lang w:val="en-GB"/>
        </w:rPr>
        <w:t xml:space="preserve">2 </w:t>
      </w:r>
      <w:r w:rsidR="00F162A7" w:rsidRPr="00966B21">
        <w:rPr>
          <w:b/>
          <w:lang w:val="en-GB"/>
        </w:rPr>
        <w:t>Materials and methods</w:t>
      </w:r>
    </w:p>
    <w:p w14:paraId="67A01BCD" w14:textId="77777777" w:rsidR="002753DB" w:rsidRPr="00966B21" w:rsidRDefault="002753DB" w:rsidP="002753DB">
      <w:pPr>
        <w:pStyle w:val="NormaleWeb"/>
        <w:spacing w:before="0" w:beforeAutospacing="0" w:after="0" w:afterAutospacing="0"/>
        <w:jc w:val="both"/>
        <w:rPr>
          <w:b/>
          <w:lang w:val="en-GB"/>
        </w:rPr>
      </w:pPr>
    </w:p>
    <w:p w14:paraId="0457692F" w14:textId="77777777" w:rsidR="00294294" w:rsidRPr="00966B21" w:rsidRDefault="00294294" w:rsidP="002753DB">
      <w:pPr>
        <w:pStyle w:val="NormaleWeb"/>
        <w:spacing w:before="0" w:beforeAutospacing="0" w:after="0" w:afterAutospacing="0"/>
        <w:jc w:val="both"/>
        <w:rPr>
          <w:lang w:val="en-GB"/>
        </w:rPr>
      </w:pPr>
      <w:r w:rsidRPr="00966B21">
        <w:rPr>
          <w:lang w:val="en-GB"/>
        </w:rPr>
        <w:t xml:space="preserve">2.1 Reagents and standards </w:t>
      </w:r>
    </w:p>
    <w:p w14:paraId="286ADE28" w14:textId="77777777" w:rsidR="002753DB" w:rsidRPr="00966B21" w:rsidRDefault="002753DB" w:rsidP="002753DB">
      <w:pPr>
        <w:pStyle w:val="NormaleWeb"/>
        <w:spacing w:before="0" w:beforeAutospacing="0" w:after="0" w:afterAutospacing="0"/>
        <w:jc w:val="both"/>
        <w:rPr>
          <w:lang w:val="en-GB"/>
        </w:rPr>
      </w:pPr>
    </w:p>
    <w:p w14:paraId="26D97335" w14:textId="0570EDBE" w:rsidR="00294294" w:rsidRPr="00966B21" w:rsidRDefault="00294294" w:rsidP="002753DB">
      <w:pPr>
        <w:pStyle w:val="NormaleWeb"/>
        <w:spacing w:before="0" w:beforeAutospacing="0" w:after="0" w:afterAutospacing="0"/>
        <w:jc w:val="both"/>
        <w:rPr>
          <w:lang w:val="en-GB"/>
        </w:rPr>
      </w:pPr>
      <w:r w:rsidRPr="00966B21">
        <w:rPr>
          <w:lang w:val="en-GB"/>
        </w:rPr>
        <w:t>DL-menthol (</w:t>
      </w:r>
      <w:r w:rsidR="00B05DE3" w:rsidRPr="00966B21">
        <w:rPr>
          <w:lang w:val="en-GB"/>
        </w:rPr>
        <w:t>&gt;99%), thymol (&gt;97%)</w:t>
      </w:r>
      <w:r w:rsidR="00DD62D9" w:rsidRPr="00966B21">
        <w:rPr>
          <w:lang w:val="en-GB"/>
        </w:rPr>
        <w:t xml:space="preserve"> and</w:t>
      </w:r>
      <w:r w:rsidR="00B05DE3" w:rsidRPr="00966B21">
        <w:rPr>
          <w:lang w:val="en-GB"/>
        </w:rPr>
        <w:t xml:space="preserve"> lauric acid (&gt;98%) were purchased from </w:t>
      </w:r>
      <w:r w:rsidR="006D4D8D" w:rsidRPr="00966B21">
        <w:rPr>
          <w:lang w:val="en-GB"/>
        </w:rPr>
        <w:t>Sigma-Aldrich, St Lois, MO, USA</w:t>
      </w:r>
      <w:r w:rsidR="00B05DE3" w:rsidRPr="00966B21">
        <w:rPr>
          <w:lang w:val="en-GB"/>
        </w:rPr>
        <w:t xml:space="preserve">. </w:t>
      </w:r>
      <w:r w:rsidR="00452B70" w:rsidRPr="00966B21">
        <w:rPr>
          <w:lang w:val="en-GB"/>
        </w:rPr>
        <w:t>Oleic acid (90%) from Alfa Aesar, Germany; l</w:t>
      </w:r>
      <w:r w:rsidR="00B05DE3" w:rsidRPr="00966B21">
        <w:rPr>
          <w:lang w:val="en-GB"/>
        </w:rPr>
        <w:t>actic acid (9</w:t>
      </w:r>
      <w:r w:rsidR="00452B70" w:rsidRPr="00966B21">
        <w:rPr>
          <w:lang w:val="en-GB"/>
        </w:rPr>
        <w:t>0%) from VWR Chemicals, Belgium;</w:t>
      </w:r>
      <w:r w:rsidR="00B05DE3" w:rsidRPr="00966B21">
        <w:rPr>
          <w:lang w:val="en-GB"/>
        </w:rPr>
        <w:t xml:space="preserve"> levulinic acid (&gt;97%) from SAFC, USA. </w:t>
      </w:r>
      <w:r w:rsidR="00B05DE3" w:rsidRPr="00966B21">
        <w:rPr>
          <w:lang w:val="en-GB"/>
        </w:rPr>
        <w:lastRenderedPageBreak/>
        <w:t>β-carotene</w:t>
      </w:r>
      <w:r w:rsidR="006D4D8D" w:rsidRPr="00966B21">
        <w:rPr>
          <w:lang w:val="en-GB"/>
        </w:rPr>
        <w:t xml:space="preserve"> (&gt;98%) from BLDPHARM, Shangai, China. Lutein (&gt;90%) from Thermo Scientific, St Lois, MO, USA.</w:t>
      </w:r>
    </w:p>
    <w:p w14:paraId="7F258773" w14:textId="77777777" w:rsidR="002753DB" w:rsidRPr="00966B21" w:rsidRDefault="002753DB" w:rsidP="002753DB">
      <w:pPr>
        <w:pStyle w:val="NormaleWeb"/>
        <w:spacing w:before="0" w:beforeAutospacing="0" w:after="0" w:afterAutospacing="0"/>
        <w:jc w:val="both"/>
        <w:rPr>
          <w:lang w:val="en-GB"/>
        </w:rPr>
      </w:pPr>
    </w:p>
    <w:p w14:paraId="5DCA46C1" w14:textId="4DFC9A89" w:rsidR="006D4D8D" w:rsidRPr="00966B21" w:rsidRDefault="006D4D8D" w:rsidP="002753DB">
      <w:pPr>
        <w:pStyle w:val="NormaleWeb"/>
        <w:spacing w:before="0" w:beforeAutospacing="0" w:after="0" w:afterAutospacing="0"/>
        <w:jc w:val="both"/>
        <w:rPr>
          <w:lang w:val="en-GB"/>
        </w:rPr>
      </w:pPr>
      <w:r w:rsidRPr="00966B21">
        <w:rPr>
          <w:lang w:val="en-GB"/>
        </w:rPr>
        <w:t xml:space="preserve">2.2 Mango </w:t>
      </w:r>
      <w:r w:rsidR="00DD62D9" w:rsidRPr="00966B21">
        <w:rPr>
          <w:i/>
          <w:lang w:val="en-GB"/>
        </w:rPr>
        <w:t>criollo</w:t>
      </w:r>
      <w:r w:rsidR="00DD62D9" w:rsidRPr="00966B21">
        <w:rPr>
          <w:lang w:val="en-GB"/>
        </w:rPr>
        <w:t xml:space="preserve"> </w:t>
      </w:r>
      <w:r w:rsidRPr="00966B21">
        <w:rPr>
          <w:lang w:val="en-GB"/>
        </w:rPr>
        <w:t>peel</w:t>
      </w:r>
      <w:r w:rsidR="00DD62D9" w:rsidRPr="00966B21">
        <w:rPr>
          <w:lang w:val="en-GB"/>
        </w:rPr>
        <w:t xml:space="preserve"> (MCP)</w:t>
      </w:r>
    </w:p>
    <w:p w14:paraId="617F5946" w14:textId="03C8AF46" w:rsidR="006D4D8D" w:rsidRPr="00966B21" w:rsidRDefault="006D4D8D" w:rsidP="002753DB">
      <w:pPr>
        <w:pStyle w:val="NormaleWeb"/>
        <w:spacing w:before="0" w:beforeAutospacing="0" w:after="0" w:afterAutospacing="0"/>
        <w:jc w:val="both"/>
        <w:rPr>
          <w:lang w:val="en-GB"/>
        </w:rPr>
      </w:pPr>
      <w:r w:rsidRPr="00966B21">
        <w:rPr>
          <w:lang w:val="en-GB"/>
        </w:rPr>
        <w:t>Two kilograms (12 fruit</w:t>
      </w:r>
      <w:r w:rsidR="00DD62D9" w:rsidRPr="00966B21">
        <w:rPr>
          <w:lang w:val="en-GB"/>
        </w:rPr>
        <w:t>s</w:t>
      </w:r>
      <w:r w:rsidRPr="00966B21">
        <w:rPr>
          <w:lang w:val="en-GB"/>
        </w:rPr>
        <w:t xml:space="preserve">) of fully ripe mango </w:t>
      </w:r>
      <w:r w:rsidRPr="00966B21">
        <w:rPr>
          <w:i/>
          <w:lang w:val="en-GB"/>
        </w:rPr>
        <w:t>criollo</w:t>
      </w:r>
      <w:r w:rsidRPr="00966B21">
        <w:rPr>
          <w:lang w:val="en-GB"/>
        </w:rPr>
        <w:t xml:space="preserve"> </w:t>
      </w:r>
      <w:r w:rsidR="00CD7D53" w:rsidRPr="00966B21">
        <w:rPr>
          <w:lang w:val="en-US"/>
        </w:rPr>
        <w:t xml:space="preserve">fruit were collected from naturally occurring wild trees located in the city of Corrientes, Argentina (-27.529810, -58.812787). </w:t>
      </w:r>
      <w:r w:rsidR="00F72368" w:rsidRPr="00966B21">
        <w:rPr>
          <w:lang w:val="en-US"/>
        </w:rPr>
        <w:t>These fruits</w:t>
      </w:r>
      <w:r w:rsidR="00CD7D53" w:rsidRPr="00966B21">
        <w:rPr>
          <w:lang w:val="en-US"/>
        </w:rPr>
        <w:t xml:space="preserve"> </w:t>
      </w:r>
      <w:r w:rsidR="00F72368" w:rsidRPr="00966B21">
        <w:rPr>
          <w:lang w:val="en-US"/>
        </w:rPr>
        <w:t>are</w:t>
      </w:r>
      <w:r w:rsidR="00CD7D53" w:rsidRPr="00966B21">
        <w:rPr>
          <w:lang w:val="en-US"/>
        </w:rPr>
        <w:t xml:space="preserve"> locally known “mango criollo” and characterized by small size, intense sweetness and aroma and high fiber content</w:t>
      </w:r>
      <w:r w:rsidRPr="00966B21">
        <w:rPr>
          <w:lang w:val="en-GB"/>
        </w:rPr>
        <w:t>. The fruit</w:t>
      </w:r>
      <w:r w:rsidR="00F72368" w:rsidRPr="00966B21">
        <w:rPr>
          <w:lang w:val="en-GB"/>
        </w:rPr>
        <w:t>s</w:t>
      </w:r>
      <w:r w:rsidRPr="00966B21">
        <w:rPr>
          <w:lang w:val="en-GB"/>
        </w:rPr>
        <w:t xml:space="preserve"> were washed with water, drained over paper and the peel was manually removed (1-2 mm thick). The mango ‘criollo’ peel (MCP) was freeze-dried </w:t>
      </w:r>
      <w:r w:rsidR="00DD62D9" w:rsidRPr="00966B21">
        <w:rPr>
          <w:lang w:val="en-GB"/>
        </w:rPr>
        <w:t>for</w:t>
      </w:r>
      <w:r w:rsidRPr="00966B21">
        <w:rPr>
          <w:lang w:val="en-GB"/>
        </w:rPr>
        <w:t xml:space="preserve"> 72 h at -58 °C, 0.035 m</w:t>
      </w:r>
      <w:r w:rsidR="00DD62D9" w:rsidRPr="00966B21">
        <w:rPr>
          <w:lang w:val="en-GB"/>
        </w:rPr>
        <w:t>b</w:t>
      </w:r>
      <w:r w:rsidRPr="00966B21">
        <w:rPr>
          <w:lang w:val="en-GB"/>
        </w:rPr>
        <w:t>ar using a lyophilizer Christ Alpha 1–4 LD (Osterode, Germany) and powdered with an industrial grinder Arcano FW 100 (Beijing, China) until obtaining a fine powder (d</w:t>
      </w:r>
      <w:r w:rsidRPr="00966B21">
        <w:rPr>
          <w:i/>
          <w:iCs/>
          <w:lang w:val="en-GB"/>
        </w:rPr>
        <w:t>&lt;</w:t>
      </w:r>
      <w:r w:rsidRPr="00966B21">
        <w:rPr>
          <w:lang w:val="en-GB"/>
        </w:rPr>
        <w:t>0.025 mm) that was stored in well-sealed black PVC containers without headspace, at -20 °C until experiments.</w:t>
      </w:r>
    </w:p>
    <w:p w14:paraId="6D90C5E4" w14:textId="77777777" w:rsidR="00955282" w:rsidRPr="00966B21" w:rsidRDefault="00955282" w:rsidP="002753DB">
      <w:pPr>
        <w:pStyle w:val="NormaleWeb"/>
        <w:spacing w:before="0" w:beforeAutospacing="0" w:after="0" w:afterAutospacing="0"/>
        <w:jc w:val="both"/>
        <w:rPr>
          <w:lang w:val="en-GB"/>
        </w:rPr>
      </w:pPr>
    </w:p>
    <w:p w14:paraId="6604B882" w14:textId="77777777" w:rsidR="006D4D8D" w:rsidRPr="00966B21" w:rsidRDefault="00974E3F" w:rsidP="002753DB">
      <w:pPr>
        <w:pStyle w:val="NormaleWeb"/>
        <w:spacing w:before="0" w:beforeAutospacing="0" w:after="0" w:afterAutospacing="0"/>
        <w:jc w:val="both"/>
        <w:rPr>
          <w:lang w:val="en-GB"/>
        </w:rPr>
      </w:pPr>
      <w:r w:rsidRPr="00966B21">
        <w:rPr>
          <w:lang w:val="en-GB"/>
        </w:rPr>
        <w:t>2.3 Hydrophobic eutectic solvents (HESs)</w:t>
      </w:r>
      <w:r w:rsidR="006D4D8D" w:rsidRPr="00966B21">
        <w:rPr>
          <w:lang w:val="en-GB"/>
        </w:rPr>
        <w:t xml:space="preserve"> preparation </w:t>
      </w:r>
    </w:p>
    <w:p w14:paraId="5E2736A8" w14:textId="77777777" w:rsidR="00955282" w:rsidRPr="00966B21" w:rsidRDefault="00955282" w:rsidP="002753DB">
      <w:pPr>
        <w:pStyle w:val="NormaleWeb"/>
        <w:spacing w:before="0" w:beforeAutospacing="0" w:after="0" w:afterAutospacing="0"/>
        <w:jc w:val="both"/>
        <w:rPr>
          <w:lang w:val="en-GB"/>
        </w:rPr>
      </w:pPr>
    </w:p>
    <w:p w14:paraId="2168A64C" w14:textId="19562397" w:rsidR="0008628B" w:rsidRPr="00966B21" w:rsidRDefault="0008628B" w:rsidP="002753DB">
      <w:pPr>
        <w:pStyle w:val="NormaleWeb"/>
        <w:spacing w:before="0" w:beforeAutospacing="0" w:after="0" w:afterAutospacing="0"/>
        <w:jc w:val="both"/>
        <w:rPr>
          <w:lang w:val="en-GB"/>
        </w:rPr>
      </w:pPr>
      <w:r w:rsidRPr="00966B21">
        <w:rPr>
          <w:lang w:val="en-GB"/>
        </w:rPr>
        <w:t xml:space="preserve">The HESs investigated in this study (Table 1) were prepared by mixing the desired molar proportions of HBA and HBD under constant agitation at 60 ± 2 °C  </w:t>
      </w:r>
      <w:r w:rsidR="00E01993" w:rsidRPr="00966B21">
        <w:rPr>
          <w:lang w:val="en-GB"/>
        </w:rPr>
        <w:fldChar w:fldCharType="begin" w:fldLock="1"/>
      </w:r>
      <w:r w:rsidR="00CD7D53" w:rsidRPr="00966B21">
        <w:rPr>
          <w:lang w:val="en-GB"/>
        </w:rPr>
        <w:instrText>ADDIN CSL_CITATION {"citationItems":[{"id":"ITEM-1","itemData":{"DOI":"10.1016/j.fluid.2017.04.002","ISSN":"03783812","abstract":"Wastewater treatment plants do not properly address the removal of emerging micropollutants, such as pesticides, and thus these compounds contaminate water sources of public drinking water systems. In this context, this work focuses on the development of hydrophobic deep eutectic solvents (DESs), as cheap extractants for the removal of four neonicotinoids, Imidacloprid, Acetamiprid, Nitenpyram and Thiamethoxam, from diluted aqueous solutions. In particular, two different families of DESs, one based on natural neutral ingredients (DL-Menthol and natural organic acids) and the other based on quaternary ammonium salts and organic acids were prepared and their water stability carefully studied through 1H NMR. Only the chemically stable DESs were selected to be used as solvents in the extraction of the four neonicotinoids so that no contamination of the water cycle is attained, while reuse of the DES is possible. The final results were compared with those obtained for liquid-liquid extraction using hydrophobic imidazolium-based ionic liquids as solvents.","author":[{"dropping-particle":"","family":"Florindo","given":"C.","non-dropping-particle":"","parse-names":false,"suffix":""},{"dropping-particle":"","family":"Branco","given":"L. C.","non-dropping-particle":"","parse-names":false,"suffix":""},{"dropping-particle":"","family":"Marrucho","given":"I. M.","non-dropping-particle":"","parse-names":false,"suffix":""}],"container-title":"Fluid Phase Equilibria","id":"ITEM-1","issued":{"date-parts":[["2017"]]},"page":"135-142","publisher":"Elsevier Ltd","title":"Development of hydrophobic deep eutectic solvents for extraction of pesticides from aqueous environments","type":"article-journal","volume":"448"},"uris":["http://www.mendeley.com/documents/?uuid=46bb0bb9-e5be-4e51-8e8c-a644aa702781","http://www.mendeley.com/documents/?uuid=63e814a4-3019-4c76-bf62-0d06bf43a724"]},{"id":"ITEM-2","itemData":{"DOI":"10.1080/19440049.2022.2112764","ISSN":"19440057","PMID":"35997563","abstract":"The use of deep eutectic solvents (DESs) has great prospects because of the green and efficient characteristics, which can be used for developing analytical methods for foods. In this research, assisted by ultrasonic waves, a liquid-liquid microextraction detection method combined with gas chromatography was established for three anaesthetics (eugenol, isoeugenol, and methyl isoeugenol) in aquatic food. The processing conditions including the components, ratio of hydrogen bond acceptor and hydrogen bond donor, DES volume, ultrasonic time, and pH were evaluated and optimised to improve the extraction efficiency, which was based on the DES structures and properties. In-house method validation was carried out by applying to real samples. A Thymol: levulinic acid DES (with a molar ratio of 1:2) was used as the extractant and the recoveries were as high as 93–101% for eugenol, 90–100% for methyl isoeugenol, and 86–94% for isoeugenol with RSDs &lt;5% under optimum conditions. The limit of detection and quantification of the eugenol compounds were 0.08–0.10 μg/mL and 0.26–0.33 μg/mL, respectively. The method has green credentials and comparable LOD to homologous apparatus, which can be used for the determination of eugenol components in aquatic food.","author":[{"dropping-particle":"","family":"Yan","given":"Jiaze","non-dropping-particle":"","parse-names":false,"suffix":""},{"dropping-particle":"","family":"Ma","given":"Shaomin","non-dropping-particle":"","parse-names":false,"suffix":""},{"dropping-particle":"","family":"Feng","given":"Mingrui","non-dropping-particle":"","parse-names":false,"suffix":""},{"dropping-particle":"","family":"Zheng","given":"Jiqi","non-dropping-particle":"","parse-names":false,"suffix":""},{"dropping-particle":"","family":"Guo","given":"Ming","non-dropping-particle":"","parse-names":false,"suffix":""}],"container-title":"Food Additives and Contaminants - Part A","id":"ITEM-2","issue":"10","issued":{"date-parts":[["2022"]]},"page":"1718-1730","publisher":"Taylor &amp; Francis","title":"Hydrophobic deep eutectic solvent-based ultrasonic-assisted liquid-liquid microextraction combined with GC for eugenol, isoeugenol, and methyl isoeugenol determination in aquatic products","type":"article-journal","volume":"39"},"uris":["http://www.mendeley.com/documents/?uuid=070dcaee-4c7f-4ace-8b91-327f1ac64a47","http://www.mendeley.com/documents/?uuid=040f87fd-4451-4638-baf4-370334c8ad1b"]},{"id":"ITEM-3","itemData":{"DOI":"10.1016/j.foodchem.2022.132156","ISSN":"18737072","PMID":"35065488","abstract":"Three novel hydrophobic deep eutectic solvents (DESs) based on oleic acid and terpenes (thymol, DL-menthol, and geraniol) were prepared, characterized, and used to extract astaxanthin from the microalga Haematococcus pluvialis without any pre-treatment of the cells. The three DES were composed of Generally Recognized As Safe (GRAS) and edible ingredients. All the tested DESs gave astaxanthin recovery values of about 60 and 30% in 6 h if applied on freeze-dried biomass or directly on algae culture, respectively. The carotenoid profile was qualitatively identical to what was obtained by using traditional organic solvents, regardless of the DES used; the monoesters of astaxanthin with C18-fatty acids were the main compounds found in all the carotenoid extracts. The thymol:oleic acid DES (TAO) could preserve astaxanthin content after prolonged oxidative stress (40% of the astaxanthin initially extracted was still present after 13.5 h of light exposure), thanks to the superior antioxidant properties of thymol. The capacity of improving astaxanthin stability combined with the intrinsic safety and edibility of the DES components makes the formulation astaxanthin-TAO appealing for the food ingredients/additives industry.","author":[{"dropping-particle":"","family":"Pitacco","given":"Walter","non-dropping-particle":"","parse-names":false,"suffix":""},{"dropping-particle":"","family":"Samorì","given":"Chiara","non-dropping-particle":"","parse-names":false,"suffix":""},{"dropping-particle":"","family":"Pezzolesi","given":"Laura","non-dropping-particle":"","parse-names":false,"suffix":""},{"dropping-particle":"","family":"Gori","given":"Virginia","non-dropping-particle":"","parse-names":false,"suffix":""},{"dropping-particle":"","family":"Grillo","given":"Antonio","non-dropping-particle":"","parse-names":false,"suffix":""},{"dropping-particle":"","family":"Tiecco","given":"Matteo","non-dropping-particle":"","parse-names":false,"suffix":""},{"dropping-particle":"","family":"Vagnoni","given":"Martina","non-dropping-particle":"","parse-names":false,"suffix":""},{"dropping-particle":"","family":"Galletti","given":"Paola","non-dropping-particle":"","parse-names":false,"suffix":""}],"container-title":"Food Chemistry","id":"ITEM-3","issue":"December 2021","issued":{"date-parts":[["2022"]]},"page":"132156","publisher":"Elsevier Ltd","title":"Extraction of astaxanthin from Haematococcus pluvialis with hydrophobic deep eutectic solvents based on oleic acid","type":"article-journal","volume":"379"},"uris":["http://www.mendeley.com/documents/?uuid=ffee883b-bdbe-4286-a29d-18cf90527c4e","http://www.mendeley.com/documents/?uuid=c140366c-fbe3-4c8a-9727-223df10407fe"]},{"id":"ITEM-4","itemData":{"DOI":"10.1063/5.0080470","ISSN":"10897690","PMID":"35259877","abstract":"Type V natural deep eutectic solvents considering menthol, thymol, and levulinic acids are studied considering a combined experimental and theoretical approach to develop a multiscale characterization of these fluids with particular attention to intermolecular forces (hydrogen bonding) and their relationships with macroscopic behavior. Density, viscosity, refraction index, and thermal conductivity were measured as a function of temperature, providing a thermophysical characterization of the fluids. Quantum chemistry was applied to characterize hydrogen bonding in minimal molecular clusters, allowing us to quantify interaction strength, topology (according to atoms in a molecule theory), and electronic properties. Classical molecular dynamics simulations were also performed, allowing us to characterize bulk liquid phases at the nanoscopic level, analyzing the fluid's structuring, void distribution, and dynamics. The reported results allowed us to infer nano-macro relationships, which are required for the proper design of these green solvents and their application for different technologies.","author":[{"dropping-particle":"","family":"Gutiérrez","given":"Alberto","non-dropping-particle":"","parse-names":false,"suffix":""},{"dropping-particle":"","family":"Zamora","given":"Lorena","non-dropping-particle":"","parse-names":false,"suffix":""},{"dropping-particle":"","family":"Benito","given":"Cristina","non-dropping-particle":"","parse-names":false,"suffix":""},{"dropping-particle":"","family":"Atilhan","given":"Mert","non-dropping-particle":"","parse-names":false,"suffix":""},{"dropping-particle":"","family":"Aparicio","given":"Santiago","non-dropping-particle":"","parse-names":false,"suffix":""}],"container-title":"Journal of Chemical Physics","id":"ITEM-4","issue":"9","issued":{"date-parts":[["2022"]]},"publisher":"AIP Publishing, LLC","title":"Insights on novel type v deep eutectic solvents based on levulinic acid","type":"article-journal","volume":"156"},"uris":["http://www.mendeley.com/documents/?uuid=de690111-b838-4d5f-b39a-0b0115c6002e","http://www.mendeley.com/documents/?uuid=c1bfaf0b-fa99-445c-bf14-6abd95fec313","http://www.mendeley.com/documents/?uuid=f2ef37e7-1317-4a50-a6d2-a87572cb48c7"]}],"mendeley":{"formattedCitation":"[14,17,28,29]","plainTextFormattedCitation":"[14,17,28,29]","previouslyFormattedCitation":"[14,17,27,28]"},"properties":{"noteIndex":0},"schema":"https://github.com/citation-style-language/schema/raw/master/csl-citation.json"}</w:instrText>
      </w:r>
      <w:r w:rsidR="00E01993" w:rsidRPr="00966B21">
        <w:rPr>
          <w:lang w:val="en-GB"/>
        </w:rPr>
        <w:fldChar w:fldCharType="separate"/>
      </w:r>
      <w:r w:rsidR="00CD7D53" w:rsidRPr="00966B21">
        <w:rPr>
          <w:noProof/>
          <w:lang w:val="en-GB"/>
        </w:rPr>
        <w:t>[14,17,28,29]</w:t>
      </w:r>
      <w:r w:rsidR="00E01993" w:rsidRPr="00966B21">
        <w:rPr>
          <w:lang w:val="en-GB"/>
        </w:rPr>
        <w:fldChar w:fldCharType="end"/>
      </w:r>
      <w:r w:rsidRPr="00966B21">
        <w:rPr>
          <w:lang w:val="en-GB"/>
        </w:rPr>
        <w:t>. Eutectic mixtures were prepared gravimetrically (±10</w:t>
      </w:r>
      <w:r w:rsidRPr="00966B21">
        <w:rPr>
          <w:vertAlign w:val="superscript"/>
          <w:lang w:val="en-GB"/>
        </w:rPr>
        <w:t>-4</w:t>
      </w:r>
      <w:r w:rsidRPr="00966B21">
        <w:rPr>
          <w:lang w:val="en-GB"/>
        </w:rPr>
        <w:t xml:space="preserve"> g) in closed glass vials and stirred until the formation of a homogeneous liquid. The stability of the mixtures was evaluated by the absence of macroscopic crystallization after 4 days at </w:t>
      </w:r>
      <w:r w:rsidR="00DD62D9" w:rsidRPr="00966B21">
        <w:rPr>
          <w:lang w:val="en-GB"/>
        </w:rPr>
        <w:t>RT (</w:t>
      </w:r>
      <w:r w:rsidRPr="00966B21">
        <w:rPr>
          <w:lang w:val="en-GB"/>
        </w:rPr>
        <w:t>25 ± 2 °C</w:t>
      </w:r>
      <w:r w:rsidR="00DD62D9" w:rsidRPr="00966B21">
        <w:rPr>
          <w:lang w:val="en-GB"/>
        </w:rPr>
        <w:t>)</w:t>
      </w:r>
      <w:r w:rsidRPr="00966B21">
        <w:rPr>
          <w:lang w:val="en-GB"/>
        </w:rPr>
        <w:t>.</w:t>
      </w:r>
    </w:p>
    <w:p w14:paraId="46C06E3A" w14:textId="77777777" w:rsidR="00955282" w:rsidRPr="00966B21" w:rsidRDefault="00955282" w:rsidP="002753DB">
      <w:pPr>
        <w:pStyle w:val="NormaleWeb"/>
        <w:spacing w:before="0" w:beforeAutospacing="0" w:after="0" w:afterAutospacing="0"/>
        <w:jc w:val="both"/>
        <w:rPr>
          <w:lang w:val="en-GB"/>
        </w:rPr>
      </w:pPr>
    </w:p>
    <w:p w14:paraId="5F517EE2" w14:textId="77777777" w:rsidR="0008628B" w:rsidRPr="00966B21" w:rsidRDefault="0008628B" w:rsidP="002753DB">
      <w:pPr>
        <w:pStyle w:val="NormaleWeb"/>
        <w:spacing w:before="0" w:beforeAutospacing="0" w:after="0" w:afterAutospacing="0"/>
        <w:jc w:val="both"/>
        <w:rPr>
          <w:lang w:val="en-GB"/>
        </w:rPr>
      </w:pPr>
      <w:r w:rsidRPr="00966B21">
        <w:rPr>
          <w:lang w:val="en-GB"/>
        </w:rPr>
        <w:t>2.4 HESs solvatometric properties</w:t>
      </w:r>
    </w:p>
    <w:p w14:paraId="547D9FCF" w14:textId="77777777" w:rsidR="00955282" w:rsidRPr="00966B21" w:rsidRDefault="00955282" w:rsidP="002753DB">
      <w:pPr>
        <w:pStyle w:val="NormaleWeb"/>
        <w:spacing w:before="0" w:beforeAutospacing="0" w:after="0" w:afterAutospacing="0"/>
        <w:jc w:val="both"/>
        <w:rPr>
          <w:lang w:val="en-GB"/>
        </w:rPr>
      </w:pPr>
    </w:p>
    <w:p w14:paraId="72689DC4" w14:textId="1DADF910" w:rsidR="00B05DE3" w:rsidRPr="00966B21" w:rsidRDefault="001406C6" w:rsidP="002753DB">
      <w:pPr>
        <w:pStyle w:val="NormaleWeb"/>
        <w:spacing w:before="0" w:beforeAutospacing="0" w:after="0" w:afterAutospacing="0"/>
        <w:jc w:val="both"/>
        <w:rPr>
          <w:lang w:val="en-GB"/>
        </w:rPr>
      </w:pPr>
      <w:r w:rsidRPr="00966B21">
        <w:rPr>
          <w:lang w:val="en-GB"/>
        </w:rPr>
        <w:t xml:space="preserve">The polarity of all the solvents was determined with the solvatochromic method using </w:t>
      </w:r>
      <w:r w:rsidR="00DD62D9" w:rsidRPr="00966B21">
        <w:rPr>
          <w:lang w:val="en-GB"/>
        </w:rPr>
        <w:t xml:space="preserve">a </w:t>
      </w:r>
      <w:r w:rsidRPr="00966B21">
        <w:rPr>
          <w:lang w:val="en-GB"/>
        </w:rPr>
        <w:t>Nile red</w:t>
      </w:r>
      <w:r w:rsidR="00DD62D9" w:rsidRPr="00966B21">
        <w:rPr>
          <w:lang w:val="en-GB"/>
        </w:rPr>
        <w:t xml:space="preserve"> ethanolic solution (3.1 10</w:t>
      </w:r>
      <w:r w:rsidR="00DD62D9" w:rsidRPr="00966B21">
        <w:rPr>
          <w:vertAlign w:val="superscript"/>
          <w:lang w:val="en-GB"/>
        </w:rPr>
        <w:t>-3</w:t>
      </w:r>
      <w:r w:rsidR="00DD62D9" w:rsidRPr="00966B21">
        <w:rPr>
          <w:lang w:val="en-GB"/>
        </w:rPr>
        <w:t xml:space="preserve"> M)</w:t>
      </w:r>
      <w:r w:rsidRPr="00966B21">
        <w:rPr>
          <w:lang w:val="en-GB"/>
        </w:rPr>
        <w:t>, and then measured with a dilution of 1</w:t>
      </w:r>
      <w:r w:rsidR="00B70C07" w:rsidRPr="00966B21">
        <w:rPr>
          <w:lang w:val="en-GB"/>
        </w:rPr>
        <w:t>/</w:t>
      </w:r>
      <w:r w:rsidRPr="00966B21">
        <w:rPr>
          <w:lang w:val="en-GB"/>
        </w:rPr>
        <w:t xml:space="preserve">200 of Nile red in </w:t>
      </w:r>
      <w:r w:rsidR="00A260F0" w:rsidRPr="00966B21">
        <w:rPr>
          <w:lang w:val="en-GB"/>
        </w:rPr>
        <w:t>HES</w:t>
      </w:r>
      <w:r w:rsidRPr="00966B21">
        <w:rPr>
          <w:lang w:val="en-GB"/>
        </w:rPr>
        <w:t>. This assay was performed in triplicate. The absorbance of the solutions was measured using a UV−</w:t>
      </w:r>
      <w:r w:rsidR="00A260F0" w:rsidRPr="00966B21">
        <w:rPr>
          <w:lang w:val="en-GB"/>
        </w:rPr>
        <w:t>visible spectrophotometer</w:t>
      </w:r>
      <w:r w:rsidR="00866592" w:rsidRPr="00966B21">
        <w:rPr>
          <w:lang w:val="en-GB"/>
        </w:rPr>
        <w:t xml:space="preserve"> (JASCO V-650 UV/Vis, Jasco, Tokyo, Japan)</w:t>
      </w:r>
      <w:r w:rsidRPr="00966B21">
        <w:rPr>
          <w:lang w:val="en-GB"/>
        </w:rPr>
        <w:t xml:space="preserve"> </w:t>
      </w:r>
      <w:r w:rsidR="00A260F0" w:rsidRPr="00966B21">
        <w:rPr>
          <w:lang w:val="en-GB"/>
        </w:rPr>
        <w:t>in the wavelength range of 400</w:t>
      </w:r>
      <w:r w:rsidR="00B43E37" w:rsidRPr="00966B21">
        <w:rPr>
          <w:lang w:val="en-GB"/>
        </w:rPr>
        <w:t xml:space="preserve"> </w:t>
      </w:r>
      <w:r w:rsidR="00A260F0" w:rsidRPr="00966B21">
        <w:rPr>
          <w:lang w:val="en-GB"/>
        </w:rPr>
        <w:t>−</w:t>
      </w:r>
      <w:r w:rsidR="00B43E37" w:rsidRPr="00966B21">
        <w:rPr>
          <w:lang w:val="en-GB"/>
        </w:rPr>
        <w:t xml:space="preserve"> </w:t>
      </w:r>
      <w:r w:rsidR="00A260F0" w:rsidRPr="00966B21">
        <w:rPr>
          <w:lang w:val="en-GB"/>
        </w:rPr>
        <w:t xml:space="preserve">800 nm </w:t>
      </w:r>
      <w:r w:rsidR="00E01993" w:rsidRPr="00966B21">
        <w:rPr>
          <w:lang w:val="en-GB"/>
        </w:rPr>
        <w:fldChar w:fldCharType="begin" w:fldLock="1"/>
      </w:r>
      <w:r w:rsidR="00CD7D53" w:rsidRPr="00966B21">
        <w:rPr>
          <w:lang w:val="en-GB"/>
        </w:rPr>
        <w:instrText>ADDIN CSL_CITATION {"citationItems":[{"id":"ITEM-1","itemData":{"DOI":"10.1021/acssuschemeng.1c04591","ISSN":"21680485","abstract":"Natural deep eutectic solvents (NADESs) are considered as green solvents, and due to their promising sustainability, they have been applied in many research fields. In this study, the main goal is to use various NADES systems to replace the traditional solvents used in conservation and restoration to remove varnish layers in a painting. The toxicity of traditional solvents, such as toluene or acetone, is well known in the chemistry field. To replace them, it is important to understand the intrinsic physicochemical properties of a solvent that may act as a substitute. Polarity and solubility are proposed as the best parameters required for this study. The Nile red probe was used to confirm the similarity between the polarity of deep eutectic systems (DESs) and traditional solvents. According to their polarities and Hansen solubility parameters, it is possible to predict the best solvents to solubilize the natural resin varnishes. Besides this, some arithmetic models can also be applied to estimate the critical or thermodynamic properties, which are useful tools to predict the behavior of these solvents. We have further proven the possibility of dissolving natural varnishes such as dammar or mastic in hydrophobic DESs, such as menthol + lauric acid, menthol + decanoic acid, or menthol + thymol.","author":[{"dropping-particle":"","family":"Fernandes","given":"Cláudio Correia","non-dropping-particle":"","parse-names":false,"suffix":""},{"dropping-particle":"","family":"Haghbakhsh","given":"Reza","non-dropping-particle":"","parse-names":false,"suffix":""},{"dropping-particle":"","family":"Marques","given":"Raquel","non-dropping-particle":"","parse-names":false,"suffix":""},{"dropping-particle":"","family":"Paiva","given":"Alexandre","non-dropping-particle":"","parse-names":false,"suffix":""},{"dropping-particle":"","family":"Carlyle","given":"Leslie","non-dropping-particle":"","parse-names":false,"suffix":""},{"dropping-particle":"","family":"Duarte","given":"Ana Rita Cruz","non-dropping-particle":"","parse-names":false,"suffix":""}],"container-title":"ACS Sustainable Chemistry and Engineering","id":"ITEM-1","issue":"46","issued":{"date-parts":[["2021"]]},"page":"15451-15460","title":"Evaluation of Deep Eutectic Systems as an Alternative to Solvents in Painting Conservation","type":"article-journal","volume":"9"},"uris":["http://www.mendeley.com/documents/?uuid=2d696306-a128-4193-9aaa-1fbaf70d45dc","http://www.mendeley.com/documents/?uuid=cd6350c8-2d8a-4b1c-a888-b73502eb43d4"]}],"mendeley":{"formattedCitation":"[30]","plainTextFormattedCitation":"[30]","previouslyFormattedCitation":"[29]"},"properties":{"noteIndex":0},"schema":"https://github.com/citation-style-language/schema/raw/master/csl-citation.json"}</w:instrText>
      </w:r>
      <w:r w:rsidR="00E01993" w:rsidRPr="00966B21">
        <w:rPr>
          <w:lang w:val="en-GB"/>
        </w:rPr>
        <w:fldChar w:fldCharType="separate"/>
      </w:r>
      <w:r w:rsidR="00CD7D53" w:rsidRPr="00966B21">
        <w:rPr>
          <w:noProof/>
          <w:lang w:val="en-GB"/>
        </w:rPr>
        <w:t>[30]</w:t>
      </w:r>
      <w:r w:rsidR="00E01993" w:rsidRPr="00966B21">
        <w:rPr>
          <w:lang w:val="en-GB"/>
        </w:rPr>
        <w:fldChar w:fldCharType="end"/>
      </w:r>
      <w:r w:rsidR="00C41219" w:rsidRPr="00966B21">
        <w:rPr>
          <w:lang w:val="en-GB"/>
        </w:rPr>
        <w:t>.</w:t>
      </w:r>
    </w:p>
    <w:p w14:paraId="327952AD" w14:textId="77777777" w:rsidR="00955282" w:rsidRPr="00966B21" w:rsidRDefault="00955282" w:rsidP="002753DB">
      <w:pPr>
        <w:pStyle w:val="NormaleWeb"/>
        <w:spacing w:before="0" w:beforeAutospacing="0" w:after="0" w:afterAutospacing="0"/>
        <w:jc w:val="both"/>
        <w:rPr>
          <w:lang w:val="en-GB"/>
        </w:rPr>
      </w:pPr>
    </w:p>
    <w:p w14:paraId="4BA914B8" w14:textId="0147EA37" w:rsidR="005A4A91" w:rsidRPr="00966B21" w:rsidRDefault="00A260F0" w:rsidP="002753DB">
      <w:pPr>
        <w:pStyle w:val="NormaleWeb"/>
        <w:spacing w:before="0" w:beforeAutospacing="0" w:after="0" w:afterAutospacing="0"/>
        <w:jc w:val="both"/>
        <w:rPr>
          <w:lang w:val="en-GB"/>
        </w:rPr>
      </w:pPr>
      <w:r w:rsidRPr="00966B21">
        <w:rPr>
          <w:lang w:val="en-GB"/>
        </w:rPr>
        <w:t xml:space="preserve">2.5 </w:t>
      </w:r>
      <w:r w:rsidR="005A4A91" w:rsidRPr="00966B21">
        <w:rPr>
          <w:lang w:val="en-GB"/>
        </w:rPr>
        <w:t>Carotenoid</w:t>
      </w:r>
      <w:r w:rsidR="00E012DD" w:rsidRPr="00966B21">
        <w:rPr>
          <w:lang w:val="en-GB"/>
        </w:rPr>
        <w:t xml:space="preserve"> </w:t>
      </w:r>
      <w:r w:rsidR="00C0098A" w:rsidRPr="00966B21">
        <w:rPr>
          <w:lang w:val="en-GB"/>
        </w:rPr>
        <w:t>e</w:t>
      </w:r>
      <w:r w:rsidR="00AC7402" w:rsidRPr="00966B21">
        <w:rPr>
          <w:lang w:val="en-GB"/>
        </w:rPr>
        <w:t>xtraction with c</w:t>
      </w:r>
      <w:r w:rsidR="005A4A91" w:rsidRPr="00966B21">
        <w:rPr>
          <w:lang w:val="en-GB"/>
        </w:rPr>
        <w:t xml:space="preserve">onventional solvent </w:t>
      </w:r>
      <w:r w:rsidR="00AC7402" w:rsidRPr="00966B21">
        <w:rPr>
          <w:lang w:val="en-GB"/>
        </w:rPr>
        <w:t>and HES</w:t>
      </w:r>
    </w:p>
    <w:p w14:paraId="308CBACD" w14:textId="77777777" w:rsidR="00955282" w:rsidRPr="00966B21" w:rsidRDefault="00955282" w:rsidP="002753DB">
      <w:pPr>
        <w:pStyle w:val="NormaleWeb"/>
        <w:spacing w:before="0" w:beforeAutospacing="0" w:after="0" w:afterAutospacing="0"/>
        <w:jc w:val="both"/>
        <w:rPr>
          <w:lang w:val="en-GB"/>
        </w:rPr>
      </w:pPr>
    </w:p>
    <w:p w14:paraId="26AACE31" w14:textId="4F06581C" w:rsidR="00C0098A" w:rsidRPr="00966B21" w:rsidRDefault="00AC7402" w:rsidP="00C0098A">
      <w:pPr>
        <w:pStyle w:val="NormaleWeb"/>
        <w:spacing w:before="0" w:beforeAutospacing="0" w:after="0" w:afterAutospacing="0"/>
        <w:jc w:val="both"/>
        <w:rPr>
          <w:lang w:val="en-GB"/>
        </w:rPr>
      </w:pPr>
      <w:r w:rsidRPr="00966B21">
        <w:rPr>
          <w:lang w:val="en-GB"/>
        </w:rPr>
        <w:t>Conventional solvent extraction was performed under magnetic stirring (800 rpm) for 180 min at 25 ± 2 °C in the dark, with n-hexane</w:t>
      </w:r>
      <w:r w:rsidR="00B70C07" w:rsidRPr="00966B21">
        <w:rPr>
          <w:lang w:val="en-GB"/>
        </w:rPr>
        <w:t>/</w:t>
      </w:r>
      <w:r w:rsidRPr="00966B21">
        <w:rPr>
          <w:lang w:val="en-GB"/>
        </w:rPr>
        <w:t>acetone</w:t>
      </w:r>
      <w:r w:rsidR="00B70C07" w:rsidRPr="00966B21">
        <w:rPr>
          <w:lang w:val="en-GB"/>
        </w:rPr>
        <w:t>/</w:t>
      </w:r>
      <w:r w:rsidRPr="00966B21">
        <w:rPr>
          <w:lang w:val="en-GB"/>
        </w:rPr>
        <w:t>ethanol (2</w:t>
      </w:r>
      <w:r w:rsidR="00B70C07" w:rsidRPr="00966B21">
        <w:rPr>
          <w:lang w:val="en-GB"/>
        </w:rPr>
        <w:t>/</w:t>
      </w:r>
      <w:r w:rsidRPr="00966B21">
        <w:rPr>
          <w:lang w:val="en-GB"/>
        </w:rPr>
        <w:t>1</w:t>
      </w:r>
      <w:r w:rsidR="00B70C07" w:rsidRPr="00966B21">
        <w:rPr>
          <w:lang w:val="en-GB"/>
        </w:rPr>
        <w:t>/</w:t>
      </w:r>
      <w:r w:rsidRPr="00966B21">
        <w:rPr>
          <w:lang w:val="en-GB"/>
        </w:rPr>
        <w:t xml:space="preserve">1) solvent mixture </w:t>
      </w:r>
      <w:r w:rsidR="00E01993" w:rsidRPr="00966B21">
        <w:rPr>
          <w:lang w:val="en-GB"/>
        </w:rPr>
        <w:fldChar w:fldCharType="begin" w:fldLock="1"/>
      </w:r>
      <w:r w:rsidR="00CD7D53" w:rsidRPr="00966B21">
        <w:rPr>
          <w:lang w:val="en-GB"/>
        </w:rPr>
        <w:instrText>ADDIN CSL_CITATION {"citationItems":[{"id":"ITEM-1","itemData":{"DOI":"10.1016/j.lwt.2019.01.044","ISSN":"00236438","abstract":"Mango, king of all fruits, is a good source of carotenoids. The present investigation was aimed at extraction of carotenoids from mango pulp using bio-refinery concept. Three green solvents, namely groundnut, sunflower and flaxseed oil were used. The carotenoids were extracted for different time intervals in different green solvents at different pulp to vegetable oil ratio using magnetic stirring (MS), ultrasonication (US), microwave (MW) and high shear dispersion (HSD) techniques. Out of 540 samples (3 × 180) analyzed, one combination was selected on the basis of highest total carotenoid content (TCC) using split plot design of statistical analysis. Maximum extraction was possible in flaxseed oil by using HSD technique. The selected combination was compared with corresponding vegetable oil (used as a control) for TCC, antioxidant activity (ABTS, μg Trolox eq./ml; DPPH, μg Trolox eq./ml and FRAP, μM Trolox eq./ml), tocopherol content and colour value (L, a, b) and showed a respective increase of 158.8-6, 123.72, 33.37, 11.95, 15.15% and 12.77, 5.57, 21.51 units. The increase in carotenoid content was further confirmed by Attenuated Total Reflectance-Fourier Transform Infra-Red spectroscopy (ATR-FTIR). The carotenoid-rich extract can be applied in food formulations for preparation of functional foods.","author":[{"dropping-particle":"","family":"Baria","given":"Bhavesh","non-dropping-particle":"","parse-names":false,"suffix":""},{"dropping-particle":"","family":"Upadhyay","given":"Neelam","non-dropping-particle":"","parse-names":false,"suffix":""},{"dropping-particle":"","family":"Singh","given":"Ashish Kumar","non-dropping-particle":"","parse-names":false,"suffix":""},{"dropping-particle":"","family":"Malhotra","given":"Ravinder Kumar","non-dropping-particle":"","parse-names":false,"suffix":""}],"container-title":"Lwt","id":"ITEM-1","issue":"January","issued":{"date-parts":[["2019"]]},"page":"186-194","publisher":"Elsevier","title":"Optimization of ‘green’ extraction of carotenoids from mango pulp using split plot design and its characterization","type":"article-journal","volume":"104"},"uris":["http://www.mendeley.com/documents/?uuid=640049e4-56a4-4cb8-8c57-2f7757ef2410","http://www.mendeley.com/documents/?uuid=613830f8-f63b-4387-92bd-bdd8ac6f0ce9"]}],"mendeley":{"formattedCitation":"[6]","plainTextFormattedCitation":"[6]","previouslyFormattedCitation":"[7]"},"properties":{"noteIndex":0},"schema":"https://github.com/citation-style-language/schema/raw/master/csl-citation.json"}</w:instrText>
      </w:r>
      <w:r w:rsidR="00E01993" w:rsidRPr="00966B21">
        <w:rPr>
          <w:lang w:val="en-GB"/>
        </w:rPr>
        <w:fldChar w:fldCharType="separate"/>
      </w:r>
      <w:r w:rsidR="00CD7D53" w:rsidRPr="00966B21">
        <w:rPr>
          <w:noProof/>
          <w:lang w:val="en-GB"/>
        </w:rPr>
        <w:t>[6]</w:t>
      </w:r>
      <w:r w:rsidR="00E01993" w:rsidRPr="00966B21">
        <w:rPr>
          <w:lang w:val="en-GB"/>
        </w:rPr>
        <w:fldChar w:fldCharType="end"/>
      </w:r>
      <w:r w:rsidR="00C0098A" w:rsidRPr="00966B21">
        <w:rPr>
          <w:lang w:val="en-GB"/>
        </w:rPr>
        <w:t xml:space="preserve"> and a biomass</w:t>
      </w:r>
      <w:r w:rsidR="00B70C07" w:rsidRPr="00966B21">
        <w:rPr>
          <w:lang w:val="en-GB"/>
        </w:rPr>
        <w:t xml:space="preserve"> : </w:t>
      </w:r>
      <w:r w:rsidR="00C0098A" w:rsidRPr="00966B21">
        <w:rPr>
          <w:lang w:val="en-GB"/>
        </w:rPr>
        <w:t>solvent ratio of 1:15. The same conditions were applied in the case of HES</w:t>
      </w:r>
      <w:r w:rsidR="00181CC4" w:rsidRPr="00966B21">
        <w:rPr>
          <w:lang w:val="en-GB"/>
        </w:rPr>
        <w:t xml:space="preserve"> (133 mg biomass</w:t>
      </w:r>
      <w:r w:rsidR="00B70C07" w:rsidRPr="00966B21">
        <w:rPr>
          <w:lang w:val="en-GB"/>
        </w:rPr>
        <w:t xml:space="preserve"> in </w:t>
      </w:r>
      <w:r w:rsidR="00181CC4" w:rsidRPr="00966B21">
        <w:rPr>
          <w:lang w:val="en-GB"/>
        </w:rPr>
        <w:t>2000 mg HES)</w:t>
      </w:r>
      <w:r w:rsidR="00C0098A" w:rsidRPr="00966B21">
        <w:rPr>
          <w:lang w:val="en-GB"/>
        </w:rPr>
        <w:t>. After that, the solutions were centrifuged at 7,000 g for 10 min and the supernatants separated. The extracts were named CONV and HES, respectively, and stored at -20 °C until analysis; the extraction was performed in triplicate (n = 3).</w:t>
      </w:r>
    </w:p>
    <w:p w14:paraId="376F5084" w14:textId="5E6C7177" w:rsidR="00955282" w:rsidRPr="00966B21" w:rsidRDefault="00955282" w:rsidP="002753DB">
      <w:pPr>
        <w:pStyle w:val="NormaleWeb"/>
        <w:spacing w:before="0" w:beforeAutospacing="0" w:after="0" w:afterAutospacing="0"/>
        <w:jc w:val="both"/>
        <w:rPr>
          <w:lang w:val="en-GB"/>
        </w:rPr>
      </w:pPr>
    </w:p>
    <w:p w14:paraId="0149CD15" w14:textId="40B21385" w:rsidR="00C0098A" w:rsidRPr="00966B21" w:rsidRDefault="00C0098A" w:rsidP="002753DB">
      <w:pPr>
        <w:pStyle w:val="NormaleWeb"/>
        <w:spacing w:before="0" w:beforeAutospacing="0" w:after="0" w:afterAutospacing="0"/>
        <w:jc w:val="both"/>
        <w:rPr>
          <w:lang w:val="en-GB"/>
        </w:rPr>
      </w:pPr>
      <w:r w:rsidRPr="00966B21">
        <w:rPr>
          <w:lang w:val="en-GB"/>
        </w:rPr>
        <w:t>2.6 Carotenoid content</w:t>
      </w:r>
    </w:p>
    <w:p w14:paraId="226DB931" w14:textId="77777777" w:rsidR="00955282" w:rsidRPr="00966B21" w:rsidRDefault="00955282" w:rsidP="002753DB">
      <w:pPr>
        <w:pStyle w:val="NormaleWeb"/>
        <w:spacing w:before="0" w:beforeAutospacing="0" w:after="0" w:afterAutospacing="0"/>
        <w:jc w:val="both"/>
        <w:rPr>
          <w:lang w:val="en-GB"/>
        </w:rPr>
      </w:pPr>
    </w:p>
    <w:p w14:paraId="6666564E" w14:textId="4403F68B" w:rsidR="00F0362C" w:rsidRPr="00966B21" w:rsidRDefault="00F0362C" w:rsidP="002753DB">
      <w:pPr>
        <w:pStyle w:val="NormaleWeb"/>
        <w:spacing w:before="0" w:beforeAutospacing="0" w:after="0" w:afterAutospacing="0"/>
        <w:jc w:val="both"/>
        <w:rPr>
          <w:lang w:val="en-GB"/>
        </w:rPr>
      </w:pPr>
      <w:r w:rsidRPr="00966B21">
        <w:rPr>
          <w:lang w:val="en-GB"/>
        </w:rPr>
        <w:t>2.6.1 Total carotenoid content</w:t>
      </w:r>
    </w:p>
    <w:p w14:paraId="7F09CF71" w14:textId="77777777" w:rsidR="00955282" w:rsidRPr="00966B21" w:rsidRDefault="00955282" w:rsidP="002753DB">
      <w:pPr>
        <w:pStyle w:val="NormaleWeb"/>
        <w:spacing w:before="0" w:beforeAutospacing="0" w:after="0" w:afterAutospacing="0"/>
        <w:jc w:val="both"/>
        <w:rPr>
          <w:lang w:val="en-GB"/>
        </w:rPr>
      </w:pPr>
    </w:p>
    <w:p w14:paraId="36680B7A" w14:textId="40E5E66D" w:rsidR="0019642A" w:rsidRPr="00966B21" w:rsidRDefault="00E13909" w:rsidP="002753DB">
      <w:pPr>
        <w:pStyle w:val="NormaleWeb"/>
        <w:spacing w:before="0" w:beforeAutospacing="0" w:after="0" w:afterAutospacing="0"/>
        <w:jc w:val="both"/>
        <w:rPr>
          <w:lang w:val="en-GB"/>
        </w:rPr>
      </w:pPr>
      <w:r w:rsidRPr="00966B21">
        <w:rPr>
          <w:lang w:val="en-GB"/>
        </w:rPr>
        <w:t xml:space="preserve">Total carotenoid content (TCC) was </w:t>
      </w:r>
      <w:r w:rsidR="00292CE9" w:rsidRPr="00966B21">
        <w:rPr>
          <w:lang w:val="en-GB"/>
        </w:rPr>
        <w:t>analysed</w:t>
      </w:r>
      <w:r w:rsidRPr="00966B21">
        <w:rPr>
          <w:lang w:val="en-GB"/>
        </w:rPr>
        <w:t xml:space="preserve"> in CONV and HES by spectrophotometric</w:t>
      </w:r>
      <w:r w:rsidR="005A1D93" w:rsidRPr="00966B21">
        <w:rPr>
          <w:lang w:val="en-GB"/>
        </w:rPr>
        <w:t xml:space="preserve"> determinations. </w:t>
      </w:r>
      <w:r w:rsidR="00C0098A" w:rsidRPr="00966B21">
        <w:rPr>
          <w:lang w:val="en-GB"/>
        </w:rPr>
        <w:t>Samples (</w:t>
      </w:r>
      <w:r w:rsidR="005A1D93" w:rsidRPr="00966B21">
        <w:rPr>
          <w:lang w:val="en-GB"/>
        </w:rPr>
        <w:t>200 µ</w:t>
      </w:r>
      <w:r w:rsidRPr="00966B21">
        <w:rPr>
          <w:lang w:val="en-GB"/>
        </w:rPr>
        <w:t>L</w:t>
      </w:r>
      <w:r w:rsidR="00C0098A" w:rsidRPr="00966B21">
        <w:rPr>
          <w:lang w:val="en-GB"/>
        </w:rPr>
        <w:t>)</w:t>
      </w:r>
      <w:r w:rsidRPr="00966B21">
        <w:rPr>
          <w:lang w:val="en-GB"/>
        </w:rPr>
        <w:t xml:space="preserve"> were </w:t>
      </w:r>
      <w:r w:rsidR="0019642A" w:rsidRPr="00966B21">
        <w:rPr>
          <w:lang w:val="en-GB"/>
        </w:rPr>
        <w:t>diluted</w:t>
      </w:r>
      <w:r w:rsidRPr="00966B21">
        <w:rPr>
          <w:lang w:val="en-GB"/>
        </w:rPr>
        <w:t xml:space="preserve"> in</w:t>
      </w:r>
      <w:r w:rsidR="0019642A" w:rsidRPr="00966B21">
        <w:rPr>
          <w:lang w:val="en-GB"/>
        </w:rPr>
        <w:t xml:space="preserve"> 2 mL of</w:t>
      </w:r>
      <w:r w:rsidRPr="00966B21">
        <w:rPr>
          <w:lang w:val="en-GB"/>
        </w:rPr>
        <w:t xml:space="preserve"> hexane </w:t>
      </w:r>
      <w:r w:rsidR="0019642A" w:rsidRPr="00966B21">
        <w:rPr>
          <w:lang w:val="en-GB"/>
        </w:rPr>
        <w:t xml:space="preserve">and the spectrum was determined in the range of 400 to 550 nm. The maximum absorbance was registered at 450 nm </w:t>
      </w:r>
      <w:r w:rsidR="00E01993" w:rsidRPr="00966B21">
        <w:rPr>
          <w:lang w:val="en-GB"/>
        </w:rPr>
        <w:fldChar w:fldCharType="begin" w:fldLock="1"/>
      </w:r>
      <w:r w:rsidR="00CD7D53" w:rsidRPr="00966B21">
        <w:rPr>
          <w:lang w:val="en-GB"/>
        </w:rPr>
        <w:instrText>ADDIN CSL_CITATION {"citationItems":[{"id":"ITEM-1","itemData":{"DOI":"10.1016/j.lwt.2019.01.044","ISSN":"00236438","abstract":"Mango, king of all fruits, is a good source of carotenoids. The present investigation was aimed at extraction of carotenoids from mango pulp using bio-refinery concept. Three green solvents, namely groundnut, sunflower and flaxseed oil were used. The carotenoids were extracted for different time intervals in different green solvents at different pulp to vegetable oil ratio using magnetic stirring (MS), ultrasonication (US), microwave (MW) and high shear dispersion (HSD) techniques. Out of 540 samples (3 × 180) analyzed, one combination was selected on the basis of highest total carotenoid content (TCC) using split plot design of statistical analysis. Maximum extraction was possible in flaxseed oil by using HSD technique. The selected combination was compared with corresponding vegetable oil (used as a control) for TCC, antioxidant activity (ABTS, μg Trolox eq./ml; DPPH, μg Trolox eq./ml and FRAP, μM Trolox eq./ml), tocopherol content and colour value (L, a, b) and showed a respective increase of 158.8-6, 123.72, 33.37, 11.95, 15.15% and 12.77, 5.57, 21.51 units. The increase in carotenoid content was further confirmed by Attenuated Total Reflectance-Fourier Transform Infra-Red spectroscopy (ATR-FTIR). The carotenoid-rich extract can be applied in food formulations for preparation of functional foods.","author":[{"dropping-particle":"","family":"Baria","given":"Bhavesh","non-dropping-particle":"","parse-names":false,"suffix":""},{"dropping-particle":"","family":"Upadhyay","given":"Neelam","non-dropping-particle":"","parse-names":false,"suffix":""},{"dropping-particle":"","family":"Singh","given":"Ashish Kumar","non-dropping-particle":"","parse-names":false,"suffix":""},{"dropping-particle":"","family":"Malhotra","given":"Ravinder Kumar","non-dropping-particle":"","parse-names":false,"suffix":""}],"container-title":"Lwt","id":"ITEM-1","issue":"January","issued":{"date-parts":[["2019"]]},"page":"186-194","publisher":"Elsevier","title":"Optimization of ‘green’ extraction of carotenoids from mango pulp using split plot design and its characterization","type":"article-journal","volume":"104"},"uris":["http://www.mendeley.com/documents/?uuid=640049e4-56a4-4cb8-8c57-2f7757ef2410","http://www.mendeley.com/documents/?uuid=613830f8-f63b-4387-92bd-bdd8ac6f0ce9"]}],"mendeley":{"formattedCitation":"[6]","plainTextFormattedCitation":"[6]","previouslyFormattedCitation":"[7]"},"properties":{"noteIndex":0},"schema":"https://github.com/citation-style-language/schema/raw/master/csl-citation.json"}</w:instrText>
      </w:r>
      <w:r w:rsidR="00E01993" w:rsidRPr="00966B21">
        <w:rPr>
          <w:lang w:val="en-GB"/>
        </w:rPr>
        <w:fldChar w:fldCharType="separate"/>
      </w:r>
      <w:r w:rsidR="00CD7D53" w:rsidRPr="00966B21">
        <w:rPr>
          <w:noProof/>
          <w:lang w:val="en-GB"/>
        </w:rPr>
        <w:t>[6]</w:t>
      </w:r>
      <w:r w:rsidR="00E01993" w:rsidRPr="00966B21">
        <w:rPr>
          <w:lang w:val="en-GB"/>
        </w:rPr>
        <w:fldChar w:fldCharType="end"/>
      </w:r>
      <w:r w:rsidR="0019642A" w:rsidRPr="00966B21">
        <w:rPr>
          <w:lang w:val="en-GB"/>
        </w:rPr>
        <w:t xml:space="preserve">. A calibration curve with β-carotene in hexane was prepared in the range of </w:t>
      </w:r>
      <w:r w:rsidR="00B43E37" w:rsidRPr="00966B21">
        <w:rPr>
          <w:lang w:val="en-GB"/>
        </w:rPr>
        <w:lastRenderedPageBreak/>
        <w:t xml:space="preserve">200 – 2000 µg/mL. </w:t>
      </w:r>
      <w:r w:rsidR="0019642A" w:rsidRPr="00966B21">
        <w:rPr>
          <w:lang w:val="en-GB"/>
        </w:rPr>
        <w:t>Determinations were performed in triplicate</w:t>
      </w:r>
      <w:r w:rsidR="00B43E37" w:rsidRPr="00966B21">
        <w:rPr>
          <w:lang w:val="en-GB"/>
        </w:rPr>
        <w:t xml:space="preserve"> and results were expressed in µ</w:t>
      </w:r>
      <w:r w:rsidR="0019642A" w:rsidRPr="00966B21">
        <w:rPr>
          <w:lang w:val="en-GB"/>
        </w:rPr>
        <w:t>g</w:t>
      </w:r>
      <w:r w:rsidR="00F83412" w:rsidRPr="00966B21">
        <w:rPr>
          <w:lang w:val="en-GB"/>
        </w:rPr>
        <w:t xml:space="preserve"> β-carotene</w:t>
      </w:r>
      <w:r w:rsidR="0019642A" w:rsidRPr="00966B21">
        <w:rPr>
          <w:lang w:val="en-GB"/>
        </w:rPr>
        <w:t>/mg dry weight (DW)</w:t>
      </w:r>
      <w:r w:rsidR="00C0098A" w:rsidRPr="00966B21">
        <w:rPr>
          <w:lang w:val="en-GB"/>
        </w:rPr>
        <w:t xml:space="preserve"> of mango peel</w:t>
      </w:r>
      <w:r w:rsidR="0019642A" w:rsidRPr="00966B21">
        <w:rPr>
          <w:lang w:val="en-GB"/>
        </w:rPr>
        <w:t xml:space="preserve">. </w:t>
      </w:r>
    </w:p>
    <w:p w14:paraId="508D10AD" w14:textId="77777777" w:rsidR="00955282" w:rsidRPr="00966B21" w:rsidRDefault="00955282" w:rsidP="002753DB">
      <w:pPr>
        <w:pStyle w:val="NormaleWeb"/>
        <w:spacing w:before="0" w:beforeAutospacing="0" w:after="0" w:afterAutospacing="0"/>
        <w:jc w:val="both"/>
        <w:rPr>
          <w:lang w:val="en-GB"/>
        </w:rPr>
      </w:pPr>
    </w:p>
    <w:p w14:paraId="4EC59004" w14:textId="443CB64F" w:rsidR="00F0362C" w:rsidRPr="00966B21" w:rsidRDefault="00F0362C" w:rsidP="002753DB">
      <w:pPr>
        <w:pStyle w:val="NormaleWeb"/>
        <w:spacing w:before="0" w:beforeAutospacing="0" w:after="0" w:afterAutospacing="0"/>
        <w:jc w:val="both"/>
        <w:rPr>
          <w:lang w:val="en-GB"/>
        </w:rPr>
      </w:pPr>
      <w:r w:rsidRPr="00966B21">
        <w:rPr>
          <w:lang w:val="en-GB"/>
        </w:rPr>
        <w:t>2.6.2 HPLC quantification of major carotenoids</w:t>
      </w:r>
    </w:p>
    <w:p w14:paraId="682AC013" w14:textId="77777777" w:rsidR="002B7A6A" w:rsidRPr="00966B21" w:rsidRDefault="002B7A6A" w:rsidP="002753DB">
      <w:pPr>
        <w:pStyle w:val="NormaleWeb"/>
        <w:spacing w:before="0" w:beforeAutospacing="0" w:after="0" w:afterAutospacing="0"/>
        <w:jc w:val="both"/>
        <w:rPr>
          <w:lang w:val="en-GB"/>
        </w:rPr>
      </w:pPr>
    </w:p>
    <w:p w14:paraId="160CFCCC" w14:textId="79403614" w:rsidR="0019642A" w:rsidRPr="00966B21" w:rsidRDefault="005A1D93" w:rsidP="002753DB">
      <w:pPr>
        <w:pStyle w:val="NormaleWeb"/>
        <w:spacing w:before="0" w:beforeAutospacing="0" w:after="0" w:afterAutospacing="0"/>
        <w:jc w:val="both"/>
        <w:rPr>
          <w:lang w:val="en-GB"/>
        </w:rPr>
      </w:pPr>
      <w:r w:rsidRPr="00966B21">
        <w:rPr>
          <w:lang w:val="en-GB"/>
        </w:rPr>
        <w:t xml:space="preserve">To quantify and determine the carotenoid profile in the extracts, 200 µL of the extracts were diluted in DMSO (100 µL) and methanol (700 µL), passed through 0.45 µm Nylon filters and </w:t>
      </w:r>
      <w:r w:rsidR="00292CE9" w:rsidRPr="00966B21">
        <w:rPr>
          <w:lang w:val="en-GB"/>
        </w:rPr>
        <w:t>analysed</w:t>
      </w:r>
      <w:r w:rsidRPr="00966B21">
        <w:rPr>
          <w:lang w:val="en-GB"/>
        </w:rPr>
        <w:t xml:space="preserve"> by HPLC-UV–Vis at 450 nm. Liquid chromatography analysis was performed using an HPLC system (Agilent 1200 series, Agilent Technologies Italia S.p.A, Milan, Italy) coupled with a UV–Vis diode array detector. The separation was performed using an XBridge C8 column 137 Å, 3.5 μm, 4.6 mm × 150 mm (Waters, Milford, MA, US) maintained at 30 </w:t>
      </w:r>
      <w:r w:rsidR="00FD0ADA" w:rsidRPr="00966B21">
        <w:rPr>
          <w:lang w:val="en-GB"/>
        </w:rPr>
        <w:t>°C, with an injected volume of 2</w:t>
      </w:r>
      <w:r w:rsidRPr="00966B21">
        <w:rPr>
          <w:lang w:val="en-GB"/>
        </w:rPr>
        <w:t>0 μL. The mobile phase was: H</w:t>
      </w:r>
      <w:r w:rsidRPr="00966B21">
        <w:rPr>
          <w:vertAlign w:val="subscript"/>
          <w:lang w:val="en-GB"/>
        </w:rPr>
        <w:t>2</w:t>
      </w:r>
      <w:r w:rsidRPr="00966B21">
        <w:rPr>
          <w:lang w:val="en-GB"/>
        </w:rPr>
        <w:t>O (solvent A) and acetonitrile (solvent B). Chromatographic sepa</w:t>
      </w:r>
      <w:r w:rsidR="00B43E37" w:rsidRPr="00966B21">
        <w:rPr>
          <w:lang w:val="en-GB"/>
        </w:rPr>
        <w:t>ration was achieved at a 0.7 mL/</w:t>
      </w:r>
      <w:r w:rsidRPr="00966B21">
        <w:rPr>
          <w:lang w:val="en-GB"/>
        </w:rPr>
        <w:t>min flow rate under gradient elution conditions: 80–100% B from 0 to 10 min, 100% B from 10 to</w:t>
      </w:r>
      <w:r w:rsidR="002E0914" w:rsidRPr="00966B21">
        <w:rPr>
          <w:lang w:val="en-GB"/>
        </w:rPr>
        <w:t xml:space="preserve"> 18 min, 100–80% B from 18 to 25</w:t>
      </w:r>
      <w:r w:rsidRPr="00966B21">
        <w:rPr>
          <w:lang w:val="en-GB"/>
        </w:rPr>
        <w:t xml:space="preserve"> min; all the changes in the mobile phase composition were linear</w:t>
      </w:r>
      <w:r w:rsidR="00E01993" w:rsidRPr="00966B21">
        <w:rPr>
          <w:lang w:val="en-GB"/>
        </w:rPr>
        <w:fldChar w:fldCharType="begin" w:fldLock="1"/>
      </w:r>
      <w:r w:rsidR="00CD7D53" w:rsidRPr="00966B21">
        <w:rPr>
          <w:lang w:val="en-GB"/>
        </w:rPr>
        <w:instrText>ADDIN CSL_CITATION {"citationItems":[{"id":"ITEM-1","itemData":{"DOI":"10.1016/j.foodchem.2022.132156","ISSN":"18737072","PMID":"35065488","abstract":"Three novel hydrophobic deep eutectic solvents (DESs) based on oleic acid and terpenes (thymol, DL-menthol, and geraniol) were prepared, characterized, and used to extract astaxanthin from the microalga Haematococcus pluvialis without any pre-treatment of the cells. The three DES were composed of Generally Recognized As Safe (GRAS) and edible ingredients. All the tested DESs gave astaxanthin recovery values of about 60 and 30% in 6 h if applied on freeze-dried biomass or directly on algae culture, respectively. The carotenoid profile was qualitatively identical to what was obtained by using traditional organic solvents, regardless of the DES used; the monoesters of astaxanthin with C18-fatty acids were the main compounds found in all the carotenoid extracts. The thymol:oleic acid DES (TAO) could preserve astaxanthin content after prolonged oxidative stress (40% of the astaxanthin initially extracted was still present after 13.5 h of light exposure), thanks to the superior antioxidant properties of thymol. The capacity of improving astaxanthin stability combined with the intrinsic safety and edibility of the DES components makes the formulation astaxanthin-TAO appealing for the food ingredients/additives industry.","author":[{"dropping-particle":"","family":"Pitacco","given":"Walter","non-dropping-particle":"","parse-names":false,"suffix":""},{"dropping-particle":"","family":"Samorì","given":"Chiara","non-dropping-particle":"","parse-names":false,"suffix":""},{"dropping-particle":"","family":"Pezzolesi","given":"Laura","non-dropping-particle":"","parse-names":false,"suffix":""},{"dropping-particle":"","family":"Gori","given":"Virginia","non-dropping-particle":"","parse-names":false,"suffix":""},{"dropping-particle":"","family":"Grillo","given":"Antonio","non-dropping-particle":"","parse-names":false,"suffix":""},{"dropping-particle":"","family":"Tiecco","given":"Matteo","non-dropping-particle":"","parse-names":false,"suffix":""},{"dropping-particle":"","family":"Vagnoni","given":"Martina","non-dropping-particle":"","parse-names":false,"suffix":""},{"dropping-particle":"","family":"Galletti","given":"Paola","non-dropping-particle":"","parse-names":false,"suffix":""}],"container-title":"Food Chemistry","id":"ITEM-1","issue":"December 2021","issued":{"date-parts":[["2022"]]},"page":"132156","publisher":"Elsevier Ltd","title":"Extraction of astaxanthin from Haematococcus pluvialis with hydrophobic deep eutectic solvents based on oleic acid","type":"article-journal","volume":"379"},"uris":["http://www.mendeley.com/documents/?uuid=ffee883b-bdbe-4286-a29d-18cf90527c4e","http://www.mendeley.com/documents/?uuid=c140366c-fbe3-4c8a-9727-223df10407fe"]}],"mendeley":{"formattedCitation":"[14]","plainTextFormattedCitation":"[14]","previouslyFormattedCitation":"[14]"},"properties":{"noteIndex":0},"schema":"https://github.com/citation-style-language/schema/raw/master/csl-citation.json"}</w:instrText>
      </w:r>
      <w:r w:rsidR="00E01993" w:rsidRPr="00966B21">
        <w:rPr>
          <w:lang w:val="en-GB"/>
        </w:rPr>
        <w:fldChar w:fldCharType="separate"/>
      </w:r>
      <w:r w:rsidR="00CA7138" w:rsidRPr="00966B21">
        <w:rPr>
          <w:noProof/>
          <w:lang w:val="en-GB"/>
        </w:rPr>
        <w:t>[14]</w:t>
      </w:r>
      <w:r w:rsidR="00E01993" w:rsidRPr="00966B21">
        <w:rPr>
          <w:lang w:val="en-GB"/>
        </w:rPr>
        <w:fldChar w:fldCharType="end"/>
      </w:r>
      <w:r w:rsidRPr="00966B21">
        <w:rPr>
          <w:lang w:val="en-GB"/>
        </w:rPr>
        <w:t>. The β-carotene and lutein contents in extracts were determined using individual calibration curves prepared with the standards (2.5</w:t>
      </w:r>
      <w:r w:rsidR="00B43E37" w:rsidRPr="00966B21">
        <w:rPr>
          <w:lang w:val="en-GB"/>
        </w:rPr>
        <w:t xml:space="preserve"> </w:t>
      </w:r>
      <w:r w:rsidRPr="00966B21">
        <w:rPr>
          <w:lang w:val="en-GB"/>
        </w:rPr>
        <w:t>–</w:t>
      </w:r>
      <w:r w:rsidR="00B43E37" w:rsidRPr="00966B21">
        <w:rPr>
          <w:lang w:val="en-GB"/>
        </w:rPr>
        <w:t xml:space="preserve"> 70 μg/</w:t>
      </w:r>
      <w:r w:rsidRPr="00966B21">
        <w:rPr>
          <w:lang w:val="en-GB"/>
        </w:rPr>
        <w:t xml:space="preserve">mL). Determinations were performed in triplicate and results were expressed in </w:t>
      </w:r>
      <w:r w:rsidR="00F83412" w:rsidRPr="00966B21">
        <w:rPr>
          <w:lang w:val="en-GB"/>
        </w:rPr>
        <w:t>μ</w:t>
      </w:r>
      <w:r w:rsidRPr="00966B21">
        <w:rPr>
          <w:lang w:val="en-GB"/>
        </w:rPr>
        <w:t xml:space="preserve">g/mg dry weight (DW). </w:t>
      </w:r>
    </w:p>
    <w:p w14:paraId="0B4ACAFF" w14:textId="77777777" w:rsidR="00955282" w:rsidRPr="00966B21" w:rsidRDefault="00955282" w:rsidP="002753DB">
      <w:pPr>
        <w:pStyle w:val="NormaleWeb"/>
        <w:spacing w:before="0" w:beforeAutospacing="0" w:after="0" w:afterAutospacing="0"/>
        <w:jc w:val="both"/>
        <w:rPr>
          <w:lang w:val="en-GB"/>
        </w:rPr>
      </w:pPr>
    </w:p>
    <w:p w14:paraId="4F5A448B" w14:textId="77777777" w:rsidR="00F0362C" w:rsidRPr="00966B21" w:rsidRDefault="00F0362C" w:rsidP="002753DB">
      <w:pPr>
        <w:pStyle w:val="NormaleWeb"/>
        <w:spacing w:before="0" w:beforeAutospacing="0" w:after="0" w:afterAutospacing="0"/>
        <w:jc w:val="both"/>
        <w:rPr>
          <w:lang w:val="en-GB"/>
        </w:rPr>
      </w:pPr>
      <w:r w:rsidRPr="00966B21">
        <w:rPr>
          <w:lang w:val="en-GB"/>
        </w:rPr>
        <w:t>2.7 Light s</w:t>
      </w:r>
      <w:r w:rsidR="003B55B0" w:rsidRPr="00966B21">
        <w:rPr>
          <w:lang w:val="en-GB"/>
        </w:rPr>
        <w:t>tability assay</w:t>
      </w:r>
    </w:p>
    <w:p w14:paraId="55047345" w14:textId="77777777" w:rsidR="00955282" w:rsidRPr="00966B21" w:rsidRDefault="00955282" w:rsidP="002753DB">
      <w:pPr>
        <w:pStyle w:val="NormaleWeb"/>
        <w:spacing w:before="0" w:beforeAutospacing="0" w:after="0" w:afterAutospacing="0"/>
        <w:jc w:val="both"/>
        <w:rPr>
          <w:lang w:val="en-GB"/>
        </w:rPr>
      </w:pPr>
    </w:p>
    <w:p w14:paraId="26C6F1B0" w14:textId="659584FE" w:rsidR="003B55B0" w:rsidRPr="00966B21" w:rsidRDefault="00F0362C" w:rsidP="002753DB">
      <w:pPr>
        <w:pStyle w:val="NormaleWeb"/>
        <w:spacing w:before="0" w:beforeAutospacing="0" w:after="0" w:afterAutospacing="0"/>
        <w:jc w:val="both"/>
        <w:rPr>
          <w:lang w:val="en-GB"/>
        </w:rPr>
      </w:pPr>
      <w:r w:rsidRPr="00966B21">
        <w:rPr>
          <w:lang w:val="en-GB"/>
        </w:rPr>
        <w:t>Extracts were exposed to light radiation under controlled conditions empl</w:t>
      </w:r>
      <w:r w:rsidR="00ED0648" w:rsidRPr="00966B21">
        <w:rPr>
          <w:lang w:val="en-GB"/>
        </w:rPr>
        <w:t>oying sun</w:t>
      </w:r>
      <w:r w:rsidR="00F258BD" w:rsidRPr="00966B21">
        <w:rPr>
          <w:lang w:val="en-GB"/>
        </w:rPr>
        <w:t>-</w:t>
      </w:r>
      <w:r w:rsidR="00ED0648" w:rsidRPr="00966B21">
        <w:rPr>
          <w:lang w:val="en-GB"/>
        </w:rPr>
        <w:t xml:space="preserve"> simulating OSRAM Ultra-Vitalux</w:t>
      </w:r>
      <w:r w:rsidRPr="00966B21">
        <w:rPr>
          <w:lang w:val="en-GB"/>
        </w:rPr>
        <w:t xml:space="preserve"> 300 W UV-A lamp (220–230 μE m</w:t>
      </w:r>
      <w:r w:rsidRPr="00966B21">
        <w:rPr>
          <w:vertAlign w:val="superscript"/>
          <w:lang w:val="en-GB"/>
        </w:rPr>
        <w:t>-2</w:t>
      </w:r>
      <w:r w:rsidRPr="00966B21">
        <w:rPr>
          <w:lang w:val="en-GB"/>
        </w:rPr>
        <w:t xml:space="preserve"> s</w:t>
      </w:r>
      <w:r w:rsidRPr="00966B21">
        <w:rPr>
          <w:vertAlign w:val="superscript"/>
          <w:lang w:val="en-GB"/>
        </w:rPr>
        <w:t>-1</w:t>
      </w:r>
      <w:r w:rsidRPr="00966B21">
        <w:rPr>
          <w:lang w:val="en-GB"/>
        </w:rPr>
        <w:t>, OSRAM spa, Milan, Italy)</w:t>
      </w:r>
      <w:r w:rsidR="00E01993" w:rsidRPr="00966B21">
        <w:rPr>
          <w:lang w:val="en-GB"/>
        </w:rPr>
        <w:fldChar w:fldCharType="begin" w:fldLock="1"/>
      </w:r>
      <w:r w:rsidR="00CD7D53" w:rsidRPr="00966B21">
        <w:rPr>
          <w:lang w:val="en-GB"/>
        </w:rPr>
        <w:instrText>ADDIN CSL_CITATION {"citationItems":[{"id":"ITEM-1","itemData":{"DOI":"10.1016/j.foodchem.2022.132156","ISSN":"18737072","PMID":"35065488","abstract":"Three novel hydrophobic deep eutectic solvents (DESs) based on oleic acid and terpenes (thymol, DL-menthol, and geraniol) were prepared, characterized, and used to extract astaxanthin from the microalga Haematococcus pluvialis without any pre-treatment of the cells. The three DES were composed of Generally Recognized As Safe (GRAS) and edible ingredients. All the tested DESs gave astaxanthin recovery values of about 60 and 30% in 6 h if applied on freeze-dried biomass or directly on algae culture, respectively. The carotenoid profile was qualitatively identical to what was obtained by using traditional organic solvents, regardless of the DES used; the monoesters of astaxanthin with C18-fatty acids were the main compounds found in all the carotenoid extracts. The thymol:oleic acid DES (TAO) could preserve astaxanthin content after prolonged oxidative stress (40% of the astaxanthin initially extracted was still present after 13.5 h of light exposure), thanks to the superior antioxidant properties of thymol. The capacity of improving astaxanthin stability combined with the intrinsic safety and edibility of the DES components makes the formulation astaxanthin-TAO appealing for the food ingredients/additives industry.","author":[{"dropping-particle":"","family":"Pitacco","given":"Walter","non-dropping-particle":"","parse-names":false,"suffix":""},{"dropping-particle":"","family":"Samorì","given":"Chiara","non-dropping-particle":"","parse-names":false,"suffix":""},{"dropping-particle":"","family":"Pezzolesi","given":"Laura","non-dropping-particle":"","parse-names":false,"suffix":""},{"dropping-particle":"","family":"Gori","given":"Virginia","non-dropping-particle":"","parse-names":false,"suffix":""},{"dropping-particle":"","family":"Grillo","given":"Antonio","non-dropping-particle":"","parse-names":false,"suffix":""},{"dropping-particle":"","family":"Tiecco","given":"Matteo","non-dropping-particle":"","parse-names":false,"suffix":""},{"dropping-particle":"","family":"Vagnoni","given":"Martina","non-dropping-particle":"","parse-names":false,"suffix":""},{"dropping-particle":"","family":"Galletti","given":"Paola","non-dropping-particle":"","parse-names":false,"suffix":""}],"container-title":"Food Chemistry","id":"ITEM-1","issue":"December 2021","issued":{"date-parts":[["2022"]]},"page":"132156","publisher":"Elsevier Ltd","title":"Extraction of astaxanthin from Haematococcus pluvialis with hydrophobic deep eutectic solvents based on oleic acid","type":"article-journal","volume":"379"},"uris":["http://www.mendeley.com/documents/?uuid=ffee883b-bdbe-4286-a29d-18cf90527c4e","http://www.mendeley.com/documents/?uuid=c140366c-fbe3-4c8a-9727-223df10407fe"]}],"mendeley":{"formattedCitation":"[14]","plainTextFormattedCitation":"[14]","previouslyFormattedCitation":"[14]"},"properties":{"noteIndex":0},"schema":"https://github.com/citation-style-language/schema/raw/master/csl-citation.json"}</w:instrText>
      </w:r>
      <w:r w:rsidR="00E01993" w:rsidRPr="00966B21">
        <w:rPr>
          <w:lang w:val="en-GB"/>
        </w:rPr>
        <w:fldChar w:fldCharType="separate"/>
      </w:r>
      <w:r w:rsidR="00CA7138" w:rsidRPr="00966B21">
        <w:rPr>
          <w:noProof/>
          <w:lang w:val="en-GB"/>
        </w:rPr>
        <w:t>[14]</w:t>
      </w:r>
      <w:r w:rsidR="00E01993" w:rsidRPr="00966B21">
        <w:rPr>
          <w:lang w:val="en-GB"/>
        </w:rPr>
        <w:fldChar w:fldCharType="end"/>
      </w:r>
      <w:r w:rsidRPr="00966B21">
        <w:rPr>
          <w:lang w:val="en-GB"/>
        </w:rPr>
        <w:t xml:space="preserve">. Aliquots were withdrawn at specific time frames (30, 0, 120, 240 and 480 min), diluted in hexane and </w:t>
      </w:r>
      <w:r w:rsidR="00292CE9" w:rsidRPr="00966B21">
        <w:rPr>
          <w:lang w:val="en-GB"/>
        </w:rPr>
        <w:t>analysed</w:t>
      </w:r>
      <w:r w:rsidRPr="00966B21">
        <w:rPr>
          <w:lang w:val="en-GB"/>
        </w:rPr>
        <w:t xml:space="preserve"> by </w:t>
      </w:r>
      <w:r w:rsidR="00292CE9" w:rsidRPr="00966B21">
        <w:rPr>
          <w:lang w:val="en-GB"/>
        </w:rPr>
        <w:t>spectrophotometer</w:t>
      </w:r>
      <w:r w:rsidR="005A1D93" w:rsidRPr="00966B21">
        <w:rPr>
          <w:lang w:val="en-GB"/>
        </w:rPr>
        <w:t xml:space="preserve"> at 45</w:t>
      </w:r>
      <w:r w:rsidRPr="00966B21">
        <w:rPr>
          <w:lang w:val="en-GB"/>
        </w:rPr>
        <w:t xml:space="preserve">0 nm, as described above to determine the total carotenoid content. The carotenoid stability was expressed as the percentage of </w:t>
      </w:r>
      <w:r w:rsidR="00F258BD" w:rsidRPr="00966B21">
        <w:rPr>
          <w:lang w:val="en-GB"/>
        </w:rPr>
        <w:t xml:space="preserve">the </w:t>
      </w:r>
      <w:r w:rsidRPr="00966B21">
        <w:rPr>
          <w:lang w:val="en-GB"/>
        </w:rPr>
        <w:t xml:space="preserve">β-carotene amount at </w:t>
      </w:r>
      <w:r w:rsidR="00F258BD" w:rsidRPr="00966B21">
        <w:rPr>
          <w:lang w:val="en-GB"/>
        </w:rPr>
        <w:t xml:space="preserve">the </w:t>
      </w:r>
      <w:r w:rsidRPr="00966B21">
        <w:rPr>
          <w:lang w:val="en-GB"/>
        </w:rPr>
        <w:t>specific time compared to the β-carotene content at</w:t>
      </w:r>
      <w:r w:rsidR="00F258BD" w:rsidRPr="00966B21">
        <w:rPr>
          <w:lang w:val="en-GB"/>
        </w:rPr>
        <w:t xml:space="preserve"> the</w:t>
      </w:r>
      <w:r w:rsidRPr="00966B21">
        <w:rPr>
          <w:lang w:val="en-GB"/>
        </w:rPr>
        <w:t xml:space="preserve"> </w:t>
      </w:r>
      <w:r w:rsidR="0033533C" w:rsidRPr="00966B21">
        <w:rPr>
          <w:lang w:val="en-GB"/>
        </w:rPr>
        <w:t>initial time</w:t>
      </w:r>
      <w:r w:rsidRPr="00966B21">
        <w:rPr>
          <w:lang w:val="en-GB"/>
        </w:rPr>
        <w:t>.</w:t>
      </w:r>
    </w:p>
    <w:p w14:paraId="3932BBB0" w14:textId="77777777" w:rsidR="00955282" w:rsidRPr="00966B21" w:rsidRDefault="00955282" w:rsidP="002753DB">
      <w:pPr>
        <w:pStyle w:val="NormaleWeb"/>
        <w:spacing w:before="0" w:beforeAutospacing="0" w:after="0" w:afterAutospacing="0"/>
        <w:jc w:val="both"/>
        <w:rPr>
          <w:lang w:val="en-GB"/>
        </w:rPr>
      </w:pPr>
    </w:p>
    <w:p w14:paraId="6A57251A" w14:textId="77777777" w:rsidR="00F0362C" w:rsidRPr="00966B21" w:rsidRDefault="00F0362C" w:rsidP="002753DB">
      <w:pPr>
        <w:pStyle w:val="NormaleWeb"/>
        <w:spacing w:before="0" w:beforeAutospacing="0" w:after="0" w:afterAutospacing="0"/>
        <w:jc w:val="both"/>
        <w:rPr>
          <w:lang w:val="en-GB"/>
        </w:rPr>
      </w:pPr>
      <w:r w:rsidRPr="00966B21">
        <w:rPr>
          <w:lang w:val="en-GB"/>
        </w:rPr>
        <w:t>2.8 Thermal stability assay</w:t>
      </w:r>
    </w:p>
    <w:p w14:paraId="2C37524E" w14:textId="77777777" w:rsidR="00955282" w:rsidRPr="00966B21" w:rsidRDefault="00955282" w:rsidP="002753DB">
      <w:pPr>
        <w:pStyle w:val="NormaleWeb"/>
        <w:spacing w:before="0" w:beforeAutospacing="0" w:after="0" w:afterAutospacing="0"/>
        <w:jc w:val="both"/>
        <w:rPr>
          <w:lang w:val="en-GB"/>
        </w:rPr>
      </w:pPr>
    </w:p>
    <w:p w14:paraId="615D377A" w14:textId="77777777" w:rsidR="00DD18C6" w:rsidRPr="00966B21" w:rsidRDefault="008C6912" w:rsidP="002753DB">
      <w:pPr>
        <w:pStyle w:val="NormaleWeb"/>
        <w:spacing w:before="0" w:beforeAutospacing="0" w:after="0" w:afterAutospacing="0"/>
        <w:jc w:val="both"/>
        <w:rPr>
          <w:lang w:val="en-GB"/>
        </w:rPr>
      </w:pPr>
      <w:r w:rsidRPr="00966B21">
        <w:rPr>
          <w:lang w:val="en-GB"/>
        </w:rPr>
        <w:t>Extracts were incubated at 7</w:t>
      </w:r>
      <w:r w:rsidR="002E0914" w:rsidRPr="00966B21">
        <w:rPr>
          <w:lang w:val="en-GB"/>
        </w:rPr>
        <w:t>5</w:t>
      </w:r>
      <w:r w:rsidR="00DD18C6" w:rsidRPr="00966B21">
        <w:rPr>
          <w:lang w:val="en-GB"/>
        </w:rPr>
        <w:t xml:space="preserve"> ± 1 °C under controlled conditions (closed vials for HES extracts and reflux for CONV). Aliquots were withdrawn at specific time frames (30, </w:t>
      </w:r>
      <w:r w:rsidR="00292CE9" w:rsidRPr="00966B21">
        <w:rPr>
          <w:lang w:val="en-GB"/>
        </w:rPr>
        <w:t>60,</w:t>
      </w:r>
      <w:r w:rsidR="00DD18C6" w:rsidRPr="00966B21">
        <w:rPr>
          <w:lang w:val="en-GB"/>
        </w:rPr>
        <w:t xml:space="preserve"> </w:t>
      </w:r>
      <w:r w:rsidR="00292CE9" w:rsidRPr="00966B21">
        <w:rPr>
          <w:lang w:val="en-GB"/>
        </w:rPr>
        <w:t>120,</w:t>
      </w:r>
      <w:r w:rsidR="00DD18C6" w:rsidRPr="00966B21">
        <w:rPr>
          <w:lang w:val="en-GB"/>
        </w:rPr>
        <w:t xml:space="preserve"> 240 and 480 min), diluted in hexane and </w:t>
      </w:r>
      <w:r w:rsidR="00292CE9" w:rsidRPr="00966B21">
        <w:rPr>
          <w:lang w:val="en-GB"/>
        </w:rPr>
        <w:t>analysed</w:t>
      </w:r>
      <w:r w:rsidR="00DD18C6" w:rsidRPr="00966B21">
        <w:rPr>
          <w:lang w:val="en-GB"/>
        </w:rPr>
        <w:t xml:space="preserve"> by spectrophot</w:t>
      </w:r>
      <w:r w:rsidR="00687655" w:rsidRPr="00966B21">
        <w:rPr>
          <w:lang w:val="en-GB"/>
        </w:rPr>
        <w:t>o</w:t>
      </w:r>
      <w:r w:rsidR="00DD18C6" w:rsidRPr="00966B21">
        <w:rPr>
          <w:lang w:val="en-GB"/>
        </w:rPr>
        <w:t>meter</w:t>
      </w:r>
      <w:r w:rsidR="005A1D93" w:rsidRPr="00966B21">
        <w:rPr>
          <w:lang w:val="en-GB"/>
        </w:rPr>
        <w:t xml:space="preserve"> at 45</w:t>
      </w:r>
      <w:r w:rsidR="00DD18C6" w:rsidRPr="00966B21">
        <w:rPr>
          <w:lang w:val="en-GB"/>
        </w:rPr>
        <w:t>0 nm</w:t>
      </w:r>
      <w:r w:rsidR="00B43E37" w:rsidRPr="00966B21">
        <w:rPr>
          <w:lang w:val="en-GB"/>
        </w:rPr>
        <w:t>, as previously described.</w:t>
      </w:r>
      <w:r w:rsidR="00ED0648" w:rsidRPr="00966B21">
        <w:rPr>
          <w:lang w:val="en-GB"/>
        </w:rPr>
        <w:t xml:space="preserve"> </w:t>
      </w:r>
      <w:r w:rsidR="00B43E37" w:rsidRPr="00966B21">
        <w:rPr>
          <w:lang w:val="en-GB"/>
        </w:rPr>
        <w:t>C</w:t>
      </w:r>
      <w:r w:rsidR="00DD18C6" w:rsidRPr="00966B21">
        <w:rPr>
          <w:lang w:val="en-GB"/>
        </w:rPr>
        <w:t>arotenoid stability was expressed as the percentage of β-carotene compared to initial values.</w:t>
      </w:r>
    </w:p>
    <w:p w14:paraId="5026258D" w14:textId="77777777" w:rsidR="00955282" w:rsidRPr="00966B21" w:rsidRDefault="00955282" w:rsidP="002753DB">
      <w:pPr>
        <w:pStyle w:val="NormaleWeb"/>
        <w:spacing w:before="0" w:beforeAutospacing="0" w:after="0" w:afterAutospacing="0"/>
        <w:jc w:val="both"/>
        <w:rPr>
          <w:lang w:val="en-GB"/>
        </w:rPr>
      </w:pPr>
    </w:p>
    <w:p w14:paraId="627B7115" w14:textId="77777777" w:rsidR="00DD18C6" w:rsidRPr="00966B21" w:rsidRDefault="00DD18C6" w:rsidP="002753DB">
      <w:pPr>
        <w:pStyle w:val="NormaleWeb"/>
        <w:spacing w:before="0" w:beforeAutospacing="0" w:after="0" w:afterAutospacing="0"/>
        <w:jc w:val="both"/>
        <w:rPr>
          <w:lang w:val="en-GB"/>
        </w:rPr>
      </w:pPr>
      <w:r w:rsidRPr="00966B21">
        <w:rPr>
          <w:lang w:val="en-GB"/>
        </w:rPr>
        <w:t>2.9 Optimization of extraction using HES</w:t>
      </w:r>
    </w:p>
    <w:p w14:paraId="34AE0AD2" w14:textId="77777777" w:rsidR="00955282" w:rsidRPr="00966B21" w:rsidRDefault="00955282" w:rsidP="002753DB">
      <w:pPr>
        <w:pStyle w:val="NormaleWeb"/>
        <w:spacing w:before="0" w:beforeAutospacing="0" w:after="0" w:afterAutospacing="0"/>
        <w:jc w:val="both"/>
        <w:rPr>
          <w:lang w:val="en-GB"/>
        </w:rPr>
      </w:pPr>
    </w:p>
    <w:p w14:paraId="7264EB8D" w14:textId="5AC82DEA" w:rsidR="00F258BD" w:rsidRPr="00966B21" w:rsidRDefault="00F258BD" w:rsidP="00F258BD">
      <w:pPr>
        <w:pStyle w:val="NormaleWeb"/>
        <w:spacing w:before="0" w:beforeAutospacing="0" w:after="0" w:afterAutospacing="0"/>
        <w:jc w:val="both"/>
        <w:rPr>
          <w:lang w:val="en-GB"/>
        </w:rPr>
      </w:pPr>
      <w:r w:rsidRPr="00966B21">
        <w:rPr>
          <w:lang w:val="en-GB"/>
        </w:rPr>
        <w:t>Optimization of carotenoid extraction from MCP using a thymol-menthol (TM) solvent was carried out using response surface methodology (RSM). A Box-Behnken design consisting of 17 experimental runs including five replicates at the central point was employed. The design variables were</w:t>
      </w:r>
      <w:r w:rsidR="00F72368" w:rsidRPr="00966B21">
        <w:rPr>
          <w:lang w:val="en-GB"/>
        </w:rPr>
        <w:t>:</w:t>
      </w:r>
      <w:r w:rsidRPr="00966B21">
        <w:rPr>
          <w:lang w:val="en-GB"/>
        </w:rPr>
        <w:t xml:space="preserve"> </w:t>
      </w:r>
      <w:r w:rsidR="0056520F" w:rsidRPr="00966B21">
        <w:rPr>
          <w:lang w:val="en-GB"/>
        </w:rPr>
        <w:t>biomass : solvent ratio</w:t>
      </w:r>
      <w:r w:rsidRPr="00966B21">
        <w:rPr>
          <w:lang w:val="en-GB"/>
        </w:rPr>
        <w:t>, extraction time and temperature while the response variable was the total carotenoid content. The levels of the design variables were 4 to 20 for biomass</w:t>
      </w:r>
      <w:r w:rsidR="00B70C07" w:rsidRPr="00966B21">
        <w:rPr>
          <w:lang w:val="en-GB"/>
        </w:rPr>
        <w:t xml:space="preserve"> </w:t>
      </w:r>
      <w:r w:rsidRPr="00966B21">
        <w:rPr>
          <w:lang w:val="en-GB"/>
        </w:rPr>
        <w:t>:</w:t>
      </w:r>
      <w:r w:rsidR="00B70C07" w:rsidRPr="00966B21">
        <w:rPr>
          <w:lang w:val="en-GB"/>
        </w:rPr>
        <w:t xml:space="preserve"> </w:t>
      </w:r>
      <w:r w:rsidRPr="00966B21">
        <w:rPr>
          <w:lang w:val="en-GB"/>
        </w:rPr>
        <w:t xml:space="preserve">solvent ratio, 5 to 240 min for extraction time and 25 to 60 °C for extraction temperature. The minimum and maximum levels given to each factor were chosen based on the results of other authors </w:t>
      </w:r>
      <w:r w:rsidRPr="00966B21">
        <w:rPr>
          <w:lang w:val="en-GB"/>
        </w:rPr>
        <w:fldChar w:fldCharType="begin" w:fldLock="1"/>
      </w:r>
      <w:r w:rsidR="00CD7D53" w:rsidRPr="00966B21">
        <w:rPr>
          <w:lang w:val="en-GB"/>
        </w:rPr>
        <w:instrText>ADDIN CSL_CITATION {"citationItems":[{"id":"ITEM-1","itemData":{"DOI":"10.1007/s11694-018-9830-4","ISBN":"0123456789","ISSN":"21934134","abstract":"The agro-industrial processing of mango generates high amounts of by-products, like peels and paste, that are commonly discarded. These are potential sources of bioactive ingredients, such as phenolic compounds and carotenoids, that can be used to supplement other edible products to increase their nutritional value. In order to be successful in this regard, the processing methods used must avoid losses of the compounds of interest. The objective of this study was to identify the effects of freeze-drying (frozen 24 h at − 80 °C, freeze dried 48 h at − 50 °C, 4.00 Pa) and hot air-drying (convective hot air at 60 °C) on the profile and concentration of phenolic compounds and carotenoids, using sensitive chromatographic analyses. Our data showed that the total phenolic concentration, and that of the most abundant compounds (mangiferin and valoneic acid dilactone), were unaffected by drying method. Conversely, freeze-dried paste had greater carotenoid concentration than peel, while hot air-dried peel had greater carotenoid concentration than paste (main carotenoids: all-trans-β-carotene, 9-cis-β-carotene, all-trans-lutein, and 13-cis-β-cryptoxanthin). We concluded that carotenoids from mango peel and paste were more sensitive to drying method than phenolic compounds, and the effects on each by-product were in function of the food matrix and method used. By choosing the most adequate drying method, mango by-products can be sources of bioactive compounds to produce functional foods or beverages.","author":[{"dropping-particle":"","family":"Ancos","given":"Begoña","non-dropping-particle":"de","parse-names":false,"suffix":""},{"dropping-particle":"","family":"Sánchez-Moreno","given":"Concepción","non-dropping-particle":"","parse-names":false,"suffix":""},{"dropping-particle":"","family":"Zacarías","given":"Lorenzo","non-dropping-particle":"","parse-names":false,"suffix":""},{"dropping-particle":"","family":"Rodrigo","given":"María Jesús","non-dropping-particle":"","parse-names":false,"suffix":""},{"dropping-particle":"","family":"Sáyago Ayerdí","given":"Sonia","non-dropping-particle":"","parse-names":false,"suffix":""},{"dropping-particle":"","family":"Blancas Benítez","given":"Francisco J.","non-dropping-particle":"","parse-names":false,"suffix":""},{"dropping-particle":"","family":"Domínguez Avila","given":"J. Abraham","non-dropping-particle":"","parse-names":false,"suffix":""},{"dropping-particle":"","family":"González-Aguilar","given":"Gustavo A.","non-dropping-particle":"","parse-names":false,"suffix":""}],"container-title":"Journal of Food Measurement and Characterization","id":"ITEM-1","issue":"3","issued":{"date-parts":[["2018"]]},"page":"2145-2157","publisher":"Springer US","title":"Effects of two different drying methods (freeze-drying and hot air-drying) on the phenolic and carotenoid profile of ‘Ataulfo’ mango by-products","type":"article-journal","volume":"12"},"uris":["http://www.mendeley.com/documents/?uuid=2ca2f9a1-ab9c-47c0-b81f-855146f44770"]},{"id":"ITEM-2","itemData":{"DOI":"10.1016/j.lwt.2019.01.044","ISSN":"00236438","abstract":"Mango, king of all fruits, is a good source of carotenoids. The present investigation was aimed at extraction of carotenoids from mango pulp using bio-refinery concept. Three green solvents, namely groundnut, sunflower and flaxseed oil were used. The carotenoids were extracted for different time intervals in different green solvents at different pulp to vegetable oil ratio using magnetic stirring (MS), ultrasonication (US), microwave (MW) and high shear dispersion (HSD) techniques. Out of 540 samples (3 × 180) analyzed, one combination was selected on the basis of highest total carotenoid content (TCC) using split plot design of statistical analysis. Maximum extraction was possible in flaxseed oil by using HSD technique. The selected combination was compared with corresponding vegetable oil (used as a control) for TCC, antioxidant activity (ABTS, μg Trolox eq./ml; DPPH, μg Trolox eq./ml and FRAP, μM Trolox eq./ml), tocopherol content and colour value (L, a, b) and showed a respective increase of 158.8-6, 123.72, 33.37, 11.95, 15.15% and 12.77, 5.57, 21.51 units. The increase in carotenoid content was further confirmed by Attenuated Total Reflectance-Fourier Transform Infra-Red spectroscopy (ATR-FTIR). The carotenoid-rich extract can be applied in food formulations for preparation of functional foods.","author":[{"dropping-particle":"","family":"Baria","given":"Bhavesh","non-dropping-particle":"","parse-names":false,"suffix":""},{"dropping-particle":"","family":"Upadhyay","given":"Neelam","non-dropping-particle":"","parse-names":false,"suffix":""},{"dropping-particle":"","family":"Singh","given":"Ashish Kumar","non-dropping-particle":"","parse-names":false,"suffix":""},{"dropping-particle":"","family":"Malhotra","given":"Ravinder Kumar","non-dropping-particle":"","parse-names":false,"suffix":""}],"container-title":"Lwt","id":"ITEM-2","issue":"January","issued":{"date-parts":[["2019"]]},"page":"186-194","publisher":"Elsevier","title":"Optimization of ‘green’ extraction of carotenoids from mango pulp using split plot design and its characterization","type":"article-journal","volume":"104"},"uris":["http://www.mendeley.com/documents/?uuid=640049e4-56a4-4cb8-8c57-2f7757ef2410","http://www.mendeley.com/documents/?uuid=613830f8-f63b-4387-92bd-bdd8ac6f0ce9"]}],"mendeley":{"formattedCitation":"[6,31]","plainTextFormattedCitation":"[6,31]","previouslyFormattedCitation":"[7,30]"},"properties":{"noteIndex":0},"schema":"https://github.com/citation-style-language/schema/raw/master/csl-citation.json"}</w:instrText>
      </w:r>
      <w:r w:rsidRPr="00966B21">
        <w:rPr>
          <w:lang w:val="en-GB"/>
        </w:rPr>
        <w:fldChar w:fldCharType="separate"/>
      </w:r>
      <w:r w:rsidR="00CD7D53" w:rsidRPr="00966B21">
        <w:rPr>
          <w:noProof/>
          <w:lang w:val="en-GB"/>
        </w:rPr>
        <w:t>[6,31]</w:t>
      </w:r>
      <w:r w:rsidRPr="00966B21">
        <w:rPr>
          <w:lang w:val="en-GB"/>
        </w:rPr>
        <w:fldChar w:fldCharType="end"/>
      </w:r>
      <w:r w:rsidRPr="00966B21">
        <w:rPr>
          <w:lang w:val="en-GB"/>
        </w:rPr>
        <w:t>. In all experiments, the lyophilized samples were placed in closed vials and the extraction procedure was conducted in the dark.</w:t>
      </w:r>
    </w:p>
    <w:p w14:paraId="75AA557B" w14:textId="77777777" w:rsidR="009456F6" w:rsidRPr="00966B21" w:rsidRDefault="009456F6" w:rsidP="002753DB">
      <w:pPr>
        <w:pStyle w:val="NormaleWeb"/>
        <w:spacing w:before="0" w:beforeAutospacing="0" w:after="0" w:afterAutospacing="0"/>
        <w:jc w:val="both"/>
        <w:rPr>
          <w:lang w:val="en-GB"/>
        </w:rPr>
      </w:pPr>
      <w:r w:rsidRPr="00966B21">
        <w:rPr>
          <w:lang w:val="en-GB"/>
        </w:rPr>
        <w:lastRenderedPageBreak/>
        <w:t xml:space="preserve">2.10 Data analysis </w:t>
      </w:r>
    </w:p>
    <w:p w14:paraId="229E428D" w14:textId="77777777" w:rsidR="00955282" w:rsidRPr="00966B21" w:rsidRDefault="00955282" w:rsidP="002753DB">
      <w:pPr>
        <w:pStyle w:val="NormaleWeb"/>
        <w:spacing w:before="0" w:beforeAutospacing="0" w:after="0" w:afterAutospacing="0"/>
        <w:jc w:val="both"/>
        <w:rPr>
          <w:lang w:val="en-GB"/>
        </w:rPr>
      </w:pPr>
    </w:p>
    <w:p w14:paraId="2C6BE03C" w14:textId="3F3270FD" w:rsidR="00ED0648" w:rsidRPr="00966B21" w:rsidRDefault="003B72BF" w:rsidP="002753DB">
      <w:pPr>
        <w:pStyle w:val="NormaleWeb"/>
        <w:spacing w:before="0" w:beforeAutospacing="0" w:after="0" w:afterAutospacing="0"/>
        <w:jc w:val="both"/>
        <w:rPr>
          <w:lang w:val="en-GB"/>
        </w:rPr>
      </w:pPr>
      <w:r w:rsidRPr="00966B21">
        <w:rPr>
          <w:lang w:val="en-GB"/>
        </w:rPr>
        <w:t xml:space="preserve">The results were statistically </w:t>
      </w:r>
      <w:r w:rsidR="00B934E2" w:rsidRPr="00966B21">
        <w:rPr>
          <w:lang w:val="en-GB"/>
        </w:rPr>
        <w:t>analysed</w:t>
      </w:r>
      <w:r w:rsidRPr="00966B21">
        <w:rPr>
          <w:lang w:val="en-GB"/>
        </w:rPr>
        <w:t xml:space="preserve"> using analysis of variance (ANOVA) (α = 0.05). The differences among means were tested for statistical significance using a multiple-range least significant difference (LSD) test with Info-Stat Statistical Software 2015 (Córdoba, Argentina). For </w:t>
      </w:r>
      <w:r w:rsidR="007F4B71" w:rsidRPr="00966B21">
        <w:rPr>
          <w:lang w:val="en-GB"/>
        </w:rPr>
        <w:t xml:space="preserve">the </w:t>
      </w:r>
      <w:r w:rsidRPr="00966B21">
        <w:rPr>
          <w:lang w:val="en-GB"/>
        </w:rPr>
        <w:t xml:space="preserve">optimization experiment, </w:t>
      </w:r>
      <w:r w:rsidR="009456F6" w:rsidRPr="00966B21">
        <w:rPr>
          <w:lang w:val="en-GB"/>
        </w:rPr>
        <w:t xml:space="preserve">data were fitted to second-order polynomial models using Design Expert (version 11.0) software and regression coefficients were obtained for </w:t>
      </w:r>
      <w:r w:rsidR="001039D7" w:rsidRPr="00966B21">
        <w:rPr>
          <w:lang w:val="en-GB"/>
        </w:rPr>
        <w:t xml:space="preserve">the </w:t>
      </w:r>
      <w:r w:rsidR="009456F6" w:rsidRPr="00966B21">
        <w:rPr>
          <w:lang w:val="en-GB"/>
        </w:rPr>
        <w:t>response variable. The generalized second-order polynomial model used in the response surface analysis was as follows:</w:t>
      </w:r>
    </w:p>
    <w:p w14:paraId="41861C70" w14:textId="77777777" w:rsidR="0045670F" w:rsidRPr="00966B21" w:rsidRDefault="0045670F" w:rsidP="002753DB">
      <w:pPr>
        <w:pStyle w:val="NormaleWeb"/>
        <w:spacing w:before="0" w:beforeAutospacing="0" w:after="0" w:afterAutospacing="0"/>
        <w:jc w:val="both"/>
        <w:rPr>
          <w:lang w:val="en-GB"/>
        </w:rPr>
      </w:pPr>
    </w:p>
    <w:p w14:paraId="50FDC8D5" w14:textId="77777777" w:rsidR="00ED0648" w:rsidRPr="00966B21" w:rsidRDefault="00ED0648" w:rsidP="002753DB">
      <w:pPr>
        <w:pStyle w:val="NormaleWeb"/>
        <w:spacing w:before="0" w:beforeAutospacing="0" w:after="0" w:afterAutospacing="0"/>
        <w:jc w:val="both"/>
        <w:rPr>
          <w:rFonts w:cstheme="minorHAnsi"/>
          <w:color w:val="000000" w:themeColor="text1"/>
          <w:lang w:val="en-GB"/>
        </w:rPr>
      </w:pPr>
      <m:oMath>
        <m:r>
          <w:rPr>
            <w:rFonts w:ascii="Cambria Math" w:hAnsi="Cambria Math" w:cstheme="minorHAnsi"/>
            <w:color w:val="000000" w:themeColor="text1"/>
            <w:lang w:val="en-GB"/>
          </w:rPr>
          <m:t>y</m:t>
        </m:r>
        <m:r>
          <w:rPr>
            <w:rFonts w:ascii="Cambria Math" w:cstheme="minorHAnsi"/>
            <w:color w:val="000000" w:themeColor="text1"/>
            <w:lang w:val="en-GB"/>
          </w:rPr>
          <m:t>=</m:t>
        </m:r>
        <m:sSub>
          <m:sSubPr>
            <m:ctrlPr>
              <w:rPr>
                <w:rFonts w:ascii="Cambria Math" w:hAnsi="Cambria Math" w:cstheme="minorHAnsi"/>
                <w:i/>
                <w:color w:val="000000" w:themeColor="text1"/>
                <w:lang w:val="en-GB"/>
              </w:rPr>
            </m:ctrlPr>
          </m:sSubPr>
          <m:e>
            <m:r>
              <w:rPr>
                <w:rFonts w:ascii="Cambria Math" w:hAnsi="Cambria Math" w:cstheme="minorHAnsi"/>
                <w:color w:val="000000" w:themeColor="text1"/>
                <w:lang w:val="en-GB"/>
              </w:rPr>
              <m:t>β</m:t>
            </m:r>
          </m:e>
          <m:sub>
            <m:r>
              <w:rPr>
                <w:rFonts w:ascii="Cambria Math" w:cstheme="minorHAnsi"/>
                <w:color w:val="000000" w:themeColor="text1"/>
                <w:lang w:val="en-GB"/>
              </w:rPr>
              <m:t>0</m:t>
            </m:r>
          </m:sub>
        </m:sSub>
        <m:r>
          <w:rPr>
            <w:rFonts w:ascii="Cambria Math" w:cstheme="minorHAnsi"/>
            <w:color w:val="000000" w:themeColor="text1"/>
            <w:lang w:val="en-GB"/>
          </w:rPr>
          <m:t xml:space="preserve">+ </m:t>
        </m:r>
        <m:nary>
          <m:naryPr>
            <m:chr m:val="∑"/>
            <m:limLoc m:val="undOvr"/>
            <m:ctrlPr>
              <w:rPr>
                <w:rFonts w:ascii="Cambria Math" w:hAnsi="Cambria Math" w:cstheme="minorHAnsi"/>
                <w:i/>
                <w:color w:val="000000" w:themeColor="text1"/>
                <w:lang w:val="en-GB"/>
              </w:rPr>
            </m:ctrlPr>
          </m:naryPr>
          <m:sub>
            <m:r>
              <w:rPr>
                <w:rFonts w:ascii="Cambria Math" w:hAnsi="Cambria Math" w:cstheme="minorHAnsi"/>
                <w:color w:val="000000" w:themeColor="text1"/>
                <w:lang w:val="en-GB"/>
              </w:rPr>
              <m:t>i</m:t>
            </m:r>
            <m:r>
              <w:rPr>
                <w:rFonts w:ascii="Cambria Math" w:cstheme="minorHAnsi"/>
                <w:color w:val="000000" w:themeColor="text1"/>
                <w:lang w:val="en-GB"/>
              </w:rPr>
              <m:t>=1</m:t>
            </m:r>
          </m:sub>
          <m:sup>
            <m:r>
              <w:rPr>
                <w:rFonts w:ascii="Cambria Math" w:cstheme="minorHAnsi"/>
                <w:color w:val="000000" w:themeColor="text1"/>
                <w:lang w:val="en-GB"/>
              </w:rPr>
              <m:t>3</m:t>
            </m:r>
          </m:sup>
          <m:e>
            <m:sSub>
              <m:sSubPr>
                <m:ctrlPr>
                  <w:rPr>
                    <w:rFonts w:ascii="Cambria Math" w:hAnsi="Cambria Math" w:cstheme="minorHAnsi"/>
                    <w:i/>
                    <w:color w:val="000000" w:themeColor="text1"/>
                    <w:lang w:val="en-GB"/>
                  </w:rPr>
                </m:ctrlPr>
              </m:sSubPr>
              <m:e>
                <m:r>
                  <w:rPr>
                    <w:rFonts w:ascii="Cambria Math" w:hAnsi="Cambria Math" w:cstheme="minorHAnsi"/>
                    <w:color w:val="000000" w:themeColor="text1"/>
                    <w:lang w:val="en-GB"/>
                  </w:rPr>
                  <m:t>β</m:t>
                </m:r>
              </m:e>
              <m:sub>
                <m:r>
                  <w:rPr>
                    <w:rFonts w:ascii="Cambria Math" w:hAnsi="Cambria Math" w:cstheme="minorHAnsi"/>
                    <w:color w:val="000000" w:themeColor="text1"/>
                    <w:lang w:val="en-GB"/>
                  </w:rPr>
                  <m:t>i</m:t>
                </m:r>
              </m:sub>
            </m:sSub>
            <m:sSub>
              <m:sSubPr>
                <m:ctrlPr>
                  <w:rPr>
                    <w:rFonts w:ascii="Cambria Math" w:hAnsi="Cambria Math" w:cstheme="minorHAnsi"/>
                    <w:i/>
                    <w:color w:val="000000" w:themeColor="text1"/>
                    <w:lang w:val="en-GB"/>
                  </w:rPr>
                </m:ctrlPr>
              </m:sSubPr>
              <m:e>
                <m:r>
                  <w:rPr>
                    <w:rFonts w:ascii="Cambria Math" w:hAnsi="Cambria Math" w:cstheme="minorHAnsi"/>
                    <w:color w:val="000000" w:themeColor="text1"/>
                    <w:lang w:val="en-GB"/>
                  </w:rPr>
                  <m:t>X</m:t>
                </m:r>
              </m:e>
              <m:sub>
                <m:r>
                  <w:rPr>
                    <w:rFonts w:ascii="Cambria Math" w:hAnsi="Cambria Math" w:cstheme="minorHAnsi"/>
                    <w:color w:val="000000" w:themeColor="text1"/>
                    <w:lang w:val="en-GB"/>
                  </w:rPr>
                  <m:t>i</m:t>
                </m:r>
              </m:sub>
            </m:sSub>
            <m:r>
              <w:rPr>
                <w:rFonts w:ascii="Cambria Math" w:cstheme="minorHAnsi"/>
                <w:color w:val="000000" w:themeColor="text1"/>
                <w:lang w:val="en-GB"/>
              </w:rPr>
              <m:t xml:space="preserve">+ </m:t>
            </m:r>
            <m:nary>
              <m:naryPr>
                <m:chr m:val="∑"/>
                <m:limLoc m:val="undOvr"/>
                <m:ctrlPr>
                  <w:rPr>
                    <w:rFonts w:ascii="Cambria Math" w:hAnsi="Cambria Math" w:cstheme="minorHAnsi"/>
                    <w:i/>
                    <w:color w:val="000000" w:themeColor="text1"/>
                    <w:lang w:val="en-GB"/>
                  </w:rPr>
                </m:ctrlPr>
              </m:naryPr>
              <m:sub>
                <m:r>
                  <w:rPr>
                    <w:rFonts w:ascii="Cambria Math" w:hAnsi="Cambria Math" w:cstheme="minorHAnsi"/>
                    <w:color w:val="000000" w:themeColor="text1"/>
                    <w:lang w:val="en-GB"/>
                  </w:rPr>
                  <m:t>i</m:t>
                </m:r>
                <m:r>
                  <w:rPr>
                    <w:rFonts w:ascii="Cambria Math" w:cstheme="minorHAnsi"/>
                    <w:color w:val="000000" w:themeColor="text1"/>
                    <w:lang w:val="en-GB"/>
                  </w:rPr>
                  <m:t>=1</m:t>
                </m:r>
              </m:sub>
              <m:sup>
                <m:r>
                  <w:rPr>
                    <w:rFonts w:ascii="Cambria Math" w:cstheme="minorHAnsi"/>
                    <w:color w:val="000000" w:themeColor="text1"/>
                    <w:lang w:val="en-GB"/>
                  </w:rPr>
                  <m:t>3</m:t>
                </m:r>
              </m:sup>
              <m:e>
                <m:sSub>
                  <m:sSubPr>
                    <m:ctrlPr>
                      <w:rPr>
                        <w:rFonts w:ascii="Cambria Math" w:hAnsi="Cambria Math" w:cstheme="minorHAnsi"/>
                        <w:i/>
                        <w:color w:val="000000" w:themeColor="text1"/>
                        <w:lang w:val="en-GB"/>
                      </w:rPr>
                    </m:ctrlPr>
                  </m:sSubPr>
                  <m:e>
                    <m:r>
                      <w:rPr>
                        <w:rFonts w:ascii="Cambria Math" w:hAnsi="Cambria Math" w:cstheme="minorHAnsi"/>
                        <w:color w:val="000000" w:themeColor="text1"/>
                        <w:lang w:val="en-GB"/>
                      </w:rPr>
                      <m:t>β</m:t>
                    </m:r>
                  </m:e>
                  <m:sub>
                    <m:r>
                      <w:rPr>
                        <w:rFonts w:ascii="Cambria Math" w:hAnsi="Cambria Math" w:cstheme="minorHAnsi"/>
                        <w:color w:val="000000" w:themeColor="text1"/>
                        <w:lang w:val="en-GB"/>
                      </w:rPr>
                      <m:t>ii</m:t>
                    </m:r>
                  </m:sub>
                </m:sSub>
                <m:sSup>
                  <m:sSupPr>
                    <m:ctrlPr>
                      <w:rPr>
                        <w:rFonts w:ascii="Cambria Math" w:hAnsi="Cambria Math" w:cstheme="minorHAnsi"/>
                        <w:i/>
                        <w:color w:val="000000" w:themeColor="text1"/>
                        <w:lang w:val="en-GB"/>
                      </w:rPr>
                    </m:ctrlPr>
                  </m:sSupPr>
                  <m:e>
                    <m:sSub>
                      <m:sSubPr>
                        <m:ctrlPr>
                          <w:rPr>
                            <w:rFonts w:ascii="Cambria Math" w:hAnsi="Cambria Math" w:cstheme="minorHAnsi"/>
                            <w:i/>
                            <w:color w:val="000000" w:themeColor="text1"/>
                            <w:lang w:val="en-GB"/>
                          </w:rPr>
                        </m:ctrlPr>
                      </m:sSubPr>
                      <m:e>
                        <m:r>
                          <w:rPr>
                            <w:rFonts w:ascii="Cambria Math" w:hAnsi="Cambria Math" w:cstheme="minorHAnsi"/>
                            <w:color w:val="000000" w:themeColor="text1"/>
                            <w:lang w:val="en-GB"/>
                          </w:rPr>
                          <m:t>X</m:t>
                        </m:r>
                      </m:e>
                      <m:sub>
                        <m:r>
                          <w:rPr>
                            <w:rFonts w:ascii="Cambria Math" w:hAnsi="Cambria Math" w:cstheme="minorHAnsi"/>
                            <w:color w:val="000000" w:themeColor="text1"/>
                            <w:lang w:val="en-GB"/>
                          </w:rPr>
                          <m:t>i</m:t>
                        </m:r>
                      </m:sub>
                    </m:sSub>
                  </m:e>
                  <m:sup>
                    <m:r>
                      <w:rPr>
                        <w:rFonts w:ascii="Cambria Math" w:cstheme="minorHAnsi"/>
                        <w:color w:val="000000" w:themeColor="text1"/>
                        <w:lang w:val="en-GB"/>
                      </w:rPr>
                      <m:t>2</m:t>
                    </m:r>
                  </m:sup>
                </m:sSup>
              </m:e>
            </m:nary>
          </m:e>
        </m:nary>
        <m:r>
          <w:rPr>
            <w:rFonts w:ascii="Cambria Math" w:cstheme="minorHAnsi"/>
            <w:color w:val="000000" w:themeColor="text1"/>
            <w:lang w:val="en-GB"/>
          </w:rPr>
          <m:t xml:space="preserve">+ </m:t>
        </m:r>
        <m:nary>
          <m:naryPr>
            <m:chr m:val="∑"/>
            <m:limLoc m:val="undOvr"/>
            <m:subHide m:val="1"/>
            <m:supHide m:val="1"/>
            <m:ctrlPr>
              <w:rPr>
                <w:rFonts w:ascii="Cambria Math" w:hAnsi="Cambria Math" w:cstheme="minorHAnsi"/>
                <w:i/>
                <w:color w:val="000000" w:themeColor="text1"/>
                <w:lang w:val="en-GB"/>
              </w:rPr>
            </m:ctrlPr>
          </m:naryPr>
          <m:sub/>
          <m:sup/>
          <m:e>
            <m:nary>
              <m:naryPr>
                <m:chr m:val="∑"/>
                <m:limLoc m:val="undOvr"/>
                <m:ctrlPr>
                  <w:rPr>
                    <w:rFonts w:ascii="Cambria Math" w:hAnsi="Cambria Math" w:cstheme="minorHAnsi"/>
                    <w:i/>
                    <w:color w:val="000000" w:themeColor="text1"/>
                    <w:lang w:val="en-GB"/>
                  </w:rPr>
                </m:ctrlPr>
              </m:naryPr>
              <m:sub>
                <m:r>
                  <w:rPr>
                    <w:rFonts w:ascii="Cambria Math" w:hAnsi="Cambria Math" w:cstheme="minorHAnsi"/>
                    <w:color w:val="000000" w:themeColor="text1"/>
                    <w:lang w:val="en-GB"/>
                  </w:rPr>
                  <m:t>i</m:t>
                </m:r>
                <m:r>
                  <w:rPr>
                    <w:rFonts w:ascii="Cambria Math" w:cstheme="minorHAnsi"/>
                    <w:color w:val="000000" w:themeColor="text1"/>
                    <w:lang w:val="en-GB"/>
                  </w:rPr>
                  <m:t>&lt;</m:t>
                </m:r>
                <m:r>
                  <w:rPr>
                    <w:rFonts w:ascii="Cambria Math" w:hAnsi="Cambria Math" w:cstheme="minorHAnsi"/>
                    <w:color w:val="000000" w:themeColor="text1"/>
                    <w:lang w:val="en-GB"/>
                  </w:rPr>
                  <m:t>j</m:t>
                </m:r>
                <m:r>
                  <w:rPr>
                    <w:rFonts w:ascii="Cambria Math" w:cstheme="minorHAnsi"/>
                    <w:color w:val="000000" w:themeColor="text1"/>
                    <w:lang w:val="en-GB"/>
                  </w:rPr>
                  <m:t>=1</m:t>
                </m:r>
              </m:sub>
              <m:sup>
                <m:r>
                  <w:rPr>
                    <w:rFonts w:ascii="Cambria Math" w:cstheme="minorHAnsi"/>
                    <w:color w:val="000000" w:themeColor="text1"/>
                    <w:lang w:val="en-GB"/>
                  </w:rPr>
                  <m:t>3</m:t>
                </m:r>
              </m:sup>
              <m:e>
                <m:sSub>
                  <m:sSubPr>
                    <m:ctrlPr>
                      <w:rPr>
                        <w:rFonts w:ascii="Cambria Math" w:hAnsi="Cambria Math" w:cstheme="minorHAnsi"/>
                        <w:i/>
                        <w:color w:val="000000" w:themeColor="text1"/>
                        <w:lang w:val="en-GB"/>
                      </w:rPr>
                    </m:ctrlPr>
                  </m:sSubPr>
                  <m:e>
                    <m:r>
                      <w:rPr>
                        <w:rFonts w:ascii="Cambria Math" w:hAnsi="Cambria Math" w:cstheme="minorHAnsi"/>
                        <w:color w:val="000000" w:themeColor="text1"/>
                        <w:lang w:val="en-GB"/>
                      </w:rPr>
                      <m:t>β</m:t>
                    </m:r>
                  </m:e>
                  <m:sub>
                    <m:r>
                      <w:rPr>
                        <w:rFonts w:ascii="Cambria Math" w:hAnsi="Cambria Math" w:cstheme="minorHAnsi"/>
                        <w:color w:val="000000" w:themeColor="text1"/>
                        <w:lang w:val="en-GB"/>
                      </w:rPr>
                      <m:t>i</m:t>
                    </m:r>
                  </m:sub>
                </m:sSub>
                <m:sSub>
                  <m:sSubPr>
                    <m:ctrlPr>
                      <w:rPr>
                        <w:rFonts w:ascii="Cambria Math" w:hAnsi="Cambria Math" w:cstheme="minorHAnsi"/>
                        <w:i/>
                        <w:color w:val="000000" w:themeColor="text1"/>
                        <w:lang w:val="en-GB"/>
                      </w:rPr>
                    </m:ctrlPr>
                  </m:sSubPr>
                  <m:e>
                    <m:r>
                      <w:rPr>
                        <w:rFonts w:ascii="Cambria Math" w:hAnsi="Cambria Math" w:cstheme="minorHAnsi"/>
                        <w:color w:val="000000" w:themeColor="text1"/>
                        <w:lang w:val="en-GB"/>
                      </w:rPr>
                      <m:t>X</m:t>
                    </m:r>
                  </m:e>
                  <m:sub>
                    <m:r>
                      <w:rPr>
                        <w:rFonts w:ascii="Cambria Math" w:hAnsi="Cambria Math" w:cstheme="minorHAnsi"/>
                        <w:color w:val="000000" w:themeColor="text1"/>
                        <w:lang w:val="en-GB"/>
                      </w:rPr>
                      <m:t>i</m:t>
                    </m:r>
                  </m:sub>
                </m:sSub>
                <m:sSub>
                  <m:sSubPr>
                    <m:ctrlPr>
                      <w:rPr>
                        <w:rFonts w:ascii="Cambria Math" w:hAnsi="Cambria Math" w:cstheme="minorHAnsi"/>
                        <w:i/>
                        <w:color w:val="000000" w:themeColor="text1"/>
                        <w:lang w:val="en-GB"/>
                      </w:rPr>
                    </m:ctrlPr>
                  </m:sSubPr>
                  <m:e>
                    <m:r>
                      <w:rPr>
                        <w:rFonts w:ascii="Cambria Math" w:hAnsi="Cambria Math" w:cstheme="minorHAnsi"/>
                        <w:color w:val="000000" w:themeColor="text1"/>
                        <w:lang w:val="en-GB"/>
                      </w:rPr>
                      <m:t>X</m:t>
                    </m:r>
                  </m:e>
                  <m:sub>
                    <m:r>
                      <w:rPr>
                        <w:rFonts w:ascii="Cambria Math" w:hAnsi="Cambria Math" w:cstheme="minorHAnsi"/>
                        <w:color w:val="000000" w:themeColor="text1"/>
                        <w:lang w:val="en-GB"/>
                      </w:rPr>
                      <m:t>j</m:t>
                    </m:r>
                  </m:sub>
                </m:sSub>
              </m:e>
            </m:nary>
          </m:e>
        </m:nary>
      </m:oMath>
      <w:r w:rsidR="00014E98" w:rsidRPr="00966B21">
        <w:rPr>
          <w:rFonts w:cstheme="minorHAnsi"/>
          <w:color w:val="000000" w:themeColor="text1"/>
          <w:lang w:val="en-GB"/>
        </w:rPr>
        <w:t xml:space="preserve">      Equation (1)</w:t>
      </w:r>
    </w:p>
    <w:p w14:paraId="330E6C8B" w14:textId="77777777" w:rsidR="0045670F" w:rsidRPr="00966B21" w:rsidRDefault="0045670F" w:rsidP="002753DB">
      <w:pPr>
        <w:pStyle w:val="NormaleWeb"/>
        <w:spacing w:before="0" w:beforeAutospacing="0" w:after="0" w:afterAutospacing="0"/>
        <w:jc w:val="both"/>
        <w:rPr>
          <w:rFonts w:cstheme="minorHAnsi"/>
          <w:color w:val="000000" w:themeColor="text1"/>
          <w:lang w:val="en-GB"/>
        </w:rPr>
      </w:pPr>
    </w:p>
    <w:p w14:paraId="4B66F02E" w14:textId="77777777" w:rsidR="001039D7" w:rsidRPr="00966B21" w:rsidRDefault="009456F6" w:rsidP="002753DB">
      <w:pPr>
        <w:pStyle w:val="NormaleWeb"/>
        <w:spacing w:before="0" w:beforeAutospacing="0" w:after="0" w:afterAutospacing="0"/>
        <w:jc w:val="both"/>
        <w:rPr>
          <w:lang w:val="en-GB"/>
        </w:rPr>
      </w:pPr>
      <w:r w:rsidRPr="00966B21">
        <w:rPr>
          <w:lang w:val="en-GB"/>
        </w:rPr>
        <w:t>where β</w:t>
      </w:r>
      <w:r w:rsidRPr="00966B21">
        <w:rPr>
          <w:vertAlign w:val="subscript"/>
          <w:lang w:val="en-GB"/>
        </w:rPr>
        <w:t>0</w:t>
      </w:r>
      <w:r w:rsidRPr="00966B21">
        <w:rPr>
          <w:lang w:val="en-GB"/>
        </w:rPr>
        <w:t>, β</w:t>
      </w:r>
      <w:r w:rsidRPr="00966B21">
        <w:rPr>
          <w:vertAlign w:val="subscript"/>
          <w:lang w:val="en-GB"/>
        </w:rPr>
        <w:t>i</w:t>
      </w:r>
      <w:r w:rsidRPr="00966B21">
        <w:rPr>
          <w:lang w:val="en-GB"/>
        </w:rPr>
        <w:t>, β</w:t>
      </w:r>
      <w:r w:rsidRPr="00966B21">
        <w:rPr>
          <w:vertAlign w:val="subscript"/>
          <w:lang w:val="en-GB"/>
        </w:rPr>
        <w:t>ii</w:t>
      </w:r>
      <w:r w:rsidRPr="00966B21">
        <w:rPr>
          <w:lang w:val="en-GB"/>
        </w:rPr>
        <w:t>, and β</w:t>
      </w:r>
      <w:r w:rsidRPr="00966B21">
        <w:rPr>
          <w:vertAlign w:val="subscript"/>
          <w:lang w:val="en-GB"/>
        </w:rPr>
        <w:t>ij</w:t>
      </w:r>
      <w:r w:rsidRPr="00966B21">
        <w:rPr>
          <w:lang w:val="en-GB"/>
        </w:rPr>
        <w:t xml:space="preserve"> are the regression coefficients for intercept, linear, quadratic and interaction terms, respectively, and X</w:t>
      </w:r>
      <w:r w:rsidRPr="00966B21">
        <w:rPr>
          <w:vertAlign w:val="subscript"/>
          <w:lang w:val="en-GB"/>
        </w:rPr>
        <w:t>i</w:t>
      </w:r>
      <w:r w:rsidRPr="00966B21">
        <w:rPr>
          <w:lang w:val="en-GB"/>
        </w:rPr>
        <w:t xml:space="preserve"> and X</w:t>
      </w:r>
      <w:r w:rsidRPr="00966B21">
        <w:rPr>
          <w:vertAlign w:val="subscript"/>
          <w:lang w:val="en-GB"/>
        </w:rPr>
        <w:t>j</w:t>
      </w:r>
      <w:r w:rsidRPr="00966B21">
        <w:rPr>
          <w:lang w:val="en-GB"/>
        </w:rPr>
        <w:t xml:space="preserve"> are</w:t>
      </w:r>
      <w:r w:rsidR="001039D7" w:rsidRPr="00966B21">
        <w:rPr>
          <w:lang w:val="en-GB"/>
        </w:rPr>
        <w:t xml:space="preserve"> the independent variables. The software was used to generate response surfaces and contour plots while holding a variable constant in the second-order polynomial model.</w:t>
      </w:r>
    </w:p>
    <w:p w14:paraId="4718ECD4" w14:textId="77777777" w:rsidR="00955282" w:rsidRPr="00966B21" w:rsidRDefault="00955282" w:rsidP="002753DB">
      <w:pPr>
        <w:pStyle w:val="NormaleWeb"/>
        <w:spacing w:before="0" w:beforeAutospacing="0" w:after="0" w:afterAutospacing="0"/>
        <w:jc w:val="both"/>
        <w:rPr>
          <w:lang w:val="en-GB"/>
        </w:rPr>
      </w:pPr>
    </w:p>
    <w:p w14:paraId="22424BDF" w14:textId="77777777" w:rsidR="001039D7" w:rsidRPr="00966B21" w:rsidRDefault="001039D7" w:rsidP="002753DB">
      <w:pPr>
        <w:pStyle w:val="NormaleWeb"/>
        <w:spacing w:before="0" w:beforeAutospacing="0" w:after="0" w:afterAutospacing="0"/>
        <w:jc w:val="both"/>
        <w:rPr>
          <w:iCs/>
          <w:lang w:val="en-GB"/>
        </w:rPr>
      </w:pPr>
      <w:r w:rsidRPr="00966B21">
        <w:rPr>
          <w:lang w:val="en-GB"/>
        </w:rPr>
        <w:t xml:space="preserve"> </w:t>
      </w:r>
      <w:r w:rsidR="00393FEE" w:rsidRPr="00966B21">
        <w:rPr>
          <w:iCs/>
          <w:lang w:val="en-GB"/>
        </w:rPr>
        <w:t>2.11 Verification of the model</w:t>
      </w:r>
    </w:p>
    <w:p w14:paraId="64656F18" w14:textId="77777777" w:rsidR="00955282" w:rsidRPr="00966B21" w:rsidRDefault="00955282" w:rsidP="002753DB">
      <w:pPr>
        <w:pStyle w:val="NormaleWeb"/>
        <w:spacing w:before="0" w:beforeAutospacing="0" w:after="0" w:afterAutospacing="0"/>
        <w:jc w:val="both"/>
        <w:rPr>
          <w:iCs/>
          <w:lang w:val="en-GB"/>
        </w:rPr>
      </w:pPr>
    </w:p>
    <w:p w14:paraId="2263D7B1" w14:textId="4AAFC7E4" w:rsidR="000B588B" w:rsidRPr="00966B21" w:rsidRDefault="001039D7" w:rsidP="002753DB">
      <w:pPr>
        <w:pStyle w:val="NormaleWeb"/>
        <w:spacing w:before="0" w:beforeAutospacing="0" w:after="0" w:afterAutospacing="0"/>
        <w:jc w:val="both"/>
        <w:rPr>
          <w:lang w:val="en-GB"/>
        </w:rPr>
      </w:pPr>
      <w:r w:rsidRPr="00966B21">
        <w:rPr>
          <w:lang w:val="en-GB"/>
        </w:rPr>
        <w:t>The conditions to obtain maximal extraction of carotenoids from MCP inside the experimental region studied were obtained using numerical and graphical optimization.</w:t>
      </w:r>
      <w:r w:rsidR="007817FC" w:rsidRPr="00966B21">
        <w:rPr>
          <w:lang w:val="en-GB"/>
        </w:rPr>
        <w:t xml:space="preserve"> The extracts were referred</w:t>
      </w:r>
      <w:r w:rsidR="00F258BD" w:rsidRPr="00966B21">
        <w:rPr>
          <w:lang w:val="en-GB"/>
        </w:rPr>
        <w:t xml:space="preserve"> to</w:t>
      </w:r>
      <w:r w:rsidR="007817FC" w:rsidRPr="00966B21">
        <w:rPr>
          <w:lang w:val="en-GB"/>
        </w:rPr>
        <w:t xml:space="preserve"> as optimized extracts (OPT). </w:t>
      </w:r>
      <w:r w:rsidRPr="00966B21">
        <w:rPr>
          <w:lang w:val="en-GB"/>
        </w:rPr>
        <w:t>The adopted criteri</w:t>
      </w:r>
      <w:r w:rsidR="00C866FE" w:rsidRPr="00966B21">
        <w:rPr>
          <w:lang w:val="en-GB"/>
        </w:rPr>
        <w:t>a</w:t>
      </w:r>
      <w:r w:rsidRPr="00966B21">
        <w:rPr>
          <w:lang w:val="en-GB"/>
        </w:rPr>
        <w:t xml:space="preserve"> for numerical optimization w</w:t>
      </w:r>
      <w:r w:rsidR="00F258BD" w:rsidRPr="00966B21">
        <w:rPr>
          <w:lang w:val="en-GB"/>
        </w:rPr>
        <w:t>ere</w:t>
      </w:r>
      <w:r w:rsidR="00ED0648" w:rsidRPr="00966B21">
        <w:rPr>
          <w:lang w:val="en-GB"/>
        </w:rPr>
        <w:t xml:space="preserve">: </w:t>
      </w:r>
      <w:r w:rsidR="00C866FE" w:rsidRPr="00966B21">
        <w:rPr>
          <w:lang w:val="en-GB"/>
        </w:rPr>
        <w:t>i</w:t>
      </w:r>
      <w:r w:rsidR="00F258BD" w:rsidRPr="00966B21">
        <w:rPr>
          <w:lang w:val="en-GB"/>
        </w:rPr>
        <w:t xml:space="preserve">- </w:t>
      </w:r>
      <w:r w:rsidRPr="00966B21">
        <w:rPr>
          <w:lang w:val="en-GB"/>
        </w:rPr>
        <w:t>maximize carotenoid extraction</w:t>
      </w:r>
      <w:r w:rsidR="00F258BD" w:rsidRPr="00966B21">
        <w:rPr>
          <w:lang w:val="en-GB"/>
        </w:rPr>
        <w:t xml:space="preserve"> by</w:t>
      </w:r>
      <w:r w:rsidRPr="00966B21">
        <w:rPr>
          <w:lang w:val="en-GB"/>
        </w:rPr>
        <w:t xml:space="preserve"> keeping independent variables in range</w:t>
      </w:r>
      <w:r w:rsidR="007817FC" w:rsidRPr="00966B21">
        <w:rPr>
          <w:lang w:val="en-GB"/>
        </w:rPr>
        <w:t xml:space="preserve"> (OPT1)</w:t>
      </w:r>
      <w:r w:rsidR="00ED0648" w:rsidRPr="00966B21">
        <w:rPr>
          <w:lang w:val="en-GB"/>
        </w:rPr>
        <w:t xml:space="preserve"> and </w:t>
      </w:r>
      <w:r w:rsidR="00C866FE" w:rsidRPr="00966B21">
        <w:rPr>
          <w:lang w:val="en-GB"/>
        </w:rPr>
        <w:t>ii</w:t>
      </w:r>
      <w:r w:rsidR="00ED0648" w:rsidRPr="00966B21">
        <w:rPr>
          <w:lang w:val="en-GB"/>
        </w:rPr>
        <w:t xml:space="preserve">- </w:t>
      </w:r>
      <w:r w:rsidRPr="00966B21">
        <w:rPr>
          <w:lang w:val="en-GB"/>
        </w:rPr>
        <w:t>maximize carotenoid extraction and minimize extraction time</w:t>
      </w:r>
      <w:r w:rsidR="007817FC" w:rsidRPr="00966B21">
        <w:rPr>
          <w:lang w:val="en-GB"/>
        </w:rPr>
        <w:t xml:space="preserve"> (OPT2)</w:t>
      </w:r>
      <w:r w:rsidRPr="00966B21">
        <w:rPr>
          <w:lang w:val="en-GB"/>
        </w:rPr>
        <w:t>. For both solutions</w:t>
      </w:r>
      <w:r w:rsidR="00ED0648" w:rsidRPr="00966B21">
        <w:rPr>
          <w:lang w:val="en-GB"/>
        </w:rPr>
        <w:t>,</w:t>
      </w:r>
      <w:r w:rsidRPr="00966B21">
        <w:rPr>
          <w:lang w:val="en-GB"/>
        </w:rPr>
        <w:t xml:space="preserve"> </w:t>
      </w:r>
      <w:r w:rsidR="00F258BD" w:rsidRPr="00966B21">
        <w:rPr>
          <w:lang w:val="en-GB"/>
        </w:rPr>
        <w:t xml:space="preserve">the </w:t>
      </w:r>
      <w:r w:rsidRPr="00966B21">
        <w:rPr>
          <w:lang w:val="en-GB"/>
        </w:rPr>
        <w:t xml:space="preserve">desirability (D) function was evaluated. Graphical optimization was made setting the highest values for </w:t>
      </w:r>
      <w:r w:rsidR="007817FC" w:rsidRPr="00966B21">
        <w:rPr>
          <w:lang w:val="en-GB"/>
        </w:rPr>
        <w:t>carotenoid extraction</w:t>
      </w:r>
      <w:r w:rsidRPr="00966B21">
        <w:rPr>
          <w:lang w:val="en-GB"/>
        </w:rPr>
        <w:t xml:space="preserve"> with a 25% tolerable variation. Extraction was performed in triplicate under these </w:t>
      </w:r>
      <w:r w:rsidR="007817FC" w:rsidRPr="00966B21">
        <w:rPr>
          <w:lang w:val="en-GB"/>
        </w:rPr>
        <w:t>optimized conditions and the response variable</w:t>
      </w:r>
      <w:r w:rsidRPr="00966B21">
        <w:rPr>
          <w:lang w:val="en-GB"/>
        </w:rPr>
        <w:t xml:space="preserve"> </w:t>
      </w:r>
      <w:r w:rsidR="007817FC" w:rsidRPr="00966B21">
        <w:rPr>
          <w:lang w:val="en-GB"/>
        </w:rPr>
        <w:t>was</w:t>
      </w:r>
      <w:r w:rsidRPr="00966B21">
        <w:rPr>
          <w:lang w:val="en-GB"/>
        </w:rPr>
        <w:t xml:space="preserve"> evaluated.</w:t>
      </w:r>
      <w:r w:rsidR="000B588B" w:rsidRPr="00966B21">
        <w:rPr>
          <w:lang w:val="en-GB"/>
        </w:rPr>
        <w:t xml:space="preserve"> The experimental and predicted values were compared to determine the validity of the model.</w:t>
      </w:r>
      <w:r w:rsidR="007817FC" w:rsidRPr="00966B21">
        <w:rPr>
          <w:lang w:val="en-GB"/>
        </w:rPr>
        <w:t xml:space="preserve"> </w:t>
      </w:r>
      <w:r w:rsidR="000B588B" w:rsidRPr="00966B21">
        <w:rPr>
          <w:lang w:val="en-GB"/>
        </w:rPr>
        <w:t>HPLC profile of carotenoids was</w:t>
      </w:r>
      <w:r w:rsidR="007817FC" w:rsidRPr="00966B21">
        <w:rPr>
          <w:lang w:val="en-GB"/>
        </w:rPr>
        <w:t xml:space="preserve"> dete</w:t>
      </w:r>
      <w:r w:rsidR="00393FEE" w:rsidRPr="00966B21">
        <w:rPr>
          <w:lang w:val="en-GB"/>
        </w:rPr>
        <w:t>rmined in the optimized extract</w:t>
      </w:r>
      <w:r w:rsidR="000B588B" w:rsidRPr="00966B21">
        <w:rPr>
          <w:lang w:val="en-GB"/>
        </w:rPr>
        <w:t xml:space="preserve"> as previously described</w:t>
      </w:r>
      <w:r w:rsidR="007817FC" w:rsidRPr="00966B21">
        <w:rPr>
          <w:lang w:val="en-GB"/>
        </w:rPr>
        <w:t xml:space="preserve">. </w:t>
      </w:r>
    </w:p>
    <w:p w14:paraId="6B567152" w14:textId="77777777" w:rsidR="00955282" w:rsidRPr="00966B21" w:rsidRDefault="00955282" w:rsidP="002753DB">
      <w:pPr>
        <w:pStyle w:val="NormaleWeb"/>
        <w:spacing w:before="0" w:beforeAutospacing="0" w:after="0" w:afterAutospacing="0"/>
        <w:jc w:val="both"/>
        <w:rPr>
          <w:lang w:val="en-GB"/>
        </w:rPr>
      </w:pPr>
    </w:p>
    <w:p w14:paraId="6E4656B0" w14:textId="28AE1EAD" w:rsidR="00687655" w:rsidRPr="00966B21" w:rsidRDefault="007817FC" w:rsidP="002753DB">
      <w:pPr>
        <w:pStyle w:val="NormaleWeb"/>
        <w:spacing w:before="0" w:beforeAutospacing="0" w:after="0" w:afterAutospacing="0"/>
        <w:jc w:val="both"/>
        <w:rPr>
          <w:lang w:val="en-GB"/>
        </w:rPr>
      </w:pPr>
      <w:r w:rsidRPr="00966B21">
        <w:rPr>
          <w:lang w:val="en-GB"/>
        </w:rPr>
        <w:t>2.12 Antioxidant activity of extracts</w:t>
      </w:r>
    </w:p>
    <w:p w14:paraId="1B78A08A" w14:textId="77777777" w:rsidR="00955282" w:rsidRPr="00966B21" w:rsidRDefault="00955282" w:rsidP="002753DB">
      <w:pPr>
        <w:pStyle w:val="NormaleWeb"/>
        <w:spacing w:before="0" w:beforeAutospacing="0" w:after="0" w:afterAutospacing="0"/>
        <w:jc w:val="both"/>
        <w:rPr>
          <w:lang w:val="en-GB"/>
        </w:rPr>
      </w:pPr>
    </w:p>
    <w:p w14:paraId="7DB398AF" w14:textId="29EEFDB9" w:rsidR="008E08E8" w:rsidRPr="00966B21" w:rsidRDefault="00E012DD" w:rsidP="002753DB">
      <w:pPr>
        <w:pStyle w:val="NormaleWeb"/>
        <w:spacing w:before="0" w:beforeAutospacing="0" w:after="0" w:afterAutospacing="0"/>
        <w:jc w:val="both"/>
        <w:rPr>
          <w:lang w:val="en-GB"/>
        </w:rPr>
      </w:pPr>
      <w:r w:rsidRPr="00966B21">
        <w:rPr>
          <w:lang w:val="en-GB"/>
        </w:rPr>
        <w:t>The antioxidant activity of the</w:t>
      </w:r>
      <w:r w:rsidR="00F258BD" w:rsidRPr="00966B21">
        <w:rPr>
          <w:lang w:val="en-GB"/>
        </w:rPr>
        <w:t xml:space="preserve"> </w:t>
      </w:r>
      <w:r w:rsidRPr="00966B21">
        <w:rPr>
          <w:lang w:val="en-GB"/>
        </w:rPr>
        <w:t>extracts</w:t>
      </w:r>
      <w:r w:rsidR="00393FEE" w:rsidRPr="00966B21">
        <w:rPr>
          <w:lang w:val="en-GB"/>
        </w:rPr>
        <w:t xml:space="preserve"> was evaluated</w:t>
      </w:r>
      <w:r w:rsidR="000B588B" w:rsidRPr="00966B21">
        <w:rPr>
          <w:lang w:val="en-GB"/>
        </w:rPr>
        <w:t xml:space="preserve"> after </w:t>
      </w:r>
      <w:r w:rsidR="00071CF8" w:rsidRPr="00966B21">
        <w:rPr>
          <w:lang w:val="en-GB"/>
        </w:rPr>
        <w:t>480</w:t>
      </w:r>
      <w:r w:rsidR="000B588B" w:rsidRPr="00966B21">
        <w:rPr>
          <w:lang w:val="en-GB"/>
        </w:rPr>
        <w:t xml:space="preserve"> min of light exposure</w:t>
      </w:r>
      <w:r w:rsidRPr="00966B21">
        <w:rPr>
          <w:lang w:val="en-GB"/>
        </w:rPr>
        <w:t xml:space="preserve"> </w:t>
      </w:r>
      <w:r w:rsidR="00393FEE" w:rsidRPr="00966B21">
        <w:rPr>
          <w:lang w:val="en-GB"/>
        </w:rPr>
        <w:t>with the</w:t>
      </w:r>
      <w:r w:rsidRPr="00966B21">
        <w:rPr>
          <w:lang w:val="en-GB"/>
        </w:rPr>
        <w:t xml:space="preserve"> 2,2-diphenyl-1-picrylhydrazyl (DPPH) free radical scavenging</w:t>
      </w:r>
      <w:r w:rsidR="00866592" w:rsidRPr="00966B21">
        <w:rPr>
          <w:lang w:val="en-GB"/>
        </w:rPr>
        <w:t xml:space="preserve">. </w:t>
      </w:r>
      <w:r w:rsidR="000B588B" w:rsidRPr="00966B21">
        <w:rPr>
          <w:lang w:val="en-GB"/>
        </w:rPr>
        <w:t>Properly diluted samples (</w:t>
      </w:r>
      <w:r w:rsidR="00866592" w:rsidRPr="00966B21">
        <w:rPr>
          <w:lang w:val="en-GB"/>
        </w:rPr>
        <w:t>200 μL</w:t>
      </w:r>
      <w:r w:rsidR="000B588B" w:rsidRPr="00966B21">
        <w:rPr>
          <w:lang w:val="en-GB"/>
        </w:rPr>
        <w:t>)</w:t>
      </w:r>
      <w:r w:rsidR="00866592" w:rsidRPr="00966B21">
        <w:rPr>
          <w:lang w:val="en-GB"/>
        </w:rPr>
        <w:t xml:space="preserve"> </w:t>
      </w:r>
      <w:r w:rsidRPr="00966B21">
        <w:rPr>
          <w:lang w:val="en-GB"/>
        </w:rPr>
        <w:t xml:space="preserve">were mixed with </w:t>
      </w:r>
      <w:r w:rsidR="00866592" w:rsidRPr="00966B21">
        <w:rPr>
          <w:lang w:val="en-GB"/>
        </w:rPr>
        <w:t>3 mL</w:t>
      </w:r>
      <w:r w:rsidRPr="00966B21">
        <w:rPr>
          <w:lang w:val="en-GB"/>
        </w:rPr>
        <w:t xml:space="preserve"> of </w:t>
      </w:r>
      <w:r w:rsidR="00393FEE" w:rsidRPr="00966B21">
        <w:rPr>
          <w:lang w:val="en-GB"/>
        </w:rPr>
        <w:t>2,2-diphenyl-1-picrylhydrazyl (</w:t>
      </w:r>
      <w:r w:rsidRPr="00966B21">
        <w:rPr>
          <w:lang w:val="en-GB"/>
        </w:rPr>
        <w:t>DPPH</w:t>
      </w:r>
      <w:r w:rsidR="00393FEE" w:rsidRPr="00966B21">
        <w:rPr>
          <w:lang w:val="en-GB"/>
        </w:rPr>
        <w:t>)</w:t>
      </w:r>
      <w:r w:rsidRPr="00966B21">
        <w:rPr>
          <w:lang w:val="en-GB"/>
        </w:rPr>
        <w:t xml:space="preserve"> </w:t>
      </w:r>
      <w:r w:rsidR="00393FEE" w:rsidRPr="00966B21">
        <w:rPr>
          <w:lang w:val="en-GB"/>
        </w:rPr>
        <w:t xml:space="preserve">1 mM </w:t>
      </w:r>
      <w:r w:rsidR="004F6DFF" w:rsidRPr="00966B21">
        <w:rPr>
          <w:lang w:val="en-GB"/>
        </w:rPr>
        <w:t>solution.</w:t>
      </w:r>
      <w:r w:rsidRPr="00966B21">
        <w:rPr>
          <w:lang w:val="en-GB"/>
        </w:rPr>
        <w:t xml:space="preserve"> After 30 min of incubation at </w:t>
      </w:r>
      <w:r w:rsidR="00F258BD" w:rsidRPr="00966B21">
        <w:rPr>
          <w:lang w:val="en-GB"/>
        </w:rPr>
        <w:t>RT</w:t>
      </w:r>
      <w:r w:rsidRPr="00966B21">
        <w:rPr>
          <w:lang w:val="en-GB"/>
        </w:rPr>
        <w:t xml:space="preserve"> in the dark, the ab</w:t>
      </w:r>
      <w:r w:rsidR="00866592" w:rsidRPr="00966B21">
        <w:rPr>
          <w:lang w:val="en-GB"/>
        </w:rPr>
        <w:t xml:space="preserve">sorbance at 517 nm was measured. </w:t>
      </w:r>
      <w:r w:rsidRPr="00966B21">
        <w:rPr>
          <w:lang w:val="en-GB"/>
        </w:rPr>
        <w:t xml:space="preserve">The DPPH free radical scavenging activity was calculated in terms of the percentage of inhibition </w:t>
      </w:r>
      <w:r w:rsidR="008E08E8" w:rsidRPr="00966B21">
        <w:rPr>
          <w:lang w:val="en-GB"/>
        </w:rPr>
        <w:t>using the following equation</w:t>
      </w:r>
      <w:r w:rsidRPr="00966B21">
        <w:rPr>
          <w:lang w:val="en-GB"/>
        </w:rPr>
        <w:t xml:space="preserve">: </w:t>
      </w:r>
    </w:p>
    <w:p w14:paraId="50885DC6" w14:textId="77777777" w:rsidR="00B934E2" w:rsidRPr="00966B21" w:rsidRDefault="00B934E2" w:rsidP="002753DB">
      <w:pPr>
        <w:pStyle w:val="NormaleWeb"/>
        <w:spacing w:before="0" w:beforeAutospacing="0" w:after="0" w:afterAutospacing="0"/>
        <w:jc w:val="both"/>
        <w:rPr>
          <w:lang w:val="en-GB"/>
        </w:rPr>
      </w:pPr>
    </w:p>
    <w:p w14:paraId="6DF56782" w14:textId="27779DA9" w:rsidR="008E08E8" w:rsidRPr="00966B21" w:rsidRDefault="008E08E8" w:rsidP="002753DB">
      <w:pPr>
        <w:pStyle w:val="NormaleWeb"/>
        <w:spacing w:before="0" w:beforeAutospacing="0" w:after="0" w:afterAutospacing="0"/>
        <w:jc w:val="both"/>
        <w:rPr>
          <w:lang w:val="en-GB"/>
        </w:rPr>
      </w:pPr>
      <m:oMath>
        <m:r>
          <w:rPr>
            <w:rFonts w:ascii="Cambria Math"/>
            <w:lang w:val="en-GB"/>
          </w:rPr>
          <m:t xml:space="preserve">% </m:t>
        </m:r>
        <m:r>
          <w:rPr>
            <w:rFonts w:ascii="Cambria Math" w:hAnsi="Cambria Math"/>
            <w:lang w:val="en-GB"/>
          </w:rPr>
          <m:t>scavening</m:t>
        </m:r>
        <m:r>
          <w:rPr>
            <w:rFonts w:ascii="Cambria Math"/>
            <w:lang w:val="en-GB"/>
          </w:rPr>
          <m:t xml:space="preserve"> </m:t>
        </m:r>
        <m:r>
          <w:rPr>
            <w:rFonts w:ascii="Cambria Math" w:hAnsi="Cambria Math"/>
            <w:lang w:val="en-GB"/>
          </w:rPr>
          <m:t>activity</m:t>
        </m:r>
        <m:r>
          <w:rPr>
            <w:rFonts w:ascii="Cambria Math"/>
            <w:lang w:val="en-GB"/>
          </w:rPr>
          <m:t>=</m:t>
        </m:r>
        <m:d>
          <m:dPr>
            <m:ctrlPr>
              <w:rPr>
                <w:rFonts w:ascii="Cambria Math" w:hAnsi="Cambria Math"/>
                <w:i/>
                <w:lang w:val="en-GB"/>
              </w:rPr>
            </m:ctrlPr>
          </m:dPr>
          <m:e>
            <m:sSub>
              <m:sSubPr>
                <m:ctrlPr>
                  <w:rPr>
                    <w:rFonts w:ascii="Cambria Math" w:hAnsi="Cambria Math"/>
                    <w:i/>
                    <w:lang w:val="en-GB"/>
                  </w:rPr>
                </m:ctrlPr>
              </m:sSubPr>
              <m:e>
                <m:r>
                  <w:rPr>
                    <w:rFonts w:ascii="Cambria Math" w:hAnsi="Cambria Math"/>
                    <w:lang w:val="en-GB"/>
                  </w:rPr>
                  <m:t>A</m:t>
                </m:r>
              </m:e>
              <m:sub>
                <m:r>
                  <w:rPr>
                    <w:rFonts w:ascii="Cambria Math" w:hAnsi="Cambria Math"/>
                    <w:lang w:val="en-GB"/>
                  </w:rPr>
                  <m:t>i</m:t>
                </m:r>
              </m:sub>
            </m:sSub>
            <m:r>
              <w:rPr>
                <w:rFonts w:ascii="Cambria Math"/>
                <w:lang w:val="en-GB"/>
              </w:rPr>
              <m:t xml:space="preserve"> </m:t>
            </m:r>
            <m:r>
              <w:rPr>
                <w:rFonts w:ascii="Cambria Math"/>
                <w:lang w:val="en-GB"/>
              </w:rPr>
              <m:t>-</m:t>
            </m:r>
            <m:r>
              <w:rPr>
                <w:rFonts w:ascii="Cambria Math"/>
                <w:lang w:val="en-GB"/>
              </w:rPr>
              <m:t xml:space="preserve"> </m:t>
            </m:r>
            <m:f>
              <m:fPr>
                <m:ctrlPr>
                  <w:rPr>
                    <w:rFonts w:ascii="Cambria Math" w:hAnsi="Cambria Math"/>
                    <w:i/>
                    <w:lang w:val="en-GB"/>
                  </w:rPr>
                </m:ctrlPr>
              </m:fPr>
              <m:num>
                <m:sSub>
                  <m:sSubPr>
                    <m:ctrlPr>
                      <w:rPr>
                        <w:rFonts w:ascii="Cambria Math" w:hAnsi="Cambria Math"/>
                        <w:i/>
                        <w:lang w:val="en-GB"/>
                      </w:rPr>
                    </m:ctrlPr>
                  </m:sSubPr>
                  <m:e>
                    <m:r>
                      <w:rPr>
                        <w:rFonts w:ascii="Cambria Math"/>
                        <w:lang w:val="en-GB"/>
                      </w:rPr>
                      <m:t>(</m:t>
                    </m:r>
                    <m:r>
                      <w:rPr>
                        <w:rFonts w:ascii="Cambria Math" w:hAnsi="Cambria Math"/>
                        <w:lang w:val="en-GB"/>
                      </w:rPr>
                      <m:t>A</m:t>
                    </m:r>
                  </m:e>
                  <m:sub>
                    <m:r>
                      <w:rPr>
                        <w:rFonts w:ascii="Cambria Math" w:hAnsi="Cambria Math"/>
                        <w:lang w:val="en-GB"/>
                      </w:rPr>
                      <m:t>i</m:t>
                    </m:r>
                  </m:sub>
                </m:sSub>
                <m:r>
                  <w:rPr>
                    <w:rFonts w:ascii="Cambria Math"/>
                    <w:lang w:val="en-GB"/>
                  </w:rPr>
                  <m:t>-</m:t>
                </m:r>
                <m:r>
                  <w:rPr>
                    <w:rFonts w:ascii="Cambria Math"/>
                    <w:lang w:val="en-GB"/>
                  </w:rPr>
                  <m:t xml:space="preserve"> </m:t>
                </m:r>
                <m:sSub>
                  <m:sSubPr>
                    <m:ctrlPr>
                      <w:rPr>
                        <w:rFonts w:ascii="Cambria Math" w:hAnsi="Cambria Math"/>
                        <w:i/>
                        <w:lang w:val="en-GB"/>
                      </w:rPr>
                    </m:ctrlPr>
                  </m:sSubPr>
                  <m:e>
                    <m:r>
                      <w:rPr>
                        <w:rFonts w:ascii="Cambria Math" w:hAnsi="Cambria Math"/>
                        <w:lang w:val="en-GB"/>
                      </w:rPr>
                      <m:t>A</m:t>
                    </m:r>
                  </m:e>
                  <m:sub>
                    <m:r>
                      <w:rPr>
                        <w:rFonts w:ascii="Cambria Math" w:hAnsi="Cambria Math"/>
                        <w:lang w:val="en-GB"/>
                      </w:rPr>
                      <m:t>S</m:t>
                    </m:r>
                  </m:sub>
                </m:sSub>
                <m:r>
                  <w:rPr>
                    <w:rFonts w:ascii="Cambria Math"/>
                    <w:lang w:val="en-GB"/>
                  </w:rPr>
                  <m:t>)</m:t>
                </m:r>
              </m:num>
              <m:den>
                <m:sSub>
                  <m:sSubPr>
                    <m:ctrlPr>
                      <w:rPr>
                        <w:rFonts w:ascii="Cambria Math" w:hAnsi="Cambria Math"/>
                        <w:i/>
                        <w:lang w:val="en-GB"/>
                      </w:rPr>
                    </m:ctrlPr>
                  </m:sSubPr>
                  <m:e>
                    <m:r>
                      <w:rPr>
                        <w:rFonts w:ascii="Cambria Math" w:hAnsi="Cambria Math"/>
                        <w:lang w:val="en-GB"/>
                      </w:rPr>
                      <m:t>A</m:t>
                    </m:r>
                  </m:e>
                  <m:sub>
                    <m:r>
                      <w:rPr>
                        <w:rFonts w:ascii="Cambria Math" w:hAnsi="Cambria Math"/>
                        <w:lang w:val="en-GB"/>
                      </w:rPr>
                      <m:t>i</m:t>
                    </m:r>
                  </m:sub>
                </m:sSub>
              </m:den>
            </m:f>
          </m:e>
        </m:d>
        <m:r>
          <w:rPr>
            <w:rFonts w:ascii="Cambria Math"/>
            <w:lang w:val="en-GB"/>
          </w:rPr>
          <m:t xml:space="preserve"> </m:t>
        </m:r>
        <m:r>
          <w:rPr>
            <w:rFonts w:ascii="Cambria Math" w:hAnsi="Cambria Math"/>
            <w:lang w:val="en-GB"/>
          </w:rPr>
          <m:t>x</m:t>
        </m:r>
        <m:r>
          <w:rPr>
            <w:rFonts w:ascii="Cambria Math"/>
            <w:lang w:val="en-GB"/>
          </w:rPr>
          <m:t xml:space="preserve"> 100 </m:t>
        </m:r>
      </m:oMath>
      <w:r w:rsidR="00014E98" w:rsidRPr="00966B21">
        <w:rPr>
          <w:lang w:val="en-GB"/>
        </w:rPr>
        <w:t xml:space="preserve">    Equation (2)</w:t>
      </w:r>
    </w:p>
    <w:p w14:paraId="32E81BC9" w14:textId="77777777" w:rsidR="00B934E2" w:rsidRPr="00966B21" w:rsidRDefault="00B934E2" w:rsidP="002753DB">
      <w:pPr>
        <w:pStyle w:val="NormaleWeb"/>
        <w:spacing w:before="0" w:beforeAutospacing="0" w:after="0" w:afterAutospacing="0"/>
        <w:jc w:val="both"/>
        <w:rPr>
          <w:lang w:val="en-GB"/>
        </w:rPr>
      </w:pPr>
    </w:p>
    <w:p w14:paraId="7A90E2D4" w14:textId="77777777" w:rsidR="00DF7FD0" w:rsidRPr="00966B21" w:rsidRDefault="007155B9" w:rsidP="002753DB">
      <w:pPr>
        <w:pStyle w:val="NormaleWeb"/>
        <w:spacing w:before="0" w:beforeAutospacing="0" w:after="0" w:afterAutospacing="0"/>
        <w:jc w:val="both"/>
        <w:rPr>
          <w:lang w:val="en-GB"/>
        </w:rPr>
      </w:pPr>
      <w:r w:rsidRPr="00966B21">
        <w:rPr>
          <w:lang w:val="en-GB"/>
        </w:rPr>
        <w:t>where</w:t>
      </w:r>
      <w:r w:rsidR="008E08E8" w:rsidRPr="00966B21">
        <w:rPr>
          <w:lang w:val="en-GB"/>
        </w:rPr>
        <w:t xml:space="preserve"> A</w:t>
      </w:r>
      <w:r w:rsidR="008E08E8" w:rsidRPr="00966B21">
        <w:rPr>
          <w:vertAlign w:val="subscript"/>
          <w:lang w:val="en-GB"/>
        </w:rPr>
        <w:t>i</w:t>
      </w:r>
      <w:r w:rsidR="00E012DD" w:rsidRPr="00966B21">
        <w:rPr>
          <w:lang w:val="en-GB"/>
        </w:rPr>
        <w:t xml:space="preserve"> indicates the absorbance of the </w:t>
      </w:r>
      <w:r w:rsidR="008E08E8" w:rsidRPr="00966B21">
        <w:rPr>
          <w:lang w:val="en-GB"/>
        </w:rPr>
        <w:t>DPPH solution</w:t>
      </w:r>
      <w:r w:rsidR="00DF7FD0" w:rsidRPr="00966B21">
        <w:rPr>
          <w:lang w:val="en-GB"/>
        </w:rPr>
        <w:t xml:space="preserve"> (200 μL ethanol + 3 mL DPPH solution)</w:t>
      </w:r>
      <w:r w:rsidR="008E08E8" w:rsidRPr="00966B21">
        <w:rPr>
          <w:lang w:val="en-GB"/>
        </w:rPr>
        <w:t xml:space="preserve"> at initial time, A</w:t>
      </w:r>
      <w:r w:rsidR="008E08E8" w:rsidRPr="00966B21">
        <w:rPr>
          <w:vertAlign w:val="subscript"/>
          <w:lang w:val="en-GB"/>
        </w:rPr>
        <w:t>s</w:t>
      </w:r>
      <w:r w:rsidR="00E012DD" w:rsidRPr="00966B21">
        <w:rPr>
          <w:lang w:val="en-GB"/>
        </w:rPr>
        <w:t xml:space="preserve"> is the absorbance of the </w:t>
      </w:r>
      <w:r w:rsidR="00DF7FD0" w:rsidRPr="00966B21">
        <w:rPr>
          <w:lang w:val="en-GB"/>
        </w:rPr>
        <w:t xml:space="preserve">sample after 30 min reaction. </w:t>
      </w:r>
      <w:r w:rsidR="00C1467B" w:rsidRPr="00966B21">
        <w:rPr>
          <w:lang w:val="en-GB"/>
        </w:rPr>
        <w:t>Blanks for extraction solvent were also performed in the same order of dilution as samples.</w:t>
      </w:r>
      <w:r w:rsidR="00E012DD" w:rsidRPr="00966B21">
        <w:rPr>
          <w:lang w:val="en-GB"/>
        </w:rPr>
        <w:t xml:space="preserve"> </w:t>
      </w:r>
    </w:p>
    <w:p w14:paraId="235AE1EB" w14:textId="77777777" w:rsidR="001F5077" w:rsidRPr="00966B21" w:rsidRDefault="001F5077" w:rsidP="002753DB">
      <w:pPr>
        <w:pStyle w:val="NormaleWeb"/>
        <w:spacing w:before="0" w:beforeAutospacing="0" w:after="0" w:afterAutospacing="0"/>
        <w:jc w:val="both"/>
        <w:rPr>
          <w:lang w:val="en-GB"/>
        </w:rPr>
      </w:pPr>
    </w:p>
    <w:p w14:paraId="7099B46F" w14:textId="77777777" w:rsidR="001F5077" w:rsidRPr="00966B21" w:rsidRDefault="001F5077" w:rsidP="001F5077">
      <w:pPr>
        <w:pStyle w:val="NormaleWeb"/>
        <w:spacing w:before="0" w:beforeAutospacing="0" w:after="0" w:afterAutospacing="0"/>
        <w:jc w:val="both"/>
        <w:rPr>
          <w:bCs/>
          <w:lang w:val="en-GB"/>
        </w:rPr>
      </w:pPr>
      <w:r w:rsidRPr="00966B21">
        <w:rPr>
          <w:lang w:val="en-GB"/>
        </w:rPr>
        <w:t>2.13 Computational</w:t>
      </w:r>
      <w:r w:rsidRPr="00966B21">
        <w:rPr>
          <w:bCs/>
          <w:lang w:val="en-GB"/>
        </w:rPr>
        <w:t xml:space="preserve"> methods </w:t>
      </w:r>
    </w:p>
    <w:p w14:paraId="53ABEBC7" w14:textId="77777777" w:rsidR="001F5077" w:rsidRPr="00966B21" w:rsidRDefault="001F5077" w:rsidP="001F5077">
      <w:pPr>
        <w:pStyle w:val="NormaleWeb"/>
        <w:spacing w:before="0" w:beforeAutospacing="0" w:after="0" w:afterAutospacing="0"/>
        <w:jc w:val="both"/>
        <w:rPr>
          <w:lang w:val="en-GB"/>
        </w:rPr>
      </w:pPr>
    </w:p>
    <w:p w14:paraId="0581090A" w14:textId="3F9B6E7B" w:rsidR="001F5077" w:rsidRPr="00966B21" w:rsidRDefault="001F5077" w:rsidP="001F5077">
      <w:pPr>
        <w:pStyle w:val="NormaleWeb"/>
        <w:spacing w:before="0" w:beforeAutospacing="0" w:after="0" w:afterAutospacing="0"/>
        <w:jc w:val="both"/>
        <w:rPr>
          <w:lang w:val="en-GB"/>
        </w:rPr>
      </w:pPr>
      <w:r w:rsidRPr="00966B21">
        <w:rPr>
          <w:lang w:val="en-GB"/>
        </w:rPr>
        <w:lastRenderedPageBreak/>
        <w:t>Several initial geometries for the formation of HES (</w:t>
      </w:r>
      <w:r w:rsidR="00391595" w:rsidRPr="00966B21">
        <w:rPr>
          <w:lang w:val="en-GB"/>
        </w:rPr>
        <w:t>t</w:t>
      </w:r>
      <w:r w:rsidRPr="00966B21">
        <w:rPr>
          <w:lang w:val="en-GB"/>
        </w:rPr>
        <w:t>hymol</w:t>
      </w:r>
      <w:r w:rsidR="007F4B71" w:rsidRPr="00966B21">
        <w:rPr>
          <w:lang w:val="en-GB"/>
        </w:rPr>
        <w:t xml:space="preserve"> </w:t>
      </w:r>
      <w:r w:rsidRPr="00966B21">
        <w:rPr>
          <w:lang w:val="en-GB"/>
        </w:rPr>
        <w:t>:</w:t>
      </w:r>
      <w:r w:rsidR="007F4B71" w:rsidRPr="00966B21">
        <w:rPr>
          <w:lang w:val="en-GB"/>
        </w:rPr>
        <w:t xml:space="preserve"> </w:t>
      </w:r>
      <w:r w:rsidR="00391595" w:rsidRPr="00966B21">
        <w:rPr>
          <w:lang w:val="en-GB"/>
        </w:rPr>
        <w:t>m</w:t>
      </w:r>
      <w:r w:rsidRPr="00966B21">
        <w:rPr>
          <w:lang w:val="en-GB"/>
        </w:rPr>
        <w:t xml:space="preserve">enthol) and its complexes with β-carotene were built based on their Electrostatic Potential Surfaces (ESP) (See the </w:t>
      </w:r>
      <w:r w:rsidR="00BE460E" w:rsidRPr="00966B21">
        <w:rPr>
          <w:lang w:val="en-GB"/>
        </w:rPr>
        <w:t>Supplementary Material</w:t>
      </w:r>
      <w:r w:rsidRPr="00966B21">
        <w:rPr>
          <w:lang w:val="en-GB"/>
        </w:rPr>
        <w:t>). The β-carotene molecule was chosen as a model in the all-</w:t>
      </w:r>
      <w:r w:rsidRPr="00966B21">
        <w:rPr>
          <w:i/>
          <w:iCs/>
          <w:lang w:val="en-GB"/>
        </w:rPr>
        <w:t>E</w:t>
      </w:r>
      <w:r w:rsidRPr="00966B21">
        <w:rPr>
          <w:lang w:val="en-GB"/>
        </w:rPr>
        <w:t xml:space="preserve"> (trans) configuration, as it is the most abundant form found in nature (&gt;90%) </w:t>
      </w:r>
      <w:r w:rsidRPr="00966B21">
        <w:rPr>
          <w:lang w:val="en-GB"/>
        </w:rPr>
        <w:fldChar w:fldCharType="begin" w:fldLock="1"/>
      </w:r>
      <w:r w:rsidR="00CD7D53" w:rsidRPr="00966B21">
        <w:rPr>
          <w:lang w:val="en-GB"/>
        </w:rPr>
        <w:instrText>ADDIN CSL_CITATION {"citationItems":[{"id":"ITEM-1","itemData":{"DOI":"10.1016/j.tifs.2022.03.009","ISSN":"09242244","abstract":"Background: The wide application of carotenoids in food, cosmetic, and pharmaceutical products due to their bioactive and color properties has emphasized a need for improved methods for their extraction. Recently, “green chemistry” has become a significant focus of research to minimize environmental and health impacts, leading to increased demand for safe and sustainable solvents. Scope and approach: Several specific green solvents such as edible oils, supercritical CO2 (SC–CO2), ionic liquids (ILs), deep eutectic solvents (DES) and natural deep eutectic solvents (NDES) have emerged for carotenoid extraction. Efficient extraction processes have been successfully developed by combining these green solvents with novel extraction techniques (such as microwave-assisted extraction, ultrasound-assisted extraction, high-pressure processing and homogenization). Limiting factors (high water content of carotenoid-rich samples; the presence of cell wall/membrane and other physical and chemical barriers; low solubility, high crystallinity, difficult separation, and purification of carotenoids) and new ideas (carotenoid Z-isomerization) for carotenoid extractions are also outlined. Key findings and conclusions: Edible oils, biocompatible ILs (Bio-ILs) and NDES with little or no toxic effects are promising for carotenoid extraction. Alterations in the physicochemical properties of carotenoids by Z-isomerization are beneficial for their extraction. Toxicological studies about green solvents, especially for hydrophobic NDES, are urgently needed. More studies on green solvents (especially Bio-ILs and NDES) and post-extraction purification of carotenoids from the extracts are needed.","author":[{"dropping-particle":"","family":"Yu","given":"Jiahao","non-dropping-particle":"","parse-names":false,"suffix":""},{"dropping-particle":"","family":"Liu","given":"Xuwei","non-dropping-particle":"","parse-names":false,"suffix":""},{"dropping-particle":"","family":"Zhang","given":"Lianfu","non-dropping-particle":"","parse-names":false,"suffix":""},{"dropping-particle":"","family":"Shao","given":"Ping","non-dropping-particle":"","parse-names":false,"suffix":""},{"dropping-particle":"","family":"Wu","given":"Weina","non-dropping-particle":"","parse-names":false,"suffix":""},{"dropping-particle":"","family":"Chen","given":"Zhirong","non-dropping-particle":"","parse-names":false,"suffix":""},{"dropping-particle":"","family":"Li","given":"Jiandong","non-dropping-particle":"","parse-names":false,"suffix":""},{"dropping-particle":"","family":"Renard","given":"Catherine M.G.C.","non-dropping-particle":"","parse-names":false,"suffix":""}],"container-title":"Trends in Food Science and Technology","id":"ITEM-1","issue":"March","issued":{"date-parts":[["2022"]]},"page":"145-160","publisher":"Elsevier Ltd","title":"An overview of carotenoid extractions using green solvents assisted by Z-isomerization","type":"article-journal","volume":"123"},"uris":["http://www.mendeley.com/documents/?uuid=cf80b482-7666-458d-80ea-6b4fae9df77f"]}],"mendeley":{"formattedCitation":"[32]","plainTextFormattedCitation":"[32]","previouslyFormattedCitation":"[31]"},"properties":{"noteIndex":0},"schema":"https://github.com/citation-style-language/schema/raw/master/csl-citation.json"}</w:instrText>
      </w:r>
      <w:r w:rsidRPr="00966B21">
        <w:rPr>
          <w:lang w:val="en-GB"/>
        </w:rPr>
        <w:fldChar w:fldCharType="separate"/>
      </w:r>
      <w:r w:rsidR="00CD7D53" w:rsidRPr="00966B21">
        <w:rPr>
          <w:noProof/>
          <w:lang w:val="en-GB"/>
        </w:rPr>
        <w:t>[32]</w:t>
      </w:r>
      <w:r w:rsidRPr="00966B21">
        <w:rPr>
          <w:lang w:val="en-GB"/>
        </w:rPr>
        <w:fldChar w:fldCharType="end"/>
      </w:r>
      <w:r w:rsidRPr="00966B21">
        <w:rPr>
          <w:lang w:val="en-GB"/>
        </w:rPr>
        <w:t xml:space="preserve">. Then, the initial geometries structures were optimized using DFT calculation, at B3LYP/6-31G(d,p) level of theory </w:t>
      </w:r>
      <w:r w:rsidRPr="00966B21">
        <w:rPr>
          <w:lang w:val="en-GB"/>
        </w:rPr>
        <w:fldChar w:fldCharType="begin" w:fldLock="1"/>
      </w:r>
      <w:r w:rsidR="00CD7D53" w:rsidRPr="00966B21">
        <w:rPr>
          <w:lang w:val="en-GB"/>
        </w:rPr>
        <w:instrText>ADDIN CSL_CITATION {"citationItems":[{"id":"ITEM-1","itemData":{"DOI":"10.1103/PhysRevB.37.785","author":[{"dropping-particle":"","family":"Lee","given":"Chengteh","non-dropping-particle":"","parse-names":false,"suffix":""},{"dropping-particle":"","family":"Yang","given":"Weitao","non-dropping-particle":"","parse-names":false,"suffix":""},{"dropping-particle":"","family":"Parr","given":"Robert G","non-dropping-particle":"","parse-names":false,"suffix":""}],"container-title":"Physical Review B","id":"ITEM-1","issue":"2","issued":{"date-parts":[["1988","1","15"]]},"page":"785-789","publisher":"American Physical Society","title":"Development of the Colle-Salvetti correlation-energy formula into a functional of the electron density","type":"article-journal","volume":"37"},"uris":["http://www.mendeley.com/documents/?uuid=3ff47b6a-d65d-4ce6-9c83-7acbdea986b5"]},{"id":"ITEM-2","itemData":{"ISBN":"978-94-009-9027-2","abstract":"Current studies in density functional theory and density matrix functional theory are reviewed, with special attention to the possible applications within chemistry. Topics discussed include the concept of electronegativity, the concept of an atom in a molecule, calculation of electronegativities from the Xα method, the concept of pressure, Gibbs-Duhem equation, Maxwell relations, stability conditions, and local density functional theory.","author":[{"dropping-particle":"","family":"Parr","given":"Robert G","non-dropping-particle":"","parse-names":false,"suffix":""}],"editor":[{"dropping-particle":"","family":"Fukui","given":"Kenichi","non-dropping-particle":"","parse-names":false,"suffix":""},{"dropping-particle":"","family":"Pullman","given":"Bernard","non-dropping-particle":"","parse-names":false,"suffix":""}],"id":"ITEM-2","issued":{"date-parts":[["1980"]]},"page":"5-15","publisher":"Springer Netherlands","publisher-place":"Dordrecht","title":"Density Functional Theory of Atoms and Molecules BT  - Horizons of Quantum Chemistry","type":"paper-conference"},"uris":["http://www.mendeley.com/documents/?uuid=e9252817-6d82-4953-b5ba-7aa9472e0863"]}],"mendeley":{"formattedCitation":"[33,34]","plainTextFormattedCitation":"[33,34]","previouslyFormattedCitation":"[32,33]"},"properties":{"noteIndex":0},"schema":"https://github.com/citation-style-language/schema/raw/master/csl-citation.json"}</w:instrText>
      </w:r>
      <w:r w:rsidRPr="00966B21">
        <w:rPr>
          <w:lang w:val="en-GB"/>
        </w:rPr>
        <w:fldChar w:fldCharType="separate"/>
      </w:r>
      <w:r w:rsidR="00CD7D53" w:rsidRPr="00966B21">
        <w:rPr>
          <w:noProof/>
          <w:lang w:val="en-GB"/>
        </w:rPr>
        <w:t>[33,34]</w:t>
      </w:r>
      <w:r w:rsidRPr="00966B21">
        <w:rPr>
          <w:lang w:val="en-GB"/>
        </w:rPr>
        <w:fldChar w:fldCharType="end"/>
      </w:r>
      <w:r w:rsidRPr="00966B21">
        <w:rPr>
          <w:lang w:val="en-GB"/>
        </w:rPr>
        <w:t xml:space="preserve">. </w:t>
      </w:r>
      <w:r w:rsidR="00714A32" w:rsidRPr="00966B21">
        <w:rPr>
          <w:color w:val="000000" w:themeColor="text1"/>
          <w:lang w:val="en-GB"/>
        </w:rPr>
        <w:t>DFT provides valuable insights into small-scale molecular interactions within DESs, describing the conformation of the components and the strength of interactions between them. However, it is important to consider that these interactions extend beyond the isolated HBD–HBA pair, as additional surrounding molecules contribute to the overall structural and energetic landscape. Therefore, DFT calculations provide a reasonable approximation of local interactions rather than a comprehensive description of the entire system</w:t>
      </w:r>
      <w:r w:rsidRPr="00966B21">
        <w:rPr>
          <w:color w:val="000000" w:themeColor="text1"/>
          <w:lang w:val="en-GB"/>
        </w:rPr>
        <w:t xml:space="preserve"> </w:t>
      </w:r>
      <w:r w:rsidRPr="00966B21">
        <w:rPr>
          <w:color w:val="000000" w:themeColor="text1"/>
          <w:lang w:val="en-GB"/>
        </w:rPr>
        <w:fldChar w:fldCharType="begin" w:fldLock="1"/>
      </w:r>
      <w:r w:rsidR="00CD7D53" w:rsidRPr="00966B21">
        <w:rPr>
          <w:color w:val="000000" w:themeColor="text1"/>
          <w:lang w:val="en-GB"/>
        </w:rPr>
        <w:instrText>ADDIN CSL_CITATION {"citationItems":[{"id":"ITEM-1","itemData":{"DOI":"10.1016/j.cplett.2021.138427","ISSN":"00092614","abstract":"The structural properties of choline chloride-based deep eutectic solvents (DESs) are investigated using the molecular dynamics simulations approach. The effect of different donor groups i.e. ethylene glycol, malic acid, tartaric acid, glycerol and oxalic acid with choline chloride acceptor in the formation of supramolecular structures are studied by employing different functionals. Different thermodynamic properties such as heat of formation, charge mobility, interaction energies, electronic energy, zero-point energy, dipole moment, heat capacity, entropy, bond angles and dihedral angles of the eutectic mixture are anticipated. Among all the deep eutectic solvents, DES3 is found to be more stable in terms of an extensive hydrogen-bonded network with maximum heat of formation (−5.94 × 104 eV). The extensive hydrogen bond network in DES3 also leads to substantially higher polarizability (222.124 au), thermal stability (345.14 kcal mol−1), heat capacity (121.43 Calmol−1K) and entropy (222.04 Calmol−1K−1). However, the viscosity of DES1 is found lowest (37 cP) with the highest conductivity (6.34 mS cm−1), dipole moment (16.14 Debye) and electron mobility (0.0919644 eV) and hole mobility (0.0477745 eV). This work will provide a new visualization of the supramolecular structure of choline chloride-based DESs with physical and electronic properties.","author":[{"dropping-particle":"","family":"Naseem","given":"Zubera","non-dropping-particle":"","parse-names":false,"suffix":""},{"dropping-particle":"","family":"Shehzad","given":"Rao Aqil","non-dropping-particle":"","parse-names":false,"suffix":""},{"dropping-particle":"","family":"Ihsan","given":"Anaum","non-dropping-particle":"","parse-names":false,"suffix":""},{"dropping-particle":"","family":"Iqbal","given":"Javed","non-dropping-particle":"","parse-names":false,"suffix":""},{"dropping-particle":"","family":"Zahid","given":"Muhammad","non-dropping-particle":"","parse-names":false,"suffix":""},{"dropping-particle":"","family":"Pervaiz","given":"Amjad","non-dropping-particle":"","parse-names":false,"suffix":""},{"dropping-particle":"","family":"Sarwari","given":"Ghulam","non-dropping-particle":"","parse-names":false,"suffix":""}],"container-title":"Chemical Physics Letters","id":"ITEM-1","issue":"November 2020","issued":{"date-parts":[["2021"]]},"page":"138427","publisher":"Elsevier B.V.","title":"Theoretical investigation of supramolecular hydrogen-bonded choline chloride-based deep eutectic solvents using density functional theory","type":"article-journal","volume":"769"},"uris":["http://www.mendeley.com/documents/?uuid=345ecda9-079b-414f-89e5-141b49d73ad2"]}],"mendeley":{"formattedCitation":"[35]","plainTextFormattedCitation":"[35]","previouslyFormattedCitation":"[34]"},"properties":{"noteIndex":0},"schema":"https://github.com/citation-style-language/schema/raw/master/csl-citation.json"}</w:instrText>
      </w:r>
      <w:r w:rsidRPr="00966B21">
        <w:rPr>
          <w:color w:val="000000" w:themeColor="text1"/>
          <w:lang w:val="en-GB"/>
        </w:rPr>
        <w:fldChar w:fldCharType="separate"/>
      </w:r>
      <w:r w:rsidR="00CD7D53" w:rsidRPr="00966B21">
        <w:rPr>
          <w:noProof/>
          <w:color w:val="000000" w:themeColor="text1"/>
          <w:lang w:val="en-GB"/>
        </w:rPr>
        <w:t>[35]</w:t>
      </w:r>
      <w:r w:rsidRPr="00966B21">
        <w:rPr>
          <w:color w:val="000000" w:themeColor="text1"/>
          <w:lang w:val="en-GB"/>
        </w:rPr>
        <w:fldChar w:fldCharType="end"/>
      </w:r>
      <w:r w:rsidRPr="00966B21">
        <w:rPr>
          <w:color w:val="000000" w:themeColor="text1"/>
          <w:lang w:val="en-GB"/>
        </w:rPr>
        <w:t>. Frequency calculations were performed to</w:t>
      </w:r>
      <w:r w:rsidRPr="00966B21">
        <w:rPr>
          <w:lang w:val="en-GB"/>
        </w:rPr>
        <w:t xml:space="preserve"> verify the stationary points on the potential energy surface. The interaction energies (∆E) were calculated as the difference between the total energy of the HES or complexes and the sum of </w:t>
      </w:r>
      <w:r w:rsidR="00F258BD" w:rsidRPr="00966B21">
        <w:rPr>
          <w:lang w:val="en-GB"/>
        </w:rPr>
        <w:t xml:space="preserve">the </w:t>
      </w:r>
      <w:r w:rsidRPr="00966B21">
        <w:rPr>
          <w:lang w:val="en-GB"/>
        </w:rPr>
        <w:t xml:space="preserve">total energies of the isolated components. All calculations were carried out using the Gaussian 16 suite of programs </w:t>
      </w:r>
      <w:r w:rsidR="00B33599" w:rsidRPr="00966B21">
        <w:rPr>
          <w:lang w:val="en-GB"/>
        </w:rPr>
        <w:fldChar w:fldCharType="begin" w:fldLock="1"/>
      </w:r>
      <w:r w:rsidR="00CD7D53" w:rsidRPr="00966B21">
        <w:rPr>
          <w:lang w:val="en-GB"/>
        </w:rPr>
        <w:instrText>ADDIN CSL_CITATION {"citationItems":[{"id":"ITEM-1","itemData":{"abstract":"Gaussian 16, Revision G.09, M. J. Frisch, G. W. Trucks, H. B. Schlegel, G. E. Scuseria, M. A. Robb, J. R. Cheeseman, G. Scalmani, V. Barone, G. A. Petersson, H. Nakatsuji, X. Li, M. Caricato, A. V. Marenich, J. Bloino, B. G. Janesko, R. Gomperts, B. Mennucci, H. P. Hratchian, J. V. Ortiz, A. F. Izmaylov, J. L. Sonnenberg, D. Williams-Young, F. Ding, F. Lipparini, F. Egidi, J. Goings, B. Peng, A. Petrone, T. Henderson, D. Ranasinghe, V. G. Zakrzewski, J. Gao, N. Rega, G. Zheng, W. Liang, M. Hada, M. Ehara, K. Toyota, R. Fukuda, J. Hasegawa, M. Ishida, T. Nakajima, Y. Honda, O. Kitao, H. Nakai, T. Vreven, K. Throssell, J. A. Montgomery, Jr., J. E. Peralta, F. Ogliaro, M. J. Bearpark, J. J. Heyd, E. N. Brothers, K. N. Kudin, V. N. Staroverov, T. A. Keith, R. Kobayashi, J. Normand, K. Raghavachari, A. P. Rendell, J. C. Burant, S. S. Iyengar, J. Tomasi, M. Cossi, J. M. Millam, M. Klene, C. Adamo, R. Cammi, J. W. Ochterski, R. L. Martin, K. Morokuma, O. Farkas, J. B. Foresman, and D. J. Fox, Gaussian, Inc., Wallingford CT, 2016.","author":[{"dropping-particle":"","family":"Frisch","given":"M. J.","non-dropping-particle":"","parse-names":false,"suffix":""},{"dropping-particle":"","family":"Trucks","given":"G. W.","non-dropping-particle":"","parse-names":false,"suffix":""},{"dropping-particle":"","family":"Schlegel","given":"H. B.","non-dropping-particle":"","parse-names":false,"suffix":""},{"dropping-particle":"","family":"Scuseria","given":"G. E.","non-dropping-particle":"","parse-names":false,"suffix":""},{"dropping-particle":"","family":"Robb","given":"M. a.","non-dropping-particle":"","parse-names":false,"suffix":""},{"dropping-particle":"","family":"Cheeseman","given":"J. R.","non-dropping-particle":"","parse-names":false,"suffix":""},{"dropping-particle":"","family":"Scalmani","given":"G.","non-dropping-particle":"","parse-names":false,"suffix":""},{"dropping-particle":"","family":"Barone","given":"V.","non-dropping-particle":"","parse-names":false,"suffix":""},{"dropping-particle":"","family":"Petersson","given":"G. a.","non-dropping-particle":"","parse-names":false,"suffix":""},{"dropping-particle":"","family":"Nakatsuji","given":"H.","non-dropping-particle":"","parse-names":false,"suffix":""},{"dropping-particle":"","family":"Li","given":"X.","non-dropping-particle":"","parse-names":false,"suffix":""},{"dropping-particle":"","family":"Caricato","given":"M.","non-dropping-particle":"","parse-names":false,"suffix":""},{"dropping-particle":"V.","family":"Marenich","given":"a.","non-dropping-particle":"","parse-names":false,"suffix":""},{"dropping-particle":"","family":"Bloino","given":"J.","non-dropping-particle":"","parse-names":false,"suffix":""},{"dropping-particle":"","family":"Janesko","given":"B. G.","non-dropping-particle":"","parse-names":false,"suffix":""},{"dropping-particle":"","family":"Gomperts","given":"R.","non-dropping-particle":"","parse-names":false,"suffix":""},{"dropping-particle":"","family":"Mennucci","given":"B.","non-dropping-particle":"","parse-names":false,"suffix":""},{"dropping-particle":"","family":"Hratchian","given":"H. P.","non-dropping-particle":"","parse-names":false,"suffix":""},{"dropping-particle":"V.","family":"Ortiz","given":"J.","non-dropping-particle":"","parse-names":false,"suffix":""},{"dropping-particle":"","family":"Izmaylov","given":"a. F.","non-dropping-particle":"","parse-names":false,"suffix":""},{"dropping-particle":"","family":"Sonnenberg","given":"J. L.","non-dropping-particle":"","parse-names":false,"suffix":""},{"dropping-particle":"","family":"Williams","given":"","non-dropping-particle":"","parse-names":false,"suffix":""},{"dropping-particle":"","family":"Ding","given":"F.","non-dropping-particle":"","parse-names":false,"suffix":""},{"dropping-particle":"","family":"Lipparini","given":"F.","non-dropping-particle":"","parse-names":false,"suffix":""},{"dropping-particle":"","family":"Egidi","given":"F.","non-dropping-particle":"","parse-names":false,"suffix":""},{"dropping-particle":"","family":"Goings","given":"J.","non-dropping-particle":"","parse-names":false,"suffix":""},{"dropping-particle":"","family":"Peng","given":"B.","non-dropping-particle":"","parse-names":false,"suffix":""},{"dropping-particle":"","family":"Petrone","given":"A.","non-dropping-particle":"","parse-names":false,"suffix":""},{"dropping-particle":"","family":"Henderson","given":"T.","non-dropping-particle":"","parse-names":false,"suffix":""},{"dropping-particle":"","family":"Ranasinghe","given":"D.","non-dropping-particle":"","parse-names":false,"suffix":""},{"dropping-particle":"","family":"Zakrzewski","given":"V. G.","non-dropping-particle":"","parse-names":false,"suffix":""},{"dropping-particle":"","family":"Gao","given":"J.","non-dropping-particle":"","parse-names":false,"suffix":""},{"dropping-particle":"","family":"Rega","given":"N.","non-dropping-particle":"","parse-names":false,"suffix":""},{"dropping-particle":"","family":"Zheng","given":"G.","non-dropping-particle":"","parse-names":false,"suffix":""},{"dropping-particle":"","family":"Liang","given":"W.","non-dropping-particle":"","parse-names":false,"suffix":""},{"dropping-particle":"","family":"Hada","given":"M.","non-dropping-particle":"","parse-names":false,"suffix":""},{"dropping-particle":"","family":"Ehara","given":"M.","non-dropping-particle":"","parse-names":false,"suffix":""},{"dropping-particle":"","family":"Toyota","given":"K.","non-dropping-particle":"","parse-names":false,"suffix":""},{"dropping-particle":"","family":"Fukuda","given":"R.","non-dropping-particle":"","parse-names":false,"suffix":""},{"dropping-particle":"","family":"Hasegawa","given":"J.","non-dropping-particle":"","parse-names":false,"suffix":""},{"dropping-particle":"","family":"Ishida","given":"M.","non-dropping-particle":"","parse-names":false,"suffix":""},{"dropping-particle":"","family":"Nakajima","given":"T.","non-dropping-particle":"","parse-names":false,"suffix":""},{"dropping-particle":"","family":"Honda","given":"Y.","non-dropping-particle":"","parse-names":false,"suffix":""},{"dropping-particle":"","family":"Kitao","given":"O.","non-dropping-particle":"","parse-names":false,"suffix":""},{"dropping-particle":"","family":"Nakai","given":"H.","non-dropping-particle":"","parse-names":false,"suffix":""},{"dropping-particle":"","family":"Vreven","given":"T.","non-dropping-particle":"","parse-names":false,"suffix":""},{"dropping-particle":"","family":"Throssell","given":"K.","non-dropping-particle":"","parse-names":false,"suffix":""},{"dropping-particle":"","family":"Montgomery Jr.","given":"J. a.","non-dropping-particle":"","parse-names":false,"suffix":""},{"dropping-particle":"","family":"Peralta","given":"J. E.","non-dropping-particle":"","parse-names":false,"suffix":""},{"dropping-particle":"","family":"Ogliaro","given":"F.","non-dropping-particle":"","parse-names":false,"suffix":""},{"dropping-particle":"","family":"Bearpark","given":"M. J.","non-dropping-particle":"","parse-names":false,"suffix":""},{"dropping-particle":"","family":"Heyd","given":"J. J.","non-dropping-particle":"","parse-names":false,"suffix":""},{"dropping-particle":"","family":"Brothers","given":"E. N.","non-dropping-particle":"","parse-names":false,"suffix":""},{"dropping-particle":"","family":"Kudin","given":"K. N.","non-dropping-particle":"","parse-names":false,"suffix":""},{"dropping-particle":"","family":"Staroverov","given":"V. N.","non-dropping-particle":"","parse-names":false,"suffix":""},{"dropping-particle":"","family":"Keith","given":"T. a.","non-dropping-particle":"","parse-names":false,"suffix":""},{"dropping-particle":"","family":"Kobayashi","given":"R.","non-dropping-particle":"","parse-names":false,"suffix":""},{"dropping-particle":"","family":"Normand","given":"J.","non-dropping-particle":"","parse-names":false,"suffix":""},{"dropping-particle":"","family":"Raghavachari","given":"K.","non-dropping-particle":"","parse-names":false,"suffix":""},{"dropping-particle":"","family":"Rendell","given":"a. P.","non-dropping-particle":"","parse-names":false,"suffix":""},{"dropping-particle":"","family":"Burant","given":"J. C.","non-dropping-particle":"","parse-names":false,"suffix":""},{"dropping-particle":"","family":"Iyengar","given":"S. S.","non-dropping-particle":"","parse-names":false,"suffix":""},{"dropping-particle":"","family":"Tomasi","given":"J.","non-dropping-particle":"","parse-names":false,"suffix":""},{"dropping-particle":"","family":"Cossi","given":"M.","non-dropping-particle":"","parse-names":false,"suffix":""},{"dropping-particle":"","family":"Millam","given":"J. M.","non-dropping-particle":"","parse-names":false,"suffix":""},{"dropping-particle":"","family":"Klene","given":"M.","non-dropping-particle":"","parse-names":false,"suffix":""},{"dropping-particle":"","family":"Adamo","given":"C.","non-dropping-particle":"","parse-names":false,"suffix":""},{"dropping-particle":"","family":"Cammi","given":"R.","non-dropping-particle":"","parse-names":false,"suffix":""},{"dropping-particle":"","family":"Ochterski","given":"J. W.","non-dropping-particle":"","parse-names":false,"suffix":""},{"dropping-particle":"","family":"Martin","given":"R. L.","non-dropping-particle":"","parse-names":false,"suffix":""},{"dropping-particle":"","family":"Morokuma","given":"K.","non-dropping-particle":"","parse-names":false,"suffix":""},{"dropping-particle":"","family":"Farkas","given":"O.","non-dropping-particle":"","parse-names":false,"suffix":""},{"dropping-particle":"","family":"Foresman","given":"J. B.","non-dropping-particle":"","parse-names":false,"suffix":""},{"dropping-particle":"","family":"Fox","given":"D. J.","non-dropping-particle":"","parse-names":false,"suffix":""}],"id":"ITEM-1","issued":{"date-parts":[["2016"]]},"page":"Gaussian 16, Revision C.01, Gaussian, Inc., Wallin","title":"G16_C01","type":"article"},"uris":["http://www.mendeley.com/documents/?uuid=881b972a-f4c3-4c6a-ae5f-1a71059b96f9"]}],"mendeley":{"formattedCitation":"[36]","plainTextFormattedCitation":"[36]","previouslyFormattedCitation":"[35]"},"properties":{"noteIndex":0},"schema":"https://github.com/citation-style-language/schema/raw/master/csl-citation.json"}</w:instrText>
      </w:r>
      <w:r w:rsidR="00B33599" w:rsidRPr="00966B21">
        <w:rPr>
          <w:lang w:val="en-GB"/>
        </w:rPr>
        <w:fldChar w:fldCharType="separate"/>
      </w:r>
      <w:r w:rsidR="00CD7D53" w:rsidRPr="00966B21">
        <w:rPr>
          <w:noProof/>
          <w:lang w:val="en-GB"/>
        </w:rPr>
        <w:t>[36]</w:t>
      </w:r>
      <w:r w:rsidR="00B33599" w:rsidRPr="00966B21">
        <w:rPr>
          <w:lang w:val="en-GB"/>
        </w:rPr>
        <w:fldChar w:fldCharType="end"/>
      </w:r>
      <w:r w:rsidR="00B33599" w:rsidRPr="00966B21">
        <w:rPr>
          <w:lang w:val="en-GB"/>
        </w:rPr>
        <w:t>.</w:t>
      </w:r>
      <w:r w:rsidRPr="00966B21">
        <w:rPr>
          <w:lang w:val="en-GB"/>
        </w:rPr>
        <w:t xml:space="preserve"> To obtain information about the nature of the intermolecular interactions in the systems under study, a topological analysis of the electron density distribution based on the QTAIM </w:t>
      </w:r>
      <w:r w:rsidRPr="00966B21">
        <w:rPr>
          <w:lang w:val="en-GB"/>
        </w:rPr>
        <w:fldChar w:fldCharType="begin" w:fldLock="1"/>
      </w:r>
      <w:r w:rsidR="00CD7D53" w:rsidRPr="00966B21">
        <w:rPr>
          <w:lang w:val="en-GB"/>
        </w:rPr>
        <w:instrText>ADDIN CSL_CITATION {"citationItems":[{"id":"ITEM-1","itemData":{"ISBN":"0198558651","abstract":"The molecular structure hypothesis--the proposition that a molecule is a collection of atoms linked by a network of bonds--provides the principal means of ordering and classifying observations in chemistry. It is not, however, directly related to the physics which govern the motions of atomic nuclei and electrons. This important book develops a theory establishing that molecular structure--with properties predicted and defined by the laws of quantum mechanics--can be explained in terms of underlying physics. As a result, the classification based upon the concept of atoms in molecules is freed from its empirical constraints and the full predictive power of quantum mechanics can be incorporated into the resulting theory--a theory of atoms in molecules. Eminently accessible and readable, this unique book will interest all physical scientists who use the concepts of atoms, bonds, and structure in the interpretation of their work.","author":[{"dropping-particle":"","family":"Bader","given":"Richard F W","non-dropping-particle":"","parse-names":false,"suffix":""}],"id":"ITEM-1","issued":{"date-parts":[["1990"]]},"language":"eng","publisher":"Oxford : Clarendon press","title":"Atoms in molecules : a quantum theory","type":"book"},"uris":["http://www.mendeley.com/documents/?uuid=0ac30052-03c1-4f8f-8344-8b0e55ec7549"]}],"mendeley":{"formattedCitation":"[25]","plainTextFormattedCitation":"[25]","previouslyFormattedCitation":"[24]"},"properties":{"noteIndex":0},"schema":"https://github.com/citation-style-language/schema/raw/master/csl-citation.json"}</w:instrText>
      </w:r>
      <w:r w:rsidRPr="00966B21">
        <w:rPr>
          <w:lang w:val="en-GB"/>
        </w:rPr>
        <w:fldChar w:fldCharType="separate"/>
      </w:r>
      <w:r w:rsidR="00CD7D53" w:rsidRPr="00966B21">
        <w:rPr>
          <w:noProof/>
          <w:lang w:val="en-GB"/>
        </w:rPr>
        <w:t>[25]</w:t>
      </w:r>
      <w:r w:rsidRPr="00966B21">
        <w:rPr>
          <w:lang w:val="en-GB"/>
        </w:rPr>
        <w:fldChar w:fldCharType="end"/>
      </w:r>
      <w:r w:rsidRPr="00966B21">
        <w:rPr>
          <w:lang w:val="en-GB"/>
        </w:rPr>
        <w:t xml:space="preserve"> was conducted using the AIMAII program </w:t>
      </w:r>
      <w:r w:rsidRPr="00966B21">
        <w:rPr>
          <w:lang w:val="en-GB"/>
        </w:rPr>
        <w:fldChar w:fldCharType="begin" w:fldLock="1"/>
      </w:r>
      <w:r w:rsidR="00CD7D53" w:rsidRPr="00966B21">
        <w:rPr>
          <w:lang w:val="en-GB"/>
        </w:rPr>
        <w:instrText>ADDIN CSL_CITATION {"citationItems":[{"id":"ITEM-1","itemData":{"author":[{"dropping-particle":"","family":"Keith","given":"T A","non-dropping-particle":"","parse-names":false,"suffix":""},{"dropping-particle":"","family":"Gristmill Software","given":"T K","non-dropping-particle":"","parse-names":false,"suffix":""}],"id":"ITEM-1","issued":{"date-parts":[["0"]]},"number":"11.05.16","publisher-place":"Overland Park KS","title":"AIMAII (Version 11.05.16)","type":"article"},"uris":["http://www.mendeley.com/documents/?uuid=e39bc2b2-6464-4e6a-870d-a0de24c34263"]}],"mendeley":{"formattedCitation":"[37]","plainTextFormattedCitation":"[37]","previouslyFormattedCitation":"[36]"},"properties":{"noteIndex":0},"schema":"https://github.com/citation-style-language/schema/raw/master/csl-citation.json"}</w:instrText>
      </w:r>
      <w:r w:rsidRPr="00966B21">
        <w:rPr>
          <w:lang w:val="en-GB"/>
        </w:rPr>
        <w:fldChar w:fldCharType="separate"/>
      </w:r>
      <w:r w:rsidR="00CD7D53" w:rsidRPr="00966B21">
        <w:rPr>
          <w:noProof/>
          <w:lang w:val="en-GB"/>
        </w:rPr>
        <w:t>[37]</w:t>
      </w:r>
      <w:r w:rsidRPr="00966B21">
        <w:rPr>
          <w:lang w:val="en-GB"/>
        </w:rPr>
        <w:fldChar w:fldCharType="end"/>
      </w:r>
      <w:r w:rsidRPr="00966B21">
        <w:rPr>
          <w:lang w:val="en-GB"/>
        </w:rPr>
        <w:t xml:space="preserve">. Calculations of noncovalent interactions (NCI) </w:t>
      </w:r>
      <w:r w:rsidRPr="00966B21">
        <w:rPr>
          <w:lang w:val="en-GB"/>
        </w:rPr>
        <w:fldChar w:fldCharType="begin" w:fldLock="1"/>
      </w:r>
      <w:r w:rsidR="00CD7D53" w:rsidRPr="00966B21">
        <w:rPr>
          <w:lang w:val="en-GB"/>
        </w:rPr>
        <w:instrText>ADDIN CSL_CITATION {"citationItems":[{"id":"ITEM-1","itemData":{"DOI":"10.1021/ja100936w","ISSN":"00027863","PMID":"20394428","abstract":"Molecular structure does not easily identify the intricate noncovalent interactions that govern many areas of biology and chemistry, including design of new materials and drugs. We develop an approach to detect noncovalent interactions in real space, based on the electron density and its derivatives. Our approach reveals the underlying chemistry that compliments the covalent structure. It provides a rich representation of van der Waals interactions, hydrogen bonds, and steric repulsion in small molecules, molecular complexes, and solids. Most importantly, the method, requiring only knowledge of the atomic coordinates, is efficient and applicable to large systems, such as proteins or DNA. Across these applications, a view of nonbonded interactions emerges as continuous surfaces rather than close contacts between atom pairs, offering rich insight into the design of new and improved ligands. © 2010 American Chemical Society.","author":[{"dropping-particle":"","family":"Johnson","given":"Erin R.","non-dropping-particle":"","parse-names":false,"suffix":""},{"dropping-particle":"","family":"Keinan","given":"Shahar","non-dropping-particle":"","parse-names":false,"suffix":""},{"dropping-particle":"","family":"Mori-Sánchez","given":"Paula","non-dropping-particle":"","parse-names":false,"suffix":""},{"dropping-particle":"","family":"Contreras-García","given":"Julia","non-dropping-particle":"","parse-names":false,"suffix":""},{"dropping-particle":"","family":"Cohen","given":"Aron J.","non-dropping-particle":"","parse-names":false,"suffix":""},{"dropping-particle":"","family":"Yang","given":"Weitao","non-dropping-particle":"","parse-names":false,"suffix":""}],"container-title":"Journal of the American Chemical Society","id":"ITEM-1","issue":"18","issued":{"date-parts":[["2010"]]},"page":"6498-6506","title":"Revealing noncovalent interactions","type":"article-journal","volume":"132"},"uris":["http://www.mendeley.com/documents/?uuid=cc759dfe-dcc7-49f4-91e7-359b92df81cc"]}],"mendeley":{"formattedCitation":"[38]","plainTextFormattedCitation":"[38]","previouslyFormattedCitation":"[37]"},"properties":{"noteIndex":0},"schema":"https://github.com/citation-style-language/schema/raw/master/csl-citation.json"}</w:instrText>
      </w:r>
      <w:r w:rsidRPr="00966B21">
        <w:rPr>
          <w:lang w:val="en-GB"/>
        </w:rPr>
        <w:fldChar w:fldCharType="separate"/>
      </w:r>
      <w:r w:rsidR="00CD7D53" w:rsidRPr="00966B21">
        <w:rPr>
          <w:noProof/>
          <w:lang w:val="en-GB"/>
        </w:rPr>
        <w:t>[38]</w:t>
      </w:r>
      <w:r w:rsidRPr="00966B21">
        <w:rPr>
          <w:lang w:val="en-GB"/>
        </w:rPr>
        <w:fldChar w:fldCharType="end"/>
      </w:r>
      <w:r w:rsidRPr="00966B21">
        <w:rPr>
          <w:lang w:val="en-GB"/>
        </w:rPr>
        <w:t xml:space="preserve"> were performed using the NCIPLOT program </w:t>
      </w:r>
      <w:r w:rsidRPr="00966B21">
        <w:rPr>
          <w:lang w:val="en-GB"/>
        </w:rPr>
        <w:fldChar w:fldCharType="begin" w:fldLock="1"/>
      </w:r>
      <w:r w:rsidR="00CD7D53" w:rsidRPr="00966B21">
        <w:rPr>
          <w:lang w:val="en-GB"/>
        </w:rPr>
        <w:instrText>ADDIN CSL_CITATION {"citationItems":[{"id":"ITEM-1","itemData":{"author":[{"dropping-particle":"","family":"Contreras","given":"Julia","non-dropping-particle":"","parse-names":false,"suffix":""},{"dropping-particle":"","family":"Johnson","given":"Erin","non-dropping-particle":"","parse-names":false,"suffix":""},{"dropping-particle":"","family":"Keinan","given":"Shahar","non-dropping-particle":"","parse-names":false,"suffix":""},{"dropping-particle":"","family":"Chaudret","given":"Robin","non-dropping-particle":"","parse-names":false,"suffix":""},{"dropping-particle":"","family":"Piquemal","given":"Jean","non-dropping-particle":"","parse-names":false,"suffix":""},{"dropping-particle":"","family":"Beratan","given":"David","non-dropping-particle":"","parse-names":false,"suffix":""},{"dropping-particle":"","family":"Yang","given":"Weitao","non-dropping-particle":"","parse-names":false,"suffix":""}],"container-title":"Journal of Chemical Theory and Computation","id":"ITEM-1","issued":{"date-parts":[["2011"]]},"page":"625-632","title":"Ct100641a","type":"article-journal"},"uris":["http://www.mendeley.com/documents/?uuid=c00e4723-25af-4fb9-885f-0da8528aaca3"]}],"mendeley":{"formattedCitation":"[39]","plainTextFormattedCitation":"[39]","previouslyFormattedCitation":"[38]"},"properties":{"noteIndex":0},"schema":"https://github.com/citation-style-language/schema/raw/master/csl-citation.json"}</w:instrText>
      </w:r>
      <w:r w:rsidRPr="00966B21">
        <w:rPr>
          <w:lang w:val="en-GB"/>
        </w:rPr>
        <w:fldChar w:fldCharType="separate"/>
      </w:r>
      <w:r w:rsidR="00CD7D53" w:rsidRPr="00966B21">
        <w:rPr>
          <w:noProof/>
          <w:lang w:val="en-GB"/>
        </w:rPr>
        <w:t>[39]</w:t>
      </w:r>
      <w:r w:rsidRPr="00966B21">
        <w:rPr>
          <w:lang w:val="en-GB"/>
        </w:rPr>
        <w:fldChar w:fldCharType="end"/>
      </w:r>
      <w:r w:rsidRPr="00966B21">
        <w:rPr>
          <w:lang w:val="en-GB"/>
        </w:rPr>
        <w:t>.</w:t>
      </w:r>
      <w:r w:rsidR="00B33599" w:rsidRPr="00966B21">
        <w:rPr>
          <w:lang w:val="en-GB"/>
        </w:rPr>
        <w:t xml:space="preserve"> </w:t>
      </w:r>
    </w:p>
    <w:p w14:paraId="42446CA5" w14:textId="77777777" w:rsidR="001F5077" w:rsidRPr="00966B21" w:rsidRDefault="001F5077" w:rsidP="001F5077">
      <w:pPr>
        <w:pStyle w:val="NormaleWeb"/>
        <w:spacing w:before="0" w:beforeAutospacing="0" w:after="0" w:afterAutospacing="0"/>
        <w:jc w:val="both"/>
        <w:rPr>
          <w:lang w:val="en-GB"/>
        </w:rPr>
      </w:pPr>
    </w:p>
    <w:p w14:paraId="5608CFA1" w14:textId="77777777" w:rsidR="00955282" w:rsidRPr="00966B21" w:rsidRDefault="00955282" w:rsidP="002753DB">
      <w:pPr>
        <w:pStyle w:val="NormaleWeb"/>
        <w:spacing w:before="0" w:beforeAutospacing="0" w:after="0" w:afterAutospacing="0"/>
        <w:jc w:val="both"/>
        <w:rPr>
          <w:lang w:val="en-GB"/>
        </w:rPr>
      </w:pPr>
    </w:p>
    <w:p w14:paraId="2B123D97" w14:textId="77777777" w:rsidR="00453F00" w:rsidRPr="00966B21" w:rsidRDefault="00AB00F3" w:rsidP="002753DB">
      <w:pPr>
        <w:pStyle w:val="NormaleWeb"/>
        <w:spacing w:before="0" w:beforeAutospacing="0" w:after="0" w:afterAutospacing="0"/>
        <w:jc w:val="both"/>
        <w:rPr>
          <w:b/>
          <w:lang w:val="en-GB"/>
        </w:rPr>
      </w:pPr>
      <w:r w:rsidRPr="00966B21">
        <w:rPr>
          <w:b/>
          <w:lang w:val="en-GB"/>
        </w:rPr>
        <w:t xml:space="preserve">3 </w:t>
      </w:r>
      <w:r w:rsidR="003A6CD9" w:rsidRPr="00966B21">
        <w:rPr>
          <w:b/>
          <w:lang w:val="en-GB"/>
        </w:rPr>
        <w:t>Results and discussion</w:t>
      </w:r>
    </w:p>
    <w:p w14:paraId="75D1851F" w14:textId="77777777" w:rsidR="00955282" w:rsidRPr="00966B21" w:rsidRDefault="00955282" w:rsidP="002753DB">
      <w:pPr>
        <w:pStyle w:val="NormaleWeb"/>
        <w:spacing w:before="0" w:beforeAutospacing="0" w:after="0" w:afterAutospacing="0"/>
        <w:jc w:val="both"/>
        <w:rPr>
          <w:b/>
          <w:lang w:val="en-GB"/>
        </w:rPr>
      </w:pPr>
    </w:p>
    <w:p w14:paraId="01ECEA1B" w14:textId="7C95E1E7" w:rsidR="00167A3D" w:rsidRPr="00966B21" w:rsidRDefault="00AB00F3" w:rsidP="002753DB">
      <w:pPr>
        <w:pStyle w:val="NormaleWeb"/>
        <w:spacing w:before="0" w:beforeAutospacing="0" w:after="0" w:afterAutospacing="0"/>
        <w:jc w:val="both"/>
        <w:rPr>
          <w:lang w:val="en-GB"/>
        </w:rPr>
      </w:pPr>
      <w:r w:rsidRPr="00966B21">
        <w:rPr>
          <w:lang w:val="en-GB"/>
        </w:rPr>
        <w:t xml:space="preserve">3.1 </w:t>
      </w:r>
      <w:r w:rsidR="00167A3D" w:rsidRPr="00966B21">
        <w:rPr>
          <w:lang w:val="en-GB"/>
        </w:rPr>
        <w:t>Solvent</w:t>
      </w:r>
      <w:r w:rsidR="00F258BD" w:rsidRPr="00966B21">
        <w:rPr>
          <w:lang w:val="en-GB"/>
        </w:rPr>
        <w:t>s</w:t>
      </w:r>
      <w:r w:rsidR="00167A3D" w:rsidRPr="00966B21">
        <w:rPr>
          <w:lang w:val="en-GB"/>
        </w:rPr>
        <w:t xml:space="preserve"> characterization</w:t>
      </w:r>
    </w:p>
    <w:p w14:paraId="78DDBA63" w14:textId="77777777" w:rsidR="00706AF9" w:rsidRPr="00966B21" w:rsidRDefault="00706AF9" w:rsidP="002753DB">
      <w:pPr>
        <w:pStyle w:val="NormaleWeb"/>
        <w:spacing w:before="0" w:beforeAutospacing="0" w:after="0" w:afterAutospacing="0"/>
        <w:jc w:val="both"/>
        <w:rPr>
          <w:lang w:val="en-GB"/>
        </w:rPr>
      </w:pPr>
    </w:p>
    <w:p w14:paraId="6D446B17" w14:textId="46BCF972" w:rsidR="009D0491" w:rsidRPr="00966B21" w:rsidRDefault="00AC1D4C" w:rsidP="002753DB">
      <w:pPr>
        <w:pStyle w:val="NormaleWeb"/>
        <w:spacing w:before="0" w:beforeAutospacing="0" w:after="0" w:afterAutospacing="0"/>
        <w:jc w:val="both"/>
        <w:rPr>
          <w:lang w:val="en-GB"/>
        </w:rPr>
      </w:pPr>
      <w:r w:rsidRPr="00966B21">
        <w:rPr>
          <w:lang w:val="en-GB"/>
        </w:rPr>
        <w:t>Table 1 provides the maximum absorption wavelength λ</w:t>
      </w:r>
      <w:r w:rsidRPr="00966B21">
        <w:rPr>
          <w:vertAlign w:val="subscript"/>
          <w:lang w:val="en-GB"/>
        </w:rPr>
        <w:t>max</w:t>
      </w:r>
      <w:r w:rsidRPr="00966B21">
        <w:rPr>
          <w:lang w:val="en-GB"/>
        </w:rPr>
        <w:t xml:space="preserve"> and the non-radiative energy or transition energy E</w:t>
      </w:r>
      <w:r w:rsidRPr="00966B21">
        <w:rPr>
          <w:vertAlign w:val="subscript"/>
          <w:lang w:val="en-GB"/>
        </w:rPr>
        <w:t>NR</w:t>
      </w:r>
      <w:r w:rsidRPr="00966B21">
        <w:rPr>
          <w:lang w:val="en-GB"/>
        </w:rPr>
        <w:t xml:space="preserve"> of the Nile Red probe in the different solvents</w:t>
      </w:r>
      <w:r w:rsidR="00E44128" w:rsidRPr="00966B21">
        <w:rPr>
          <w:lang w:val="en-GB"/>
        </w:rPr>
        <w:t xml:space="preserve"> (Figure S1)</w:t>
      </w:r>
      <w:r w:rsidRPr="00966B21">
        <w:rPr>
          <w:lang w:val="en-GB"/>
        </w:rPr>
        <w:t>. Nile Red typically exhibits red</w:t>
      </w:r>
      <w:r w:rsidR="007F4B71" w:rsidRPr="00966B21">
        <w:rPr>
          <w:lang w:val="en-GB"/>
        </w:rPr>
        <w:t xml:space="preserve"> </w:t>
      </w:r>
      <w:r w:rsidRPr="00966B21">
        <w:rPr>
          <w:lang w:val="en-GB"/>
        </w:rPr>
        <w:t xml:space="preserve">shifts in more hydrophobic environments due to better stabilization of its excited state in non-polar solvents </w:t>
      </w:r>
      <w:r w:rsidR="00E01993" w:rsidRPr="00966B21">
        <w:rPr>
          <w:lang w:val="en-GB"/>
        </w:rPr>
        <w:fldChar w:fldCharType="begin" w:fldLock="1"/>
      </w:r>
      <w:r w:rsidR="00CD7D53" w:rsidRPr="00966B21">
        <w:rPr>
          <w:lang w:val="en-GB"/>
        </w:rPr>
        <w:instrText>ADDIN CSL_CITATION {"citationItems":[{"id":"ITEM-1","itemData":{"DOI":"10.1021/acssuschemeng.1c04591","ISSN":"21680485","abstract":"Natural deep eutectic solvents (NADESs) are considered as green solvents, and due to their promising sustainability, they have been applied in many research fields. In this study, the main goal is to use various NADES systems to replace the traditional solvents used in conservation and restoration to remove varnish layers in a painting. The toxicity of traditional solvents, such as toluene or acetone, is well known in the chemistry field. To replace them, it is important to understand the intrinsic physicochemical properties of a solvent that may act as a substitute. Polarity and solubility are proposed as the best parameters required for this study. The Nile red probe was used to confirm the similarity between the polarity of deep eutectic systems (DESs) and traditional solvents. According to their polarities and Hansen solubility parameters, it is possible to predict the best solvents to solubilize the natural resin varnishes. Besides this, some arithmetic models can also be applied to estimate the critical or thermodynamic properties, which are useful tools to predict the behavior of these solvents. We have further proven the possibility of dissolving natural varnishes such as dammar or mastic in hydrophobic DESs, such as menthol + lauric acid, menthol + decanoic acid, or menthol + thymol.","author":[{"dropping-particle":"","family":"Fernandes","given":"Cláudio Correia","non-dropping-particle":"","parse-names":false,"suffix":""},{"dropping-particle":"","family":"Haghbakhsh","given":"Reza","non-dropping-particle":"","parse-names":false,"suffix":""},{"dropping-particle":"","family":"Marques","given":"Raquel","non-dropping-particle":"","parse-names":false,"suffix":""},{"dropping-particle":"","family":"Paiva","given":"Alexandre","non-dropping-particle":"","parse-names":false,"suffix":""},{"dropping-particle":"","family":"Carlyle","given":"Leslie","non-dropping-particle":"","parse-names":false,"suffix":""},{"dropping-particle":"","family":"Duarte","given":"Ana Rita Cruz","non-dropping-particle":"","parse-names":false,"suffix":""}],"container-title":"ACS Sustainable Chemistry and Engineering","id":"ITEM-1","issue":"46","issued":{"date-parts":[["2021"]]},"page":"15451-15460","title":"Evaluation of Deep Eutectic Systems as an Alternative to Solvents in Painting Conservation","type":"article-journal","volume":"9"},"uris":["http://www.mendeley.com/documents/?uuid=cd6350c8-2d8a-4b1c-a888-b73502eb43d4","http://www.mendeley.com/documents/?uuid=2d696306-a128-4193-9aaa-1fbaf70d45dc"]}],"mendeley":{"formattedCitation":"[30]","plainTextFormattedCitation":"[30]","previouslyFormattedCitation":"[29]"},"properties":{"noteIndex":0},"schema":"https://github.com/citation-style-language/schema/raw/master/csl-citation.json"}</w:instrText>
      </w:r>
      <w:r w:rsidR="00E01993" w:rsidRPr="00966B21">
        <w:rPr>
          <w:lang w:val="en-GB"/>
        </w:rPr>
        <w:fldChar w:fldCharType="separate"/>
      </w:r>
      <w:r w:rsidR="00CD7D53" w:rsidRPr="00966B21">
        <w:rPr>
          <w:noProof/>
          <w:lang w:val="en-GB"/>
        </w:rPr>
        <w:t>[30]</w:t>
      </w:r>
      <w:r w:rsidR="00E01993" w:rsidRPr="00966B21">
        <w:rPr>
          <w:lang w:val="en-GB"/>
        </w:rPr>
        <w:fldChar w:fldCharType="end"/>
      </w:r>
      <w:r w:rsidR="00F07537" w:rsidRPr="00966B21">
        <w:rPr>
          <w:lang w:val="en-GB"/>
        </w:rPr>
        <w:t>. Hence E</w:t>
      </w:r>
      <w:r w:rsidR="00F07537" w:rsidRPr="00966B21">
        <w:rPr>
          <w:vertAlign w:val="subscript"/>
          <w:lang w:val="en-GB"/>
        </w:rPr>
        <w:t>NR</w:t>
      </w:r>
      <w:r w:rsidR="00F07537" w:rsidRPr="00966B21">
        <w:rPr>
          <w:lang w:val="en-GB"/>
        </w:rPr>
        <w:t xml:space="preserve"> </w:t>
      </w:r>
      <w:r w:rsidR="009D0491" w:rsidRPr="00966B21">
        <w:rPr>
          <w:lang w:val="en-GB"/>
        </w:rPr>
        <w:t xml:space="preserve">can be </w:t>
      </w:r>
      <w:r w:rsidR="00727DB4" w:rsidRPr="00966B21">
        <w:rPr>
          <w:lang w:val="en-GB"/>
        </w:rPr>
        <w:t>analysed</w:t>
      </w:r>
      <w:r w:rsidR="009D0491" w:rsidRPr="00966B21">
        <w:rPr>
          <w:lang w:val="en-GB"/>
        </w:rPr>
        <w:t xml:space="preserve"> to </w:t>
      </w:r>
      <w:r w:rsidR="00710B1B" w:rsidRPr="00966B21">
        <w:rPr>
          <w:lang w:val="en-GB"/>
        </w:rPr>
        <w:t>estimate</w:t>
      </w:r>
      <w:r w:rsidR="009D0491" w:rsidRPr="00966B21">
        <w:rPr>
          <w:lang w:val="en-GB"/>
        </w:rPr>
        <w:t xml:space="preserve"> the polarity or hydrophobicity of the solvents.</w:t>
      </w:r>
      <w:r w:rsidR="00F07537" w:rsidRPr="00966B21">
        <w:rPr>
          <w:lang w:val="en-GB"/>
        </w:rPr>
        <w:t xml:space="preserve"> E</w:t>
      </w:r>
      <w:r w:rsidR="00F07537" w:rsidRPr="00966B21">
        <w:rPr>
          <w:vertAlign w:val="subscript"/>
          <w:lang w:val="en-GB"/>
        </w:rPr>
        <w:t>NR</w:t>
      </w:r>
      <w:r w:rsidR="00F07537" w:rsidRPr="00966B21">
        <w:rPr>
          <w:lang w:val="en-GB"/>
        </w:rPr>
        <w:t xml:space="preserve"> can be calculated </w:t>
      </w:r>
      <w:r w:rsidR="001B1786" w:rsidRPr="00966B21">
        <w:rPr>
          <w:lang w:val="en-GB"/>
        </w:rPr>
        <w:t>as:</w:t>
      </w:r>
    </w:p>
    <w:p w14:paraId="4A29BF9F" w14:textId="77777777" w:rsidR="00B934E2" w:rsidRPr="00966B21" w:rsidRDefault="00B934E2" w:rsidP="002753DB">
      <w:pPr>
        <w:pStyle w:val="NormaleWeb"/>
        <w:spacing w:before="0" w:beforeAutospacing="0" w:after="0" w:afterAutospacing="0"/>
        <w:jc w:val="both"/>
        <w:rPr>
          <w:lang w:val="en-GB"/>
        </w:rPr>
      </w:pPr>
    </w:p>
    <w:p w14:paraId="74CD3D53" w14:textId="47B1668D" w:rsidR="000B588B" w:rsidRPr="00966B21" w:rsidRDefault="00000000" w:rsidP="002753DB">
      <w:pPr>
        <w:pStyle w:val="NormaleWeb"/>
        <w:spacing w:before="0" w:beforeAutospacing="0" w:after="0" w:afterAutospacing="0"/>
        <w:jc w:val="both"/>
        <w:rPr>
          <w:lang w:val="en-GB"/>
        </w:rPr>
      </w:pPr>
      <m:oMath>
        <m:sSub>
          <m:sSubPr>
            <m:ctrlPr>
              <w:rPr>
                <w:rFonts w:ascii="Cambria Math" w:hAnsi="Cambria Math"/>
                <w:i/>
                <w:lang w:val="en-GB"/>
              </w:rPr>
            </m:ctrlPr>
          </m:sSubPr>
          <m:e>
            <m:r>
              <w:rPr>
                <w:rFonts w:ascii="Cambria Math" w:hAnsi="Cambria Math"/>
                <w:lang w:val="en-GB"/>
              </w:rPr>
              <m:t>E</m:t>
            </m:r>
          </m:e>
          <m:sub>
            <m:r>
              <w:rPr>
                <w:rFonts w:ascii="Cambria Math" w:hAnsi="Cambria Math"/>
                <w:lang w:val="en-GB"/>
              </w:rPr>
              <m:t>NR</m:t>
            </m:r>
          </m:sub>
        </m:sSub>
        <m:r>
          <w:rPr>
            <w:rFonts w:ascii="Cambria Math" w:hAnsi="Cambria Math"/>
            <w:lang w:val="en-GB"/>
          </w:rPr>
          <m:t xml:space="preserve">= </m:t>
        </m:r>
        <m:f>
          <m:fPr>
            <m:ctrlPr>
              <w:rPr>
                <w:rFonts w:ascii="Cambria Math" w:hAnsi="Cambria Math"/>
                <w:i/>
                <w:lang w:val="en-GB"/>
              </w:rPr>
            </m:ctrlPr>
          </m:fPr>
          <m:num>
            <m:r>
              <w:rPr>
                <w:rFonts w:ascii="Cambria Math" w:hAnsi="Cambria Math"/>
                <w:lang w:val="en-GB"/>
              </w:rPr>
              <m:t>28,591</m:t>
            </m:r>
          </m:num>
          <m:den>
            <m:r>
              <m:rPr>
                <m:sty m:val="p"/>
              </m:rPr>
              <w:rPr>
                <w:rFonts w:ascii="Cambria Math" w:hAnsi="Cambria Math"/>
                <w:lang w:val="en-GB"/>
              </w:rPr>
              <m:t>λ</m:t>
            </m:r>
            <m:r>
              <m:rPr>
                <m:sty m:val="p"/>
              </m:rPr>
              <w:rPr>
                <w:rFonts w:ascii="Cambria Math" w:hAnsi="Cambria Math"/>
                <w:vertAlign w:val="subscript"/>
                <w:lang w:val="en-GB"/>
              </w:rPr>
              <m:t>max</m:t>
            </m:r>
          </m:den>
        </m:f>
      </m:oMath>
      <w:r w:rsidR="00014E98" w:rsidRPr="00966B21">
        <w:rPr>
          <w:lang w:val="en-GB"/>
        </w:rPr>
        <w:t xml:space="preserve">        Equation (3)</w:t>
      </w:r>
    </w:p>
    <w:p w14:paraId="7BB81A97" w14:textId="77777777" w:rsidR="00B934E2" w:rsidRPr="00966B21" w:rsidRDefault="00B934E2" w:rsidP="002753DB">
      <w:pPr>
        <w:pStyle w:val="NormaleWeb"/>
        <w:spacing w:before="0" w:beforeAutospacing="0" w:after="0" w:afterAutospacing="0"/>
        <w:jc w:val="both"/>
        <w:rPr>
          <w:lang w:val="en-GB"/>
        </w:rPr>
      </w:pPr>
    </w:p>
    <w:p w14:paraId="00B68F9E" w14:textId="1613DC85" w:rsidR="009D0491" w:rsidRPr="00966B21" w:rsidRDefault="00AC1D4C" w:rsidP="002753DB">
      <w:pPr>
        <w:pStyle w:val="NormaleWeb"/>
        <w:spacing w:before="0" w:beforeAutospacing="0" w:after="0" w:afterAutospacing="0"/>
        <w:jc w:val="both"/>
        <w:rPr>
          <w:lang w:val="en-GB"/>
        </w:rPr>
      </w:pPr>
      <w:r w:rsidRPr="00966B21">
        <w:rPr>
          <w:lang w:val="en-GB"/>
        </w:rPr>
        <w:t>Because polar solvents cause Nile Red to be absorbed at higher wavelengths, according to Equation 3, polar solvents have lower E</w:t>
      </w:r>
      <w:r w:rsidRPr="00966B21">
        <w:rPr>
          <w:vertAlign w:val="subscript"/>
          <w:lang w:val="en-GB"/>
        </w:rPr>
        <w:t>NR</w:t>
      </w:r>
      <w:r w:rsidRPr="00966B21">
        <w:rPr>
          <w:lang w:val="en-GB"/>
        </w:rPr>
        <w:t xml:space="preserve"> values. Considering the relationship between E</w:t>
      </w:r>
      <w:r w:rsidRPr="00966B21">
        <w:rPr>
          <w:vertAlign w:val="subscript"/>
          <w:lang w:val="en-GB"/>
        </w:rPr>
        <w:t>NR</w:t>
      </w:r>
      <w:r w:rsidRPr="00966B21">
        <w:rPr>
          <w:lang w:val="en-GB"/>
        </w:rPr>
        <w:t xml:space="preserve"> and polarity, it can be observed that TLAC is the most polar solvent, while MLAU and MAO</w:t>
      </w:r>
      <w:r w:rsidR="007F4B71" w:rsidRPr="00966B21">
        <w:rPr>
          <w:lang w:val="en-GB"/>
        </w:rPr>
        <w:t xml:space="preserve"> are</w:t>
      </w:r>
      <w:r w:rsidRPr="00966B21">
        <w:rPr>
          <w:lang w:val="en-GB"/>
        </w:rPr>
        <w:t xml:space="preserve"> the least (Table 1). MLAU has</w:t>
      </w:r>
      <w:r w:rsidR="00984A65" w:rsidRPr="00966B21">
        <w:rPr>
          <w:lang w:val="en-GB"/>
        </w:rPr>
        <w:t xml:space="preserve"> a</w:t>
      </w:r>
      <w:r w:rsidRPr="00966B21">
        <w:rPr>
          <w:lang w:val="en-GB"/>
        </w:rPr>
        <w:t xml:space="preserve"> similar E</w:t>
      </w:r>
      <w:r w:rsidRPr="00966B21">
        <w:rPr>
          <w:vertAlign w:val="subscript"/>
          <w:lang w:val="en-GB"/>
        </w:rPr>
        <w:t>NR</w:t>
      </w:r>
      <w:r w:rsidRPr="00966B21">
        <w:rPr>
          <w:lang w:val="en-GB"/>
        </w:rPr>
        <w:t xml:space="preserve"> value of the mixture hexane</w:t>
      </w:r>
      <w:r w:rsidR="00984A65" w:rsidRPr="00966B21">
        <w:rPr>
          <w:lang w:val="en-GB"/>
        </w:rPr>
        <w:t>/</w:t>
      </w:r>
      <w:r w:rsidRPr="00966B21">
        <w:rPr>
          <w:lang w:val="en-GB"/>
        </w:rPr>
        <w:t>acetone</w:t>
      </w:r>
      <w:r w:rsidR="00984A65" w:rsidRPr="00966B21">
        <w:rPr>
          <w:lang w:val="en-GB"/>
        </w:rPr>
        <w:t>/</w:t>
      </w:r>
      <w:r w:rsidRPr="00966B21">
        <w:rPr>
          <w:lang w:val="en-GB"/>
        </w:rPr>
        <w:t xml:space="preserve">ethanol; hence their extraction properties could be similar. TAO, TM, TLAU and MLEV </w:t>
      </w:r>
      <w:r w:rsidR="00710B1B" w:rsidRPr="00966B21">
        <w:rPr>
          <w:color w:val="000000" w:themeColor="text1"/>
          <w:lang w:val="en-US"/>
        </w:rPr>
        <w:t>can be considered to have moderately low polarity</w:t>
      </w:r>
      <w:r w:rsidR="00710B1B" w:rsidRPr="00966B21">
        <w:rPr>
          <w:lang w:val="en-GB"/>
        </w:rPr>
        <w:t xml:space="preserve"> </w:t>
      </w:r>
      <w:r w:rsidRPr="00966B21">
        <w:rPr>
          <w:lang w:val="en-GB"/>
        </w:rPr>
        <w:t>by comparing the E</w:t>
      </w:r>
      <w:r w:rsidRPr="00966B21">
        <w:rPr>
          <w:vertAlign w:val="subscript"/>
          <w:lang w:val="en-GB"/>
        </w:rPr>
        <w:t>NR</w:t>
      </w:r>
      <w:r w:rsidRPr="00966B21">
        <w:rPr>
          <w:lang w:val="en-GB"/>
        </w:rPr>
        <w:t xml:space="preserve"> for Nile Red in other solvents like water (E</w:t>
      </w:r>
      <w:r w:rsidRPr="00966B21">
        <w:rPr>
          <w:vertAlign w:val="subscript"/>
          <w:lang w:val="en-GB"/>
        </w:rPr>
        <w:t>NR</w:t>
      </w:r>
      <w:r w:rsidRPr="00966B21">
        <w:rPr>
          <w:lang w:val="en-GB"/>
        </w:rPr>
        <w:t>=</w:t>
      </w:r>
      <w:r w:rsidRPr="00966B21">
        <w:rPr>
          <w:rFonts w:ascii="Calibri" w:eastAsia="+mn-ea" w:hAnsi="Calibri" w:cs="+mn-cs"/>
          <w:color w:val="000000"/>
          <w:kern w:val="24"/>
          <w:sz w:val="36"/>
          <w:szCs w:val="36"/>
          <w:lang w:val="en-GB" w:eastAsia="en-US"/>
        </w:rPr>
        <w:t xml:space="preserve"> </w:t>
      </w:r>
      <w:r w:rsidRPr="00966B21">
        <w:rPr>
          <w:lang w:val="en-GB"/>
        </w:rPr>
        <w:t>48.8 kcal mol</w:t>
      </w:r>
      <w:r w:rsidRPr="00966B21">
        <w:rPr>
          <w:vertAlign w:val="superscript"/>
          <w:lang w:val="en-GB"/>
        </w:rPr>
        <w:t>-1</w:t>
      </w:r>
      <w:r w:rsidRPr="00966B21">
        <w:rPr>
          <w:lang w:val="en-GB"/>
        </w:rPr>
        <w:t>) or iso-octane (E</w:t>
      </w:r>
      <w:r w:rsidRPr="00966B21">
        <w:rPr>
          <w:vertAlign w:val="subscript"/>
          <w:lang w:val="en-GB"/>
        </w:rPr>
        <w:t>NR</w:t>
      </w:r>
      <w:r w:rsidRPr="00966B21">
        <w:rPr>
          <w:lang w:val="en-GB"/>
        </w:rPr>
        <w:t>=</w:t>
      </w:r>
      <w:r w:rsidRPr="00966B21">
        <w:rPr>
          <w:rFonts w:ascii="Calibri" w:eastAsia="+mn-ea" w:hAnsi="Calibri" w:cs="+mn-cs"/>
          <w:color w:val="000000"/>
          <w:kern w:val="24"/>
          <w:sz w:val="36"/>
          <w:szCs w:val="36"/>
          <w:lang w:val="en-GB" w:eastAsia="en-US"/>
        </w:rPr>
        <w:t xml:space="preserve"> </w:t>
      </w:r>
      <w:r w:rsidRPr="00966B21">
        <w:rPr>
          <w:lang w:val="en-GB"/>
        </w:rPr>
        <w:t>58.4 kcal mol</w:t>
      </w:r>
      <w:r w:rsidRPr="00966B21">
        <w:rPr>
          <w:vertAlign w:val="superscript"/>
          <w:lang w:val="en-GB"/>
        </w:rPr>
        <w:t>-1</w:t>
      </w:r>
      <w:r w:rsidR="00117751" w:rsidRPr="00966B21">
        <w:rPr>
          <w:lang w:val="en-GB"/>
        </w:rPr>
        <w:t>)</w:t>
      </w:r>
      <w:r w:rsidRPr="00966B21">
        <w:rPr>
          <w:lang w:val="en-GB"/>
        </w:rPr>
        <w:t xml:space="preserve"> </w:t>
      </w:r>
      <w:r w:rsidR="00E01993" w:rsidRPr="00966B21">
        <w:rPr>
          <w:lang w:val="en-GB"/>
        </w:rPr>
        <w:fldChar w:fldCharType="begin" w:fldLock="1"/>
      </w:r>
      <w:r w:rsidR="00CD7D53" w:rsidRPr="00966B21">
        <w:rPr>
          <w:lang w:val="en-GB"/>
        </w:rPr>
        <w:instrText>ADDIN CSL_CITATION {"citationItems":[{"id":"ITEM-1","itemData":{"DOI":"10.1080/02678292.2016.1233584","ISSN":"13665855","abstract":"The use of liquid crystals (LCs) as anisotropic solvents is desired for various potential applications and usually for other organic and inorganic compounds. In this work, solvent polarity parameters are obtained using a spectroscopic method for four LCs with a range of high and low dielectric anisotropy (∆ε). Solvatochromic polarity parameters for these LCs were defined via Kamlet–Abboud–Taft polarity functions characterizing different temperatures and phases, isotropic and anisotropic, and using the Reichardt’s dye and 2,6-diphenyl-4-(2,4,6-triphenyl-1-pyridinio) phenolate standard probe. The investigated polarity parameters reveal the effects of LC media on the photo-physical behaviour of solute molecules in isotropic and anisotropic media. Subsequently, a new LC polarity parameter (Zo) is introduced as an overall matrix anisotropy polarity parameter to characterize variation between isotropic and anisotropic phases. The values of Zo are sorted from higher to lower dielectric anisotropies (∆ε).","author":[{"dropping-particle":"","family":"Ranjkesh","given":"Amid","non-dropping-particle":"","parse-names":false,"suffix":""},{"dropping-particle":"","family":"Hagh Parast","given":"Meisam","non-dropping-particle":"","parse-names":false,"suffix":""},{"dropping-particle":"","family":"Park","given":"Ji Sub","non-dropping-particle":"","parse-names":false,"suffix":""},{"dropping-particle":"","family":"Choi","given":"Jun Chan","non-dropping-particle":"","parse-names":false,"suffix":""},{"dropping-particle":"","family":"Zakerhamidi","given":"Mohammad Sadegh","non-dropping-particle":"","parse-names":false,"suffix":""},{"dropping-particle":"","family":"Kim","given":"Hak Rin","non-dropping-particle":"","parse-names":false,"suffix":""}],"container-title":"Liquid Crystals","id":"ITEM-1","issue":"4","issued":{"date-parts":[["2017"]]},"page":"695-704","publisher":"Taylor &amp; Francis","title":"Determination of polarity parameters for liquid crystals using solvatochromic method in anisotropic and isotropic phases","type":"article-journal","volume":"44"},"uris":["http://www.mendeley.com/documents/?uuid=f8e7ea9f-ecd2-4da3-8d72-24974ce572f6","http://www.mendeley.com/documents/?uuid=dec9afb6-3da5-45f7-be36-ac28e4faadeb"]},{"id":"ITEM-2","itemData":{"DOI":"10.1021/acssuschemeng.1c04591","ISSN":"21680485","abstract":"Natural deep eutectic solvents (NADESs) are considered as green solvents, and due to their promising sustainability, they have been applied in many research fields. In this study, the main goal is to use various NADES systems to replace the traditional solvents used in conservation and restoration to remove varnish layers in a painting. The toxicity of traditional solvents, such as toluene or acetone, is well known in the chemistry field. To replace them, it is important to understand the intrinsic physicochemical properties of a solvent that may act as a substitute. Polarity and solubility are proposed as the best parameters required for this study. The Nile red probe was used to confirm the similarity between the polarity of deep eutectic systems (DESs) and traditional solvents. According to their polarities and Hansen solubility parameters, it is possible to predict the best solvents to solubilize the natural resin varnishes. Besides this, some arithmetic models can also be applied to estimate the critical or thermodynamic properties, which are useful tools to predict the behavior of these solvents. We have further proven the possibility of dissolving natural varnishes such as dammar or mastic in hydrophobic DESs, such as menthol + lauric acid, menthol + decanoic acid, or menthol + thymol.","author":[{"dropping-particle":"","family":"Fernandes","given":"Cláudio Correia","non-dropping-particle":"","parse-names":false,"suffix":""},{"dropping-particle":"","family":"Haghbakhsh","given":"Reza","non-dropping-particle":"","parse-names":false,"suffix":""},{"dropping-particle":"","family":"Marques","given":"Raquel","non-dropping-particle":"","parse-names":false,"suffix":""},{"dropping-particle":"","family":"Paiva","given":"Alexandre","non-dropping-particle":"","parse-names":false,"suffix":""},{"dropping-particle":"","family":"Carlyle","given":"Leslie","non-dropping-particle":"","parse-names":false,"suffix":""},{"dropping-particle":"","family":"Duarte","given":"Ana Rita Cruz","non-dropping-particle":"","parse-names":false,"suffix":""}],"container-title":"ACS Sustainable Chemistry and Engineering","id":"ITEM-2","issue":"46","issued":{"date-parts":[["2021"]]},"page":"15451-15460","title":"Evaluation of Deep Eutectic Systems as an Alternative to Solvents in Painting Conservation","type":"article-journal","volume":"9"},"uris":["http://www.mendeley.com/documents/?uuid=cd6350c8-2d8a-4b1c-a888-b73502eb43d4","http://www.mendeley.com/documents/?uuid=2d696306-a128-4193-9aaa-1fbaf70d45dc"]}],"mendeley":{"formattedCitation":"[30,40]","plainTextFormattedCitation":"[30,40]","previouslyFormattedCitation":"[29,39]"},"properties":{"noteIndex":0},"schema":"https://github.com/citation-style-language/schema/raw/master/csl-citation.json"}</w:instrText>
      </w:r>
      <w:r w:rsidR="00E01993" w:rsidRPr="00966B21">
        <w:rPr>
          <w:lang w:val="en-GB"/>
        </w:rPr>
        <w:fldChar w:fldCharType="separate"/>
      </w:r>
      <w:r w:rsidR="00CD7D53" w:rsidRPr="00966B21">
        <w:rPr>
          <w:noProof/>
          <w:lang w:val="en-GB"/>
        </w:rPr>
        <w:t>[30,40]</w:t>
      </w:r>
      <w:r w:rsidR="00E01993" w:rsidRPr="00966B21">
        <w:rPr>
          <w:lang w:val="en-GB"/>
        </w:rPr>
        <w:fldChar w:fldCharType="end"/>
      </w:r>
      <w:r w:rsidR="004B2C68" w:rsidRPr="00966B21">
        <w:rPr>
          <w:lang w:val="en-GB"/>
        </w:rPr>
        <w:t>.</w:t>
      </w:r>
      <w:r w:rsidRPr="00966B21">
        <w:rPr>
          <w:lang w:val="en-GB"/>
        </w:rPr>
        <w:t xml:space="preserve"> </w:t>
      </w:r>
      <w:r w:rsidR="00606074" w:rsidRPr="00966B21">
        <w:rPr>
          <w:lang w:val="en-GB"/>
        </w:rPr>
        <w:t xml:space="preserve">It is important to mention that </w:t>
      </w:r>
      <w:r w:rsidR="00CC0E36" w:rsidRPr="00966B21">
        <w:rPr>
          <w:lang w:val="en-GB"/>
        </w:rPr>
        <w:t>the polarity of a HES</w:t>
      </w:r>
      <w:r w:rsidR="00606074" w:rsidRPr="00966B21">
        <w:rPr>
          <w:lang w:val="en-GB"/>
        </w:rPr>
        <w:t xml:space="preserve"> result</w:t>
      </w:r>
      <w:r w:rsidR="00A46247" w:rsidRPr="00966B21">
        <w:rPr>
          <w:lang w:val="en-GB"/>
        </w:rPr>
        <w:t>s</w:t>
      </w:r>
      <w:r w:rsidR="00606074" w:rsidRPr="00966B21">
        <w:rPr>
          <w:lang w:val="en-GB"/>
        </w:rPr>
        <w:t xml:space="preserve"> </w:t>
      </w:r>
      <w:r w:rsidR="00A46247" w:rsidRPr="00966B21">
        <w:rPr>
          <w:lang w:val="en-GB"/>
        </w:rPr>
        <w:t>from</w:t>
      </w:r>
      <w:r w:rsidR="00606074" w:rsidRPr="00966B21">
        <w:rPr>
          <w:lang w:val="en-GB"/>
        </w:rPr>
        <w:t xml:space="preserve"> complex</w:t>
      </w:r>
      <w:r w:rsidR="00FD3963" w:rsidRPr="00966B21">
        <w:rPr>
          <w:lang w:val="en-GB"/>
        </w:rPr>
        <w:t xml:space="preserve"> interplays depending of HBD and HBA characteristics, </w:t>
      </w:r>
      <w:r w:rsidR="00A46247" w:rsidRPr="00966B21">
        <w:rPr>
          <w:lang w:val="en-GB"/>
        </w:rPr>
        <w:t xml:space="preserve">their </w:t>
      </w:r>
      <w:r w:rsidR="00FD3963" w:rsidRPr="00966B21">
        <w:rPr>
          <w:lang w:val="en-GB"/>
        </w:rPr>
        <w:t>individual ratios, water content, etc</w:t>
      </w:r>
      <w:r w:rsidR="00606074" w:rsidRPr="00966B21">
        <w:rPr>
          <w:lang w:val="en-GB"/>
        </w:rPr>
        <w:t>.</w:t>
      </w:r>
      <w:r w:rsidR="00FD3963" w:rsidRPr="00966B21">
        <w:rPr>
          <w:lang w:val="en-GB"/>
        </w:rPr>
        <w:t xml:space="preserve"> </w:t>
      </w:r>
      <w:r w:rsidR="004B2C68" w:rsidRPr="00966B21">
        <w:rPr>
          <w:lang w:val="en-GB"/>
        </w:rPr>
        <w:t>T</w:t>
      </w:r>
      <w:r w:rsidR="00FC77C0" w:rsidRPr="00966B21">
        <w:rPr>
          <w:lang w:val="en-GB"/>
        </w:rPr>
        <w:t xml:space="preserve">he </w:t>
      </w:r>
      <w:r w:rsidR="004B2C68" w:rsidRPr="00966B21">
        <w:rPr>
          <w:lang w:val="en-GB"/>
        </w:rPr>
        <w:t>E</w:t>
      </w:r>
      <w:r w:rsidR="004B2C68" w:rsidRPr="00966B21">
        <w:rPr>
          <w:vertAlign w:val="subscript"/>
          <w:lang w:val="en-GB"/>
        </w:rPr>
        <w:t>NR</w:t>
      </w:r>
      <w:r w:rsidR="004B2C68" w:rsidRPr="00966B21">
        <w:rPr>
          <w:lang w:val="en-GB"/>
        </w:rPr>
        <w:t xml:space="preserve"> </w:t>
      </w:r>
      <w:r w:rsidR="00FC77C0" w:rsidRPr="00966B21">
        <w:rPr>
          <w:lang w:val="en-GB"/>
        </w:rPr>
        <w:t xml:space="preserve">values could result in a strategy to </w:t>
      </w:r>
      <w:r w:rsidR="00606074" w:rsidRPr="00966B21">
        <w:rPr>
          <w:lang w:val="en-GB"/>
        </w:rPr>
        <w:t xml:space="preserve">preliminarily </w:t>
      </w:r>
      <w:r w:rsidR="00FC77C0" w:rsidRPr="00966B21">
        <w:rPr>
          <w:lang w:val="en-GB"/>
        </w:rPr>
        <w:t>predict the extraction capability of eutectic solvents to extract non</w:t>
      </w:r>
      <w:r w:rsidR="00D10789" w:rsidRPr="00966B21">
        <w:rPr>
          <w:lang w:val="en-GB"/>
        </w:rPr>
        <w:t>-</w:t>
      </w:r>
      <w:r w:rsidR="00FC77C0" w:rsidRPr="00966B21">
        <w:rPr>
          <w:lang w:val="en-GB"/>
        </w:rPr>
        <w:t>polar compounds like carotenoids.</w:t>
      </w:r>
      <w:r w:rsidR="00CC7078" w:rsidRPr="00966B21">
        <w:rPr>
          <w:lang w:val="en-GB"/>
        </w:rPr>
        <w:t xml:space="preserve"> However, i</w:t>
      </w:r>
      <w:r w:rsidR="00DD477E" w:rsidRPr="00966B21">
        <w:rPr>
          <w:lang w:val="en-GB"/>
        </w:rPr>
        <w:t xml:space="preserve">t is noteworthy </w:t>
      </w:r>
      <w:r w:rsidR="00984A65" w:rsidRPr="00966B21">
        <w:rPr>
          <w:lang w:val="en-GB"/>
        </w:rPr>
        <w:t xml:space="preserve">to </w:t>
      </w:r>
      <w:r w:rsidR="00DD477E" w:rsidRPr="00966B21">
        <w:rPr>
          <w:lang w:val="en-GB"/>
        </w:rPr>
        <w:t>mention that in contrast to conventional solvents, the solvent</w:t>
      </w:r>
      <w:r w:rsidR="00A427DB" w:rsidRPr="00966B21">
        <w:rPr>
          <w:lang w:val="en-GB"/>
        </w:rPr>
        <w:t>´s</w:t>
      </w:r>
      <w:r w:rsidR="00DD477E" w:rsidRPr="00966B21">
        <w:rPr>
          <w:lang w:val="en-GB"/>
        </w:rPr>
        <w:t xml:space="preserve"> polarity in terms of E</w:t>
      </w:r>
      <w:r w:rsidR="00DD477E" w:rsidRPr="00966B21">
        <w:rPr>
          <w:vertAlign w:val="subscript"/>
          <w:lang w:val="en-GB"/>
        </w:rPr>
        <w:t xml:space="preserve">NR </w:t>
      </w:r>
      <w:r w:rsidR="00DD477E" w:rsidRPr="00966B21">
        <w:rPr>
          <w:lang w:val="en-GB"/>
        </w:rPr>
        <w:t xml:space="preserve">of a given HES should not be necessarily associated with its ability to extract </w:t>
      </w:r>
      <w:r w:rsidR="004B2C68" w:rsidRPr="00966B21">
        <w:rPr>
          <w:lang w:val="en-GB"/>
        </w:rPr>
        <w:t xml:space="preserve">specific </w:t>
      </w:r>
      <w:r w:rsidR="00DD477E" w:rsidRPr="00966B21">
        <w:rPr>
          <w:lang w:val="en-GB"/>
        </w:rPr>
        <w:t>compounds indicating that there might be other factor</w:t>
      </w:r>
      <w:r w:rsidR="004B2C68" w:rsidRPr="00966B21">
        <w:rPr>
          <w:lang w:val="en-GB"/>
        </w:rPr>
        <w:t>s</w:t>
      </w:r>
      <w:r w:rsidR="00DD477E" w:rsidRPr="00966B21">
        <w:rPr>
          <w:lang w:val="en-GB"/>
        </w:rPr>
        <w:t xml:space="preserve"> affecting the extraction process</w:t>
      </w:r>
      <w:r w:rsidR="00A370A1" w:rsidRPr="00966B21">
        <w:rPr>
          <w:lang w:val="en-GB"/>
        </w:rPr>
        <w:t xml:space="preserve"> </w:t>
      </w:r>
      <w:r w:rsidR="00E01993" w:rsidRPr="00966B21">
        <w:rPr>
          <w:lang w:val="en-GB"/>
        </w:rPr>
        <w:fldChar w:fldCharType="begin" w:fldLock="1"/>
      </w:r>
      <w:r w:rsidR="00CD7D53" w:rsidRPr="00966B21">
        <w:rPr>
          <w:lang w:val="en-GB"/>
        </w:rPr>
        <w:instrText>ADDIN CSL_CITATION {"citationItems":[{"id":"ITEM-1","itemData":{"DOI":"10.1016/j.fbio.2023.102570","ISSN":"22124306","abstract":"Carotenoids are a group of pigments that play a significant role in human health due to their antioxidant properties. This emphasises the importance of their extraction using sustainable solvents as alternatives to hazardous solvents. This study aimed to select and optimise the most promising deep eutectic solvent (DES) for a sustainable carotenoid extraction from orange peels by considering parameters such as efficiency, stability, and physicochemical properties. COSMOtherm software was used to screen 68 hydrophobic and hydrophilic DES. The experimental results demonstrated efficient extraction yields when using hydrophobic DES such as Menthol: Camphor (163.5 ± 1.1 mg/100gfw), and the stability of carotenoids in this solvent was 56% for total carotenoids after 60 days at 4 °C. The ultrasound extraction technique was selected for the optimisation process, and the optimal conditions were 60% ultrasound intensity (120 W), a solvent-to-solid ratio of 20 mL, and an extraction time of 20 min with a yield of 653.5 mg/100 gfw. The results presented in this study demonstrate the capacity of novel hydrophobic DES to extract carotenoids and identify this solvent as a good and sustainable alternative to organic solvents. Improved carotenoid extraction combined with non-toxicity, edibility, and enhanced carotenoid stability makes these extracts appealing for use in food product fortification.","author":[{"dropping-particle":"","family":"Viñas-Ospino","given":"A.","non-dropping-particle":"","parse-names":false,"suffix":""},{"dropping-particle":"","family":"Panić","given":"M.","non-dropping-particle":"","parse-names":false,"suffix":""},{"dropping-particle":"","family":"Radojčić- Redovniković","given":"I.","non-dropping-particle":"","parse-names":false,"suffix":""},{"dropping-particle":"","family":"Blesa","given":"J.","non-dropping-particle":"","parse-names":false,"suffix":""},{"dropping-particle":"","family":"Esteve","given":"M. J.","non-dropping-particle":"","parse-names":false,"suffix":""}],"container-title":"Food Bioscience","id":"ITEM-1","issue":"February","issued":{"date-parts":[["2023"]]},"title":"Using novel hydrophobic deep eutectic solvents to improve a sustainable carotenoid extraction from orange peels","type":"article-journal","volume":"53"},"uris":["http://www.mendeley.com/documents/?uuid=1e52ef97-76e7-412a-a77f-51b692f4519a","http://www.mendeley.com/documents/?uuid=2b9fb5a1-ea3a-4ec0-b183-5a5f6ce22375"]},{"id":"ITEM-2","itemData":{"DOI":"10.1016/j.fluid.2017.04.002","ISSN":"03783812","abstract":"Wastewater treatment plants do not properly address the removal of emerging micropollutants, such as pesticides, and thus these compounds contaminate water sources of public drinking water systems. In this context, this work focuses on the development of hydrophobic deep eutectic solvents (DESs), as cheap extractants for the removal of four neonicotinoids, Imidacloprid, Acetamiprid, Nitenpyram and Thiamethoxam, from diluted aqueous solutions. In particular, two different families of DESs, one based on natural neutral ingredients (DL-Menthol and natural organic acids) and the other based on quaternary ammonium salts and organic acids were prepared and their water stability carefully studied through 1H NMR. Only the chemically stable DESs were selected to be used as solvents in the extraction of the four neonicotinoids so that no contamination of the water cycle is attained, while reuse of the DES is possible. The final results were compared with those obtained for liquid-liquid extraction using hydrophobic imidazolium-based ionic liquids as solvents.","author":[{"dropping-particle":"","family":"Florindo","given":"C.","non-dropping-particle":"","parse-names":false,"suffix":""},{"dropping-particle":"","family":"Branco","given":"L. C.","non-dropping-particle":"","parse-names":false,"suffix":""},{"dropping-particle":"","family":"Marrucho","given":"I. M.","non-dropping-particle":"","parse-names":false,"suffix":""}],"container-title":"Fluid Phase Equilibria","id":"ITEM-2","issued":{"date-parts":[["2017"]]},"page":"135-142","publisher":"Elsevier Ltd","title":"Development of hydrophobic deep eutectic solvents for extraction of pesticides from aqueous environments","type":"article-journal","volume":"448"},"uris":["http://www.mendeley.com/documents/?uuid=63e814a4-3019-4c76-bf62-0d06bf43a724","http://www.mendeley.com/documents/?uuid=46bb0bb9-e5be-4e51-8e8c-a644aa702781","http://www.mendeley.com/documents/?uuid=c84573be-4b16-4c53-bab1-8a893e343a92"]}],"mendeley":{"formattedCitation":"[28,41]","plainTextFormattedCitation":"[28,41]","previouslyFormattedCitation":"[27,40]"},"properties":{"noteIndex":0},"schema":"https://github.com/citation-style-language/schema/raw/master/csl-citation.json"}</w:instrText>
      </w:r>
      <w:r w:rsidR="00E01993" w:rsidRPr="00966B21">
        <w:rPr>
          <w:lang w:val="en-GB"/>
        </w:rPr>
        <w:fldChar w:fldCharType="separate"/>
      </w:r>
      <w:r w:rsidR="00CD7D53" w:rsidRPr="00966B21">
        <w:rPr>
          <w:noProof/>
          <w:lang w:val="en-GB"/>
        </w:rPr>
        <w:t>[28,41]</w:t>
      </w:r>
      <w:r w:rsidR="00E01993" w:rsidRPr="00966B21">
        <w:rPr>
          <w:lang w:val="en-GB"/>
        </w:rPr>
        <w:fldChar w:fldCharType="end"/>
      </w:r>
      <w:r w:rsidR="00DD477E" w:rsidRPr="00966B21">
        <w:rPr>
          <w:lang w:val="en-GB"/>
        </w:rPr>
        <w:t xml:space="preserve">. </w:t>
      </w:r>
    </w:p>
    <w:p w14:paraId="4767F06F" w14:textId="77777777" w:rsidR="002B7A6A" w:rsidRPr="00966B21" w:rsidRDefault="002B7A6A" w:rsidP="002753DB">
      <w:pPr>
        <w:pStyle w:val="NormaleWeb"/>
        <w:spacing w:before="0" w:beforeAutospacing="0" w:after="0" w:afterAutospacing="0"/>
        <w:jc w:val="both"/>
        <w:rPr>
          <w:lang w:val="en-GB"/>
        </w:rPr>
      </w:pPr>
    </w:p>
    <w:p w14:paraId="5211AF05" w14:textId="77777777" w:rsidR="00DD477E" w:rsidRPr="00966B21" w:rsidRDefault="00AB00F3" w:rsidP="002753DB">
      <w:pPr>
        <w:pStyle w:val="NormaleWeb"/>
        <w:spacing w:before="0" w:beforeAutospacing="0" w:after="0" w:afterAutospacing="0"/>
        <w:jc w:val="both"/>
        <w:rPr>
          <w:lang w:val="en-GB"/>
        </w:rPr>
      </w:pPr>
      <w:r w:rsidRPr="00966B21">
        <w:rPr>
          <w:lang w:val="en-GB"/>
        </w:rPr>
        <w:t xml:space="preserve">3.2 </w:t>
      </w:r>
      <w:r w:rsidR="00DD477E" w:rsidRPr="00966B21">
        <w:rPr>
          <w:lang w:val="en-GB"/>
        </w:rPr>
        <w:t>Extraction of carotenoids</w:t>
      </w:r>
      <w:r w:rsidR="00F02B13" w:rsidRPr="00966B21">
        <w:rPr>
          <w:lang w:val="en-GB"/>
        </w:rPr>
        <w:t xml:space="preserve"> </w:t>
      </w:r>
    </w:p>
    <w:p w14:paraId="0B74338D" w14:textId="77777777" w:rsidR="00706AF9" w:rsidRPr="00966B21" w:rsidRDefault="00706AF9" w:rsidP="002753DB">
      <w:pPr>
        <w:pStyle w:val="NormaleWeb"/>
        <w:spacing w:before="0" w:beforeAutospacing="0" w:after="0" w:afterAutospacing="0"/>
        <w:jc w:val="both"/>
        <w:rPr>
          <w:b/>
          <w:lang w:val="en-GB"/>
        </w:rPr>
      </w:pPr>
    </w:p>
    <w:p w14:paraId="6A3EB771" w14:textId="5B7BA346" w:rsidR="004C55CF" w:rsidRPr="00966B21" w:rsidRDefault="00E31A9B" w:rsidP="004C55CF">
      <w:pPr>
        <w:pStyle w:val="NormaleWeb"/>
        <w:spacing w:before="0" w:beforeAutospacing="0" w:after="0" w:afterAutospacing="0"/>
        <w:jc w:val="both"/>
        <w:rPr>
          <w:lang w:val="en-GB"/>
        </w:rPr>
      </w:pPr>
      <w:r w:rsidRPr="00966B21">
        <w:rPr>
          <w:lang w:val="en-GB"/>
        </w:rPr>
        <w:t>Table 2</w:t>
      </w:r>
      <w:r w:rsidR="004C55CF" w:rsidRPr="00966B21">
        <w:rPr>
          <w:lang w:val="en-GB"/>
        </w:rPr>
        <w:t xml:space="preserve"> compares the efficiency of different HESs in extracting carotenoids and the individual recovery for β-carotene and lutein from MCP. Conventional extraction with </w:t>
      </w:r>
      <w:r w:rsidR="00984A65" w:rsidRPr="00966B21">
        <w:rPr>
          <w:lang w:val="en-GB"/>
        </w:rPr>
        <w:t>n-</w:t>
      </w:r>
      <w:r w:rsidR="004C55CF" w:rsidRPr="00966B21">
        <w:rPr>
          <w:lang w:val="en-GB"/>
        </w:rPr>
        <w:t>hexane</w:t>
      </w:r>
      <w:r w:rsidR="00984A65" w:rsidRPr="00966B21">
        <w:rPr>
          <w:lang w:val="en-GB"/>
        </w:rPr>
        <w:t>/</w:t>
      </w:r>
      <w:r w:rsidR="004C55CF" w:rsidRPr="00966B21">
        <w:rPr>
          <w:lang w:val="en-GB"/>
        </w:rPr>
        <w:t>acetone</w:t>
      </w:r>
      <w:r w:rsidR="00984A65" w:rsidRPr="00966B21">
        <w:rPr>
          <w:lang w:val="en-GB"/>
        </w:rPr>
        <w:t>/</w:t>
      </w:r>
      <w:r w:rsidR="004C55CF" w:rsidRPr="00966B21">
        <w:rPr>
          <w:lang w:val="en-GB"/>
        </w:rPr>
        <w:t>ethanol (2</w:t>
      </w:r>
      <w:r w:rsidR="00984A65" w:rsidRPr="00966B21">
        <w:rPr>
          <w:lang w:val="en-GB"/>
        </w:rPr>
        <w:t>/</w:t>
      </w:r>
      <w:r w:rsidR="004C55CF" w:rsidRPr="00966B21">
        <w:rPr>
          <w:lang w:val="en-GB"/>
        </w:rPr>
        <w:t>1</w:t>
      </w:r>
      <w:r w:rsidR="00984A65" w:rsidRPr="00966B21">
        <w:rPr>
          <w:lang w:val="en-GB"/>
        </w:rPr>
        <w:t>/</w:t>
      </w:r>
      <w:r w:rsidR="004C55CF" w:rsidRPr="00966B21">
        <w:rPr>
          <w:lang w:val="en-GB"/>
        </w:rPr>
        <w:t xml:space="preserve">1) gave a TCC of 3.73 ± 0.19 µg β-carotene /mg DW and the recovery rates for both β-carotene and lutein were considered 100%, while </w:t>
      </w:r>
      <w:r w:rsidR="004C55CF" w:rsidRPr="00966B21">
        <w:rPr>
          <w:bCs/>
          <w:lang w:val="en-GB"/>
        </w:rPr>
        <w:t>TLEV</w:t>
      </w:r>
      <w:r w:rsidR="004C55CF" w:rsidRPr="00966B21">
        <w:rPr>
          <w:lang w:val="en-GB"/>
        </w:rPr>
        <w:t xml:space="preserve"> was the best HES </w:t>
      </w:r>
      <w:r w:rsidR="00E10FAC" w:rsidRPr="00966B21">
        <w:rPr>
          <w:lang w:val="en-GB"/>
        </w:rPr>
        <w:t xml:space="preserve">to extract TC </w:t>
      </w:r>
      <w:r w:rsidR="004C55CF" w:rsidRPr="00966B21">
        <w:rPr>
          <w:lang w:val="en-GB"/>
        </w:rPr>
        <w:t xml:space="preserve">(4.71 ± 0.14 µg β-carotene/mg DW). The results obtained with MLAU, TLAU, and TM were also significantly (p&lt;0.05) higher than those obtained with </w:t>
      </w:r>
      <w:r w:rsidR="00984A65" w:rsidRPr="00966B21">
        <w:rPr>
          <w:lang w:val="en-GB"/>
        </w:rPr>
        <w:t>n-</w:t>
      </w:r>
      <w:r w:rsidR="004C55CF" w:rsidRPr="00966B21">
        <w:rPr>
          <w:lang w:val="en-GB"/>
        </w:rPr>
        <w:t>hexane</w:t>
      </w:r>
      <w:r w:rsidR="00984A65" w:rsidRPr="00966B21">
        <w:rPr>
          <w:lang w:val="en-GB"/>
        </w:rPr>
        <w:t>/</w:t>
      </w:r>
      <w:r w:rsidR="004C55CF" w:rsidRPr="00966B21">
        <w:rPr>
          <w:lang w:val="en-GB"/>
        </w:rPr>
        <w:t>acetone</w:t>
      </w:r>
      <w:r w:rsidR="00984A65" w:rsidRPr="00966B21">
        <w:rPr>
          <w:lang w:val="en-GB"/>
        </w:rPr>
        <w:t>/</w:t>
      </w:r>
      <w:r w:rsidR="004C55CF" w:rsidRPr="00966B21">
        <w:rPr>
          <w:lang w:val="en-GB"/>
        </w:rPr>
        <w:t>ethanol, while only TAO and TLAC performed worse, in particular TLAC. Moreover, when evaluating the absorption spectrum between 400-550 nm for TLAC extract, the shape was considerably modified, which could even indicate a certain degree of degradation of the caroten</w:t>
      </w:r>
      <w:r w:rsidR="001C4130" w:rsidRPr="00966B21">
        <w:rPr>
          <w:lang w:val="en-GB"/>
        </w:rPr>
        <w:t>oids</w:t>
      </w:r>
      <w:r w:rsidR="004C55CF" w:rsidRPr="00966B21">
        <w:rPr>
          <w:lang w:val="en-GB"/>
        </w:rPr>
        <w:t xml:space="preserve"> (data not shown). This was also supported by the fact that neither β-carotene nor lutein were detected</w:t>
      </w:r>
      <w:r w:rsidR="000E1BE9" w:rsidRPr="00966B21">
        <w:rPr>
          <w:lang w:val="en-GB"/>
        </w:rPr>
        <w:t xml:space="preserve"> by HPLC</w:t>
      </w:r>
      <w:r w:rsidR="004C55CF" w:rsidRPr="00966B21">
        <w:rPr>
          <w:lang w:val="en-GB"/>
        </w:rPr>
        <w:t xml:space="preserve"> in TLAC extract</w:t>
      </w:r>
      <w:r w:rsidR="00695E6A" w:rsidRPr="00966B21">
        <w:rPr>
          <w:lang w:val="en-US"/>
        </w:rPr>
        <w:t xml:space="preserve">. No clear relationship between the </w:t>
      </w:r>
      <w:r w:rsidR="000E1BE9" w:rsidRPr="00966B21">
        <w:rPr>
          <w:lang w:val="en-US"/>
        </w:rPr>
        <w:t>estimated</w:t>
      </w:r>
      <w:r w:rsidR="00695E6A" w:rsidRPr="00966B21">
        <w:rPr>
          <w:lang w:val="en-US"/>
        </w:rPr>
        <w:t xml:space="preserve"> polarity</w:t>
      </w:r>
      <w:r w:rsidR="001C4130" w:rsidRPr="00966B21">
        <w:rPr>
          <w:lang w:val="en-US"/>
        </w:rPr>
        <w:t xml:space="preserve"> values</w:t>
      </w:r>
      <w:r w:rsidR="00695E6A" w:rsidRPr="00966B21">
        <w:rPr>
          <w:lang w:val="en-US"/>
        </w:rPr>
        <w:t xml:space="preserve"> of HESs and extraction capabilities was </w:t>
      </w:r>
      <w:r w:rsidR="001C4130" w:rsidRPr="00966B21">
        <w:rPr>
          <w:lang w:val="en-US"/>
        </w:rPr>
        <w:t>observed</w:t>
      </w:r>
      <w:r w:rsidR="00695E6A" w:rsidRPr="00966B21">
        <w:rPr>
          <w:lang w:val="en-US"/>
        </w:rPr>
        <w:t>, indicating that other factors (e.g., mass transfer phenomena, pH</w:t>
      </w:r>
      <w:r w:rsidR="00A46247" w:rsidRPr="00966B21">
        <w:rPr>
          <w:lang w:val="en-US"/>
        </w:rPr>
        <w:t>, co-extraction of other compounds, etc.</w:t>
      </w:r>
      <w:r w:rsidR="00695E6A" w:rsidRPr="00966B21">
        <w:rPr>
          <w:lang w:val="en-US"/>
        </w:rPr>
        <w:t xml:space="preserve">) </w:t>
      </w:r>
      <w:r w:rsidR="00A46247" w:rsidRPr="00966B21">
        <w:rPr>
          <w:lang w:val="en-US"/>
        </w:rPr>
        <w:t>might</w:t>
      </w:r>
      <w:r w:rsidR="00695E6A" w:rsidRPr="00966B21">
        <w:rPr>
          <w:lang w:val="en-US"/>
        </w:rPr>
        <w:t xml:space="preserve"> influence carotenoid extraction efficiency besides </w:t>
      </w:r>
      <w:r w:rsidR="00CC0E36" w:rsidRPr="00966B21">
        <w:rPr>
          <w:lang w:val="en-US"/>
        </w:rPr>
        <w:t>the</w:t>
      </w:r>
      <w:r w:rsidR="001C4130" w:rsidRPr="00966B21">
        <w:rPr>
          <w:lang w:val="en-US"/>
        </w:rPr>
        <w:t xml:space="preserve"> polarity of HESs</w:t>
      </w:r>
      <w:r w:rsidR="00E10FAC" w:rsidRPr="00966B21">
        <w:rPr>
          <w:lang w:val="en-GB"/>
        </w:rPr>
        <w:t>.</w:t>
      </w:r>
      <w:r w:rsidR="004C55CF" w:rsidRPr="00966B21">
        <w:rPr>
          <w:lang w:val="en-GB"/>
        </w:rPr>
        <w:t xml:space="preserve"> The highest recovery of β-carotene was achieved with MLAC (115.8 ± 3.1 %), followed by MLAU (84.4 ± 2.6 %) and TM (76.4 ± 0.9 %). The lutein recovery with MLAC was 55.7 ± 1.5%, while </w:t>
      </w:r>
      <w:r w:rsidR="00C23C58" w:rsidRPr="00966B21">
        <w:rPr>
          <w:lang w:val="en-GB"/>
        </w:rPr>
        <w:t xml:space="preserve">MLAU and MLEV achieved </w:t>
      </w:r>
      <w:r w:rsidR="004C55CF" w:rsidRPr="00966B21">
        <w:rPr>
          <w:lang w:val="en-GB"/>
        </w:rPr>
        <w:t xml:space="preserve">90% </w:t>
      </w:r>
      <w:r w:rsidR="00053C09" w:rsidRPr="00966B21">
        <w:rPr>
          <w:lang w:val="en-GB"/>
        </w:rPr>
        <w:t>(</w:t>
      </w:r>
      <w:r w:rsidR="007C7B03" w:rsidRPr="00966B21">
        <w:rPr>
          <w:lang w:val="en-GB"/>
        </w:rPr>
        <w:t>Table 2</w:t>
      </w:r>
      <w:r w:rsidR="00053C09" w:rsidRPr="00966B21">
        <w:rPr>
          <w:lang w:val="en-GB"/>
        </w:rPr>
        <w:t>)</w:t>
      </w:r>
      <w:r w:rsidR="004C55CF" w:rsidRPr="00966B21">
        <w:rPr>
          <w:lang w:val="en-GB"/>
        </w:rPr>
        <w:t>, highlighting a better selectivity of these solvents for lutein.</w:t>
      </w:r>
      <w:r w:rsidR="00202B5D" w:rsidRPr="00966B21">
        <w:rPr>
          <w:lang w:val="en-GB"/>
        </w:rPr>
        <w:t xml:space="preserve"> While</w:t>
      </w:r>
      <w:r w:rsidR="004C55CF" w:rsidRPr="00966B21">
        <w:rPr>
          <w:lang w:val="en-GB"/>
        </w:rPr>
        <w:t xml:space="preserve"> TM, TLEV and TLAU gave lutein recoveries above 70%</w:t>
      </w:r>
      <w:r w:rsidR="00202B5D" w:rsidRPr="00966B21">
        <w:rPr>
          <w:lang w:val="en-GB"/>
        </w:rPr>
        <w:t>,</w:t>
      </w:r>
      <w:r w:rsidR="004C55CF" w:rsidRPr="00966B21">
        <w:rPr>
          <w:lang w:val="en-GB"/>
        </w:rPr>
        <w:t xml:space="preserve"> TLAC was the only solvent whose extraction efficiency was significantly lower than </w:t>
      </w:r>
      <w:r w:rsidR="000E1BE9" w:rsidRPr="00966B21">
        <w:rPr>
          <w:lang w:val="en-GB"/>
        </w:rPr>
        <w:t xml:space="preserve">CONV, although being reported as hydrophobic </w:t>
      </w:r>
      <w:r w:rsidR="00E01993" w:rsidRPr="00966B21">
        <w:rPr>
          <w:lang w:val="en-GB"/>
        </w:rPr>
        <w:fldChar w:fldCharType="begin" w:fldLock="1"/>
      </w:r>
      <w:r w:rsidR="00CD7D53" w:rsidRPr="00966B21">
        <w:rPr>
          <w:lang w:val="en-GB"/>
        </w:rPr>
        <w:instrText>ADDIN CSL_CITATION {"citationItems":[{"id":"ITEM-1","itemData":{"DOI":"10.1080/19440049.2022.2112764","ISSN":"19440057","PMID":"35997563","abstract":"The use of deep eutectic solvents (DESs) has great prospects because of the green and efficient characteristics, which can be used for developing analytical methods for foods. In this research, assisted by ultrasonic waves, a liquid-liquid microextraction detection method combined with gas chromatography was established for three anaesthetics (eugenol, isoeugenol, and methyl isoeugenol) in aquatic food. The processing conditions including the components, ratio of hydrogen bond acceptor and hydrogen bond donor, DES volume, ultrasonic time, and pH were evaluated and optimised to improve the extraction efficiency, which was based on the DES structures and properties. In-house method validation was carried out by applying to real samples. A Thymol: levulinic acid DES (with a molar ratio of 1:2) was used as the extractant and the recoveries were as high as 93–101% for eugenol, 90–100% for methyl isoeugenol, and 86–94% for isoeugenol with RSDs &lt;5% under optimum conditions. The limit of detection and quantification of the eugenol compounds were 0.08–0.10 μg/mL and 0.26–0.33 μg/mL, respectively. The method has green credentials and comparable LOD to homologous apparatus, which can be used for the determination of eugenol components in aquatic food.","author":[{"dropping-particle":"","family":"Yan","given":"Jiaze","non-dropping-particle":"","parse-names":false,"suffix":""},{"dropping-particle":"","family":"Ma","given":"Shaomin","non-dropping-particle":"","parse-names":false,"suffix":""},{"dropping-particle":"","family":"Feng","given":"Mingrui","non-dropping-particle":"","parse-names":false,"suffix":""},{"dropping-particle":"","family":"Zheng","given":"Jiqi","non-dropping-particle":"","parse-names":false,"suffix":""},{"dropping-particle":"","family":"Guo","given":"Ming","non-dropping-particle":"","parse-names":false,"suffix":""}],"container-title":"Food Additives and Contaminants - Part A","id":"ITEM-1","issue":"10","issued":{"date-parts":[["2022"]]},"page":"1718-1730","publisher":"Taylor &amp; Francis","title":"Hydrophobic deep eutectic solvent-based ultrasonic-assisted liquid-liquid microextraction combined with GC for eugenol, isoeugenol, and methyl isoeugenol determination in aquatic products","type":"article-journal","volume":"39"},"uris":["http://www.mendeley.com/documents/?uuid=040f87fd-4451-4638-baf4-370334c8ad1b","http://www.mendeley.com/documents/?uuid=070dcaee-4c7f-4ace-8b91-327f1ac64a47"]}],"mendeley":{"formattedCitation":"[29]","plainTextFormattedCitation":"[29]","previouslyFormattedCitation":"[28]"},"properties":{"noteIndex":0},"schema":"https://github.com/citation-style-language/schema/raw/master/csl-citation.json"}</w:instrText>
      </w:r>
      <w:r w:rsidR="00E01993" w:rsidRPr="00966B21">
        <w:rPr>
          <w:lang w:val="en-GB"/>
        </w:rPr>
        <w:fldChar w:fldCharType="separate"/>
      </w:r>
      <w:r w:rsidR="00CD7D53" w:rsidRPr="00966B21">
        <w:rPr>
          <w:noProof/>
          <w:lang w:val="en-GB"/>
        </w:rPr>
        <w:t>[29]</w:t>
      </w:r>
      <w:r w:rsidR="00E01993" w:rsidRPr="00966B21">
        <w:rPr>
          <w:lang w:val="en-GB"/>
        </w:rPr>
        <w:fldChar w:fldCharType="end"/>
      </w:r>
      <w:r w:rsidR="004C55CF" w:rsidRPr="00966B21">
        <w:rPr>
          <w:lang w:val="en-GB"/>
        </w:rPr>
        <w:t>. MLAU and TM were the best solvents, both in terms of TC extraction and β-carotene and lutein recoveries</w:t>
      </w:r>
      <w:r w:rsidR="004647D5" w:rsidRPr="00966B21">
        <w:rPr>
          <w:lang w:val="en-GB"/>
        </w:rPr>
        <w:t>.</w:t>
      </w:r>
    </w:p>
    <w:p w14:paraId="4FA4B7EE" w14:textId="77777777" w:rsidR="00DA686C" w:rsidRPr="00966B21" w:rsidRDefault="00DA686C" w:rsidP="002753DB">
      <w:pPr>
        <w:pStyle w:val="NormaleWeb"/>
        <w:spacing w:before="0" w:beforeAutospacing="0" w:after="0" w:afterAutospacing="0"/>
        <w:jc w:val="both"/>
        <w:rPr>
          <w:lang w:val="en-GB"/>
        </w:rPr>
      </w:pPr>
    </w:p>
    <w:p w14:paraId="7D30F2DC" w14:textId="351E94D3" w:rsidR="005A1F5D" w:rsidRPr="00966B21" w:rsidRDefault="00AB00F3" w:rsidP="002753DB">
      <w:pPr>
        <w:pStyle w:val="NormaleWeb"/>
        <w:spacing w:before="0" w:beforeAutospacing="0" w:after="0" w:afterAutospacing="0"/>
        <w:jc w:val="both"/>
        <w:rPr>
          <w:lang w:val="en-GB"/>
        </w:rPr>
      </w:pPr>
      <w:r w:rsidRPr="00966B21">
        <w:rPr>
          <w:lang w:val="en-GB"/>
        </w:rPr>
        <w:t xml:space="preserve">3.3 </w:t>
      </w:r>
      <w:r w:rsidR="005A1F5D" w:rsidRPr="00966B21">
        <w:rPr>
          <w:lang w:val="en-GB"/>
        </w:rPr>
        <w:t xml:space="preserve">Light stability </w:t>
      </w:r>
      <w:r w:rsidR="00984A65" w:rsidRPr="00966B21">
        <w:rPr>
          <w:lang w:val="en-GB"/>
        </w:rPr>
        <w:t>tests</w:t>
      </w:r>
    </w:p>
    <w:p w14:paraId="59E1D41D" w14:textId="77777777" w:rsidR="00706AF9" w:rsidRPr="00966B21" w:rsidRDefault="00706AF9" w:rsidP="002753DB">
      <w:pPr>
        <w:pStyle w:val="NormaleWeb"/>
        <w:spacing w:before="0" w:beforeAutospacing="0" w:after="0" w:afterAutospacing="0"/>
        <w:jc w:val="both"/>
        <w:rPr>
          <w:b/>
          <w:lang w:val="en-GB"/>
        </w:rPr>
      </w:pPr>
    </w:p>
    <w:p w14:paraId="47932F7B" w14:textId="3B6281B9" w:rsidR="005A1F5D" w:rsidRPr="00966B21" w:rsidRDefault="00321BCF" w:rsidP="002753DB">
      <w:pPr>
        <w:pStyle w:val="NormaleWeb"/>
        <w:spacing w:before="0" w:beforeAutospacing="0" w:after="0" w:afterAutospacing="0"/>
        <w:jc w:val="both"/>
        <w:rPr>
          <w:lang w:val="en-GB"/>
        </w:rPr>
      </w:pPr>
      <w:r w:rsidRPr="00966B21">
        <w:rPr>
          <w:lang w:val="en-GB"/>
        </w:rPr>
        <w:t xml:space="preserve">The instability of carotenoids to light, oxygen, and self-oxidation is a major challenge that could affect their practical use, especially for what concerns the </w:t>
      </w:r>
      <w:r w:rsidRPr="00966B21">
        <w:rPr>
          <w:i/>
          <w:lang w:val="en-GB"/>
        </w:rPr>
        <w:t>Z</w:t>
      </w:r>
      <w:r w:rsidRPr="00966B21">
        <w:rPr>
          <w:lang w:val="en-GB"/>
        </w:rPr>
        <w:t>-isomers, less thermodynamically stable than the all-</w:t>
      </w:r>
      <w:r w:rsidRPr="00966B21">
        <w:rPr>
          <w:i/>
          <w:lang w:val="en-GB"/>
        </w:rPr>
        <w:t>E</w:t>
      </w:r>
      <w:r w:rsidRPr="00966B21">
        <w:rPr>
          <w:lang w:val="en-GB"/>
        </w:rPr>
        <w:t xml:space="preserve">-isomers and more prone to isomerize in response to heat and light; different solvent media (e.g. vegetable oils enriched in oleic acid like sunflower, soybean, sesame, and rice bran) and additives (e.g. the antioxidants α-tocopherol and ascorbic acid) have a positive effect in improving stability </w:t>
      </w:r>
      <w:r w:rsidR="00DA686C" w:rsidRPr="00966B21">
        <w:rPr>
          <w:lang w:val="en-GB"/>
        </w:rPr>
        <w:fldChar w:fldCharType="begin" w:fldLock="1"/>
      </w:r>
      <w:r w:rsidR="00CD7D53" w:rsidRPr="00966B21">
        <w:rPr>
          <w:lang w:val="en-GB"/>
        </w:rPr>
        <w:instrText>ADDIN CSL_CITATION {"citationItems":[{"id":"ITEM-1","itemData":{"DOI":"10.1016/j.tifs.2022.03.009","ISSN":"09242244","abstract":"Background: The wide application of carotenoids in food, cosmetic, and pharmaceutical products due to their bioactive and color properties has emphasized a need for improved methods for their extraction. Recently, “green chemistry” has become a significant focus of research to minimize environmental and health impacts, leading to increased demand for safe and sustainable solvents. Scope and approach: Several specific green solvents such as edible oils, supercritical CO2 (SC–CO2), ionic liquids (ILs), deep eutectic solvents (DES) and natural deep eutectic solvents (NDES) have emerged for carotenoid extraction. Efficient extraction processes have been successfully developed by combining these green solvents with novel extraction techniques (such as microwave-assisted extraction, ultrasound-assisted extraction, high-pressure processing and homogenization). Limiting factors (high water content of carotenoid-rich samples; the presence of cell wall/membrane and other physical and chemical barriers; low solubility, high crystallinity, difficult separation, and purification of carotenoids) and new ideas (carotenoid Z-isomerization) for carotenoid extractions are also outlined. Key findings and conclusions: Edible oils, biocompatible ILs (Bio-ILs) and NDES with little or no toxic effects are promising for carotenoid extraction. Alterations in the physicochemical properties of carotenoids by Z-isomerization are beneficial for their extraction. Toxicological studies about green solvents, especially for hydrophobic NDES, are urgently needed. More studies on green solvents (especially Bio-ILs and NDES) and post-extraction purification of carotenoids from the extracts are needed.","author":[{"dropping-particle":"","family":"Yu","given":"Jiahao","non-dropping-particle":"","parse-names":false,"suffix":""},{"dropping-particle":"","family":"Liu","given":"Xuwei","non-dropping-particle":"","parse-names":false,"suffix":""},{"dropping-particle":"","family":"Zhang","given":"Lianfu","non-dropping-particle":"","parse-names":false,"suffix":""},{"dropping-particle":"","family":"Shao","given":"Ping","non-dropping-particle":"","parse-names":false,"suffix":""},{"dropping-particle":"","family":"Wu","given":"Weina","non-dropping-particle":"","parse-names":false,"suffix":""},{"dropping-particle":"","family":"Chen","given":"Zhirong","non-dropping-particle":"","parse-names":false,"suffix":""},{"dropping-particle":"","family":"Li","given":"Jiandong","non-dropping-particle":"","parse-names":false,"suffix":""},{"dropping-particle":"","family":"Renard","given":"Catherine M.G.C.","non-dropping-particle":"","parse-names":false,"suffix":""}],"container-title":"Trends in Food Science and Technology","id":"ITEM-1","issue":"March","issued":{"date-parts":[["2022"]]},"page":"145-160","publisher":"Elsevier Ltd","title":"An overview of carotenoid extractions using green solvents assisted by Z-isomerization","type":"article-journal","volume":"123"},"uris":["http://www.mendeley.com/documents/?uuid=cf80b482-7666-458d-80ea-6b4fae9df77f"]}],"mendeley":{"formattedCitation":"[32]","plainTextFormattedCitation":"[32]","previouslyFormattedCitation":"[31]"},"properties":{"noteIndex":0},"schema":"https://github.com/citation-style-language/schema/raw/master/csl-citation.json"}</w:instrText>
      </w:r>
      <w:r w:rsidR="00DA686C" w:rsidRPr="00966B21">
        <w:rPr>
          <w:lang w:val="en-GB"/>
        </w:rPr>
        <w:fldChar w:fldCharType="separate"/>
      </w:r>
      <w:r w:rsidR="00CD7D53" w:rsidRPr="00966B21">
        <w:rPr>
          <w:noProof/>
          <w:lang w:val="en-GB"/>
        </w:rPr>
        <w:t>[32]</w:t>
      </w:r>
      <w:r w:rsidR="00DA686C" w:rsidRPr="00966B21">
        <w:rPr>
          <w:lang w:val="en-GB"/>
        </w:rPr>
        <w:fldChar w:fldCharType="end"/>
      </w:r>
      <w:r w:rsidR="009B4052" w:rsidRPr="00966B21">
        <w:rPr>
          <w:lang w:val="en-GB"/>
        </w:rPr>
        <w:t xml:space="preserve">. </w:t>
      </w:r>
      <w:r w:rsidRPr="00966B21">
        <w:rPr>
          <w:lang w:val="en-GB"/>
        </w:rPr>
        <w:t xml:space="preserve">Since the HESs studied here contain thymol, menthol and oleic acid </w:t>
      </w:r>
      <w:r w:rsidR="00990489" w:rsidRPr="00966B21">
        <w:rPr>
          <w:lang w:val="en-GB"/>
        </w:rPr>
        <w:t xml:space="preserve">which </w:t>
      </w:r>
      <w:r w:rsidRPr="00966B21">
        <w:rPr>
          <w:lang w:val="en-GB"/>
        </w:rPr>
        <w:t xml:space="preserve">are known to have antioxidant properties that could increase the stability of extracted carotenoids </w:t>
      </w:r>
      <w:r w:rsidR="00E01993" w:rsidRPr="00966B21">
        <w:rPr>
          <w:lang w:val="en-GB"/>
        </w:rPr>
        <w:fldChar w:fldCharType="begin" w:fldLock="1"/>
      </w:r>
      <w:r w:rsidR="00CD7D53" w:rsidRPr="00966B21">
        <w:rPr>
          <w:lang w:val="en-GB"/>
        </w:rPr>
        <w:instrText>ADDIN CSL_CITATION {"citationItems":[{"id":"ITEM-1","itemData":{"DOI":"10.1016/j.foodchem.2024.138530","ISSN":"18737072","PMID":"38271911","abstract":"Orange peels contain a considerable number of bioactive compounds such as carotenoids, that can be used as ingredients in high-value products. The aim of this study was to compare orange peel extracts obtained with different green solvents (vegetable oils, fatty acids, and deep eutectic solvents (DES)). In addition, the chemical characterization of a new hydrophobic DES formed by octanoic acid and L-proline (C8:Pro) was performed. The extracts were compared in terms of carotenoid extraction, antioxidant activity by three methods, color, and environmental impact. The results confirmed that the mixture of C8:Pro is a DES and showed the highest carotenoid extraction (46.01 µg/g) compared to hexane (39.28 µg/g). The antioxidant activity was also the highest in C8:Pro (2438.8 µM TE/mL). Finally, two assessment models were used to evaluate the greenness and sustainability of the proposed extractions. These results demonstrated the potential use of orange peels in the circular economy and industry.","author":[{"dropping-particle":"","family":"Viñas-Ospino","given":"Adriana","non-dropping-particle":"","parse-names":false,"suffix":""},{"dropping-particle":"","family":"Rita Jesus","given":"Ana","non-dropping-particle":"","parse-names":false,"suffix":""},{"dropping-particle":"","family":"Paiva","given":"Alexandre","non-dropping-particle":"","parse-names":false,"suffix":""},{"dropping-particle":"","family":"Esteve","given":"Maria J.","non-dropping-particle":"","parse-names":false,"suffix":""},{"dropping-particle":"","family":"Frígola","given":"Ana","non-dropping-particle":"","parse-names":false,"suffix":""},{"dropping-particle":"","family":"Blesa","given":"Jesús","non-dropping-particle":"","parse-names":false,"suffix":""},{"dropping-particle":"","family":"López-Malo","given":"Daniel","non-dropping-particle":"","parse-names":false,"suffix":""}],"container-title":"Food Chemistry","id":"ITEM-1","issue":"January","issued":{"date-parts":[["2024"]]},"title":"Comparison of green solvents for the revalorization of orange by-products: Carotenoid extraction and in vitro antioxidant activity","type":"article-journal","volume":"442"},"uris":["http://www.mendeley.com/documents/?uuid=9f4b194e-a2fc-442e-84c4-4d755dbe9b72","http://www.mendeley.com/documents/?uuid=b33cd102-bc57-41a8-9c13-7d3597cb0149"]},{"id":"ITEM-2","itemData":{"DOI":"10.1016/j.fbio.2023.102570","ISSN":"22124306","abstract":"Carotenoids are a group of pigments that play a significant role in human health due to their antioxidant properties. This emphasises the importance of their extraction using sustainable solvents as alternatives to hazardous solvents. This study aimed to select and optimise the most promising deep eutectic solvent (DES) for a sustainable carotenoid extraction from orange peels by considering parameters such as efficiency, stability, and physicochemical properties. COSMOtherm software was used to screen 68 hydrophobic and hydrophilic DES. The experimental results demonstrated efficient extraction yields when using hydrophobic DES such as Menthol: Camphor (163.5 ± 1.1 mg/100gfw), and the stability of carotenoids in this solvent was 56% for total carotenoids after 60 days at 4 °C. The ultrasound extraction technique was selected for the optimisation process, and the optimal conditions were 60% ultrasound intensity (120 W), a solvent-to-solid ratio of 20 mL, and an extraction time of 20 min with a yield of 653.5 mg/100 gfw. The results presented in this study demonstrate the capacity of novel hydrophobic DES to extract carotenoids and identify this solvent as a good and sustainable alternative to organic solvents. Improved carotenoid extraction combined with non-toxicity, edibility, and enhanced carotenoid stability makes these extracts appealing for use in food product fortification.","author":[{"dropping-particle":"","family":"Viñas-Ospino","given":"A.","non-dropping-particle":"","parse-names":false,"suffix":""},{"dropping-particle":"","family":"Panić","given":"M.","non-dropping-particle":"","parse-names":false,"suffix":""},{"dropping-particle":"","family":"Radojčić- Redovniković","given":"I.","non-dropping-particle":"","parse-names":false,"suffix":""},{"dropping-particle":"","family":"Blesa","given":"J.","non-dropping-particle":"","parse-names":false,"suffix":""},{"dropping-particle":"","family":"Esteve","given":"M. J.","non-dropping-particle":"","parse-names":false,"suffix":""}],"container-title":"Food Bioscience","id":"ITEM-2","issue":"February","issued":{"date-parts":[["2023"]]},"title":"Using novel hydrophobic deep eutectic solvents to improve a sustainable carotenoid extraction from orange peels","type":"article-journal","volume":"53"},"uris":["http://www.mendeley.com/documents/?uuid=1e52ef97-76e7-412a-a77f-51b692f4519a","http://www.mendeley.com/documents/?uuid=2b9fb5a1-ea3a-4ec0-b183-5a5f6ce22375","http://www.mendeley.com/documents/?uuid=0b77f258-e7d6-4764-b4e4-9073f429cfa5"]}],"mendeley":{"formattedCitation":"[7,41]","plainTextFormattedCitation":"[7,41]","previouslyFormattedCitation":"[8,40]"},"properties":{"noteIndex":0},"schema":"https://github.com/citation-style-language/schema/raw/master/csl-citation.json"}</w:instrText>
      </w:r>
      <w:r w:rsidR="00E01993" w:rsidRPr="00966B21">
        <w:rPr>
          <w:lang w:val="en-GB"/>
        </w:rPr>
        <w:fldChar w:fldCharType="separate"/>
      </w:r>
      <w:r w:rsidR="00CD7D53" w:rsidRPr="00966B21">
        <w:rPr>
          <w:noProof/>
          <w:lang w:val="en-GB"/>
        </w:rPr>
        <w:t>[7,41]</w:t>
      </w:r>
      <w:r w:rsidR="00E01993" w:rsidRPr="00966B21">
        <w:rPr>
          <w:lang w:val="en-GB"/>
        </w:rPr>
        <w:fldChar w:fldCharType="end"/>
      </w:r>
      <w:r w:rsidR="009B4052" w:rsidRPr="00966B21">
        <w:rPr>
          <w:lang w:val="en-GB"/>
        </w:rPr>
        <w:t xml:space="preserve">, </w:t>
      </w:r>
      <w:r w:rsidR="00205728" w:rsidRPr="00966B21">
        <w:rPr>
          <w:lang w:val="en-GB"/>
        </w:rPr>
        <w:t>the extracts were</w:t>
      </w:r>
      <w:r w:rsidR="009B4052" w:rsidRPr="00966B21">
        <w:rPr>
          <w:lang w:val="en-GB"/>
        </w:rPr>
        <w:t xml:space="preserve"> tested under the effect of light, one of the main oxidative factors toget</w:t>
      </w:r>
      <w:r w:rsidR="00205728" w:rsidRPr="00966B21">
        <w:rPr>
          <w:lang w:val="en-GB"/>
        </w:rPr>
        <w:t xml:space="preserve">her with temperature and oxygen </w:t>
      </w:r>
      <w:r w:rsidR="00E01993" w:rsidRPr="00966B21">
        <w:rPr>
          <w:lang w:val="en-GB"/>
        </w:rPr>
        <w:fldChar w:fldCharType="begin" w:fldLock="1"/>
      </w:r>
      <w:r w:rsidR="00CD7D53" w:rsidRPr="00966B21">
        <w:rPr>
          <w:lang w:val="en-GB"/>
        </w:rPr>
        <w:instrText>ADDIN CSL_CITATION {"citationItems":[{"id":"ITEM-1","itemData":{"DOI":"10.1016/j.foodchem.2022.132156","ISSN":"18737072","PMID":"35065488","abstract":"Three novel hydrophobic deep eutectic solvents (DESs) based on oleic acid and terpenes (thymol, DL-menthol, and geraniol) were prepared, characterized, and used to extract astaxanthin from the microalga Haematococcus pluvialis without any pre-treatment of the cells. The three DES were composed of Generally Recognized As Safe (GRAS) and edible ingredients. All the tested DESs gave astaxanthin recovery values of about 60 and 30% in 6 h if applied on freeze-dried biomass or directly on algae culture, respectively. The carotenoid profile was qualitatively identical to what was obtained by using traditional organic solvents, regardless of the DES used; the monoesters of astaxanthin with C18-fatty acids were the main compounds found in all the carotenoid extracts. The thymol:oleic acid DES (TAO) could preserve astaxanthin content after prolonged oxidative stress (40% of the astaxanthin initially extracted was still present after 13.5 h of light exposure), thanks to the superior antioxidant properties of thymol. The capacity of improving astaxanthin stability combined with the intrinsic safety and edibility of the DES components makes the formulation astaxanthin-TAO appealing for the food ingredients/additives industry.","author":[{"dropping-particle":"","family":"Pitacco","given":"Walter","non-dropping-particle":"","parse-names":false,"suffix":""},{"dropping-particle":"","family":"Samorì","given":"Chiara","non-dropping-particle":"","parse-names":false,"suffix":""},{"dropping-particle":"","family":"Pezzolesi","given":"Laura","non-dropping-particle":"","parse-names":false,"suffix":""},{"dropping-particle":"","family":"Gori","given":"Virginia","non-dropping-particle":"","parse-names":false,"suffix":""},{"dropping-particle":"","family":"Grillo","given":"Antonio","non-dropping-particle":"","parse-names":false,"suffix":""},{"dropping-particle":"","family":"Tiecco","given":"Matteo","non-dropping-particle":"","parse-names":false,"suffix":""},{"dropping-particle":"","family":"Vagnoni","given":"Martina","non-dropping-particle":"","parse-names":false,"suffix":""},{"dropping-particle":"","family":"Galletti","given":"Paola","non-dropping-particle":"","parse-names":false,"suffix":""}],"container-title":"Food Chemistry","id":"ITEM-1","issue":"December 2021","issued":{"date-parts":[["2022"]]},"page":"132156","publisher":"Elsevier Ltd","title":"Extraction of astaxanthin from Haematococcus pluvialis with hydrophobic deep eutectic solvents based on oleic acid","type":"article-journal","volume":"379"},"uris":["http://www.mendeley.com/documents/?uuid=ffee883b-bdbe-4286-a29d-18cf90527c4e","http://www.mendeley.com/documents/?uuid=c140366c-fbe3-4c8a-9727-223df10407fe"]}],"mendeley":{"formattedCitation":"[14]","plainTextFormattedCitation":"[14]","previouslyFormattedCitation":"[14]"},"properties":{"noteIndex":0},"schema":"https://github.com/citation-style-language/schema/raw/master/csl-citation.json"}</w:instrText>
      </w:r>
      <w:r w:rsidR="00E01993" w:rsidRPr="00966B21">
        <w:rPr>
          <w:lang w:val="en-GB"/>
        </w:rPr>
        <w:fldChar w:fldCharType="separate"/>
      </w:r>
      <w:r w:rsidR="00CA7138" w:rsidRPr="00966B21">
        <w:rPr>
          <w:noProof/>
          <w:lang w:val="en-GB"/>
        </w:rPr>
        <w:t>[14]</w:t>
      </w:r>
      <w:r w:rsidR="00E01993" w:rsidRPr="00966B21">
        <w:rPr>
          <w:lang w:val="en-GB"/>
        </w:rPr>
        <w:fldChar w:fldCharType="end"/>
      </w:r>
      <w:r w:rsidR="00205728" w:rsidRPr="00966B21">
        <w:rPr>
          <w:lang w:val="en-GB"/>
        </w:rPr>
        <w:t xml:space="preserve">. After 240 min of </w:t>
      </w:r>
      <w:r w:rsidR="00666BDE" w:rsidRPr="00966B21">
        <w:rPr>
          <w:lang w:val="en-GB"/>
        </w:rPr>
        <w:t xml:space="preserve">light exposure extracts obtained with </w:t>
      </w:r>
      <w:r w:rsidR="009668D0" w:rsidRPr="00966B21">
        <w:rPr>
          <w:lang w:val="en-GB"/>
        </w:rPr>
        <w:t>CONV, MAO</w:t>
      </w:r>
      <w:r w:rsidR="000E190C" w:rsidRPr="00966B21">
        <w:rPr>
          <w:lang w:val="en-GB"/>
        </w:rPr>
        <w:t xml:space="preserve">, MLEV and TLEV had values &lt;50% of the initial </w:t>
      </w:r>
      <w:r w:rsidR="00666BDE" w:rsidRPr="00966B21">
        <w:rPr>
          <w:lang w:val="en-GB"/>
        </w:rPr>
        <w:t>total carotenoid content</w:t>
      </w:r>
      <w:r w:rsidR="000E190C" w:rsidRPr="00966B21">
        <w:rPr>
          <w:lang w:val="en-GB"/>
        </w:rPr>
        <w:t>, indicating intense degradation of carotenoids.</w:t>
      </w:r>
      <w:r w:rsidR="00666BDE" w:rsidRPr="00966B21">
        <w:rPr>
          <w:lang w:val="en-GB"/>
        </w:rPr>
        <w:t xml:space="preserve"> The </w:t>
      </w:r>
      <w:r w:rsidR="00995839" w:rsidRPr="00966B21">
        <w:rPr>
          <w:lang w:val="en-GB"/>
        </w:rPr>
        <w:t>extracts obtained with some</w:t>
      </w:r>
      <w:r w:rsidR="00666BDE" w:rsidRPr="00966B21">
        <w:rPr>
          <w:lang w:val="en-GB"/>
        </w:rPr>
        <w:t xml:space="preserve"> HESs maintained</w:t>
      </w:r>
      <w:r w:rsidR="00995839" w:rsidRPr="00966B21">
        <w:rPr>
          <w:lang w:val="en-GB"/>
        </w:rPr>
        <w:t xml:space="preserve"> values </w:t>
      </w:r>
      <w:r w:rsidR="00666BDE" w:rsidRPr="00966B21">
        <w:rPr>
          <w:lang w:val="en-GB"/>
        </w:rPr>
        <w:t>above 50% after 480 min of light exposure</w:t>
      </w:r>
      <w:r w:rsidR="007C69D0" w:rsidRPr="00966B21">
        <w:rPr>
          <w:lang w:val="en-GB"/>
        </w:rPr>
        <w:t xml:space="preserve"> (</w:t>
      </w:r>
      <w:r w:rsidR="00974E3F" w:rsidRPr="00966B21">
        <w:rPr>
          <w:lang w:val="en-GB"/>
        </w:rPr>
        <w:t xml:space="preserve">Figure </w:t>
      </w:r>
      <w:r w:rsidR="00B644CF" w:rsidRPr="00966B21">
        <w:rPr>
          <w:lang w:val="en-GB"/>
        </w:rPr>
        <w:t>1</w:t>
      </w:r>
      <w:r w:rsidR="00974E3F" w:rsidRPr="00966B21">
        <w:rPr>
          <w:lang w:val="en-GB"/>
        </w:rPr>
        <w:t>a</w:t>
      </w:r>
      <w:r w:rsidR="007C69D0" w:rsidRPr="00966B21">
        <w:rPr>
          <w:lang w:val="en-GB"/>
        </w:rPr>
        <w:t>)</w:t>
      </w:r>
      <w:r w:rsidR="00666BDE" w:rsidRPr="00966B21">
        <w:rPr>
          <w:lang w:val="en-GB"/>
        </w:rPr>
        <w:t xml:space="preserve">, which might suggest </w:t>
      </w:r>
      <w:r w:rsidR="00974E3F" w:rsidRPr="00966B21">
        <w:rPr>
          <w:lang w:val="en-GB"/>
        </w:rPr>
        <w:t xml:space="preserve">a </w:t>
      </w:r>
      <w:r w:rsidR="00666BDE" w:rsidRPr="00966B21">
        <w:rPr>
          <w:lang w:val="en-GB"/>
        </w:rPr>
        <w:t>protective effect on carotenoids against light oxidation. In terms of efficacy</w:t>
      </w:r>
      <w:r w:rsidR="00984A65" w:rsidRPr="00966B21">
        <w:rPr>
          <w:lang w:val="en-GB"/>
        </w:rPr>
        <w:t>,</w:t>
      </w:r>
      <w:r w:rsidR="00666BDE" w:rsidRPr="00966B21">
        <w:rPr>
          <w:lang w:val="en-GB"/>
        </w:rPr>
        <w:t xml:space="preserve"> these</w:t>
      </w:r>
      <w:r w:rsidR="00995839" w:rsidRPr="00966B21">
        <w:rPr>
          <w:lang w:val="en-GB"/>
        </w:rPr>
        <w:t xml:space="preserve"> HESs</w:t>
      </w:r>
      <w:r w:rsidR="00666BDE" w:rsidRPr="00966B21">
        <w:rPr>
          <w:lang w:val="en-GB"/>
        </w:rPr>
        <w:t xml:space="preserve"> </w:t>
      </w:r>
      <w:r w:rsidR="00D10789" w:rsidRPr="00966B21">
        <w:rPr>
          <w:lang w:val="en-GB"/>
        </w:rPr>
        <w:t xml:space="preserve">were </w:t>
      </w:r>
      <w:r w:rsidR="00666BDE" w:rsidRPr="00966B21">
        <w:rPr>
          <w:lang w:val="en-GB"/>
        </w:rPr>
        <w:t>ordered as follows TM &gt; TLAU &gt; MLAU &gt; TAO &gt; MLAC</w:t>
      </w:r>
      <w:r w:rsidR="00B02775" w:rsidRPr="00966B21">
        <w:rPr>
          <w:lang w:val="en-GB"/>
        </w:rPr>
        <w:t>. A</w:t>
      </w:r>
      <w:r w:rsidR="009F6404" w:rsidRPr="00966B21">
        <w:rPr>
          <w:lang w:val="en-GB"/>
        </w:rPr>
        <w:t>s can be observed</w:t>
      </w:r>
      <w:r w:rsidR="00B02775" w:rsidRPr="00966B21">
        <w:rPr>
          <w:lang w:val="en-GB"/>
        </w:rPr>
        <w:t>,</w:t>
      </w:r>
      <w:r w:rsidR="009F6404" w:rsidRPr="00966B21">
        <w:rPr>
          <w:lang w:val="en-GB"/>
        </w:rPr>
        <w:t xml:space="preserve"> the combination of menthol and thymol might be particularly effective in preventing MCP carotenoid degradation.</w:t>
      </w:r>
      <w:r w:rsidR="00995839" w:rsidRPr="00966B21">
        <w:rPr>
          <w:lang w:val="en-GB"/>
        </w:rPr>
        <w:t xml:space="preserve"> </w:t>
      </w:r>
      <w:r w:rsidR="004349DA" w:rsidRPr="00966B21">
        <w:rPr>
          <w:lang w:val="en-GB"/>
        </w:rPr>
        <w:t>Light</w:t>
      </w:r>
      <w:r w:rsidR="00995839" w:rsidRPr="00966B21">
        <w:rPr>
          <w:lang w:val="en-GB"/>
        </w:rPr>
        <w:t xml:space="preserve"> stability of carotenoids</w:t>
      </w:r>
      <w:r w:rsidR="009F6404" w:rsidRPr="00966B21">
        <w:rPr>
          <w:lang w:val="en-GB"/>
        </w:rPr>
        <w:t xml:space="preserve"> </w:t>
      </w:r>
      <w:r w:rsidR="007C69D0" w:rsidRPr="00966B21">
        <w:rPr>
          <w:lang w:val="en-GB"/>
        </w:rPr>
        <w:t>might be related t</w:t>
      </w:r>
      <w:r w:rsidR="00974E3F" w:rsidRPr="00966B21">
        <w:rPr>
          <w:lang w:val="en-GB"/>
        </w:rPr>
        <w:t>o carotenoid</w:t>
      </w:r>
      <w:r w:rsidR="004349DA" w:rsidRPr="00966B21">
        <w:rPr>
          <w:lang w:val="en-GB"/>
        </w:rPr>
        <w:t xml:space="preserve"> </w:t>
      </w:r>
      <w:r w:rsidR="007C69D0" w:rsidRPr="00966B21">
        <w:rPr>
          <w:lang w:val="en-GB"/>
        </w:rPr>
        <w:t>structure and solvent properties, as an example men</w:t>
      </w:r>
      <w:r w:rsidR="004349DA" w:rsidRPr="00966B21">
        <w:rPr>
          <w:lang w:val="en-GB"/>
        </w:rPr>
        <w:t>thol : camphor</w:t>
      </w:r>
      <w:r w:rsidR="007C69D0" w:rsidRPr="00966B21">
        <w:rPr>
          <w:lang w:val="en-GB"/>
        </w:rPr>
        <w:t xml:space="preserve"> </w:t>
      </w:r>
      <w:r w:rsidR="004349DA" w:rsidRPr="00966B21">
        <w:rPr>
          <w:lang w:val="en-GB"/>
        </w:rPr>
        <w:t>maintained</w:t>
      </w:r>
      <w:r w:rsidR="007C69D0" w:rsidRPr="00966B21">
        <w:rPr>
          <w:lang w:val="en-GB"/>
        </w:rPr>
        <w:t xml:space="preserve"> the </w:t>
      </w:r>
      <w:r w:rsidR="004349DA" w:rsidRPr="00966B21">
        <w:rPr>
          <w:lang w:val="en-GB"/>
        </w:rPr>
        <w:t>stability</w:t>
      </w:r>
      <w:r w:rsidR="007C69D0" w:rsidRPr="00966B21">
        <w:rPr>
          <w:lang w:val="en-GB"/>
        </w:rPr>
        <w:t xml:space="preserve"> of carotenoid</w:t>
      </w:r>
      <w:r w:rsidR="004349DA" w:rsidRPr="00966B21">
        <w:rPr>
          <w:lang w:val="en-GB"/>
        </w:rPr>
        <w:t>s extracted fro</w:t>
      </w:r>
      <w:r w:rsidR="007C69D0" w:rsidRPr="00966B21">
        <w:rPr>
          <w:lang w:val="en-GB"/>
        </w:rPr>
        <w:t>m orange peel</w:t>
      </w:r>
      <w:r w:rsidR="004349DA" w:rsidRPr="00966B21">
        <w:rPr>
          <w:lang w:val="en-GB"/>
        </w:rPr>
        <w:t xml:space="preserve"> </w:t>
      </w:r>
      <w:r w:rsidR="00E01993" w:rsidRPr="00966B21">
        <w:rPr>
          <w:lang w:val="en-GB"/>
        </w:rPr>
        <w:fldChar w:fldCharType="begin" w:fldLock="1"/>
      </w:r>
      <w:r w:rsidR="00CD7D53" w:rsidRPr="00966B21">
        <w:rPr>
          <w:lang w:val="en-GB"/>
        </w:rPr>
        <w:instrText>ADDIN CSL_CITATION {"citationItems":[{"id":"ITEM-1","itemData":{"DOI":"10.1016/j.fbio.2023.102570","ISSN":"22124306","abstract":"Carotenoids are a group of pigments that play a significant role in human health due to their antioxidant properties. This emphasises the importance of their extraction using sustainable solvents as alternatives to hazardous solvents. This study aimed to select and optimise the most promising deep eutectic solvent (DES) for a sustainable carotenoid extraction from orange peels by considering parameters such as efficiency, stability, and physicochemical properties. COSMOtherm software was used to screen 68 hydrophobic and hydrophilic DES. The experimental results demonstrated efficient extraction yields when using hydrophobic DES such as Menthol: Camphor (163.5 ± 1.1 mg/100gfw), and the stability of carotenoids in this solvent was 56% for total carotenoids after 60 days at 4 °C. The ultrasound extraction technique was selected for the optimisation process, and the optimal conditions were 60% ultrasound intensity (120 W), a solvent-to-solid ratio of 20 mL, and an extraction time of 20 min with a yield of 653.5 mg/100 gfw. The results presented in this study demonstrate the capacity of novel hydrophobic DES to extract carotenoids and identify this solvent as a good and sustainable alternative to organic solvents. Improved carotenoid extraction combined with non-toxicity, edibility, and enhanced carotenoid stability makes these extracts appealing for use in food product fortification.","author":[{"dropping-particle":"","family":"Viñas-Ospino","given":"A.","non-dropping-particle":"","parse-names":false,"suffix":""},{"dropping-particle":"","family":"Panić","given":"M.","non-dropping-particle":"","parse-names":false,"suffix":""},{"dropping-particle":"","family":"Radojčić- Redovniković","given":"I.","non-dropping-particle":"","parse-names":false,"suffix":""},{"dropping-particle":"","family":"Blesa","given":"J.","non-dropping-particle":"","parse-names":false,"suffix":""},{"dropping-particle":"","family":"Esteve","given":"M. J.","non-dropping-particle":"","parse-names":false,"suffix":""}],"container-title":"Food Bioscience","id":"ITEM-1","issue":"February","issued":{"date-parts":[["2023"]]},"title":"Using novel hydrophobic deep eutectic solvents to improve a sustainable carotenoid extraction from orange peels","type":"article-journal","volume":"53"},"uris":["http://www.mendeley.com/documents/?uuid=1e52ef97-76e7-412a-a77f-51b692f4519a","http://www.mendeley.com/documents/?uuid=2b9fb5a1-ea3a-4ec0-b183-5a5f6ce22375"]}],"mendeley":{"formattedCitation":"[41]","plainTextFormattedCitation":"[41]","previouslyFormattedCitation":"[40]"},"properties":{"noteIndex":0},"schema":"https://github.com/citation-style-language/schema/raw/master/csl-citation.json"}</w:instrText>
      </w:r>
      <w:r w:rsidR="00E01993" w:rsidRPr="00966B21">
        <w:rPr>
          <w:lang w:val="en-GB"/>
        </w:rPr>
        <w:fldChar w:fldCharType="separate"/>
      </w:r>
      <w:r w:rsidR="00CD7D53" w:rsidRPr="00966B21">
        <w:rPr>
          <w:noProof/>
          <w:lang w:val="en-GB"/>
        </w:rPr>
        <w:t>[41]</w:t>
      </w:r>
      <w:r w:rsidR="00E01993" w:rsidRPr="00966B21">
        <w:rPr>
          <w:lang w:val="en-GB"/>
        </w:rPr>
        <w:fldChar w:fldCharType="end"/>
      </w:r>
      <w:r w:rsidR="004349DA" w:rsidRPr="00966B21">
        <w:rPr>
          <w:lang w:val="en-GB"/>
        </w:rPr>
        <w:t xml:space="preserve"> </w:t>
      </w:r>
      <w:r w:rsidR="007C69D0" w:rsidRPr="00966B21">
        <w:rPr>
          <w:lang w:val="en-GB"/>
        </w:rPr>
        <w:t xml:space="preserve">while thymol : oleic acid </w:t>
      </w:r>
      <w:r w:rsidR="004349DA" w:rsidRPr="00966B21">
        <w:rPr>
          <w:lang w:val="en-GB"/>
        </w:rPr>
        <w:t xml:space="preserve">(TAO) maintained the stability of astaxanthin extracted from </w:t>
      </w:r>
      <w:r w:rsidR="004349DA" w:rsidRPr="00966B21">
        <w:rPr>
          <w:i/>
          <w:iCs/>
          <w:lang w:val="en-GB"/>
        </w:rPr>
        <w:t xml:space="preserve">Haematococcus pluvialis </w:t>
      </w:r>
      <w:r w:rsidR="00E01993" w:rsidRPr="00966B21">
        <w:rPr>
          <w:i/>
          <w:iCs/>
          <w:lang w:val="en-GB"/>
        </w:rPr>
        <w:fldChar w:fldCharType="begin" w:fldLock="1"/>
      </w:r>
      <w:r w:rsidR="00CD7D53" w:rsidRPr="00966B21">
        <w:rPr>
          <w:i/>
          <w:iCs/>
          <w:lang w:val="en-GB"/>
        </w:rPr>
        <w:instrText>ADDIN CSL_CITATION {"citationItems":[{"id":"ITEM-1","itemData":{"DOI":"10.1016/j.foodchem.2022.132156","ISSN":"18737072","PMID":"35065488","abstract":"Three novel hydrophobic deep eutectic solvents (DESs) based on oleic acid and terpenes (thymol, DL-menthol, and geraniol) were prepared, characterized, and used to extract astaxanthin from the microalga Haematococcus pluvialis without any pre-treatment of the cells. The three DES were composed of Generally Recognized As Safe (GRAS) and edible ingredients. All the tested DESs gave astaxanthin recovery values of about 60 and 30% in 6 h if applied on freeze-dried biomass or directly on algae culture, respectively. The carotenoid profile was qualitatively identical to what was obtained by using traditional organic solvents, regardless of the DES used; the monoesters of astaxanthin with C18-fatty acids were the main compounds found in all the carotenoid extracts. The thymol:oleic acid DES (TAO) could preserve astaxanthin content after prolonged oxidative stress (40% of the astaxanthin initially extracted was still present after 13.5 h of light exposure), thanks to the superior antioxidant properties of thymol. The capacity of improving astaxanthin stability combined with the intrinsic safety and edibility of the DES components makes the formulation astaxanthin-TAO appealing for the food ingredients/additives industry.","author":[{"dropping-particle":"","family":"Pitacco","given":"Walter","non-dropping-particle":"","parse-names":false,"suffix":""},{"dropping-particle":"","family":"Samorì","given":"Chiara","non-dropping-particle":"","parse-names":false,"suffix":""},{"dropping-particle":"","family":"Pezzolesi","given":"Laura","non-dropping-particle":"","parse-names":false,"suffix":""},{"dropping-particle":"","family":"Gori","given":"Virginia","non-dropping-particle":"","parse-names":false,"suffix":""},{"dropping-particle":"","family":"Grillo","given":"Antonio","non-dropping-particle":"","parse-names":false,"suffix":""},{"dropping-particle":"","family":"Tiecco","given":"Matteo","non-dropping-particle":"","parse-names":false,"suffix":""},{"dropping-particle":"","family":"Vagnoni","given":"Martina","non-dropping-particle":"","parse-names":false,"suffix":""},{"dropping-particle":"","family":"Galletti","given":"Paola","non-dropping-particle":"","parse-names":false,"suffix":""}],"container-title":"Food Chemistry","id":"ITEM-1","issue":"December 2021","issued":{"date-parts":[["2022"]]},"page":"132156","publisher":"Elsevier Ltd","title":"Extraction of astaxanthin from Haematococcus pluvialis with hydrophobic deep eutectic solvents based on oleic acid","type":"article-journal","volume":"379"},"uris":["http://www.mendeley.com/documents/?uuid=ffee883b-bdbe-4286-a29d-18cf90527c4e","http://www.mendeley.com/documents/?uuid=c140366c-fbe3-4c8a-9727-223df10407fe"]}],"mendeley":{"formattedCitation":"[14]","plainTextFormattedCitation":"[14]","previouslyFormattedCitation":"[14]"},"properties":{"noteIndex":0},"schema":"https://github.com/citation-style-language/schema/raw/master/csl-citation.json"}</w:instrText>
      </w:r>
      <w:r w:rsidR="00E01993" w:rsidRPr="00966B21">
        <w:rPr>
          <w:i/>
          <w:iCs/>
          <w:lang w:val="en-GB"/>
        </w:rPr>
        <w:fldChar w:fldCharType="separate"/>
      </w:r>
      <w:r w:rsidR="00CA7138" w:rsidRPr="00966B21">
        <w:rPr>
          <w:iCs/>
          <w:noProof/>
          <w:lang w:val="en-GB"/>
        </w:rPr>
        <w:t>[14]</w:t>
      </w:r>
      <w:r w:rsidR="00E01993" w:rsidRPr="00966B21">
        <w:rPr>
          <w:i/>
          <w:iCs/>
          <w:lang w:val="en-GB"/>
        </w:rPr>
        <w:fldChar w:fldCharType="end"/>
      </w:r>
      <w:r w:rsidR="004349DA" w:rsidRPr="00966B21">
        <w:rPr>
          <w:iCs/>
          <w:lang w:val="en-GB"/>
        </w:rPr>
        <w:t xml:space="preserve">. </w:t>
      </w:r>
      <w:r w:rsidR="004349DA" w:rsidRPr="00966B21">
        <w:rPr>
          <w:lang w:val="en-GB"/>
        </w:rPr>
        <w:t xml:space="preserve"> </w:t>
      </w:r>
      <w:r w:rsidR="00995839" w:rsidRPr="00966B21">
        <w:rPr>
          <w:lang w:val="en-GB"/>
        </w:rPr>
        <w:t xml:space="preserve">It is </w:t>
      </w:r>
      <w:r w:rsidR="004349DA" w:rsidRPr="00966B21">
        <w:rPr>
          <w:lang w:val="en-GB"/>
        </w:rPr>
        <w:t>important</w:t>
      </w:r>
      <w:r w:rsidR="00995839" w:rsidRPr="00966B21">
        <w:rPr>
          <w:lang w:val="en-GB"/>
        </w:rPr>
        <w:t xml:space="preserve"> to highlight that there might be other factors beyond HES composition participating in carotenoid stability</w:t>
      </w:r>
      <w:r w:rsidR="004349DA" w:rsidRPr="00966B21">
        <w:rPr>
          <w:lang w:val="en-GB"/>
        </w:rPr>
        <w:t xml:space="preserve"> </w:t>
      </w:r>
      <w:r w:rsidR="004349DA" w:rsidRPr="00966B21">
        <w:rPr>
          <w:lang w:val="en-GB"/>
        </w:rPr>
        <w:lastRenderedPageBreak/>
        <w:t>against light oxidation</w:t>
      </w:r>
      <w:r w:rsidR="00995839" w:rsidRPr="00966B21">
        <w:rPr>
          <w:lang w:val="en-GB"/>
        </w:rPr>
        <w:t xml:space="preserve"> i.e</w:t>
      </w:r>
      <w:r w:rsidR="00D10789" w:rsidRPr="00966B21">
        <w:rPr>
          <w:lang w:val="en-GB"/>
        </w:rPr>
        <w:t>.</w:t>
      </w:r>
      <w:r w:rsidR="00995839" w:rsidRPr="00966B21">
        <w:rPr>
          <w:lang w:val="en-GB"/>
        </w:rPr>
        <w:t xml:space="preserve">: other co-extracted antioxidants, interactions among carotenoids and HES, </w:t>
      </w:r>
      <w:r w:rsidR="004349DA" w:rsidRPr="00966B21">
        <w:rPr>
          <w:lang w:val="en-GB"/>
        </w:rPr>
        <w:t xml:space="preserve">reactivity of HES, </w:t>
      </w:r>
      <w:r w:rsidR="00995839" w:rsidRPr="00966B21">
        <w:rPr>
          <w:lang w:val="en-GB"/>
        </w:rPr>
        <w:t xml:space="preserve">etc. </w:t>
      </w:r>
      <w:r w:rsidR="004349DA" w:rsidRPr="00966B21">
        <w:rPr>
          <w:lang w:val="en-GB"/>
        </w:rPr>
        <w:t xml:space="preserve">This implies that a preliminary assessment should be made based on the type of </w:t>
      </w:r>
      <w:r w:rsidR="00BC5326" w:rsidRPr="00966B21">
        <w:rPr>
          <w:lang w:val="en-GB"/>
        </w:rPr>
        <w:t>carotenoids present in a sample and</w:t>
      </w:r>
      <w:r w:rsidR="004349DA" w:rsidRPr="00966B21">
        <w:rPr>
          <w:lang w:val="en-GB"/>
        </w:rPr>
        <w:t xml:space="preserve"> the ability of the solvent to extract and preserve them.</w:t>
      </w:r>
    </w:p>
    <w:p w14:paraId="74915E71" w14:textId="77777777" w:rsidR="00DA686C" w:rsidRPr="00966B21" w:rsidRDefault="00DA686C" w:rsidP="002753DB">
      <w:pPr>
        <w:pStyle w:val="NormaleWeb"/>
        <w:spacing w:before="0" w:beforeAutospacing="0" w:after="0" w:afterAutospacing="0"/>
        <w:jc w:val="both"/>
        <w:rPr>
          <w:lang w:val="en-GB"/>
        </w:rPr>
      </w:pPr>
    </w:p>
    <w:p w14:paraId="07E11050" w14:textId="5FC7C704" w:rsidR="004349DA" w:rsidRPr="00966B21" w:rsidRDefault="00706AF9" w:rsidP="002753DB">
      <w:pPr>
        <w:pStyle w:val="NormaleWeb"/>
        <w:spacing w:before="0" w:beforeAutospacing="0" w:after="0" w:afterAutospacing="0"/>
        <w:jc w:val="both"/>
        <w:rPr>
          <w:lang w:val="en-GB"/>
        </w:rPr>
      </w:pPr>
      <w:r w:rsidRPr="00966B21">
        <w:rPr>
          <w:lang w:val="en-GB"/>
        </w:rPr>
        <w:t xml:space="preserve">3.4 </w:t>
      </w:r>
      <w:r w:rsidR="004349DA" w:rsidRPr="00966B21">
        <w:rPr>
          <w:lang w:val="en-GB"/>
        </w:rPr>
        <w:t>Thermal stability</w:t>
      </w:r>
      <w:r w:rsidR="00984A65" w:rsidRPr="00966B21">
        <w:rPr>
          <w:lang w:val="en-GB"/>
        </w:rPr>
        <w:t xml:space="preserve"> tests</w:t>
      </w:r>
    </w:p>
    <w:p w14:paraId="603B78E5" w14:textId="77777777" w:rsidR="00706AF9" w:rsidRPr="00966B21" w:rsidRDefault="00706AF9" w:rsidP="002753DB">
      <w:pPr>
        <w:pStyle w:val="NormaleWeb"/>
        <w:spacing w:before="0" w:beforeAutospacing="0" w:after="0" w:afterAutospacing="0"/>
        <w:jc w:val="both"/>
        <w:rPr>
          <w:b/>
          <w:lang w:val="en-GB"/>
        </w:rPr>
      </w:pPr>
    </w:p>
    <w:p w14:paraId="33C6A6AF" w14:textId="39D12032" w:rsidR="00710259" w:rsidRPr="00966B21" w:rsidRDefault="00710259" w:rsidP="00710259">
      <w:pPr>
        <w:pStyle w:val="NormaleWeb"/>
        <w:spacing w:before="0" w:beforeAutospacing="0" w:after="0" w:afterAutospacing="0"/>
        <w:jc w:val="both"/>
        <w:rPr>
          <w:lang w:val="en-GB"/>
        </w:rPr>
      </w:pPr>
      <w:r w:rsidRPr="00966B21">
        <w:rPr>
          <w:lang w:val="en-GB"/>
        </w:rPr>
        <w:t>Carotenoids are sensitive to high temperatures; long exposure to heat can lead to isomerisation, oxidative degradation, loss of colour and nutritional value</w:t>
      </w:r>
      <w:r w:rsidRPr="00966B21">
        <w:rPr>
          <w:lang w:val="en-GB"/>
        </w:rPr>
        <w:fldChar w:fldCharType="begin" w:fldLock="1"/>
      </w:r>
      <w:r w:rsidR="00CD7D53" w:rsidRPr="00966B21">
        <w:rPr>
          <w:lang w:val="en-GB"/>
        </w:rPr>
        <w:instrText>ADDIN CSL_CITATION {"citationItems":[{"id":"ITEM-1","itemData":{"DOI":"10.3390/antiox13020239","ISSN":"20763921","abstract":"Carotenoids are ubiquitous and versatile isoprenoid compounds. The intake of foods rich in these pigments is often associated with health benefits, attributable to the provitamin A activity of some of them and different mechanisms. The importance of carotenoids and their derivatives for the production of foods and health-promotion through the diet is beyond doubt. In the new circular economy paradigm, the recovery of carotenoids in the biorefinery process is highly desirable, for which greener processes and solvents are being advocated for, considering the many studies being conducted at the laboratory scale. This review summarizes information on different extraction technologies (ultrasound, microwaves, pulsed electric fields, pressurized liquid extraction, sub- and supercritical fluid extraction, and enzyme-assisted extraction) and green solvents (ethyl lactate, 2-methyltetrahydrofuran, natural deep eutectic solvents, and ionic liquids), which are potential substitutes for more toxic and less environmentally friendly solvents. Additionally, it discusses the results of the latest studies on the sustainable green extraction of carotenoids. The conclusions drawn from the review indicate that while laboratory results are often promising, the scalability to real industrial scenarios poses a significant challenge. Furthermore, incorporating life cycle assessment analyses is crucial for a comprehensive evaluation of the sustainability of innovative extraction processes compared to industry-standard methods.","author":[{"dropping-particle":"","family":"Morón-Ortiz","given":"Ángeles","non-dropping-particle":"","parse-names":false,"suffix":""},{"dropping-particle":"","family":"Mapelli-Brahm","given":"Paula","non-dropping-particle":"","parse-names":false,"suffix":""},{"dropping-particle":"","family":"Meléndez-Martínez","given":"Antonio J.","non-dropping-particle":"","parse-names":false,"suffix":""}],"container-title":"Antioxidants","id":"ITEM-1","issue":"2","issued":{"date-parts":[["2024"]]},"title":"Sustainable Green Extraction of Carotenoid Pigments: Innovative Technologies and Bio-Based Solvents","type":"article-journal","volume":"13"},"uris":["http://www.mendeley.com/documents/?uuid=0f25e7bf-d7fd-4bd2-a743-dbe5e2ce64c9","http://www.mendeley.com/documents/?uuid=066c5372-beeb-4fca-aa37-31fc10b498b5"]},{"id":"ITEM-2","itemData":{"DOI":"10.3390/foods12040863","ISSN":"23048158","abstract":"Carotenoids have important implications for human health and the food industry due to their antioxidant and functional properties. Their extraction is a crucial step for being able to concentrate them and potentially include them in food products. Traditionally, the extraction of carotenoids is performed using organic solvents that have toxicological effects. Developing greener solvents and techniques for extracting high-value compounds is one of the principles of green chemistry and a challenge for the food industry. This review will analyze the use of green solvents, namely, vegetable oils, supercritical fluids, deep eutectic solvents, ionic liquids, and limonene, combined with nonconventional techniques (ultrasound-assisted extraction and microwave), for carotenoid extraction from fruit and vegetable by-products as upcoming alternatives to organic solvents. Recent developments in the isolation of carotenoids from green solvents and their inclusion in food products will also be discussed. The use of green solvents offers significant advantages in extracting carotenoids, both by decreasing the downstream process of solvent elimination, and the fact that the carotenoids can be included directly in food products without posing a risk to human health.","author":[{"dropping-particle":"","family":"Viñas-Ospino","given":"Adriana","non-dropping-particle":"","parse-names":false,"suffix":""},{"dropping-particle":"","family":"López-Malo","given":"Daniel","non-dropping-particle":"","parse-names":false,"suffix":""},{"dropping-particle":"","family":"Esteve","given":"María José","non-dropping-particle":"","parse-names":false,"suffix":""},{"dropping-particle":"","family":"Frígola","given":"Ana","non-dropping-particle":"","parse-names":false,"suffix":""},{"dropping-particle":"","family":"Blesa","given":"Jesús","non-dropping-particle":"","parse-names":false,"suffix":""}],"container-title":"Foods","id":"ITEM-2","issue":"4","issued":{"date-parts":[["2023"]]},"page":"1-19","title":"Green Solvents: Emerging Alternatives for Carotenoid Extraction from Fruit and Vegetable By-Products","type":"article-journal","volume":"12"},"uris":["http://www.mendeley.com/documents/?uuid=3a8b0235-0fa1-4472-bc24-ba8393d0d4a6","http://www.mendeley.com/documents/?uuid=6ed6c6e5-c9bc-49a1-b9c2-848abe70f662","http://www.mendeley.com/documents/?uuid=46ea88d1-2a88-4c16-9da0-a9f708e3d5ff"]}],"mendeley":{"formattedCitation":"[8,12]","plainTextFormattedCitation":"[8,12]","previouslyFormattedCitation":"[9,13]"},"properties":{"noteIndex":0},"schema":"https://github.com/citation-style-language/schema/raw/master/csl-citation.json"}</w:instrText>
      </w:r>
      <w:r w:rsidRPr="00966B21">
        <w:rPr>
          <w:lang w:val="en-GB"/>
        </w:rPr>
        <w:fldChar w:fldCharType="separate"/>
      </w:r>
      <w:r w:rsidR="00CD7D53" w:rsidRPr="00966B21">
        <w:rPr>
          <w:noProof/>
          <w:lang w:val="en-GB"/>
        </w:rPr>
        <w:t>[8,12]</w:t>
      </w:r>
      <w:r w:rsidRPr="00966B21">
        <w:rPr>
          <w:lang w:val="en-GB"/>
        </w:rPr>
        <w:fldChar w:fldCharType="end"/>
      </w:r>
      <w:r w:rsidRPr="00966B21">
        <w:rPr>
          <w:lang w:val="en-GB"/>
        </w:rPr>
        <w:t>. Hydrophobic environments have been proven to protect the thermal degradation</w:t>
      </w:r>
      <w:r w:rsidR="00984A65" w:rsidRPr="00966B21">
        <w:rPr>
          <w:lang w:val="en-GB"/>
        </w:rPr>
        <w:t xml:space="preserve"> of</w:t>
      </w:r>
      <w:r w:rsidRPr="00966B21">
        <w:rPr>
          <w:lang w:val="en-GB"/>
        </w:rPr>
        <w:t xml:space="preserve"> carotenoids </w:t>
      </w:r>
      <w:r w:rsidR="00E01993" w:rsidRPr="00966B21">
        <w:rPr>
          <w:lang w:val="en-GB"/>
        </w:rPr>
        <w:fldChar w:fldCharType="begin" w:fldLock="1"/>
      </w:r>
      <w:r w:rsidR="00CD7D53" w:rsidRPr="00966B21">
        <w:rPr>
          <w:lang w:val="en-GB"/>
        </w:rPr>
        <w:instrText>ADDIN CSL_CITATION {"citationItems":[{"id":"ITEM-1","itemData":{"DOI":"10.3390/molecules24213947","ISSN":"14203049","PMID":"31683692","abstract":"Carotenoids are natural dyes and antioxidants widely used in food processing and in therapeutic formulations. However, their practical application is restricted by their high sensitivity to external factors such as heat, light, oxygen, metal ions and processing conditions, as well as by extremely low water solubility. Various approaches have been developed to overcome these problems. In particular, it was demonstrated that application of supramolecular complexes of “host-guest” type with water-soluble nanoparticles allows minimizing the abovementioned disadvantages. From this point of view, nanoencapsulation of carotenoids is an effective strategy to improve their stability during storage and food processing. Also, nanoencapsulation enhances bioavailability of carotenoids via modulating their release kinetics from the delivery system, influencing the solubility and absorption. In the present paper, we present the state of the art of carotenoid nanoencapsulation and summarize the data obtained during last five years on preparation, analysis and reactivity of carotenoids encapsulated into various nanoparticles. The possible mechanisms of carotenoids bioavailability enhancement by multifunctional delivery systems are also discussed.","author":[{"dropping-particle":"","family":"Ligia Focsan","given":"A.","non-dropping-particle":"","parse-names":false,"suffix":""},{"dropping-particle":"","family":"Polyakov","given":"Nikolay E.","non-dropping-particle":"","parse-names":false,"suffix":""},{"dropping-particle":"","family":"Kispert","given":"Lowell D.","non-dropping-particle":"","parse-names":false,"suffix":""}],"container-title":"Molecules","id":"ITEM-1","issue":"21","issued":{"date-parts":[["2019"]]},"title":"Supramolecular carotenoid complexes of enhanced solubility and stability — The way of bioavailability improvement","type":"article-journal","volume":"24"},"uris":["http://www.mendeley.com/documents/?uuid=8ed10475-48fb-403f-81d2-6881941d6ef0","http://www.mendeley.com/documents/?uuid=328f7ce4-d689-4210-8487-14019cbfd4bf"]},{"id":"ITEM-2","itemData":{"DOI":"10.1016/j.lwt.2022.113520","ISSN":"00236438","abstract":"In the fields of human nutrition and the food industry, the various products of the spice red chili pepper have sparked increased attention. The purpose of this study was to determine the quantity and stability of carotenoids, carotenoid esters, tocopherols, and capsaicinoids in new spice chili hybrids under traditional drying utilizing cutting-edge analytical techniques. In both fresh and conventionally dried goods, the quantities and stability of bioactive components vary significantly between the hybrids. The highly pungent cultivar Unijol, which dispersed capsaicinoids 7–9 times more than the other cultivars, had the highest retention of carotenoids (76–138) upon drying. The levels of carotenoids discovered in naturally dried samples were larger in all cultivars than those found in raw materials, indicating continuous over-ripeness processes during long-term drying. Tocopherol stability was ranked Unijol &gt; Hetényi &gt; Unikal, with retention rates of 82–93, 72–79, and 63–73 percent, respectively. The genotypes differed not only in capsaicinoids content, but also in the ratio of capsanthin to dihydrocapsanthin, as well as in their stability during natural and thermal drying, with Unijol being the most stable and Hetényi being the least, with maximal retention of 71–92 percent and 58–86 percent, respectively.","author":[{"dropping-particle":"","family":"Souza","given":"Clarice Se","non-dropping-particle":"","parse-names":false,"suffix":""},{"dropping-particle":"","family":"Daood","given":"Hussein G.","non-dropping-particle":"","parse-names":false,"suffix":""},{"dropping-particle":"","family":"Duah","given":"Stella Agyemang","non-dropping-particle":"","parse-names":false,"suffix":""},{"dropping-particle":"","family":"Vinogradov","given":"Sergey","non-dropping-particle":"","parse-names":false,"suffix":""},{"dropping-particle":"","family":"Palotás","given":"Gábor","non-dropping-particle":"","parse-names":false,"suffix":""},{"dropping-particle":"","family":"Neményi","given":"András","non-dropping-particle":"","parse-names":false,"suffix":""},{"dropping-particle":"","family":"Helyes","given":"Lajos","non-dropping-particle":"","parse-names":false,"suffix":""},{"dropping-particle":"","family":"Pék","given":"Zoltán","non-dropping-particle":"","parse-names":false,"suffix":""}],"container-title":"Lwt","id":"ITEM-2","issue":"May","issued":{"date-parts":[["2022"]]},"title":"Stability of carotenoids, carotenoid esters, tocopherols and capsaicinoids in new chili pepper hybrids during natural and thermal drying","type":"article-journal","volume":"163"},"uris":["http://www.mendeley.com/documents/?uuid=45960ed3-d8a5-4e5d-8d2b-9b6206c8a61c","http://www.mendeley.com/documents/?uuid=4288c6b9-91a6-4979-beeb-777eb8a2df8b"]}],"mendeley":{"formattedCitation":"[42,43]","plainTextFormattedCitation":"[42,43]","previouslyFormattedCitation":"[41,42]"},"properties":{"noteIndex":0},"schema":"https://github.com/citation-style-language/schema/raw/master/csl-citation.json"}</w:instrText>
      </w:r>
      <w:r w:rsidR="00E01993" w:rsidRPr="00966B21">
        <w:rPr>
          <w:lang w:val="en-GB"/>
        </w:rPr>
        <w:fldChar w:fldCharType="separate"/>
      </w:r>
      <w:r w:rsidR="00CD7D53" w:rsidRPr="00966B21">
        <w:rPr>
          <w:noProof/>
          <w:lang w:val="en-GB"/>
        </w:rPr>
        <w:t>[42,43]</w:t>
      </w:r>
      <w:r w:rsidR="00E01993" w:rsidRPr="00966B21">
        <w:rPr>
          <w:lang w:val="en-GB"/>
        </w:rPr>
        <w:fldChar w:fldCharType="end"/>
      </w:r>
      <w:r w:rsidR="003527CB" w:rsidRPr="00966B21">
        <w:rPr>
          <w:lang w:val="en-GB"/>
        </w:rPr>
        <w:t xml:space="preserve">. </w:t>
      </w:r>
      <w:r w:rsidRPr="00966B21">
        <w:rPr>
          <w:lang w:val="en-GB"/>
        </w:rPr>
        <w:t xml:space="preserve">To select adequate HES to extract and stabilize carotenoids extracted from MPC, those extracts that showed the best results in terms of stability against light degradation (TAO, TM, MLAC, MLAU, TLAU) were subjected to thermal stability assay. As can be observed in Figure </w:t>
      </w:r>
      <w:r w:rsidR="00B644CF" w:rsidRPr="00966B21">
        <w:rPr>
          <w:lang w:val="en-GB"/>
        </w:rPr>
        <w:t>1</w:t>
      </w:r>
      <w:r w:rsidRPr="00966B21">
        <w:rPr>
          <w:lang w:val="en-GB"/>
        </w:rPr>
        <w:t>b four of the evaluated HESs maintained more than 50% of initial carotenoid content (TM &gt; MLAU &gt; TAO &gt; TLAU). If the effect of MLAU can be explained by its hydrophobicity, for TM the protective effect would be more related to the antioxidant properties of thymol and menthol. Particularly, thymol has been proven excellent antioxidant properties</w:t>
      </w:r>
      <w:r w:rsidR="00A16821" w:rsidRPr="00966B21">
        <w:rPr>
          <w:lang w:val="en-GB"/>
        </w:rPr>
        <w:t xml:space="preserve"> </w:t>
      </w:r>
      <w:r w:rsidR="00E01993" w:rsidRPr="00966B21">
        <w:rPr>
          <w:lang w:val="en-GB"/>
        </w:rPr>
        <w:fldChar w:fldCharType="begin" w:fldLock="1"/>
      </w:r>
      <w:r w:rsidR="00CD7D53" w:rsidRPr="00966B21">
        <w:rPr>
          <w:lang w:val="en-GB"/>
        </w:rPr>
        <w:instrText>ADDIN CSL_CITATION {"citationItems":[{"id":"ITEM-1","itemData":{"DOI":"10.1016/j.foodchem.2022.132156","ISSN":"18737072","PMID":"35065488","abstract":"Three novel hydrophobic deep eutectic solvents (DESs) based on oleic acid and terpenes (thymol, DL-menthol, and geraniol) were prepared, characterized, and used to extract astaxanthin from the microalga Haematococcus pluvialis without any pre-treatment of the cells. The three DES were composed of Generally Recognized As Safe (GRAS) and edible ingredients. All the tested DESs gave astaxanthin recovery values of about 60 and 30% in 6 h if applied on freeze-dried biomass or directly on algae culture, respectively. The carotenoid profile was qualitatively identical to what was obtained by using traditional organic solvents, regardless of the DES used; the monoesters of astaxanthin with C18-fatty acids were the main compounds found in all the carotenoid extracts. The thymol:oleic acid DES (TAO) could preserve astaxanthin content after prolonged oxidative stress (40% of the astaxanthin initially extracted was still present after 13.5 h of light exposure), thanks to the superior antioxidant properties of thymol. The capacity of improving astaxanthin stability combined with the intrinsic safety and edibility of the DES components makes the formulation astaxanthin-TAO appealing for the food ingredients/additives industry.","author":[{"dropping-particle":"","family":"Pitacco","given":"Walter","non-dropping-particle":"","parse-names":false,"suffix":""},{"dropping-particle":"","family":"Samorì","given":"Chiara","non-dropping-particle":"","parse-names":false,"suffix":""},{"dropping-particle":"","family":"Pezzolesi","given":"Laura","non-dropping-particle":"","parse-names":false,"suffix":""},{"dropping-particle":"","family":"Gori","given":"Virginia","non-dropping-particle":"","parse-names":false,"suffix":""},{"dropping-particle":"","family":"Grillo","given":"Antonio","non-dropping-particle":"","parse-names":false,"suffix":""},{"dropping-particle":"","family":"Tiecco","given":"Matteo","non-dropping-particle":"","parse-names":false,"suffix":""},{"dropping-particle":"","family":"Vagnoni","given":"Martina","non-dropping-particle":"","parse-names":false,"suffix":""},{"dropping-particle":"","family":"Galletti","given":"Paola","non-dropping-particle":"","parse-names":false,"suffix":""}],"container-title":"Food Chemistry","id":"ITEM-1","issue":"December 2021","issued":{"date-parts":[["2022"]]},"page":"132156","publisher":"Elsevier Ltd","title":"Extraction of astaxanthin from Haematococcus pluvialis with hydrophobic deep eutectic solvents based on oleic acid","type":"article-journal","volume":"379"},"uris":["http://www.mendeley.com/documents/?uuid=ffee883b-bdbe-4286-a29d-18cf90527c4e","http://www.mendeley.com/documents/?uuid=c140366c-fbe3-4c8a-9727-223df10407fe"]},{"id":"ITEM-2","itemData":{"DOI":"10.1021/acssuschemeng.8b01203","ISSN":"21680485","abstract":"Recently, some works claim that hydrophobic deep eutectic solvents could be prepared based on menthol and monocarboxylic acids. Despite of some promising potential applications, these systems were poorly understood, and this work addresses this issue. Here, the characterization of eutectic solvents composed of the terpenes thymol or l(-)-menthol and monocarboxylic acids is studied aiming the design of these solvents. Their solid-liquid phase diagrams were measured by differential scanning calorimetry in the whole composition range, showing that a broader composition range, and not only fixed stoichiometric proportions, can be used as solvents at low temperatures. Additionally, solvent densities and viscosities close to the eutectic compositions were measured, showing low viscosity and lower density than water. The solvatochromic parameters at the eutectic composition were also investigated aiming at better understanding their polarity. The high acidity is mainly provided by the presence of thymol in the mixture, while l(-)-menthol plays the major role on the hydrogen-bond basicity. The measured mutual solubilities with water attest to the hydrophobic character of the mixtures investigated. The experimental solid-liquid phase diagrams were described using the PC-SAFT equation of state that is shown to accurately describe the experimental data and quantify the small deviations from ideality.","author":[{"dropping-particle":"","family":"Martins","given":"Mónia A.R.","non-dropping-particle":"","parse-names":false,"suffix":""},{"dropping-particle":"","family":"Crespo","given":"Emanuel A.","non-dropping-particle":"","parse-names":false,"suffix":""},{"dropping-particle":"","family":"Pontes","given":"Paula V.A.","non-dropping-particle":"","parse-names":false,"suffix":""},{"dropping-particle":"","family":"Silva","given":"Liliana P.","non-dropping-particle":"","parse-names":false,"suffix":""},{"dropping-particle":"","family":"Bülow","given":"Mark","non-dropping-particle":"","parse-names":false,"suffix":""},{"dropping-particle":"","family":"Maximo","given":"Guilherme J.","non-dropping-particle":"","parse-names":false,"suffix":""},{"dropping-particle":"","family":"Batista","given":"Eduardo A.C.","non-dropping-particle":"","parse-names":false,"suffix":""},{"dropping-particle":"","family":"Held","given":"Christoph","non-dropping-particle":"","parse-names":false,"suffix":""},{"dropping-particle":"","family":"Pinho","given":"Simao P.","non-dropping-particle":"","parse-names":false,"suffix":""},{"dropping-particle":"","family":"Coutinho","given":"Joao A.P.","non-dropping-particle":"","parse-names":false,"suffix":""}],"container-title":"ACS Sustainable Chemistry and Engineering","id":"ITEM-2","issue":"7","issued":{"date-parts":[["2018"]]},"page":"8836-8846","title":"Tunable Hydrophobic Eutectic Solvents Based on Terpenes and Monocarboxylic Acids","type":"article-journal","volume":"6"},"uris":["http://www.mendeley.com/documents/?uuid=d8f7d029-bf48-4d7a-8307-46f7cd60d508","http://www.mendeley.com/documents/?uuid=7317d34e-9890-446f-95c8-052a335c9a13","http://www.mendeley.com/documents/?uuid=1a6a9cc0-0c4d-4d2d-91fd-5a1f25eecf66"]}],"mendeley":{"formattedCitation":"[14,18]","plainTextFormattedCitation":"[14,18]","previouslyFormattedCitation":"[14,18]"},"properties":{"noteIndex":0},"schema":"https://github.com/citation-style-language/schema/raw/master/csl-citation.json"}</w:instrText>
      </w:r>
      <w:r w:rsidR="00E01993" w:rsidRPr="00966B21">
        <w:rPr>
          <w:lang w:val="en-GB"/>
        </w:rPr>
        <w:fldChar w:fldCharType="separate"/>
      </w:r>
      <w:r w:rsidR="00CA7138" w:rsidRPr="00966B21">
        <w:rPr>
          <w:noProof/>
          <w:lang w:val="en-GB"/>
        </w:rPr>
        <w:t>[14,18]</w:t>
      </w:r>
      <w:r w:rsidR="00E01993" w:rsidRPr="00966B21">
        <w:rPr>
          <w:lang w:val="en-GB"/>
        </w:rPr>
        <w:fldChar w:fldCharType="end"/>
      </w:r>
      <w:r w:rsidR="0014412A" w:rsidRPr="00966B21">
        <w:rPr>
          <w:lang w:val="en-GB"/>
        </w:rPr>
        <w:t xml:space="preserve">. </w:t>
      </w:r>
      <w:r w:rsidRPr="00966B21">
        <w:rPr>
          <w:lang w:val="en-GB"/>
        </w:rPr>
        <w:t xml:space="preserve">On the other hand, MLAC did not stabilize carotenoids against thermal stress. This could be a consequence of increased reactive species given that the water content of lactic acid could promote lipid peroxidation. </w:t>
      </w:r>
    </w:p>
    <w:p w14:paraId="7C0CF9BF" w14:textId="77777777" w:rsidR="00DA686C" w:rsidRPr="00966B21" w:rsidRDefault="00DA686C" w:rsidP="002753DB">
      <w:pPr>
        <w:pStyle w:val="NormaleWeb"/>
        <w:spacing w:before="0" w:beforeAutospacing="0" w:after="0" w:afterAutospacing="0"/>
        <w:jc w:val="both"/>
        <w:rPr>
          <w:lang w:val="en-GB"/>
        </w:rPr>
      </w:pPr>
    </w:p>
    <w:p w14:paraId="18D608FA" w14:textId="265E3E99" w:rsidR="00590A65" w:rsidRPr="00966B21" w:rsidRDefault="00706AF9" w:rsidP="002753DB">
      <w:pPr>
        <w:pStyle w:val="NormaleWeb"/>
        <w:spacing w:before="0" w:beforeAutospacing="0" w:after="0" w:afterAutospacing="0"/>
        <w:jc w:val="both"/>
        <w:rPr>
          <w:lang w:val="en-GB"/>
        </w:rPr>
      </w:pPr>
      <w:r w:rsidRPr="00966B21">
        <w:rPr>
          <w:lang w:val="en-GB"/>
        </w:rPr>
        <w:t xml:space="preserve">3.5 </w:t>
      </w:r>
      <w:r w:rsidR="00590A65" w:rsidRPr="00966B21">
        <w:rPr>
          <w:lang w:val="en-GB"/>
        </w:rPr>
        <w:t xml:space="preserve">Optimization of </w:t>
      </w:r>
      <w:r w:rsidR="00984A65" w:rsidRPr="00966B21">
        <w:rPr>
          <w:lang w:val="en-GB"/>
        </w:rPr>
        <w:t xml:space="preserve">carotenoid </w:t>
      </w:r>
      <w:r w:rsidR="00590A65" w:rsidRPr="00966B21">
        <w:rPr>
          <w:lang w:val="en-GB"/>
        </w:rPr>
        <w:t>extraction</w:t>
      </w:r>
    </w:p>
    <w:p w14:paraId="66232A92" w14:textId="77777777" w:rsidR="00706AF9" w:rsidRPr="00966B21" w:rsidRDefault="00706AF9" w:rsidP="002753DB">
      <w:pPr>
        <w:pStyle w:val="NormaleWeb"/>
        <w:spacing w:before="0" w:beforeAutospacing="0" w:after="0" w:afterAutospacing="0"/>
        <w:jc w:val="both"/>
        <w:rPr>
          <w:lang w:val="en-GB"/>
        </w:rPr>
      </w:pPr>
    </w:p>
    <w:p w14:paraId="789ECCF0" w14:textId="1253C451" w:rsidR="00727DB4" w:rsidRPr="00966B21" w:rsidRDefault="00710259" w:rsidP="002753DB">
      <w:pPr>
        <w:pStyle w:val="NormaleWeb"/>
        <w:spacing w:before="0" w:beforeAutospacing="0" w:after="0" w:afterAutospacing="0"/>
        <w:jc w:val="both"/>
        <w:rPr>
          <w:szCs w:val="16"/>
          <w:lang w:val="en-GB"/>
        </w:rPr>
      </w:pPr>
      <w:r w:rsidRPr="00966B21">
        <w:rPr>
          <w:lang w:val="en-GB"/>
        </w:rPr>
        <w:t xml:space="preserve">Since TM was the HES that achieved </w:t>
      </w:r>
      <w:r w:rsidR="00984A65" w:rsidRPr="00966B21">
        <w:rPr>
          <w:lang w:val="en-GB"/>
        </w:rPr>
        <w:t xml:space="preserve">the </w:t>
      </w:r>
      <w:r w:rsidRPr="00966B21">
        <w:rPr>
          <w:lang w:val="en-GB"/>
        </w:rPr>
        <w:t>best results in maintaining carotenoid contents in both, thermal and light stability assays, it was selected to optimize the extraction process. The predicted model for carotenoid extraction was mainly influenced by the term biomass</w:t>
      </w:r>
      <w:r w:rsidR="00984A65" w:rsidRPr="00966B21">
        <w:rPr>
          <w:lang w:val="en-GB"/>
        </w:rPr>
        <w:t xml:space="preserve"> </w:t>
      </w:r>
      <w:r w:rsidRPr="00966B21">
        <w:rPr>
          <w:lang w:val="en-GB"/>
        </w:rPr>
        <w:t>:</w:t>
      </w:r>
      <w:r w:rsidR="00984A65" w:rsidRPr="00966B21">
        <w:rPr>
          <w:lang w:val="en-GB"/>
        </w:rPr>
        <w:t xml:space="preserve"> </w:t>
      </w:r>
      <w:r w:rsidRPr="00966B21">
        <w:rPr>
          <w:lang w:val="en-GB"/>
        </w:rPr>
        <w:t>solvent ratio. The model was significant (p&lt;0.005), the R</w:t>
      </w:r>
      <w:r w:rsidRPr="00966B21">
        <w:rPr>
          <w:vertAlign w:val="superscript"/>
          <w:lang w:val="en-GB"/>
        </w:rPr>
        <w:t>2</w:t>
      </w:r>
      <w:r w:rsidRPr="00966B21">
        <w:rPr>
          <w:lang w:val="en-GB"/>
        </w:rPr>
        <w:t xml:space="preserve"> predicted (PredR</w:t>
      </w:r>
      <w:r w:rsidRPr="00966B21">
        <w:rPr>
          <w:vertAlign w:val="superscript"/>
          <w:lang w:val="en-GB"/>
        </w:rPr>
        <w:t>2</w:t>
      </w:r>
      <w:r w:rsidRPr="00966B21">
        <w:rPr>
          <w:lang w:val="en-GB"/>
        </w:rPr>
        <w:t xml:space="preserve"> = 0.7654) was in reasonable agreement with the adjusted R</w:t>
      </w:r>
      <w:r w:rsidRPr="00966B21">
        <w:rPr>
          <w:vertAlign w:val="superscript"/>
          <w:lang w:val="en-GB"/>
        </w:rPr>
        <w:t>2</w:t>
      </w:r>
      <w:r w:rsidRPr="00966B21">
        <w:rPr>
          <w:lang w:val="en-GB"/>
        </w:rPr>
        <w:t xml:space="preserve"> (AdjR</w:t>
      </w:r>
      <w:r w:rsidRPr="00966B21">
        <w:rPr>
          <w:vertAlign w:val="superscript"/>
          <w:lang w:val="en-GB"/>
        </w:rPr>
        <w:t xml:space="preserve">2 </w:t>
      </w:r>
      <w:r w:rsidRPr="00966B21">
        <w:rPr>
          <w:lang w:val="en-GB"/>
        </w:rPr>
        <w:t xml:space="preserve">= 0.8509), while the adequate precision (AdeqPrec = 8.5736) indicated that the signal to noise ratio was adequate (Supplementary Table 1).  Figure </w:t>
      </w:r>
      <w:r w:rsidR="005878CF" w:rsidRPr="00966B21">
        <w:rPr>
          <w:lang w:val="en-GB"/>
        </w:rPr>
        <w:t>2</w:t>
      </w:r>
      <w:r w:rsidRPr="00966B21">
        <w:rPr>
          <w:lang w:val="en-GB"/>
        </w:rPr>
        <w:t xml:space="preserve"> shows the TCC in TM extracts as a function of time, temperature and biomass</w:t>
      </w:r>
      <w:r w:rsidR="00984A65" w:rsidRPr="00966B21">
        <w:rPr>
          <w:lang w:val="en-GB"/>
        </w:rPr>
        <w:t xml:space="preserve"> </w:t>
      </w:r>
      <w:r w:rsidRPr="00966B21">
        <w:rPr>
          <w:lang w:val="en-GB"/>
        </w:rPr>
        <w:t>:</w:t>
      </w:r>
      <w:r w:rsidR="00984A65" w:rsidRPr="00966B21">
        <w:rPr>
          <w:lang w:val="en-GB"/>
        </w:rPr>
        <w:t xml:space="preserve"> </w:t>
      </w:r>
      <w:r w:rsidRPr="00966B21">
        <w:rPr>
          <w:lang w:val="en-GB"/>
        </w:rPr>
        <w:t>solvent ratio. The maximum values for TCC were obtained at 1:9 biomass</w:t>
      </w:r>
      <w:r w:rsidR="00984A65" w:rsidRPr="00966B21">
        <w:rPr>
          <w:lang w:val="en-GB"/>
        </w:rPr>
        <w:t xml:space="preserve"> </w:t>
      </w:r>
      <w:r w:rsidRPr="00966B21">
        <w:rPr>
          <w:lang w:val="en-GB"/>
        </w:rPr>
        <w:t>:</w:t>
      </w:r>
      <w:r w:rsidR="00984A65" w:rsidRPr="00966B21">
        <w:rPr>
          <w:lang w:val="en-GB"/>
        </w:rPr>
        <w:t xml:space="preserve"> </w:t>
      </w:r>
      <w:r w:rsidRPr="00966B21">
        <w:rPr>
          <w:lang w:val="en-GB"/>
        </w:rPr>
        <w:t>solvent ratio and variable time</w:t>
      </w:r>
      <w:r w:rsidR="00984A65" w:rsidRPr="00966B21">
        <w:rPr>
          <w:lang w:val="en-GB"/>
        </w:rPr>
        <w:t xml:space="preserve"> (from 5 to 240 min)</w:t>
      </w:r>
      <w:r w:rsidRPr="00966B21">
        <w:rPr>
          <w:lang w:val="en-GB"/>
        </w:rPr>
        <w:t>. In our experiments</w:t>
      </w:r>
      <w:r w:rsidR="00984A65" w:rsidRPr="00966B21">
        <w:rPr>
          <w:lang w:val="en-GB"/>
        </w:rPr>
        <w:t>,</w:t>
      </w:r>
      <w:r w:rsidRPr="00966B21">
        <w:rPr>
          <w:lang w:val="en-GB"/>
        </w:rPr>
        <w:t xml:space="preserve"> </w:t>
      </w:r>
      <w:r w:rsidR="00E77F9C" w:rsidRPr="00966B21">
        <w:rPr>
          <w:lang w:val="en-GB"/>
        </w:rPr>
        <w:t>working</w:t>
      </w:r>
      <w:r w:rsidRPr="00966B21">
        <w:rPr>
          <w:lang w:val="en-GB"/>
        </w:rPr>
        <w:t xml:space="preserve"> with temperatures &gt;42 °C or ratios</w:t>
      </w:r>
      <w:r w:rsidR="00E77F9C" w:rsidRPr="00966B21">
        <w:rPr>
          <w:lang w:val="en-GB"/>
        </w:rPr>
        <w:t xml:space="preserve"> lower than 1:9</w:t>
      </w:r>
      <w:r w:rsidRPr="00966B21">
        <w:rPr>
          <w:lang w:val="en-GB"/>
        </w:rPr>
        <w:t xml:space="preserve"> did not achieve higher extraction </w:t>
      </w:r>
      <w:r w:rsidR="00E77F9C" w:rsidRPr="00966B21">
        <w:rPr>
          <w:lang w:val="en-GB"/>
        </w:rPr>
        <w:t>yields</w:t>
      </w:r>
      <w:r w:rsidRPr="00966B21">
        <w:rPr>
          <w:lang w:val="en-GB"/>
        </w:rPr>
        <w:t xml:space="preserve">. It is well established that the viscosity of HES is greatly affected by temperature </w:t>
      </w:r>
      <w:r w:rsidR="00E01993" w:rsidRPr="00966B21">
        <w:rPr>
          <w:szCs w:val="16"/>
          <w:lang w:val="en-GB"/>
        </w:rPr>
        <w:fldChar w:fldCharType="begin" w:fldLock="1"/>
      </w:r>
      <w:r w:rsidR="00CD7D53" w:rsidRPr="00966B21">
        <w:rPr>
          <w:szCs w:val="16"/>
          <w:lang w:val="en-GB"/>
        </w:rPr>
        <w:instrText>ADDIN CSL_CITATION {"citationItems":[{"id":"ITEM-1","itemData":{"DOI":"10.1021/acssuschemeng.8b01203","ISSN":"21680485","abstract":"Recently, some works claim that hydrophobic deep eutectic solvents could be prepared based on menthol and monocarboxylic acids. Despite of some promising potential applications, these systems were poorly understood, and this work addresses this issue. Here, the characterization of eutectic solvents composed of the terpenes thymol or l(-)-menthol and monocarboxylic acids is studied aiming the design of these solvents. Their solid-liquid phase diagrams were measured by differential scanning calorimetry in the whole composition range, showing that a broader composition range, and not only fixed stoichiometric proportions, can be used as solvents at low temperatures. Additionally, solvent densities and viscosities close to the eutectic compositions were measured, showing low viscosity and lower density than water. The solvatochromic parameters at the eutectic composition were also investigated aiming at better understanding their polarity. The high acidity is mainly provided by the presence of thymol in the mixture, while l(-)-menthol plays the major role on the hydrogen-bond basicity. The measured mutual solubilities with water attest to the hydrophobic character of the mixtures investigated. The experimental solid-liquid phase diagrams were described using the PC-SAFT equation of state that is shown to accurately describe the experimental data and quantify the small deviations from ideality.","author":[{"dropping-particle":"","family":"Martins","given":"Mónia A.R.","non-dropping-particle":"","parse-names":false,"suffix":""},{"dropping-particle":"","family":"Crespo","given":"Emanuel A.","non-dropping-particle":"","parse-names":false,"suffix":""},{"dropping-particle":"","family":"Pontes","given":"Paula V.A.","non-dropping-particle":"","parse-names":false,"suffix":""},{"dropping-particle":"","family":"Silva","given":"Liliana P.","non-dropping-particle":"","parse-names":false,"suffix":""},{"dropping-particle":"","family":"Bülow","given":"Mark","non-dropping-particle":"","parse-names":false,"suffix":""},{"dropping-particle":"","family":"Maximo","given":"Guilherme J.","non-dropping-particle":"","parse-names":false,"suffix":""},{"dropping-particle":"","family":"Batista","given":"Eduardo A.C.","non-dropping-particle":"","parse-names":false,"suffix":""},{"dropping-particle":"","family":"Held","given":"Christoph","non-dropping-particle":"","parse-names":false,"suffix":""},{"dropping-particle":"","family":"Pinho","given":"Simao P.","non-dropping-particle":"","parse-names":false,"suffix":""},{"dropping-particle":"","family":"Coutinho","given":"Joao A.P.","non-dropping-particle":"","parse-names":false,"suffix":""}],"container-title":"ACS Sustainable Chemistry and Engineering","id":"ITEM-1","issue":"7","issued":{"date-parts":[["2018"]]},"page":"8836-8846","title":"Tunable Hydrophobic Eutectic Solvents Based on Terpenes and Monocarboxylic Acids","type":"article-journal","volume":"6"},"uris":["http://www.mendeley.com/documents/?uuid=d8f7d029-bf48-4d7a-8307-46f7cd60d508","http://www.mendeley.com/documents/?uuid=7317d34e-9890-446f-95c8-052a335c9a13"]},{"id":"ITEM-2","itemData":{"DOI":"10.1039/c5gc01451d","ISSN":"14639270","abstract":"Hydrophobic deep eutectic solvents (DESs) are presented for the first time. They consist of decanoic acid and various quaternary ammonium salts. The effect of the alkyl chains on the hydrophobicity and the equilibrium of the two-phase DES-water system were investigated. These new DESs were successfully evaluated for the recovery of volatile fatty acids from diluted aqueous solutions.","author":[{"dropping-particle":"","family":"Osch","given":"Dannie J.G.P.","non-dropping-particle":"Van","parse-names":false,"suffix":""},{"dropping-particle":"","family":"Zubeir","given":"Lawien F.","non-dropping-particle":"","parse-names":false,"suffix":""},{"dropping-particle":"","family":"Bruinhorst","given":"Adriaan","non-dropping-particle":"Van Den","parse-names":false,"suffix":""},{"dropping-particle":"","family":"Rocha","given":"Marisa A.A.","non-dropping-particle":"","parse-names":false,"suffix":""},{"dropping-particle":"","family":"Kroon","given":"Maaike C.","non-dropping-particle":"","parse-names":false,"suffix":""}],"container-title":"Green Chemistry","id":"ITEM-2","issue":"9","issued":{"date-parts":[["2015"]]},"page":"4518-4521","title":"Hydrophobic deep eutectic solvents as water-immiscible extractants","type":"article-journal","volume":"17"},"uris":["http://www.mendeley.com/documents/?uuid=241ab59d-bea4-4849-bf9b-9eb2459dfbe9","http://www.mendeley.com/documents/?uuid=3d6568fe-33f7-47e9-b3f8-1d1031168ebe","http://www.mendeley.com/documents/?uuid=d77fd486-1838-4a13-baa9-c922f98e43b1"]}],"mendeley":{"formattedCitation":"[15,18]","plainTextFormattedCitation":"[15,18]","previouslyFormattedCitation":"[15,18]"},"properties":{"noteIndex":0},"schema":"https://github.com/citation-style-language/schema/raw/master/csl-citation.json"}</w:instrText>
      </w:r>
      <w:r w:rsidR="00E01993" w:rsidRPr="00966B21">
        <w:rPr>
          <w:szCs w:val="16"/>
          <w:lang w:val="en-GB"/>
        </w:rPr>
        <w:fldChar w:fldCharType="separate"/>
      </w:r>
      <w:r w:rsidR="00CA7138" w:rsidRPr="00966B21">
        <w:rPr>
          <w:noProof/>
          <w:szCs w:val="16"/>
          <w:lang w:val="en-GB"/>
        </w:rPr>
        <w:t>[15,18]</w:t>
      </w:r>
      <w:r w:rsidR="00E01993" w:rsidRPr="00966B21">
        <w:rPr>
          <w:szCs w:val="16"/>
          <w:lang w:val="en-GB"/>
        </w:rPr>
        <w:fldChar w:fldCharType="end"/>
      </w:r>
      <w:r w:rsidR="002A4E27" w:rsidRPr="00966B21">
        <w:rPr>
          <w:szCs w:val="16"/>
          <w:lang w:val="en-GB"/>
        </w:rPr>
        <w:t>.</w:t>
      </w:r>
      <w:r w:rsidR="00732BB5" w:rsidRPr="00966B21">
        <w:rPr>
          <w:szCs w:val="16"/>
          <w:lang w:val="en-GB"/>
        </w:rPr>
        <w:t xml:space="preserve"> </w:t>
      </w:r>
      <w:r w:rsidR="00D27C36" w:rsidRPr="00966B21">
        <w:rPr>
          <w:szCs w:val="16"/>
          <w:lang w:val="en-GB"/>
        </w:rPr>
        <w:t>Extraction temperatures below 35 °C and low biomass</w:t>
      </w:r>
      <w:r w:rsidR="00EA1483" w:rsidRPr="00966B21">
        <w:rPr>
          <w:szCs w:val="16"/>
          <w:lang w:val="en-GB"/>
        </w:rPr>
        <w:t xml:space="preserve"> </w:t>
      </w:r>
      <w:r w:rsidR="00D27C36" w:rsidRPr="00966B21">
        <w:rPr>
          <w:szCs w:val="16"/>
          <w:lang w:val="en-GB"/>
        </w:rPr>
        <w:t>:</w:t>
      </w:r>
      <w:r w:rsidR="00EA1483" w:rsidRPr="00966B21">
        <w:rPr>
          <w:szCs w:val="16"/>
          <w:lang w:val="en-GB"/>
        </w:rPr>
        <w:t xml:space="preserve"> </w:t>
      </w:r>
      <w:r w:rsidR="00D27C36" w:rsidRPr="00966B21">
        <w:rPr>
          <w:szCs w:val="16"/>
          <w:lang w:val="en-GB"/>
        </w:rPr>
        <w:t xml:space="preserve">solvent ratios did not increase extraction yields, which might be related to </w:t>
      </w:r>
      <w:r w:rsidR="00EA1483" w:rsidRPr="00966B21">
        <w:rPr>
          <w:szCs w:val="16"/>
          <w:lang w:val="en-GB"/>
        </w:rPr>
        <w:t xml:space="preserve">the </w:t>
      </w:r>
      <w:r w:rsidR="00D27C36" w:rsidRPr="00966B21">
        <w:rPr>
          <w:szCs w:val="16"/>
          <w:lang w:val="en-GB"/>
        </w:rPr>
        <w:t xml:space="preserve">high viscosity of HES and low mass transfer efficiency </w:t>
      </w:r>
      <w:r w:rsidR="00E01993" w:rsidRPr="00966B21">
        <w:rPr>
          <w:szCs w:val="16"/>
          <w:lang w:val="en-GB"/>
        </w:rPr>
        <w:fldChar w:fldCharType="begin" w:fldLock="1"/>
      </w:r>
      <w:r w:rsidR="00CD7D53" w:rsidRPr="00966B21">
        <w:rPr>
          <w:szCs w:val="16"/>
          <w:lang w:val="en-GB"/>
        </w:rPr>
        <w:instrText>ADDIN CSL_CITATION {"citationItems":[{"id":"ITEM-1","itemData":{"DOI":"10.3390/molecules24213947","ISSN":"14203049","PMID":"31683692","abstract":"Carotenoids are natural dyes and antioxidants widely used in food processing and in therapeutic formulations. However, their practical application is restricted by their high sensitivity to external factors such as heat, light, oxygen, metal ions and processing conditions, as well as by extremely low water solubility. Various approaches have been developed to overcome these problems. In particular, it was demonstrated that application of supramolecular complexes of “host-guest” type with water-soluble nanoparticles allows minimizing the abovementioned disadvantages. From this point of view, nanoencapsulation of carotenoids is an effective strategy to improve their stability during storage and food processing. Also, nanoencapsulation enhances bioavailability of carotenoids via modulating their release kinetics from the delivery system, influencing the solubility and absorption. In the present paper, we present the state of the art of carotenoid nanoencapsulation and summarize the data obtained during last five years on preparation, analysis and reactivity of carotenoids encapsulated into various nanoparticles. The possible mechanisms of carotenoids bioavailability enhancement by multifunctional delivery systems are also discussed.","author":[{"dropping-particle":"","family":"Ligia Focsan","given":"A.","non-dropping-particle":"","parse-names":false,"suffix":""},{"dropping-particle":"","family":"Polyakov","given":"Nikolay E.","non-dropping-particle":"","parse-names":false,"suffix":""},{"dropping-particle":"","family":"Kispert","given":"Lowell D.","non-dropping-particle":"","parse-names":false,"suffix":""}],"container-title":"Molecules","id":"ITEM-1","issue":"21","issued":{"date-parts":[["2019"]]},"title":"Supramolecular carotenoid complexes of enhanced solubility and stability — The way of bioavailability improvement","type":"article-journal","volume":"24"},"uris":["http://www.mendeley.com/documents/?uuid=328f7ce4-d689-4210-8487-14019cbfd4bf","http://www.mendeley.com/documents/?uuid=8ed10475-48fb-403f-81d2-6881941d6ef0"]}],"mendeley":{"formattedCitation":"[42]","plainTextFormattedCitation":"[42]","previouslyFormattedCitation":"[41]"},"properties":{"noteIndex":0},"schema":"https://github.com/citation-style-language/schema/raw/master/csl-citation.json"}</w:instrText>
      </w:r>
      <w:r w:rsidR="00E01993" w:rsidRPr="00966B21">
        <w:rPr>
          <w:szCs w:val="16"/>
          <w:lang w:val="en-GB"/>
        </w:rPr>
        <w:fldChar w:fldCharType="separate"/>
      </w:r>
      <w:r w:rsidR="00CD7D53" w:rsidRPr="00966B21">
        <w:rPr>
          <w:noProof/>
          <w:szCs w:val="16"/>
          <w:lang w:val="en-GB"/>
        </w:rPr>
        <w:t>[42]</w:t>
      </w:r>
      <w:r w:rsidR="00E01993" w:rsidRPr="00966B21">
        <w:rPr>
          <w:szCs w:val="16"/>
          <w:lang w:val="en-GB"/>
        </w:rPr>
        <w:fldChar w:fldCharType="end"/>
      </w:r>
      <w:r w:rsidR="000F5B2A" w:rsidRPr="00966B21">
        <w:rPr>
          <w:szCs w:val="16"/>
          <w:lang w:val="en-GB"/>
        </w:rPr>
        <w:t>.</w:t>
      </w:r>
      <w:r w:rsidR="00F144D4" w:rsidRPr="00966B21">
        <w:rPr>
          <w:szCs w:val="16"/>
          <w:lang w:val="en-GB"/>
        </w:rPr>
        <w:t xml:space="preserve"> </w:t>
      </w:r>
      <w:r w:rsidR="00D27C36" w:rsidRPr="00966B21">
        <w:rPr>
          <w:szCs w:val="16"/>
          <w:lang w:val="en-GB"/>
        </w:rPr>
        <w:t>Although neither linear nor quadratic terms for temperature were significant, it is noteworthy to mention that temperature affects HES’s viscosity, hence mass transfer phenomena influenced by biomass</w:t>
      </w:r>
      <w:r w:rsidR="00EA1483" w:rsidRPr="00966B21">
        <w:rPr>
          <w:szCs w:val="16"/>
          <w:lang w:val="en-GB"/>
        </w:rPr>
        <w:t xml:space="preserve"> </w:t>
      </w:r>
      <w:r w:rsidR="00D27C36" w:rsidRPr="00966B21">
        <w:rPr>
          <w:szCs w:val="16"/>
          <w:lang w:val="en-GB"/>
        </w:rPr>
        <w:t>:</w:t>
      </w:r>
      <w:r w:rsidR="00EA1483" w:rsidRPr="00966B21">
        <w:rPr>
          <w:szCs w:val="16"/>
          <w:lang w:val="en-GB"/>
        </w:rPr>
        <w:t xml:space="preserve"> </w:t>
      </w:r>
      <w:r w:rsidR="00D27C36" w:rsidRPr="00966B21">
        <w:rPr>
          <w:szCs w:val="16"/>
          <w:lang w:val="en-GB"/>
        </w:rPr>
        <w:t>solvent ratio, as show</w:t>
      </w:r>
      <w:r w:rsidR="00D10789" w:rsidRPr="00966B21">
        <w:rPr>
          <w:szCs w:val="16"/>
          <w:lang w:val="en-GB"/>
        </w:rPr>
        <w:t>n</w:t>
      </w:r>
      <w:r w:rsidR="00D27C36" w:rsidRPr="00966B21">
        <w:rPr>
          <w:szCs w:val="16"/>
          <w:lang w:val="en-GB"/>
        </w:rPr>
        <w:t xml:space="preserve">, could also be affected. </w:t>
      </w:r>
    </w:p>
    <w:p w14:paraId="7F2913E9" w14:textId="17A2D3B2" w:rsidR="00071CF8" w:rsidRPr="00966B21" w:rsidRDefault="00F144D4" w:rsidP="002753DB">
      <w:pPr>
        <w:pStyle w:val="NormaleWeb"/>
        <w:spacing w:before="0" w:beforeAutospacing="0" w:after="0" w:afterAutospacing="0"/>
        <w:jc w:val="both"/>
        <w:rPr>
          <w:lang w:val="en-GB"/>
        </w:rPr>
      </w:pPr>
      <w:r w:rsidRPr="00966B21">
        <w:rPr>
          <w:szCs w:val="16"/>
          <w:lang w:val="en-GB"/>
        </w:rPr>
        <w:t>Based on the previous results, numerical and graphical optimizations were conducted to establish the optimum level of the independent variables (</w:t>
      </w:r>
      <w:r w:rsidR="00D27C36" w:rsidRPr="00966B21">
        <w:rPr>
          <w:szCs w:val="16"/>
          <w:lang w:val="en-GB"/>
        </w:rPr>
        <w:t>biomass</w:t>
      </w:r>
      <w:r w:rsidR="00EA1483" w:rsidRPr="00966B21">
        <w:rPr>
          <w:szCs w:val="16"/>
          <w:lang w:val="en-GB"/>
        </w:rPr>
        <w:t xml:space="preserve"> </w:t>
      </w:r>
      <w:r w:rsidR="00D27C36" w:rsidRPr="00966B21">
        <w:rPr>
          <w:szCs w:val="16"/>
          <w:lang w:val="en-GB"/>
        </w:rPr>
        <w:t>:</w:t>
      </w:r>
      <w:r w:rsidR="00EA1483" w:rsidRPr="00966B21">
        <w:rPr>
          <w:szCs w:val="16"/>
          <w:lang w:val="en-GB"/>
        </w:rPr>
        <w:t xml:space="preserve"> </w:t>
      </w:r>
      <w:r w:rsidR="00D27C36" w:rsidRPr="00966B21">
        <w:rPr>
          <w:szCs w:val="16"/>
          <w:lang w:val="en-GB"/>
        </w:rPr>
        <w:t xml:space="preserve">solvent </w:t>
      </w:r>
      <w:r w:rsidRPr="00966B21">
        <w:rPr>
          <w:szCs w:val="16"/>
          <w:lang w:val="en-GB"/>
        </w:rPr>
        <w:t>ratio, temperature and time) to maximize carotenoid extraction. Numerical optimization was evaluated using the desirability (D) function. The</w:t>
      </w:r>
      <w:r w:rsidR="00D27C36" w:rsidRPr="00966B21">
        <w:rPr>
          <w:szCs w:val="16"/>
          <w:lang w:val="en-GB"/>
        </w:rPr>
        <w:t xml:space="preserve"> </w:t>
      </w:r>
      <w:r w:rsidRPr="00966B21">
        <w:rPr>
          <w:szCs w:val="16"/>
          <w:lang w:val="en-GB"/>
        </w:rPr>
        <w:t xml:space="preserve">criteria for graphical optimization were selected to obtain </w:t>
      </w:r>
      <w:r w:rsidR="004C2D89" w:rsidRPr="00966B21">
        <w:rPr>
          <w:szCs w:val="16"/>
          <w:lang w:val="en-GB"/>
        </w:rPr>
        <w:t xml:space="preserve">TTC </w:t>
      </w:r>
      <w:r w:rsidRPr="00966B21">
        <w:rPr>
          <w:szCs w:val="16"/>
          <w:lang w:val="en-GB"/>
        </w:rPr>
        <w:t>results</w:t>
      </w:r>
      <w:r w:rsidR="004C2D89" w:rsidRPr="00966B21">
        <w:rPr>
          <w:szCs w:val="16"/>
          <w:lang w:val="en-GB"/>
        </w:rPr>
        <w:t xml:space="preserve"> </w:t>
      </w:r>
      <w:r w:rsidRPr="00966B21">
        <w:rPr>
          <w:i/>
          <w:iCs/>
          <w:szCs w:val="16"/>
          <w:lang w:val="en-GB"/>
        </w:rPr>
        <w:t xml:space="preserve">&gt; </w:t>
      </w:r>
      <w:r w:rsidRPr="00966B21">
        <w:rPr>
          <w:szCs w:val="16"/>
          <w:lang w:val="en-GB"/>
        </w:rPr>
        <w:t>75% of the highest value obtained in experimental points without optimizing independent variables (OPT1) or</w:t>
      </w:r>
      <w:r w:rsidR="004C2D89" w:rsidRPr="00966B21">
        <w:rPr>
          <w:szCs w:val="16"/>
          <w:lang w:val="en-GB"/>
        </w:rPr>
        <w:t xml:space="preserve"> TTC &gt;75% and</w:t>
      </w:r>
      <w:r w:rsidRPr="00966B21">
        <w:rPr>
          <w:szCs w:val="16"/>
          <w:lang w:val="en-GB"/>
        </w:rPr>
        <w:t xml:space="preserve"> minimizing extraction time (OPT2). The selection was based on maximum desirability (D) for numerical optimization and optimal operable conditions with graphical optimization.</w:t>
      </w:r>
      <w:r w:rsidR="00EA1483" w:rsidRPr="00966B21">
        <w:rPr>
          <w:szCs w:val="16"/>
          <w:lang w:val="en-GB"/>
        </w:rPr>
        <w:t xml:space="preserve"> </w:t>
      </w:r>
      <w:r w:rsidR="00727DB4" w:rsidRPr="00966B21">
        <w:rPr>
          <w:szCs w:val="16"/>
          <w:lang w:val="en-GB"/>
        </w:rPr>
        <w:t>Figur</w:t>
      </w:r>
      <w:r w:rsidR="006F0502" w:rsidRPr="00966B21">
        <w:rPr>
          <w:szCs w:val="16"/>
          <w:lang w:val="en-GB"/>
        </w:rPr>
        <w:t>e</w:t>
      </w:r>
      <w:r w:rsidR="005878CF" w:rsidRPr="00966B21">
        <w:rPr>
          <w:szCs w:val="16"/>
          <w:lang w:val="en-GB"/>
        </w:rPr>
        <w:t xml:space="preserve"> S</w:t>
      </w:r>
      <w:r w:rsidR="00881485" w:rsidRPr="00966B21">
        <w:rPr>
          <w:szCs w:val="16"/>
          <w:lang w:val="en-GB"/>
        </w:rPr>
        <w:t>3</w:t>
      </w:r>
      <w:r w:rsidR="00EA1483" w:rsidRPr="00966B21">
        <w:rPr>
          <w:szCs w:val="16"/>
          <w:lang w:val="en-GB"/>
        </w:rPr>
        <w:t xml:space="preserve"> in </w:t>
      </w:r>
      <w:r w:rsidR="005E3ADD" w:rsidRPr="00966B21">
        <w:rPr>
          <w:szCs w:val="16"/>
          <w:lang w:val="en-GB"/>
        </w:rPr>
        <w:t>Supplementary Material</w:t>
      </w:r>
      <w:r w:rsidRPr="00966B21">
        <w:rPr>
          <w:szCs w:val="16"/>
          <w:lang w:val="en-GB"/>
        </w:rPr>
        <w:t xml:space="preserve"> shows the D</w:t>
      </w:r>
      <w:r w:rsidR="00B90AE4" w:rsidRPr="00966B21">
        <w:rPr>
          <w:szCs w:val="16"/>
          <w:lang w:val="en-GB"/>
        </w:rPr>
        <w:t xml:space="preserve"> values for the </w:t>
      </w:r>
      <w:r w:rsidR="00876CC8" w:rsidRPr="00966B21">
        <w:rPr>
          <w:szCs w:val="16"/>
          <w:lang w:val="en-GB"/>
        </w:rPr>
        <w:lastRenderedPageBreak/>
        <w:t>proposed solutions and</w:t>
      </w:r>
      <w:r w:rsidR="00B90AE4" w:rsidRPr="00966B21">
        <w:rPr>
          <w:szCs w:val="16"/>
          <w:lang w:val="en-GB"/>
        </w:rPr>
        <w:t xml:space="preserve"> operational conditions where the responses were </w:t>
      </w:r>
      <w:r w:rsidR="00876CC8" w:rsidRPr="00966B21">
        <w:rPr>
          <w:szCs w:val="16"/>
          <w:lang w:val="en-GB"/>
        </w:rPr>
        <w:t xml:space="preserve">graphically </w:t>
      </w:r>
      <w:r w:rsidR="00B90AE4" w:rsidRPr="00966B21">
        <w:rPr>
          <w:szCs w:val="16"/>
          <w:lang w:val="en-GB"/>
        </w:rPr>
        <w:t xml:space="preserve">optimized. It can be seen that </w:t>
      </w:r>
      <w:r w:rsidR="00876CC8" w:rsidRPr="00966B21">
        <w:rPr>
          <w:szCs w:val="16"/>
          <w:lang w:val="en-GB"/>
        </w:rPr>
        <w:t xml:space="preserve">for OPT1 (OPT1: </w:t>
      </w:r>
      <w:r w:rsidR="006254F2" w:rsidRPr="00966B21">
        <w:rPr>
          <w:szCs w:val="16"/>
          <w:lang w:val="en-GB"/>
        </w:rPr>
        <w:t>ratio 1</w:t>
      </w:r>
      <w:r w:rsidR="00876CC8" w:rsidRPr="00966B21">
        <w:rPr>
          <w:szCs w:val="16"/>
          <w:lang w:val="en-GB"/>
        </w:rPr>
        <w:t xml:space="preserve"> : 9 ,  time = 149  min and temperature = 45 °C)</w:t>
      </w:r>
      <w:r w:rsidR="00B90AE4" w:rsidRPr="00966B21">
        <w:rPr>
          <w:szCs w:val="16"/>
          <w:lang w:val="en-GB"/>
        </w:rPr>
        <w:t>, numerical and graphical optimization are in agreement with the proposed goals</w:t>
      </w:r>
      <w:r w:rsidR="00876CC8" w:rsidRPr="00966B21">
        <w:rPr>
          <w:szCs w:val="16"/>
          <w:lang w:val="en-GB"/>
        </w:rPr>
        <w:t xml:space="preserve"> (</w:t>
      </w:r>
      <w:r w:rsidR="005878CF" w:rsidRPr="00966B21">
        <w:rPr>
          <w:szCs w:val="16"/>
          <w:lang w:val="en-GB"/>
        </w:rPr>
        <w:t>F</w:t>
      </w:r>
      <w:r w:rsidR="00876CC8" w:rsidRPr="00966B21">
        <w:rPr>
          <w:szCs w:val="16"/>
          <w:lang w:val="en-GB"/>
        </w:rPr>
        <w:t xml:space="preserve">igure </w:t>
      </w:r>
      <w:r w:rsidR="005878CF" w:rsidRPr="00966B21">
        <w:rPr>
          <w:szCs w:val="16"/>
          <w:lang w:val="en-GB"/>
        </w:rPr>
        <w:t>S</w:t>
      </w:r>
      <w:r w:rsidR="00881485" w:rsidRPr="00966B21">
        <w:rPr>
          <w:szCs w:val="16"/>
          <w:lang w:val="en-GB"/>
        </w:rPr>
        <w:t>3</w:t>
      </w:r>
      <w:r w:rsidR="00876CC8" w:rsidRPr="00966B21">
        <w:rPr>
          <w:szCs w:val="16"/>
          <w:lang w:val="en-GB"/>
        </w:rPr>
        <w:t xml:space="preserve"> a and b)</w:t>
      </w:r>
      <w:r w:rsidR="00B90AE4" w:rsidRPr="00966B21">
        <w:rPr>
          <w:szCs w:val="16"/>
          <w:lang w:val="en-GB"/>
        </w:rPr>
        <w:t xml:space="preserve">. </w:t>
      </w:r>
      <w:r w:rsidR="00876CC8" w:rsidRPr="00966B21">
        <w:rPr>
          <w:szCs w:val="16"/>
          <w:lang w:val="en-GB"/>
        </w:rPr>
        <w:t>Meanwhile</w:t>
      </w:r>
      <w:r w:rsidR="00EA1483" w:rsidRPr="00966B21">
        <w:rPr>
          <w:szCs w:val="16"/>
          <w:lang w:val="en-GB"/>
        </w:rPr>
        <w:t>,</w:t>
      </w:r>
      <w:r w:rsidR="00876CC8" w:rsidRPr="00966B21">
        <w:rPr>
          <w:szCs w:val="16"/>
          <w:lang w:val="en-GB"/>
        </w:rPr>
        <w:t xml:space="preserve"> for OPT2 (</w:t>
      </w:r>
      <w:r w:rsidR="006254F2" w:rsidRPr="00966B21">
        <w:rPr>
          <w:szCs w:val="16"/>
          <w:lang w:val="en-GB"/>
        </w:rPr>
        <w:t>ratio 1</w:t>
      </w:r>
      <w:r w:rsidR="00B90AE4" w:rsidRPr="00966B21">
        <w:rPr>
          <w:szCs w:val="16"/>
          <w:lang w:val="en-GB"/>
        </w:rPr>
        <w:t xml:space="preserve"> : 10, time = 15 min and temperature </w:t>
      </w:r>
      <w:r w:rsidR="00A71411" w:rsidRPr="00966B21">
        <w:rPr>
          <w:szCs w:val="16"/>
          <w:lang w:val="en-GB"/>
        </w:rPr>
        <w:t>= 58 °C</w:t>
      </w:r>
      <w:r w:rsidR="00876CC8" w:rsidRPr="00966B21">
        <w:rPr>
          <w:szCs w:val="16"/>
          <w:lang w:val="en-GB"/>
        </w:rPr>
        <w:t>) graphical optimization is slightly different than numerical optimization, however</w:t>
      </w:r>
      <w:r w:rsidR="005E3ADD" w:rsidRPr="00966B21">
        <w:rPr>
          <w:szCs w:val="16"/>
          <w:lang w:val="en-GB"/>
        </w:rPr>
        <w:t>,</w:t>
      </w:r>
      <w:r w:rsidR="00876CC8" w:rsidRPr="00966B21">
        <w:rPr>
          <w:szCs w:val="16"/>
          <w:lang w:val="en-GB"/>
        </w:rPr>
        <w:t xml:space="preserve"> it is in the area of confidence (Figure </w:t>
      </w:r>
      <w:r w:rsidR="005878CF" w:rsidRPr="00966B21">
        <w:rPr>
          <w:szCs w:val="16"/>
          <w:lang w:val="en-GB"/>
        </w:rPr>
        <w:t>S</w:t>
      </w:r>
      <w:r w:rsidR="00881485" w:rsidRPr="00966B21">
        <w:rPr>
          <w:szCs w:val="16"/>
          <w:lang w:val="en-GB"/>
        </w:rPr>
        <w:t>3</w:t>
      </w:r>
      <w:r w:rsidR="00876CC8" w:rsidRPr="00966B21">
        <w:rPr>
          <w:szCs w:val="16"/>
          <w:lang w:val="en-GB"/>
        </w:rPr>
        <w:t xml:space="preserve"> c and d)</w:t>
      </w:r>
      <w:r w:rsidR="00A71411" w:rsidRPr="00966B21">
        <w:rPr>
          <w:szCs w:val="16"/>
          <w:lang w:val="en-GB"/>
        </w:rPr>
        <w:t xml:space="preserve">. With </w:t>
      </w:r>
      <w:r w:rsidR="00B90AE4" w:rsidRPr="00966B21">
        <w:rPr>
          <w:szCs w:val="16"/>
          <w:lang w:val="en-GB"/>
        </w:rPr>
        <w:t>these parameters</w:t>
      </w:r>
      <w:r w:rsidR="00876CC8" w:rsidRPr="00966B21">
        <w:rPr>
          <w:szCs w:val="16"/>
          <w:lang w:val="en-GB"/>
        </w:rPr>
        <w:t>,</w:t>
      </w:r>
      <w:r w:rsidR="00B90AE4" w:rsidRPr="00966B21">
        <w:rPr>
          <w:szCs w:val="16"/>
          <w:lang w:val="en-GB"/>
        </w:rPr>
        <w:t xml:space="preserve"> </w:t>
      </w:r>
      <w:r w:rsidR="00A71411" w:rsidRPr="00966B21">
        <w:rPr>
          <w:szCs w:val="16"/>
          <w:lang w:val="en-GB"/>
        </w:rPr>
        <w:t>new extraction</w:t>
      </w:r>
      <w:r w:rsidR="00876CC8" w:rsidRPr="00966B21">
        <w:rPr>
          <w:szCs w:val="16"/>
          <w:lang w:val="en-GB"/>
        </w:rPr>
        <w:t>s</w:t>
      </w:r>
      <w:r w:rsidR="00A71411" w:rsidRPr="00966B21">
        <w:rPr>
          <w:szCs w:val="16"/>
          <w:lang w:val="en-GB"/>
        </w:rPr>
        <w:t xml:space="preserve"> (TM-OPT1 and TM-OPT2</w:t>
      </w:r>
      <w:r w:rsidR="00B90AE4" w:rsidRPr="00966B21">
        <w:rPr>
          <w:szCs w:val="16"/>
          <w:lang w:val="en-GB"/>
        </w:rPr>
        <w:t xml:space="preserve">) </w:t>
      </w:r>
      <w:r w:rsidR="00A71411" w:rsidRPr="00966B21">
        <w:rPr>
          <w:szCs w:val="16"/>
          <w:lang w:val="en-GB"/>
        </w:rPr>
        <w:t>were</w:t>
      </w:r>
      <w:r w:rsidR="00B90AE4" w:rsidRPr="00966B21">
        <w:rPr>
          <w:szCs w:val="16"/>
          <w:lang w:val="en-GB"/>
        </w:rPr>
        <w:t xml:space="preserve"> performed</w:t>
      </w:r>
      <w:r w:rsidR="00D27C36" w:rsidRPr="00966B21">
        <w:rPr>
          <w:szCs w:val="16"/>
          <w:lang w:val="en-GB"/>
        </w:rPr>
        <w:t xml:space="preserve"> </w:t>
      </w:r>
      <w:r w:rsidR="00B90AE4" w:rsidRPr="00966B21">
        <w:rPr>
          <w:szCs w:val="16"/>
          <w:lang w:val="en-GB"/>
        </w:rPr>
        <w:t>to validate the model.</w:t>
      </w:r>
      <w:r w:rsidR="00F02B13" w:rsidRPr="00966B21">
        <w:rPr>
          <w:szCs w:val="16"/>
          <w:lang w:val="en-GB"/>
        </w:rPr>
        <w:t xml:space="preserve"> </w:t>
      </w:r>
      <w:r w:rsidR="00B90AE4" w:rsidRPr="00966B21">
        <w:rPr>
          <w:lang w:val="en-GB"/>
        </w:rPr>
        <w:t xml:space="preserve">Verification experiments performed at the predicted conditions derived from the optimization analysis indicated that experimental values were reasonably close to the predicted values confirming the validity and adequacy of the </w:t>
      </w:r>
      <w:r w:rsidR="004C2D89" w:rsidRPr="00966B21">
        <w:rPr>
          <w:lang w:val="en-GB"/>
        </w:rPr>
        <w:t>model</w:t>
      </w:r>
      <w:r w:rsidR="00F02B13" w:rsidRPr="00966B21">
        <w:rPr>
          <w:lang w:val="en-GB"/>
        </w:rPr>
        <w:t xml:space="preserve"> </w:t>
      </w:r>
      <w:r w:rsidR="00876CC8" w:rsidRPr="00966B21">
        <w:rPr>
          <w:lang w:val="en-GB"/>
        </w:rPr>
        <w:t xml:space="preserve">(Table </w:t>
      </w:r>
      <w:r w:rsidR="005878CF" w:rsidRPr="00966B21">
        <w:rPr>
          <w:lang w:val="en-GB"/>
        </w:rPr>
        <w:t>3</w:t>
      </w:r>
      <w:r w:rsidR="00F02B13" w:rsidRPr="00966B21">
        <w:rPr>
          <w:lang w:val="en-GB"/>
        </w:rPr>
        <w:t>)</w:t>
      </w:r>
      <w:r w:rsidR="00B90AE4" w:rsidRPr="00966B21">
        <w:rPr>
          <w:lang w:val="en-GB"/>
        </w:rPr>
        <w:t xml:space="preserve">. Moreover, the verification experiments also proved that the predicted </w:t>
      </w:r>
      <w:r w:rsidR="00F02B13" w:rsidRPr="00966B21">
        <w:rPr>
          <w:lang w:val="en-GB"/>
        </w:rPr>
        <w:t>values of the response variable</w:t>
      </w:r>
      <w:r w:rsidR="00B90AE4" w:rsidRPr="00966B21">
        <w:rPr>
          <w:lang w:val="en-GB"/>
        </w:rPr>
        <w:t xml:space="preserve"> could be satisfactorily achieved within a 95% confidence interval of experimental values</w:t>
      </w:r>
      <w:r w:rsidR="00F02B13" w:rsidRPr="00966B21">
        <w:rPr>
          <w:lang w:val="en-GB"/>
        </w:rPr>
        <w:t xml:space="preserve">. </w:t>
      </w:r>
    </w:p>
    <w:p w14:paraId="27ABC7F1" w14:textId="5A54578E" w:rsidR="00875F64" w:rsidRPr="00966B21" w:rsidRDefault="000843A8" w:rsidP="002753DB">
      <w:pPr>
        <w:pStyle w:val="NormaleWeb"/>
        <w:spacing w:before="0" w:beforeAutospacing="0" w:after="0" w:afterAutospacing="0"/>
        <w:jc w:val="both"/>
        <w:rPr>
          <w:lang w:val="en-GB"/>
        </w:rPr>
      </w:pPr>
      <w:r w:rsidRPr="00966B21">
        <w:rPr>
          <w:lang w:val="en-GB"/>
        </w:rPr>
        <w:t>When</w:t>
      </w:r>
      <w:r w:rsidR="003E6718" w:rsidRPr="00966B21">
        <w:rPr>
          <w:lang w:val="en-GB"/>
        </w:rPr>
        <w:t xml:space="preserve"> </w:t>
      </w:r>
      <w:r w:rsidR="006D6749" w:rsidRPr="00966B21">
        <w:rPr>
          <w:lang w:val="en-GB"/>
        </w:rPr>
        <w:t>our results</w:t>
      </w:r>
      <w:r w:rsidR="003F4C6A" w:rsidRPr="00966B21">
        <w:rPr>
          <w:lang w:val="en-GB"/>
        </w:rPr>
        <w:t xml:space="preserve"> obtained under optimized conditions</w:t>
      </w:r>
      <w:r w:rsidR="00F02B13" w:rsidRPr="00966B21">
        <w:rPr>
          <w:lang w:val="en-GB"/>
        </w:rPr>
        <w:t xml:space="preserve"> (TM-OPT1 3.58 ± </w:t>
      </w:r>
      <w:r w:rsidR="006D6749" w:rsidRPr="00966B21">
        <w:rPr>
          <w:lang w:val="en-GB"/>
        </w:rPr>
        <w:t>0.28 µ</w:t>
      </w:r>
      <w:r w:rsidR="00341F71" w:rsidRPr="00966B21">
        <w:rPr>
          <w:lang w:val="en-GB"/>
        </w:rPr>
        <w:t xml:space="preserve">g/mg DW </w:t>
      </w:r>
      <w:r w:rsidR="00F02B13" w:rsidRPr="00966B21">
        <w:rPr>
          <w:lang w:val="en-GB"/>
        </w:rPr>
        <w:t>and TM-OPT2 3.32 ± 0.16</w:t>
      </w:r>
      <w:r w:rsidR="00341F71" w:rsidRPr="00966B21">
        <w:rPr>
          <w:lang w:val="en-GB"/>
        </w:rPr>
        <w:t xml:space="preserve"> µg/mg </w:t>
      </w:r>
      <w:r w:rsidR="006D6749" w:rsidRPr="00966B21">
        <w:rPr>
          <w:lang w:val="en-GB"/>
        </w:rPr>
        <w:t>DW) were</w:t>
      </w:r>
      <w:r w:rsidR="00714D31" w:rsidRPr="00966B21">
        <w:rPr>
          <w:lang w:val="en-GB"/>
        </w:rPr>
        <w:t xml:space="preserve"> </w:t>
      </w:r>
      <w:r w:rsidRPr="00966B21">
        <w:rPr>
          <w:lang w:val="en-GB"/>
        </w:rPr>
        <w:t>compared with the literature,</w:t>
      </w:r>
      <w:r w:rsidR="00D27C36" w:rsidRPr="00966B21">
        <w:rPr>
          <w:lang w:val="en-GB"/>
        </w:rPr>
        <w:t xml:space="preserve"> a</w:t>
      </w:r>
      <w:r w:rsidRPr="00966B21">
        <w:rPr>
          <w:lang w:val="en-GB"/>
        </w:rPr>
        <w:t xml:space="preserve"> large variability of the </w:t>
      </w:r>
      <w:r w:rsidR="003E6718" w:rsidRPr="00966B21">
        <w:rPr>
          <w:lang w:val="en-GB"/>
        </w:rPr>
        <w:t xml:space="preserve">carotenoid </w:t>
      </w:r>
      <w:r w:rsidRPr="00966B21">
        <w:rPr>
          <w:lang w:val="en-GB"/>
        </w:rPr>
        <w:t xml:space="preserve">content in mango peel </w:t>
      </w:r>
      <w:r w:rsidR="00714D31" w:rsidRPr="00966B21">
        <w:rPr>
          <w:lang w:val="en-GB"/>
        </w:rPr>
        <w:t>was found</w:t>
      </w:r>
      <w:r w:rsidR="00875F64" w:rsidRPr="00966B21">
        <w:rPr>
          <w:lang w:val="en-GB"/>
        </w:rPr>
        <w:t>. T</w:t>
      </w:r>
      <w:r w:rsidRPr="00966B21">
        <w:rPr>
          <w:lang w:val="en-GB"/>
        </w:rPr>
        <w:t>his fact could be attributed to variations related to cultivar, ripening stages or extraction process conditions, however, the results are in the ran</w:t>
      </w:r>
      <w:r w:rsidR="003E6718" w:rsidRPr="00966B21">
        <w:rPr>
          <w:lang w:val="en-GB"/>
        </w:rPr>
        <w:t>ge compared with other studies 2.01 ± 0.05 µg/mg DW for mango</w:t>
      </w:r>
      <w:r w:rsidR="003F4C6A" w:rsidRPr="00966B21">
        <w:rPr>
          <w:lang w:val="en-GB"/>
        </w:rPr>
        <w:t xml:space="preserve"> peel</w:t>
      </w:r>
      <w:r w:rsidR="003E6718" w:rsidRPr="00966B21">
        <w:rPr>
          <w:lang w:val="en-GB"/>
        </w:rPr>
        <w:t xml:space="preserve"> var. Sugar </w:t>
      </w:r>
      <w:r w:rsidR="00E01993" w:rsidRPr="00966B21">
        <w:rPr>
          <w:lang w:val="en-GB"/>
        </w:rPr>
        <w:fldChar w:fldCharType="begin" w:fldLock="1"/>
      </w:r>
      <w:r w:rsidR="00CD7D53" w:rsidRPr="00966B21">
        <w:rPr>
          <w:lang w:val="en-GB"/>
        </w:rPr>
        <w:instrText>ADDIN CSL_CITATION {"citationItems":[{"id":"ITEM-1","itemData":{"DOI":"10.1016/j.supflu.2019.104574","ISSN":"08968446","abstract":"Mango peel (MP) is an important by-product of the industrial mango processing, rich in phytochemical compounds. This study optimized the operating parameters of the supercritical CO2 extraction (ScCO2) of carotenoids from MP by means of a Box-Behnken design. The MP was characterized in terms of its proximate composition, and the effects of freeze-drying and air-drying on its total carotenoid content were investigated. The carotenoids profile of the optimal ScCO2 extract was characterized by RP-UHPLC-DAD. This extract was evaluated as natural antioxidant for sunflower oil, using the Rancimat® method. MP displayed high contents of crude protein and phenolic compounds. Although freeze-drying prevented the degradation of all-trans-β-carotene, air-drying was selected for the valorisation strategy. The higher yields of carotenoids were found at 25.0 MPa, 60 °C, and 15% w/w ethanol. Under these conditions the MP-extracts protected the sunflower oil against lipid oxidation, which could be regarded as an interesting alternative for MP valorisation.","author":[{"dropping-particle":"","family":"Sánchez-Camargo","given":"Andrea del Pilar","non-dropping-particle":"","parse-names":false,"suffix":""},{"dropping-particle":"","family":"Gutiérrez","given":"Luis Felipe","non-dropping-particle":"","parse-names":false,"suffix":""},{"dropping-particle":"","family":"Vargas","given":"Sandra Milena","non-dropping-particle":"","parse-names":false,"suffix":""},{"dropping-particle":"","family":"Martinez-Correa","given":"Hugo A.","non-dropping-particle":"","parse-names":false,"suffix":""},{"dropping-particle":"","family":"Parada-Alfonso","given":"Fabián","non-dropping-particle":"","parse-names":false,"suffix":""},{"dropping-particle":"","family":"Narváez-Cuenca","given":"Carlos Eduardo","non-dropping-particle":"","parse-names":false,"suffix":""}],"container-title":"Journal of Supercritical Fluids","id":"ITEM-1","issued":{"date-parts":[["2019"]]},"page":"104574","publisher":"Elsevier B.V.","title":"Valorisation of mango peel: Proximate composition, supercritical fluid extraction of carotenoids, and application as an antioxidant additive for an edible oil","type":"article-journal","volume":"152"},"uris":["http://www.mendeley.com/documents/?uuid=1039c72d-53c1-4cb5-ae37-a01f19151c23","http://www.mendeley.com/documents/?uuid=bd6bba22-083e-4b89-89b6-6e37e20d20ad"]}],"mendeley":{"formattedCitation":"[4]","plainTextFormattedCitation":"[4]","previouslyFormattedCitation":"[6]"},"properties":{"noteIndex":0},"schema":"https://github.com/citation-style-language/schema/raw/master/csl-citation.json"}</w:instrText>
      </w:r>
      <w:r w:rsidR="00E01993" w:rsidRPr="00966B21">
        <w:rPr>
          <w:lang w:val="en-GB"/>
        </w:rPr>
        <w:fldChar w:fldCharType="separate"/>
      </w:r>
      <w:r w:rsidR="00CD7D53" w:rsidRPr="00966B21">
        <w:rPr>
          <w:noProof/>
          <w:lang w:val="en-GB"/>
        </w:rPr>
        <w:t>[4]</w:t>
      </w:r>
      <w:r w:rsidR="00E01993" w:rsidRPr="00966B21">
        <w:rPr>
          <w:lang w:val="en-GB"/>
        </w:rPr>
        <w:fldChar w:fldCharType="end"/>
      </w:r>
      <w:r w:rsidR="003E6718" w:rsidRPr="00966B21">
        <w:rPr>
          <w:lang w:val="en-GB"/>
        </w:rPr>
        <w:t xml:space="preserve">, </w:t>
      </w:r>
      <w:r w:rsidR="003F4C6A" w:rsidRPr="00966B21">
        <w:rPr>
          <w:lang w:val="en-GB"/>
        </w:rPr>
        <w:t xml:space="preserve">4.65 ± 0.18 µg/mg DW and 5.69 ± 0.20 µg/mg DW for mango peel var. Tommy Atkins and var. Haden respectively </w:t>
      </w:r>
      <w:r w:rsidR="00E01993" w:rsidRPr="00966B21">
        <w:rPr>
          <w:lang w:val="en-GB"/>
        </w:rPr>
        <w:fldChar w:fldCharType="begin" w:fldLock="1"/>
      </w:r>
      <w:r w:rsidR="00CD7D53" w:rsidRPr="00966B21">
        <w:rPr>
          <w:lang w:val="en-GB"/>
        </w:rPr>
        <w:instrText>ADDIN CSL_CITATION {"citationItems":[{"id":"ITEM-1","itemData":{"DOI":"10.1016/j.nfs.2021.02.001","ISSN":"23523646","abstract":"Mango peel is gaining recognition for its nutritional and functional value. This by-product shows variable composition depending on different factors such as variety, stage maturity, and geographic site of production. This work sought to evaluate mango peel composition, bioactive compound content, antioxidant activity, and carotenoid and phenolic profiles for the three most commercial varieties of the equatorial region using UV–Vis spectroscopy, HPLC, and UPLC. Significant differences (p &lt; 0.05) were found between all varieties regarding the content of bioactive compounds. Total phenolic, flavonoid, and carotenoid content ranged from 2930 to 6624 mg GAE/100 g, 502–795 mg CE/100 g, and 3.7–5.7 mg/100 g, respectively. A high positive correlation (r = 0.961) between the phenolic content and ABTS radical-scavenging activity was found for all samples. β-Carotene and lutein were identified and quantified, the samples of cvs. Haden and Kent showed the highest β-carotene content (8 mg/100 g). Gallic acid and rutin were identified in all samples, whereas mangiferin had the highest amount (314 mg/100 g) in cv. Tommy Atkins. The results suggest that mango peel has bioactive compounds with significant antioxidant properties, which can be used as functional ingredients in different industrial products.","author":[{"dropping-particle":"","family":"Marcillo-Parra","given":"Verónica","non-dropping-particle":"","parse-names":false,"suffix":""},{"dropping-particle":"","family":"Anaguano","given":"Mayra","non-dropping-particle":"","parse-names":false,"suffix":""},{"dropping-particle":"","family":"Molina","given":"Maritza","non-dropping-particle":"","parse-names":false,"suffix":""},{"dropping-particle":"","family":"Tupuna-Yerovi","given":"Diego Santiago","non-dropping-particle":"","parse-names":false,"suffix":""},{"dropping-particle":"","family":"Ruales","given":"Jenny","non-dropping-particle":"","parse-names":false,"suffix":""}],"container-title":"NFS Journal","id":"ITEM-1","issue":"February","issued":{"date-parts":[["2021"]]},"page":"1-7","title":"Characterization and quantification of bioactive compounds and antioxidant activity in three different varieties of mango (Mangifera indica L.) peel from the Ecuadorian region using HPLC-UV/VIS and UPLC-PDA","type":"article-journal","volume":"23"},"uris":["http://www.mendeley.com/documents/?uuid=c97bd3a4-ed9a-443b-b800-d8a045ce2aa0","http://www.mendeley.com/documents/?uuid=913523e9-6529-499e-a074-e3998bcf9861"]}],"mendeley":{"formattedCitation":"[44]","plainTextFormattedCitation":"[44]","previouslyFormattedCitation":"[43]"},"properties":{"noteIndex":0},"schema":"https://github.com/citation-style-language/schema/raw/master/csl-citation.json"}</w:instrText>
      </w:r>
      <w:r w:rsidR="00E01993" w:rsidRPr="00966B21">
        <w:rPr>
          <w:lang w:val="en-GB"/>
        </w:rPr>
        <w:fldChar w:fldCharType="separate"/>
      </w:r>
      <w:r w:rsidR="00CD7D53" w:rsidRPr="00966B21">
        <w:rPr>
          <w:noProof/>
          <w:lang w:val="en-GB"/>
        </w:rPr>
        <w:t>[44]</w:t>
      </w:r>
      <w:r w:rsidR="00E01993" w:rsidRPr="00966B21">
        <w:rPr>
          <w:lang w:val="en-GB"/>
        </w:rPr>
        <w:fldChar w:fldCharType="end"/>
      </w:r>
      <w:r w:rsidR="003F4C6A" w:rsidRPr="00966B21">
        <w:rPr>
          <w:lang w:val="en-GB"/>
        </w:rPr>
        <w:t xml:space="preserve">. </w:t>
      </w:r>
      <w:r w:rsidR="001427D4" w:rsidRPr="00966B21">
        <w:rPr>
          <w:lang w:val="en-GB"/>
        </w:rPr>
        <w:t xml:space="preserve">Regarding </w:t>
      </w:r>
      <w:r w:rsidR="005E3ADD" w:rsidRPr="00966B21">
        <w:rPr>
          <w:lang w:val="en-GB"/>
        </w:rPr>
        <w:t xml:space="preserve">the </w:t>
      </w:r>
      <w:r w:rsidR="001427D4" w:rsidRPr="00966B21">
        <w:rPr>
          <w:lang w:val="en-GB"/>
        </w:rPr>
        <w:t xml:space="preserve">individual carotenoid profile, </w:t>
      </w:r>
      <w:r w:rsidR="003D0B79" w:rsidRPr="00966B21">
        <w:rPr>
          <w:lang w:val="en-GB"/>
        </w:rPr>
        <w:t>t</w:t>
      </w:r>
      <w:r w:rsidR="001427D4" w:rsidRPr="00966B21">
        <w:rPr>
          <w:lang w:val="en-GB"/>
        </w:rPr>
        <w:t xml:space="preserve">he HPLC-DAD profile </w:t>
      </w:r>
      <w:r w:rsidR="00325767" w:rsidRPr="00966B21">
        <w:rPr>
          <w:lang w:val="en-GB"/>
        </w:rPr>
        <w:t>(</w:t>
      </w:r>
      <w:r w:rsidR="0004247E" w:rsidRPr="00966B21">
        <w:rPr>
          <w:lang w:val="en-GB"/>
        </w:rPr>
        <w:t>Figure</w:t>
      </w:r>
      <w:r w:rsidR="00EB48D6" w:rsidRPr="00966B21">
        <w:rPr>
          <w:lang w:val="en-GB"/>
        </w:rPr>
        <w:t xml:space="preserve"> </w:t>
      </w:r>
      <w:r w:rsidR="0004247E" w:rsidRPr="00966B21">
        <w:rPr>
          <w:lang w:val="en-GB"/>
        </w:rPr>
        <w:t>S</w:t>
      </w:r>
      <w:r w:rsidR="00881485" w:rsidRPr="00966B21">
        <w:rPr>
          <w:lang w:val="en-GB"/>
        </w:rPr>
        <w:t>2</w:t>
      </w:r>
      <w:r w:rsidR="005E3ADD" w:rsidRPr="00966B21">
        <w:rPr>
          <w:lang w:val="en-GB"/>
        </w:rPr>
        <w:t xml:space="preserve"> in Supplementary Material</w:t>
      </w:r>
      <w:r w:rsidR="00325767" w:rsidRPr="00966B21">
        <w:rPr>
          <w:lang w:val="en-GB"/>
        </w:rPr>
        <w:t xml:space="preserve">) </w:t>
      </w:r>
      <w:r w:rsidR="001427D4" w:rsidRPr="00966B21">
        <w:rPr>
          <w:lang w:val="en-GB"/>
        </w:rPr>
        <w:t>indicated that, for CONV and TM-OPT extracts, the major carotenoids were β-carotene and lutein.</w:t>
      </w:r>
      <w:r w:rsidR="009141C8" w:rsidRPr="00966B21">
        <w:rPr>
          <w:lang w:val="en-GB"/>
        </w:rPr>
        <w:t xml:space="preserve"> The individual</w:t>
      </w:r>
      <w:r w:rsidR="00341F71" w:rsidRPr="00966B21">
        <w:rPr>
          <w:lang w:val="en-GB"/>
        </w:rPr>
        <w:t xml:space="preserve"> contents f</w:t>
      </w:r>
      <w:r w:rsidR="00876CC8" w:rsidRPr="00966B21">
        <w:rPr>
          <w:lang w:val="en-GB"/>
        </w:rPr>
        <w:t>or CONV were 1.01 µg β-carotene</w:t>
      </w:r>
      <w:r w:rsidR="00341F71" w:rsidRPr="00966B21">
        <w:rPr>
          <w:lang w:val="en-GB"/>
        </w:rPr>
        <w:t>/mg DW and 0.12 ± 0.01 µg lutein/mg DW.</w:t>
      </w:r>
      <w:r w:rsidR="001427D4" w:rsidRPr="00966B21">
        <w:rPr>
          <w:lang w:val="en-GB"/>
        </w:rPr>
        <w:t xml:space="preserve"> This profile </w:t>
      </w:r>
      <w:r w:rsidR="005E3ADD" w:rsidRPr="00966B21">
        <w:rPr>
          <w:lang w:val="en-GB"/>
        </w:rPr>
        <w:t>is</w:t>
      </w:r>
      <w:r w:rsidR="001427D4" w:rsidRPr="00966B21">
        <w:rPr>
          <w:lang w:val="en-GB"/>
        </w:rPr>
        <w:t xml:space="preserve"> in </w:t>
      </w:r>
      <w:r w:rsidR="005E3ADD" w:rsidRPr="00966B21">
        <w:rPr>
          <w:lang w:val="en-GB"/>
        </w:rPr>
        <w:t>line</w:t>
      </w:r>
      <w:r w:rsidR="001427D4" w:rsidRPr="00966B21">
        <w:rPr>
          <w:lang w:val="en-GB"/>
        </w:rPr>
        <w:t xml:space="preserve"> with previous results for other varieties </w:t>
      </w:r>
      <w:r w:rsidR="00E01993" w:rsidRPr="00966B21">
        <w:rPr>
          <w:lang w:val="en-GB"/>
        </w:rPr>
        <w:fldChar w:fldCharType="begin" w:fldLock="1"/>
      </w:r>
      <w:r w:rsidR="00CD7D53" w:rsidRPr="00966B21">
        <w:rPr>
          <w:lang w:val="en-GB"/>
        </w:rPr>
        <w:instrText>ADDIN CSL_CITATION {"citationItems":[{"id":"ITEM-1","itemData":{"DOI":"10.1016/j.nfs.2021.02.001","ISSN":"23523646","abstract":"Mango peel is gaining recognition for its nutritional and functional value. This by-product shows variable composition depending on different factors such as variety, stage maturity, and geographic site of production. This work sought to evaluate mango peel composition, bioactive compound content, antioxidant activity, and carotenoid and phenolic profiles for the three most commercial varieties of the equatorial region using UV–Vis spectroscopy, HPLC, and UPLC. Significant differences (p &lt; 0.05) were found between all varieties regarding the content of bioactive compounds. Total phenolic, flavonoid, and carotenoid content ranged from 2930 to 6624 mg GAE/100 g, 502–795 mg CE/100 g, and 3.7–5.7 mg/100 g, respectively. A high positive correlation (r = 0.961) between the phenolic content and ABTS radical-scavenging activity was found for all samples. β-Carotene and lutein were identified and quantified, the samples of cvs. Haden and Kent showed the highest β-carotene content (8 mg/100 g). Gallic acid and rutin were identified in all samples, whereas mangiferin had the highest amount (314 mg/100 g) in cv. Tommy Atkins. The results suggest that mango peel has bioactive compounds with significant antioxidant properties, which can be used as functional ingredients in different industrial products.","author":[{"dropping-particle":"","family":"Marcillo-Parra","given":"Verónica","non-dropping-particle":"","parse-names":false,"suffix":""},{"dropping-particle":"","family":"Anaguano","given":"Mayra","non-dropping-particle":"","parse-names":false,"suffix":""},{"dropping-particle":"","family":"Molina","given":"Maritza","non-dropping-particle":"","parse-names":false,"suffix":""},{"dropping-particle":"","family":"Tupuna-Yerovi","given":"Diego Santiago","non-dropping-particle":"","parse-names":false,"suffix":""},{"dropping-particle":"","family":"Ruales","given":"Jenny","non-dropping-particle":"","parse-names":false,"suffix":""}],"container-title":"NFS Journal","id":"ITEM-1","issue":"February","issued":{"date-parts":[["2021"]]},"page":"1-7","title":"Characterization and quantification of bioactive compounds and antioxidant activity in three different varieties of mango (Mangifera indica L.) peel from the Ecuadorian region using HPLC-UV/VIS and UPLC-PDA","type":"article-journal","volume":"23"},"uris":["http://www.mendeley.com/documents/?uuid=c97bd3a4-ed9a-443b-b800-d8a045ce2aa0","http://www.mendeley.com/documents/?uuid=913523e9-6529-499e-a074-e3998bcf9861"]},{"id":"ITEM-2","itemData":{"DOI":"10.1016/j.supflu.2019.104574","ISSN":"08968446","abstract":"Mango peel (MP) is an important by-product of the industrial mango processing, rich in phytochemical compounds. This study optimized the operating parameters of the supercritical CO2 extraction (ScCO2) of carotenoids from MP by means of a Box-Behnken design. The MP was characterized in terms of its proximate composition, and the effects of freeze-drying and air-drying on its total carotenoid content were investigated. The carotenoids profile of the optimal ScCO2 extract was characterized by RP-UHPLC-DAD. This extract was evaluated as natural antioxidant for sunflower oil, using the Rancimat® method. MP displayed high contents of crude protein and phenolic compounds. Although freeze-drying prevented the degradation of all-trans-β-carotene, air-drying was selected for the valorisation strategy. The higher yields of carotenoids were found at 25.0 MPa, 60 °C, and 15% w/w ethanol. Under these conditions the MP-extracts protected the sunflower oil against lipid oxidation, which could be regarded as an interesting alternative for MP valorisation.","author":[{"dropping-particle":"","family":"Sánchez-Camargo","given":"Andrea del Pilar","non-dropping-particle":"","parse-names":false,"suffix":""},{"dropping-particle":"","family":"Gutiérrez","given":"Luis Felipe","non-dropping-particle":"","parse-names":false,"suffix":""},{"dropping-particle":"","family":"Vargas","given":"Sandra Milena","non-dropping-particle":"","parse-names":false,"suffix":""},{"dropping-particle":"","family":"Martinez-Correa","given":"Hugo A.","non-dropping-particle":"","parse-names":false,"suffix":""},{"dropping-particle":"","family":"Parada-Alfonso","given":"Fabián","non-dropping-particle":"","parse-names":false,"suffix":""},{"dropping-particle":"","family":"Narváez-Cuenca","given":"Carlos Eduardo","non-dropping-particle":"","parse-names":false,"suffix":""}],"container-title":"Journal of Supercritical Fluids","id":"ITEM-2","issued":{"date-parts":[["2019"]]},"page":"104574","publisher":"Elsevier B.V.","title":"Valorisation of mango peel: Proximate composition, supercritical fluid extraction of carotenoids, and application as an antioxidant additive for an edible oil","type":"article-journal","volume":"152"},"uris":["http://www.mendeley.com/documents/?uuid=1039c72d-53c1-4cb5-ae37-a01f19151c23","http://www.mendeley.com/documents/?uuid=bd6bba22-083e-4b89-89b6-6e37e20d20ad","http://www.mendeley.com/documents/?uuid=737eddaa-82fc-4a73-ac1c-5816f81df1df"]},{"id":"ITEM-3","itemData":{"DOI":"10.1007/s11694-018-9830-4","ISBN":"0123456789","ISSN":"21934134","abstract":"The agro-industrial processing of mango generates high amounts of by-products, like peels and paste, that are commonly discarded. These are potential sources of bioactive ingredients, such as phenolic compounds and carotenoids, that can be used to supplement other edible products to increase their nutritional value. In order to be successful in this regard, the processing methods used must avoid losses of the compounds of interest. The objective of this study was to identify the effects of freeze-drying (frozen 24 h at − 80 °C, freeze dried 48 h at − 50 °C, 4.00 Pa) and hot air-drying (convective hot air at 60 °C) on the profile and concentration of phenolic compounds and carotenoids, using sensitive chromatographic analyses. Our data showed that the total phenolic concentration, and that of the most abundant compounds (mangiferin and valoneic acid dilactone), were unaffected by drying method. Conversely, freeze-dried paste had greater carotenoid concentration than peel, while hot air-dried peel had greater carotenoid concentration than paste (main carotenoids: all-trans-β-carotene, 9-cis-β-carotene, all-trans-lutein, and 13-cis-β-cryptoxanthin). We concluded that carotenoids from mango peel and paste were more sensitive to drying method than phenolic compounds, and the effects on each by-product were in function of the food matrix and method used. By choosing the most adequate drying method, mango by-products can be sources of bioactive compounds to produce functional foods or beverages.","author":[{"dropping-particle":"","family":"Ancos","given":"Begoña","non-dropping-particle":"de","parse-names":false,"suffix":""},{"dropping-particle":"","family":"Sánchez-Moreno","given":"Concepción","non-dropping-particle":"","parse-names":false,"suffix":""},{"dropping-particle":"","family":"Zacarías","given":"Lorenzo","non-dropping-particle":"","parse-names":false,"suffix":""},{"dropping-particle":"","family":"Rodrigo","given":"María Jesús","non-dropping-particle":"","parse-names":false,"suffix":""},{"dropping-particle":"","family":"Sáyago Ayerdí","given":"Sonia","non-dropping-particle":"","parse-names":false,"suffix":""},{"dropping-particle":"","family":"Blancas Benítez","given":"Francisco J.","non-dropping-particle":"","parse-names":false,"suffix":""},{"dropping-particle":"","family":"Domínguez Avila","given":"J. Abraham","non-dropping-particle":"","parse-names":false,"suffix":""},{"dropping-particle":"","family":"González-Aguilar","given":"Gustavo A.","non-dropping-particle":"","parse-names":false,"suffix":""}],"container-title":"Journal of Food Measurement and Characterization","id":"ITEM-3","issue":"3","issued":{"date-parts":[["2018"]]},"page":"2145-2157","publisher":"Springer US","title":"Effects of two different drying methods (freeze-drying and hot air-drying) on the phenolic and carotenoid profile of ‘Ataulfo’ mango by-products","type":"article-journal","volume":"12"},"uris":["http://www.mendeley.com/documents/?uuid=2ca2f9a1-ab9c-47c0-b81f-855146f44770"]}],"mendeley":{"formattedCitation":"[4,31,44]","plainTextFormattedCitation":"[4,31,44]","previouslyFormattedCitation":"[6,30,43]"},"properties":{"noteIndex":0},"schema":"https://github.com/citation-style-language/schema/raw/master/csl-citation.json"}</w:instrText>
      </w:r>
      <w:r w:rsidR="00E01993" w:rsidRPr="00966B21">
        <w:rPr>
          <w:lang w:val="en-GB"/>
        </w:rPr>
        <w:fldChar w:fldCharType="separate"/>
      </w:r>
      <w:r w:rsidR="00CD7D53" w:rsidRPr="00966B21">
        <w:rPr>
          <w:noProof/>
          <w:lang w:val="en-GB"/>
        </w:rPr>
        <w:t>[4,31,44]</w:t>
      </w:r>
      <w:r w:rsidR="00E01993" w:rsidRPr="00966B21">
        <w:rPr>
          <w:lang w:val="en-GB"/>
        </w:rPr>
        <w:fldChar w:fldCharType="end"/>
      </w:r>
      <w:r w:rsidR="00325767" w:rsidRPr="00966B21">
        <w:rPr>
          <w:lang w:val="en-GB"/>
        </w:rPr>
        <w:t xml:space="preserve">. </w:t>
      </w:r>
      <w:r w:rsidR="00C67FCE" w:rsidRPr="00966B21">
        <w:rPr>
          <w:lang w:val="en-GB"/>
        </w:rPr>
        <w:t xml:space="preserve">β-carotene </w:t>
      </w:r>
      <w:r w:rsidR="00341F71" w:rsidRPr="00966B21">
        <w:rPr>
          <w:lang w:val="en-GB"/>
        </w:rPr>
        <w:t xml:space="preserve">contents in optimized extracts </w:t>
      </w:r>
      <w:r w:rsidR="00C67FCE" w:rsidRPr="00966B21">
        <w:rPr>
          <w:lang w:val="en-GB"/>
        </w:rPr>
        <w:t>were 0.99 ± 0.07</w:t>
      </w:r>
      <w:r w:rsidR="00341F71" w:rsidRPr="00966B21">
        <w:rPr>
          <w:lang w:val="en-GB"/>
        </w:rPr>
        <w:t xml:space="preserve"> µg/mg DW</w:t>
      </w:r>
      <w:r w:rsidR="00C67FCE" w:rsidRPr="00966B21">
        <w:rPr>
          <w:lang w:val="en-GB"/>
        </w:rPr>
        <w:t xml:space="preserve"> and 0.91 ± 0.05 </w:t>
      </w:r>
      <w:r w:rsidR="00341F71" w:rsidRPr="00966B21">
        <w:rPr>
          <w:lang w:val="en-GB"/>
        </w:rPr>
        <w:t xml:space="preserve">µg/mg DW </w:t>
      </w:r>
      <w:r w:rsidR="00C67FCE" w:rsidRPr="00966B21">
        <w:rPr>
          <w:lang w:val="en-GB"/>
        </w:rPr>
        <w:t>for TM-OPT1 and TM-OPT2</w:t>
      </w:r>
      <w:r w:rsidR="00876CC8" w:rsidRPr="00966B21">
        <w:rPr>
          <w:lang w:val="en-GB"/>
        </w:rPr>
        <w:t xml:space="preserve"> respectively</w:t>
      </w:r>
      <w:r w:rsidR="00C67FCE" w:rsidRPr="00966B21">
        <w:rPr>
          <w:lang w:val="en-GB"/>
        </w:rPr>
        <w:t xml:space="preserve">, which represent 98% and 91% of recovery compared to CONV. </w:t>
      </w:r>
      <w:r w:rsidR="00341F71" w:rsidRPr="00966B21">
        <w:rPr>
          <w:lang w:val="en-GB"/>
        </w:rPr>
        <w:t>Although l</w:t>
      </w:r>
      <w:r w:rsidR="00C67FCE" w:rsidRPr="00966B21">
        <w:rPr>
          <w:lang w:val="en-GB"/>
        </w:rPr>
        <w:t xml:space="preserve">utein content was significantly low </w:t>
      </w:r>
      <w:r w:rsidR="00341F71" w:rsidRPr="00966B21">
        <w:rPr>
          <w:lang w:val="en-GB"/>
        </w:rPr>
        <w:t xml:space="preserve">as in CONV, </w:t>
      </w:r>
      <w:r w:rsidR="00C67FCE" w:rsidRPr="00966B21">
        <w:rPr>
          <w:lang w:val="en-GB"/>
        </w:rPr>
        <w:t xml:space="preserve">the recovery </w:t>
      </w:r>
      <w:r w:rsidR="00341F71" w:rsidRPr="00966B21">
        <w:rPr>
          <w:lang w:val="en-GB"/>
        </w:rPr>
        <w:t>rates were</w:t>
      </w:r>
      <w:r w:rsidR="00C67FCE" w:rsidRPr="00966B21">
        <w:rPr>
          <w:lang w:val="en-GB"/>
        </w:rPr>
        <w:t xml:space="preserve"> 99% and 86% for TM-OPT1 and TM-OPT2 respectively. </w:t>
      </w:r>
    </w:p>
    <w:p w14:paraId="04222ACB" w14:textId="77777777" w:rsidR="00875F64" w:rsidRPr="00966B21" w:rsidRDefault="00875F64" w:rsidP="002753DB">
      <w:pPr>
        <w:pStyle w:val="NormaleWeb"/>
        <w:spacing w:before="0" w:beforeAutospacing="0" w:after="0" w:afterAutospacing="0"/>
        <w:jc w:val="both"/>
        <w:rPr>
          <w:lang w:val="en-GB"/>
        </w:rPr>
      </w:pPr>
    </w:p>
    <w:p w14:paraId="41CBBA39" w14:textId="77777777" w:rsidR="005E3ADD" w:rsidRPr="00966B21" w:rsidRDefault="00B73D88" w:rsidP="005E3ADD">
      <w:pPr>
        <w:pStyle w:val="NormaleWeb"/>
        <w:spacing w:before="0" w:beforeAutospacing="0" w:after="0" w:afterAutospacing="0"/>
        <w:jc w:val="both"/>
        <w:rPr>
          <w:lang w:val="en-GB"/>
        </w:rPr>
      </w:pPr>
      <w:r w:rsidRPr="00966B21">
        <w:rPr>
          <w:lang w:val="en-GB"/>
        </w:rPr>
        <w:t>3.</w:t>
      </w:r>
      <w:r w:rsidR="00706AF9" w:rsidRPr="00966B21">
        <w:rPr>
          <w:lang w:val="en-GB"/>
        </w:rPr>
        <w:t>6</w:t>
      </w:r>
      <w:r w:rsidRPr="00966B21">
        <w:rPr>
          <w:lang w:val="en-GB"/>
        </w:rPr>
        <w:t xml:space="preserve"> </w:t>
      </w:r>
      <w:r w:rsidR="00875F64" w:rsidRPr="00966B21">
        <w:rPr>
          <w:lang w:val="en-GB"/>
        </w:rPr>
        <w:t xml:space="preserve">Antioxidant capacity </w:t>
      </w:r>
      <w:r w:rsidR="005E3ADD" w:rsidRPr="00966B21">
        <w:rPr>
          <w:lang w:val="en-GB"/>
        </w:rPr>
        <w:t>of extracts obtained under conventional and optimized conditions</w:t>
      </w:r>
    </w:p>
    <w:p w14:paraId="2DD050BD" w14:textId="325D567D" w:rsidR="00875F64" w:rsidRPr="00966B21" w:rsidRDefault="00875F64" w:rsidP="002753DB">
      <w:pPr>
        <w:pStyle w:val="NormaleWeb"/>
        <w:spacing w:before="0" w:beforeAutospacing="0" w:after="0" w:afterAutospacing="0"/>
        <w:jc w:val="both"/>
        <w:rPr>
          <w:lang w:val="en-GB"/>
        </w:rPr>
      </w:pPr>
    </w:p>
    <w:p w14:paraId="083BF7B0" w14:textId="44B35629" w:rsidR="007A529D" w:rsidRPr="00966B21" w:rsidRDefault="008E353D" w:rsidP="002753DB">
      <w:pPr>
        <w:pStyle w:val="NormaleWeb"/>
        <w:spacing w:before="0" w:beforeAutospacing="0" w:after="0" w:afterAutospacing="0"/>
        <w:jc w:val="both"/>
        <w:rPr>
          <w:lang w:val="en-GB"/>
        </w:rPr>
      </w:pPr>
      <w:r w:rsidRPr="00966B21">
        <w:rPr>
          <w:lang w:val="en-GB"/>
        </w:rPr>
        <w:t>Finally, the effect of extraction conditions</w:t>
      </w:r>
      <w:r w:rsidR="00875F64" w:rsidRPr="00966B21">
        <w:rPr>
          <w:lang w:val="en-GB"/>
        </w:rPr>
        <w:t xml:space="preserve"> (TM-OPT1 and TM-OPT2) </w:t>
      </w:r>
      <w:r w:rsidRPr="00966B21">
        <w:rPr>
          <w:lang w:val="en-GB"/>
        </w:rPr>
        <w:t>on the</w:t>
      </w:r>
      <w:r w:rsidR="00875F64" w:rsidRPr="00966B21">
        <w:rPr>
          <w:lang w:val="en-GB"/>
        </w:rPr>
        <w:t xml:space="preserve"> antioxidant capacity of extracts submitted to</w:t>
      </w:r>
      <w:r w:rsidRPr="00966B21">
        <w:rPr>
          <w:lang w:val="en-GB"/>
        </w:rPr>
        <w:t xml:space="preserve"> light stability assay was evaluated. </w:t>
      </w:r>
      <w:r w:rsidR="00EB48D6" w:rsidRPr="00966B21">
        <w:rPr>
          <w:lang w:val="en-GB"/>
        </w:rPr>
        <w:t>Supplementary Figure S</w:t>
      </w:r>
      <w:r w:rsidR="00881485" w:rsidRPr="00966B21">
        <w:rPr>
          <w:lang w:val="en-GB"/>
        </w:rPr>
        <w:t>4</w:t>
      </w:r>
      <w:r w:rsidRPr="00966B21">
        <w:rPr>
          <w:lang w:val="en-GB"/>
        </w:rPr>
        <w:t xml:space="preserve"> depicts the</w:t>
      </w:r>
      <w:r w:rsidR="005878CF" w:rsidRPr="00966B21">
        <w:rPr>
          <w:lang w:val="en-GB"/>
        </w:rPr>
        <w:t xml:space="preserve"> stability of</w:t>
      </w:r>
      <w:r w:rsidRPr="00966B21">
        <w:rPr>
          <w:lang w:val="en-GB"/>
        </w:rPr>
        <w:t xml:space="preserve"> antioxidant activity of </w:t>
      </w:r>
      <w:r w:rsidR="005E3ADD" w:rsidRPr="00966B21">
        <w:rPr>
          <w:lang w:val="en-GB"/>
        </w:rPr>
        <w:t>extracts obtained under conventional and optimized conditions</w:t>
      </w:r>
      <w:r w:rsidRPr="00966B21">
        <w:rPr>
          <w:lang w:val="en-GB"/>
        </w:rPr>
        <w:t xml:space="preserve">. At </w:t>
      </w:r>
      <w:r w:rsidR="005D7834" w:rsidRPr="00966B21">
        <w:rPr>
          <w:lang w:val="en-GB"/>
        </w:rPr>
        <w:t xml:space="preserve">the </w:t>
      </w:r>
      <w:r w:rsidRPr="00966B21">
        <w:rPr>
          <w:lang w:val="en-GB"/>
        </w:rPr>
        <w:t xml:space="preserve">initial time, all extracts were assigned 100% antioxidant activity. After 480 minutes of light exposure, the </w:t>
      </w:r>
      <w:r w:rsidR="005E3ADD" w:rsidRPr="00966B21">
        <w:rPr>
          <w:lang w:val="en-GB"/>
        </w:rPr>
        <w:t xml:space="preserve">extract obtained under conventional conditions </w:t>
      </w:r>
      <w:r w:rsidRPr="00966B21">
        <w:rPr>
          <w:lang w:val="en-GB"/>
        </w:rPr>
        <w:t>(CONV) exhibited only 22% of its initial activity, whereas TM-OPT1 and TM-OPT2 retained 87% and 78%, respectively. These results suggest that the extraction conditions employed for the optimized extracts (OPT) significantly influenced their stability</w:t>
      </w:r>
      <w:r w:rsidR="005D7834" w:rsidRPr="00966B21">
        <w:rPr>
          <w:lang w:val="en-GB"/>
        </w:rPr>
        <w:t>.</w:t>
      </w:r>
      <w:bookmarkStart w:id="4" w:name="_Hlk176435769"/>
      <w:r w:rsidR="00AF3D79" w:rsidRPr="00966B21">
        <w:rPr>
          <w:lang w:val="en-GB"/>
        </w:rPr>
        <w:t xml:space="preserve"> </w:t>
      </w:r>
      <w:r w:rsidR="00EF594D" w:rsidRPr="00966B21">
        <w:rPr>
          <w:lang w:val="en-GB"/>
        </w:rPr>
        <w:t xml:space="preserve">The observed difference in stability can be primarily attributed to the extraction temperature. </w:t>
      </w:r>
      <w:r w:rsidR="005C240E" w:rsidRPr="00966B21">
        <w:rPr>
          <w:lang w:val="en-GB"/>
        </w:rPr>
        <w:t xml:space="preserve">Given that the extraction temperature for OPT2 </w:t>
      </w:r>
      <w:r w:rsidR="003B29E8" w:rsidRPr="00966B21">
        <w:rPr>
          <w:lang w:val="en-GB"/>
        </w:rPr>
        <w:t>was</w:t>
      </w:r>
      <w:r w:rsidR="005C240E" w:rsidRPr="00966B21">
        <w:rPr>
          <w:lang w:val="en-GB"/>
        </w:rPr>
        <w:t xml:space="preserve"> higher than for OPT1 some oxidative processes </w:t>
      </w:r>
      <w:r w:rsidR="00EB48D6" w:rsidRPr="00966B21">
        <w:rPr>
          <w:lang w:val="en-GB"/>
        </w:rPr>
        <w:t xml:space="preserve">might </w:t>
      </w:r>
      <w:r w:rsidR="005C240E" w:rsidRPr="00966B21">
        <w:rPr>
          <w:lang w:val="en-GB"/>
        </w:rPr>
        <w:t xml:space="preserve">be </w:t>
      </w:r>
      <w:r w:rsidR="003B29E8" w:rsidRPr="00966B21">
        <w:rPr>
          <w:lang w:val="en-GB"/>
        </w:rPr>
        <w:t>initiated</w:t>
      </w:r>
      <w:r w:rsidR="005C240E" w:rsidRPr="00966B21">
        <w:rPr>
          <w:lang w:val="en-GB"/>
        </w:rPr>
        <w:t xml:space="preserve">. </w:t>
      </w:r>
      <w:r w:rsidR="00EF594D" w:rsidRPr="00966B21">
        <w:rPr>
          <w:lang w:val="en-GB"/>
        </w:rPr>
        <w:t>The temperature differences likely influenced the co-extraction of other compounds</w:t>
      </w:r>
      <w:bookmarkEnd w:id="4"/>
      <w:r w:rsidR="00EF594D" w:rsidRPr="00966B21">
        <w:rPr>
          <w:lang w:val="en-GB"/>
        </w:rPr>
        <w:t xml:space="preserve">, </w:t>
      </w:r>
      <w:r w:rsidRPr="00966B21">
        <w:rPr>
          <w:lang w:val="en-GB"/>
        </w:rPr>
        <w:t xml:space="preserve">impacting the overall stability of the carotenoid extracts. Consequently, based on these findings, the extraction conditions employed for TM-OPT1 </w:t>
      </w:r>
      <w:r w:rsidR="00875F64" w:rsidRPr="00966B21">
        <w:rPr>
          <w:lang w:val="en-GB"/>
        </w:rPr>
        <w:t>would be more suitable</w:t>
      </w:r>
      <w:r w:rsidRPr="00966B21">
        <w:rPr>
          <w:lang w:val="en-GB"/>
        </w:rPr>
        <w:t xml:space="preserve"> for obtaining stable carotenoid extracts from MCP.</w:t>
      </w:r>
    </w:p>
    <w:p w14:paraId="1CF594B4" w14:textId="77777777" w:rsidR="00B73D88" w:rsidRPr="00966B21" w:rsidRDefault="00B73D88" w:rsidP="002753DB">
      <w:pPr>
        <w:pStyle w:val="NormaleWeb"/>
        <w:spacing w:before="0" w:beforeAutospacing="0" w:after="0" w:afterAutospacing="0"/>
        <w:jc w:val="both"/>
        <w:rPr>
          <w:szCs w:val="16"/>
          <w:lang w:val="en-GB"/>
        </w:rPr>
      </w:pPr>
    </w:p>
    <w:p w14:paraId="14568CE4" w14:textId="77777777" w:rsidR="00B73D88" w:rsidRPr="00966B21" w:rsidRDefault="00B73D88" w:rsidP="00B73D88">
      <w:pPr>
        <w:pStyle w:val="NormaleWeb"/>
        <w:spacing w:before="0" w:beforeAutospacing="0" w:after="0" w:afterAutospacing="0"/>
        <w:rPr>
          <w:bCs/>
          <w:szCs w:val="16"/>
          <w:lang w:val="en-GB"/>
        </w:rPr>
      </w:pPr>
      <w:r w:rsidRPr="00966B21">
        <w:rPr>
          <w:bCs/>
          <w:szCs w:val="16"/>
          <w:lang w:val="en-GB"/>
        </w:rPr>
        <w:t>3.</w:t>
      </w:r>
      <w:r w:rsidR="00706AF9" w:rsidRPr="00966B21">
        <w:rPr>
          <w:bCs/>
          <w:szCs w:val="16"/>
          <w:lang w:val="en-GB"/>
        </w:rPr>
        <w:t>7</w:t>
      </w:r>
      <w:r w:rsidRPr="00966B21">
        <w:rPr>
          <w:bCs/>
          <w:szCs w:val="16"/>
          <w:lang w:val="en-GB"/>
        </w:rPr>
        <w:t xml:space="preserve"> Computational chemistry calculations </w:t>
      </w:r>
    </w:p>
    <w:p w14:paraId="5767D5F4" w14:textId="77777777" w:rsidR="00B73D88" w:rsidRPr="00966B21" w:rsidRDefault="00B73D88" w:rsidP="00B73D88">
      <w:pPr>
        <w:pStyle w:val="NormaleWeb"/>
        <w:spacing w:before="0" w:beforeAutospacing="0" w:after="0" w:afterAutospacing="0"/>
        <w:rPr>
          <w:b/>
          <w:bCs/>
          <w:szCs w:val="16"/>
          <w:lang w:val="en-GB"/>
        </w:rPr>
      </w:pPr>
    </w:p>
    <w:p w14:paraId="4587C449" w14:textId="7EE88784" w:rsidR="00B73D88" w:rsidRPr="00966B21" w:rsidRDefault="00706AF9" w:rsidP="00B73D88">
      <w:pPr>
        <w:pStyle w:val="NormaleWeb"/>
        <w:spacing w:before="0" w:beforeAutospacing="0" w:after="0" w:afterAutospacing="0"/>
        <w:rPr>
          <w:iCs/>
          <w:szCs w:val="16"/>
          <w:lang w:val="en-GB"/>
        </w:rPr>
      </w:pPr>
      <w:r w:rsidRPr="00966B21">
        <w:rPr>
          <w:iCs/>
          <w:szCs w:val="16"/>
          <w:lang w:val="en-GB"/>
        </w:rPr>
        <w:t xml:space="preserve">3.7.1 </w:t>
      </w:r>
      <w:r w:rsidR="00B73D88" w:rsidRPr="00966B21">
        <w:rPr>
          <w:iCs/>
          <w:szCs w:val="16"/>
          <w:lang w:val="en-GB"/>
        </w:rPr>
        <w:t>Interactions between components of the</w:t>
      </w:r>
      <w:r w:rsidR="005E3ADD" w:rsidRPr="00966B21">
        <w:rPr>
          <w:iCs/>
          <w:szCs w:val="16"/>
          <w:lang w:val="en-GB"/>
        </w:rPr>
        <w:t xml:space="preserve"> thymol : menthol HES</w:t>
      </w:r>
      <w:r w:rsidR="00B73D88" w:rsidRPr="00966B21">
        <w:rPr>
          <w:iCs/>
          <w:szCs w:val="16"/>
          <w:lang w:val="en-GB"/>
        </w:rPr>
        <w:t xml:space="preserve"> </w:t>
      </w:r>
      <w:r w:rsidR="005E3ADD" w:rsidRPr="00966B21">
        <w:rPr>
          <w:iCs/>
          <w:szCs w:val="16"/>
          <w:lang w:val="en-GB"/>
        </w:rPr>
        <w:t>(</w:t>
      </w:r>
      <w:r w:rsidR="00B73D88" w:rsidRPr="00966B21">
        <w:rPr>
          <w:iCs/>
          <w:szCs w:val="16"/>
          <w:lang w:val="en-GB"/>
        </w:rPr>
        <w:t>TM</w:t>
      </w:r>
      <w:r w:rsidR="005E3ADD" w:rsidRPr="00966B21">
        <w:rPr>
          <w:iCs/>
          <w:szCs w:val="16"/>
          <w:lang w:val="en-GB"/>
        </w:rPr>
        <w:t>)</w:t>
      </w:r>
    </w:p>
    <w:p w14:paraId="04820BC6" w14:textId="77777777" w:rsidR="00B73D88" w:rsidRPr="00966B21" w:rsidRDefault="00B73D88" w:rsidP="00B73D88">
      <w:pPr>
        <w:pStyle w:val="NormaleWeb"/>
        <w:spacing w:before="0" w:beforeAutospacing="0" w:after="0" w:afterAutospacing="0"/>
        <w:rPr>
          <w:i/>
          <w:iCs/>
          <w:szCs w:val="16"/>
          <w:lang w:val="en-GB"/>
        </w:rPr>
      </w:pPr>
    </w:p>
    <w:p w14:paraId="0C0A69F3" w14:textId="098A8AD3" w:rsidR="00B73D88" w:rsidRPr="00966B21" w:rsidRDefault="004371FA" w:rsidP="001060CE">
      <w:pPr>
        <w:pStyle w:val="NormaleWeb"/>
        <w:spacing w:before="0" w:beforeAutospacing="0" w:after="0" w:afterAutospacing="0"/>
        <w:jc w:val="both"/>
        <w:rPr>
          <w:i/>
          <w:iCs/>
          <w:szCs w:val="16"/>
          <w:lang w:val="en-GB"/>
        </w:rPr>
      </w:pPr>
      <w:r w:rsidRPr="00966B21">
        <w:rPr>
          <w:lang w:val="en-GB"/>
        </w:rPr>
        <w:t xml:space="preserve">DFT has proven to be useful for describing intermolecular interactions and properties of eutectic solvents </w:t>
      </w:r>
      <w:r w:rsidRPr="00966B21">
        <w:rPr>
          <w:lang w:val="en-GB"/>
        </w:rPr>
        <w:fldChar w:fldCharType="begin" w:fldLock="1"/>
      </w:r>
      <w:r w:rsidR="00CD7D53" w:rsidRPr="00966B21">
        <w:rPr>
          <w:lang w:val="en-GB"/>
        </w:rPr>
        <w:instrText>ADDIN CSL_CITATION {"citationItems":[{"id":"ITEM-1","itemData":{"DOI":"10.1016/j.cplett.2021.138427","ISSN":"00092614","abstract":"The structural properties of choline chloride-based deep eutectic solvents (DESs) are investigated using the molecular dynamics simulations approach. The effect of different donor groups i.e. ethylene glycol, malic acid, tartaric acid, glycerol and oxalic acid with choline chloride acceptor in the formation of supramolecular structures are studied by employing different functionals. Different thermodynamic properties such as heat of formation, charge mobility, interaction energies, electronic energy, zero-point energy, dipole moment, heat capacity, entropy, bond angles and dihedral angles of the eutectic mixture are anticipated. Among all the deep eutectic solvents, DES3 is found to be more stable in terms of an extensive hydrogen-bonded network with maximum heat of formation (−5.94 × 104 eV). The extensive hydrogen bond network in DES3 also leads to substantially higher polarizability (222.124 au), thermal stability (345.14 kcal mol−1), heat capacity (121.43 Calmol−1K) and entropy (222.04 Calmol−1K−1). However, the viscosity of DES1 is found lowest (37 cP) with the highest conductivity (6.34 mS cm−1), dipole moment (16.14 Debye) and electron mobility (0.0919644 eV) and hole mobility (0.0477745 eV). This work will provide a new visualization of the supramolecular structure of choline chloride-based DESs with physical and electronic properties.","author":[{"dropping-particle":"","family":"Naseem","given":"Zubera","non-dropping-particle":"","parse-names":false,"suffix":""},{"dropping-particle":"","family":"Shehzad","given":"Rao Aqil","non-dropping-particle":"","parse-names":false,"suffix":""},{"dropping-particle":"","family":"Ihsan","given":"Anaum","non-dropping-particle":"","parse-names":false,"suffix":""},{"dropping-particle":"","family":"Iqbal","given":"Javed","non-dropping-particle":"","parse-names":false,"suffix":""},{"dropping-particle":"","family":"Zahid","given":"Muhammad","non-dropping-particle":"","parse-names":false,"suffix":""},{"dropping-particle":"","family":"Pervaiz","given":"Amjad","non-dropping-particle":"","parse-names":false,"suffix":""},{"dropping-particle":"","family":"Sarwari","given":"Ghulam","non-dropping-particle":"","parse-names":false,"suffix":""}],"container-title":"Chemical Physics Letters","id":"ITEM-1","issue":"November 2020","issued":{"date-parts":[["2021"]]},"page":"138427","publisher":"Elsevier B.V.","title":"Theoretical investigation of supramolecular hydrogen-bonded choline chloride-based deep eutectic solvents using density functional theory","type":"article-journal","volume":"769"},"uris":["http://www.mendeley.com/documents/?uuid=345ecda9-079b-414f-89e5-141b49d73ad2"]}],"mendeley":{"formattedCitation":"[35]","plainTextFormattedCitation":"[35]","previouslyFormattedCitation":"[34]"},"properties":{"noteIndex":0},"schema":"https://github.com/citation-style-language/schema/raw/master/csl-citation.json"}</w:instrText>
      </w:r>
      <w:r w:rsidRPr="00966B21">
        <w:rPr>
          <w:lang w:val="en-GB"/>
        </w:rPr>
        <w:fldChar w:fldCharType="separate"/>
      </w:r>
      <w:r w:rsidR="00CD7D53" w:rsidRPr="00966B21">
        <w:rPr>
          <w:noProof/>
          <w:lang w:val="en-GB"/>
        </w:rPr>
        <w:t>[35]</w:t>
      </w:r>
      <w:r w:rsidRPr="00966B21">
        <w:rPr>
          <w:lang w:val="en-GB"/>
        </w:rPr>
        <w:fldChar w:fldCharType="end"/>
      </w:r>
      <w:r w:rsidR="001060CE" w:rsidRPr="00966B21">
        <w:rPr>
          <w:lang w:val="en-GB"/>
        </w:rPr>
        <w:t xml:space="preserve">. </w:t>
      </w:r>
      <w:r w:rsidR="00B73D88" w:rsidRPr="00966B21">
        <w:rPr>
          <w:szCs w:val="16"/>
          <w:lang w:val="en-GB"/>
        </w:rPr>
        <w:t>To understand the intermolecular interactions involved in the TM solvent, DFT and QTAIM approaches were employed. Within the QTAIM framework, the presence of bond critical points (bcps) between interacting atoms, along with their associated bond paths, is indicative of chemical interactions. Several topological parameters at the bcp provide valuable information about the nature and characteristics of these interactions. The electron density (</w:t>
      </w:r>
      <w:r w:rsidR="00626C62" w:rsidRPr="00966B21">
        <w:rPr>
          <w:rFonts w:ascii="Symbol" w:hAnsi="Symbol"/>
          <w:i/>
          <w:iCs/>
          <w:color w:val="000000" w:themeColor="text1"/>
          <w:szCs w:val="16"/>
          <w:lang w:val="en-GB"/>
        </w:rPr>
        <w:t></w:t>
      </w:r>
      <w:r w:rsidR="00B73D88" w:rsidRPr="00966B21">
        <w:rPr>
          <w:szCs w:val="16"/>
          <w:vertAlign w:val="subscript"/>
          <w:lang w:val="en-GB"/>
        </w:rPr>
        <w:t>b</w:t>
      </w:r>
      <w:r w:rsidR="00B73D88" w:rsidRPr="00966B21">
        <w:rPr>
          <w:szCs w:val="16"/>
          <w:lang w:val="en-GB"/>
        </w:rPr>
        <w:t>) at the bcp reflects the strength of a bond, and its Laplacian (</w:t>
      </w:r>
      <w:r w:rsidR="00626C62" w:rsidRPr="00966B21">
        <w:rPr>
          <w:rFonts w:ascii="Symbol" w:hAnsi="Symbol"/>
          <w:color w:val="000000" w:themeColor="text1"/>
          <w:szCs w:val="16"/>
          <w:lang w:val="en-GB"/>
        </w:rPr>
        <w:t></w:t>
      </w:r>
      <w:r w:rsidR="00626C62" w:rsidRPr="00966B21">
        <w:rPr>
          <w:color w:val="000000" w:themeColor="text1"/>
          <w:szCs w:val="16"/>
          <w:vertAlign w:val="superscript"/>
          <w:lang w:val="en-GB"/>
        </w:rPr>
        <w:t>2</w:t>
      </w:r>
      <w:r w:rsidR="00626C62" w:rsidRPr="00966B21">
        <w:rPr>
          <w:rFonts w:ascii="Symbol" w:hAnsi="Symbol"/>
          <w:i/>
          <w:iCs/>
          <w:color w:val="000000" w:themeColor="text1"/>
          <w:szCs w:val="16"/>
          <w:lang w:val="en-GB"/>
        </w:rPr>
        <w:t></w:t>
      </w:r>
      <w:r w:rsidR="00626C62" w:rsidRPr="00966B21">
        <w:rPr>
          <w:szCs w:val="16"/>
          <w:vertAlign w:val="subscript"/>
          <w:lang w:val="en-GB"/>
        </w:rPr>
        <w:t>b</w:t>
      </w:r>
      <w:r w:rsidR="00B73D88" w:rsidRPr="00966B21">
        <w:rPr>
          <w:szCs w:val="16"/>
          <w:lang w:val="en-GB"/>
        </w:rPr>
        <w:t>) measures the local charge concentration (</w:t>
      </w:r>
      <w:r w:rsidR="00626C62" w:rsidRPr="00966B21">
        <w:rPr>
          <w:rFonts w:ascii="Symbol" w:hAnsi="Symbol"/>
          <w:color w:val="000000" w:themeColor="text1"/>
          <w:szCs w:val="16"/>
          <w:lang w:val="en-GB"/>
        </w:rPr>
        <w:t></w:t>
      </w:r>
      <w:r w:rsidR="00626C62" w:rsidRPr="00966B21">
        <w:rPr>
          <w:color w:val="000000" w:themeColor="text1"/>
          <w:szCs w:val="16"/>
          <w:vertAlign w:val="superscript"/>
          <w:lang w:val="en-GB"/>
        </w:rPr>
        <w:t>2</w:t>
      </w:r>
      <w:r w:rsidR="00626C62" w:rsidRPr="00966B21">
        <w:rPr>
          <w:rFonts w:ascii="Symbol" w:hAnsi="Symbol"/>
          <w:i/>
          <w:iCs/>
          <w:color w:val="000000" w:themeColor="text1"/>
          <w:szCs w:val="16"/>
          <w:lang w:val="en-GB"/>
        </w:rPr>
        <w:t></w:t>
      </w:r>
      <w:r w:rsidR="00626C62" w:rsidRPr="00966B21">
        <w:rPr>
          <w:szCs w:val="16"/>
          <w:vertAlign w:val="subscript"/>
          <w:lang w:val="en-GB"/>
        </w:rPr>
        <w:t>b</w:t>
      </w:r>
      <w:r w:rsidR="00B73D88" w:rsidRPr="00966B21">
        <w:rPr>
          <w:szCs w:val="16"/>
          <w:lang w:val="en-GB"/>
        </w:rPr>
        <w:t xml:space="preserve"> &lt; 0) or local charge depletion (</w:t>
      </w:r>
      <w:r w:rsidR="00626C62" w:rsidRPr="00966B21">
        <w:rPr>
          <w:rFonts w:ascii="Symbol" w:hAnsi="Symbol"/>
          <w:color w:val="000000" w:themeColor="text1"/>
          <w:szCs w:val="16"/>
          <w:lang w:val="en-GB"/>
        </w:rPr>
        <w:t></w:t>
      </w:r>
      <w:r w:rsidR="00626C62" w:rsidRPr="00966B21">
        <w:rPr>
          <w:color w:val="000000" w:themeColor="text1"/>
          <w:szCs w:val="16"/>
          <w:vertAlign w:val="superscript"/>
          <w:lang w:val="en-GB"/>
        </w:rPr>
        <w:t>2</w:t>
      </w:r>
      <w:r w:rsidR="00626C62" w:rsidRPr="00966B21">
        <w:rPr>
          <w:rFonts w:ascii="Symbol" w:hAnsi="Symbol"/>
          <w:i/>
          <w:iCs/>
          <w:color w:val="000000" w:themeColor="text1"/>
          <w:szCs w:val="16"/>
          <w:lang w:val="en-GB"/>
        </w:rPr>
        <w:t></w:t>
      </w:r>
      <w:r w:rsidR="00626C62" w:rsidRPr="00966B21">
        <w:rPr>
          <w:szCs w:val="16"/>
          <w:vertAlign w:val="subscript"/>
          <w:lang w:val="en-GB"/>
        </w:rPr>
        <w:t>b</w:t>
      </w:r>
      <w:r w:rsidR="00B73D88" w:rsidRPr="00966B21">
        <w:rPr>
          <w:szCs w:val="16"/>
          <w:lang w:val="en-GB"/>
        </w:rPr>
        <w:t xml:space="preserve"> &gt; 0) </w:t>
      </w:r>
      <w:r w:rsidR="00626C62" w:rsidRPr="00966B21">
        <w:rPr>
          <w:szCs w:val="16"/>
          <w:lang w:val="en-GB"/>
        </w:rPr>
        <w:fldChar w:fldCharType="begin" w:fldLock="1"/>
      </w:r>
      <w:r w:rsidR="00CD7D53" w:rsidRPr="00966B21">
        <w:rPr>
          <w:szCs w:val="16"/>
          <w:lang w:val="en-GB"/>
        </w:rPr>
        <w:instrText>ADDIN CSL_CITATION {"citationItems":[{"id":"ITEM-1","itemData":{"author":[{"dropping-particle":"","family":"Popelier","given":"Paul","non-dropping-particle":"","parse-names":false,"suffix":""},{"dropping-particle":"","family":"Aicken","given":"F","non-dropping-particle":"","parse-names":false,"suffix":""},{"dropping-particle":"","family":"O’Brien","given":"S","non-dropping-particle":"","parse-names":false,"suffix":""}],"container-title":"Chemical Modelling: Applications and Theory","id":"ITEM-1","issued":{"date-parts":[["2000","1","1"]]},"page":"143-198","title":"Atoms in molecules","type":"article-journal","volume":"1"},"uris":["http://www.mendeley.com/documents/?uuid=6cd678ef-7142-4060-ba87-f5f6b9fa129b"]}],"mendeley":{"formattedCitation":"[45]","plainTextFormattedCitation":"[45]","previouslyFormattedCitation":"[44]"},"properties":{"noteIndex":0},"schema":"https://github.com/citation-style-language/schema/raw/master/csl-citation.json"}</w:instrText>
      </w:r>
      <w:r w:rsidR="00626C62" w:rsidRPr="00966B21">
        <w:rPr>
          <w:szCs w:val="16"/>
          <w:lang w:val="en-GB"/>
        </w:rPr>
        <w:fldChar w:fldCharType="separate"/>
      </w:r>
      <w:r w:rsidR="00CD7D53" w:rsidRPr="00966B21">
        <w:rPr>
          <w:noProof/>
          <w:szCs w:val="16"/>
          <w:lang w:val="en-GB"/>
        </w:rPr>
        <w:t>[45]</w:t>
      </w:r>
      <w:r w:rsidR="00626C62" w:rsidRPr="00966B21">
        <w:rPr>
          <w:szCs w:val="16"/>
          <w:lang w:val="en-GB"/>
        </w:rPr>
        <w:fldChar w:fldCharType="end"/>
      </w:r>
      <w:r w:rsidR="00B73D88" w:rsidRPr="00966B21">
        <w:rPr>
          <w:szCs w:val="16"/>
          <w:lang w:val="en-GB"/>
        </w:rPr>
        <w:t>. These properties, along with the total energy density (</w:t>
      </w:r>
      <w:r w:rsidR="00B73D88" w:rsidRPr="00966B21">
        <w:rPr>
          <w:i/>
          <w:iCs/>
          <w:szCs w:val="16"/>
          <w:lang w:val="en-GB"/>
        </w:rPr>
        <w:t>H</w:t>
      </w:r>
      <w:r w:rsidR="00B73D88" w:rsidRPr="00966B21">
        <w:rPr>
          <w:szCs w:val="16"/>
          <w:vertAlign w:val="subscript"/>
          <w:lang w:val="en-GB"/>
        </w:rPr>
        <w:t>b</w:t>
      </w:r>
      <w:r w:rsidR="00B73D88" w:rsidRPr="00966B21">
        <w:rPr>
          <w:szCs w:val="16"/>
          <w:lang w:val="en-GB"/>
        </w:rPr>
        <w:t xml:space="preserve">), are used to </w:t>
      </w:r>
      <w:r w:rsidR="00626C62" w:rsidRPr="00966B21">
        <w:rPr>
          <w:szCs w:val="16"/>
          <w:lang w:val="en-GB"/>
        </w:rPr>
        <w:t>analyse</w:t>
      </w:r>
      <w:r w:rsidR="00B73D88" w:rsidRPr="00966B21">
        <w:rPr>
          <w:szCs w:val="16"/>
          <w:lang w:val="en-GB"/>
        </w:rPr>
        <w:t xml:space="preserve"> the covalent character of an interaction </w:t>
      </w:r>
      <w:r w:rsidR="00626C62" w:rsidRPr="00966B21">
        <w:rPr>
          <w:szCs w:val="16"/>
          <w:lang w:val="en-GB"/>
        </w:rPr>
        <w:fldChar w:fldCharType="begin" w:fldLock="1"/>
      </w:r>
      <w:r w:rsidR="00CD7D53" w:rsidRPr="00966B21">
        <w:rPr>
          <w:szCs w:val="16"/>
          <w:lang w:val="en-GB"/>
        </w:rPr>
        <w:instrText>ADDIN CSL_CITATION {"citationItems":[{"id":"ITEM-1","itemData":{"DOI":"https://doi.org/10.1002/anie.198406271","ISSN":"0570-0833","abstract":"Formation of a covalent bond is not necessarily associated with an increase in electron density in the bonding region. This can be established by analysis of the single electron density distributions ?(r) with the aid of the assigned Laplace field ?2?(r). For ?bonds without bonding electron density ?(r)?, it is decisive that the density ?(r) actually present in the region between the atoms results in a decrease in the local energy density and, hence, produces a stabilizing effect.","author":[{"dropping-particle":"","family":"Cremer","given":"Dieter","non-dropping-particle":"","parse-names":false,"suffix":""},{"dropping-particle":"","family":"Kraka","given":"Elfi","non-dropping-particle":"","parse-names":false,"suffix":""}],"container-title":"Angewandte Chemie International Edition in English","id":"ITEM-1","issue":"8","issued":{"date-parts":[["1984","8","1"]]},"note":"https://doi.org/10.1002/anie.198406271","page":"627-628","publisher":"John Wiley &amp; Sons, Ltd","title":"Chemical Bonds without Bonding Electron Density — Does the Difference Electron-Density Analysis Suffice for a Description of the Chemical Bond?","type":"article-journal","volume":"23"},"uris":["http://www.mendeley.com/documents/?uuid=e520b165-16b4-4366-9f7b-142de8fb870a"]}],"mendeley":{"formattedCitation":"[46]","plainTextFormattedCitation":"[46]","previouslyFormattedCitation":"[45]"},"properties":{"noteIndex":0},"schema":"https://github.com/citation-style-language/schema/raw/master/csl-citation.json"}</w:instrText>
      </w:r>
      <w:r w:rsidR="00626C62" w:rsidRPr="00966B21">
        <w:rPr>
          <w:szCs w:val="16"/>
          <w:lang w:val="en-GB"/>
        </w:rPr>
        <w:fldChar w:fldCharType="separate"/>
      </w:r>
      <w:r w:rsidR="00CD7D53" w:rsidRPr="00966B21">
        <w:rPr>
          <w:noProof/>
          <w:szCs w:val="16"/>
          <w:lang w:val="en-GB"/>
        </w:rPr>
        <w:t>[46]</w:t>
      </w:r>
      <w:r w:rsidR="00626C62" w:rsidRPr="00966B21">
        <w:rPr>
          <w:szCs w:val="16"/>
          <w:lang w:val="en-GB"/>
        </w:rPr>
        <w:fldChar w:fldCharType="end"/>
      </w:r>
      <w:r w:rsidR="00B73D88" w:rsidRPr="00966B21">
        <w:rPr>
          <w:szCs w:val="16"/>
          <w:lang w:val="en-GB"/>
        </w:rPr>
        <w:t xml:space="preserve">. </w:t>
      </w:r>
    </w:p>
    <w:p w14:paraId="407DFAE1" w14:textId="0FE08877" w:rsidR="00F02525" w:rsidRPr="00966B21" w:rsidRDefault="00B73D88" w:rsidP="001060CE">
      <w:pPr>
        <w:pStyle w:val="NormaleWeb"/>
        <w:spacing w:before="0" w:beforeAutospacing="0" w:after="0" w:afterAutospacing="0"/>
        <w:jc w:val="both"/>
        <w:rPr>
          <w:szCs w:val="16"/>
          <w:lang w:val="en-GB"/>
        </w:rPr>
      </w:pPr>
      <w:r w:rsidRPr="00966B21">
        <w:rPr>
          <w:szCs w:val="16"/>
          <w:lang w:val="en-GB"/>
        </w:rPr>
        <w:t xml:space="preserve">Figure </w:t>
      </w:r>
      <w:r w:rsidR="005574A5" w:rsidRPr="00966B21">
        <w:rPr>
          <w:szCs w:val="16"/>
          <w:lang w:val="en-GB"/>
        </w:rPr>
        <w:t>3</w:t>
      </w:r>
      <w:r w:rsidRPr="00966B21">
        <w:rPr>
          <w:szCs w:val="16"/>
          <w:lang w:val="en-GB"/>
        </w:rPr>
        <w:t xml:space="preserve"> shows the optimized geometries of the TM complex and its corresponding molecular graphs. The interaction energy of -10.3 kcal/mol indicates strong intermolecular interactions, with a hydrogen bond formed between a hydrogen atom of thymol and the oxygen of menthol (O-H···O), consistent with </w:t>
      </w:r>
      <w:r w:rsidR="00A61A7E" w:rsidRPr="00966B21">
        <w:rPr>
          <w:szCs w:val="16"/>
          <w:lang w:val="en-GB"/>
        </w:rPr>
        <w:t>previous reports</w:t>
      </w:r>
      <w:r w:rsidR="00CB7D60" w:rsidRPr="00966B21">
        <w:rPr>
          <w:szCs w:val="16"/>
          <w:lang w:val="en-GB"/>
        </w:rPr>
        <w:t xml:space="preserve"> </w:t>
      </w:r>
      <w:r w:rsidR="00626C62" w:rsidRPr="00966B21">
        <w:rPr>
          <w:szCs w:val="16"/>
          <w:lang w:val="en-GB"/>
        </w:rPr>
        <w:fldChar w:fldCharType="begin" w:fldLock="1"/>
      </w:r>
      <w:r w:rsidR="00CD7D53" w:rsidRPr="00966B21">
        <w:rPr>
          <w:szCs w:val="16"/>
          <w:lang w:val="en-GB"/>
        </w:rPr>
        <w:instrText>ADDIN CSL_CITATION {"citationItems":[{"id":"ITEM-1","itemData":{"DOI":"10.1039/c9cc04846d","ISSN":"1364548X","PMID":"31393483","abstract":"Mixtures of non-ionic compounds have been reported as DES but most are just ideal mixtures. In the thymol-menthol system, an abnormal strong interaction was identified stemming from the acidity difference of the phenolic and aliphatic hydroxyl groups. This type of interaction is found to be the key to prepare non-ionic DES, that may be classified as type V.","author":[{"dropping-particle":"","family":"Abranches","given":"Dinis O.","non-dropping-particle":"","parse-names":false,"suffix":""},{"dropping-particle":"","family":"Martins","given":"Mónia A.R.","non-dropping-particle":"","parse-names":false,"suffix":""},{"dropping-particle":"","family":"Silva","given":"Liliana P.","non-dropping-particle":"","parse-names":false,"suffix":""},{"dropping-particle":"","family":"Schaeffer","given":"Nicolas","non-dropping-particle":"","parse-names":false,"suffix":""},{"dropping-particle":"","family":"Pinho","given":"Simão P.","non-dropping-particle":"","parse-names":false,"suffix":""},{"dropping-particle":"","family":"Coutinho","given":"João A.P.","non-dropping-particle":"","parse-names":false,"suffix":""}],"container-title":"Chemical Communications","id":"ITEM-1","issue":"69","issued":{"date-parts":[["2019"]]},"page":"10253-10256","title":"Phenolic hydrogen bond donors in the formation of non-ionic deep eutectic solvents: The quest for type v des","type":"article-journal","volume":"55"},"uris":["http://www.mendeley.com/documents/?uuid=26e28156-61e3-43b5-a3e4-ae6c3c960f7a"]}],"mendeley":{"formattedCitation":"[47]","plainTextFormattedCitation":"[47]","previouslyFormattedCitation":"[46]"},"properties":{"noteIndex":0},"schema":"https://github.com/citation-style-language/schema/raw/master/csl-citation.json"}</w:instrText>
      </w:r>
      <w:r w:rsidR="00626C62" w:rsidRPr="00966B21">
        <w:rPr>
          <w:szCs w:val="16"/>
          <w:lang w:val="en-GB"/>
        </w:rPr>
        <w:fldChar w:fldCharType="separate"/>
      </w:r>
      <w:r w:rsidR="00CD7D53" w:rsidRPr="00966B21">
        <w:rPr>
          <w:noProof/>
          <w:szCs w:val="16"/>
          <w:lang w:val="en-GB"/>
        </w:rPr>
        <w:t>[47]</w:t>
      </w:r>
      <w:r w:rsidR="00626C62" w:rsidRPr="00966B21">
        <w:rPr>
          <w:szCs w:val="16"/>
          <w:lang w:val="en-GB"/>
        </w:rPr>
        <w:fldChar w:fldCharType="end"/>
      </w:r>
      <w:r w:rsidRPr="00966B21">
        <w:rPr>
          <w:szCs w:val="16"/>
          <w:lang w:val="en-GB"/>
        </w:rPr>
        <w:t>. Their calculation showed that this H-bond is significantly stronger than those in pure liquid menthol and thymol. Additionally, a secondary interaction between a hydrogen atom of menthol (C-H···O) and the oxygen atom of thymol was found, as noted in the molecular graph.</w:t>
      </w:r>
    </w:p>
    <w:p w14:paraId="3C0E5830" w14:textId="4AB4693E" w:rsidR="00B73D88" w:rsidRPr="00966B21" w:rsidRDefault="00B73D88" w:rsidP="00626C62">
      <w:pPr>
        <w:pStyle w:val="NormaleWeb"/>
        <w:spacing w:before="0" w:beforeAutospacing="0" w:after="0" w:afterAutospacing="0"/>
        <w:jc w:val="both"/>
        <w:rPr>
          <w:szCs w:val="16"/>
          <w:lang w:val="en-GB"/>
        </w:rPr>
      </w:pPr>
      <w:r w:rsidRPr="00966B21">
        <w:rPr>
          <w:szCs w:val="16"/>
          <w:lang w:val="en-GB"/>
        </w:rPr>
        <w:t xml:space="preserve">The </w:t>
      </w:r>
      <w:r w:rsidR="00095334" w:rsidRPr="00966B21">
        <w:rPr>
          <w:rFonts w:ascii="Symbol" w:hAnsi="Symbol"/>
          <w:i/>
          <w:iCs/>
          <w:color w:val="000000" w:themeColor="text1"/>
          <w:szCs w:val="16"/>
          <w:lang w:val="en-GB"/>
        </w:rPr>
        <w:t></w:t>
      </w:r>
      <w:r w:rsidR="00095334" w:rsidRPr="00966B21">
        <w:rPr>
          <w:szCs w:val="16"/>
          <w:vertAlign w:val="subscript"/>
          <w:lang w:val="en-GB"/>
        </w:rPr>
        <w:t>b</w:t>
      </w:r>
      <w:r w:rsidRPr="00966B21">
        <w:rPr>
          <w:szCs w:val="16"/>
          <w:lang w:val="en-GB"/>
        </w:rPr>
        <w:t xml:space="preserve"> value at the O-H···O bcp is relatively high, suggesting a stronger interaction, whereas the </w:t>
      </w:r>
      <w:r w:rsidR="00095334" w:rsidRPr="00966B21">
        <w:rPr>
          <w:rFonts w:ascii="Symbol" w:hAnsi="Symbol"/>
          <w:i/>
          <w:iCs/>
          <w:color w:val="000000" w:themeColor="text1"/>
          <w:szCs w:val="16"/>
          <w:lang w:val="en-GB"/>
        </w:rPr>
        <w:t></w:t>
      </w:r>
      <w:r w:rsidR="00095334" w:rsidRPr="00966B21">
        <w:rPr>
          <w:szCs w:val="16"/>
          <w:vertAlign w:val="subscript"/>
          <w:lang w:val="en-GB"/>
        </w:rPr>
        <w:t>b</w:t>
      </w:r>
      <w:r w:rsidRPr="00966B21">
        <w:rPr>
          <w:szCs w:val="16"/>
          <w:lang w:val="en-GB"/>
        </w:rPr>
        <w:t xml:space="preserve"> value at the C-H···O bcp is lower. In all cases </w:t>
      </w:r>
      <w:r w:rsidR="00095334" w:rsidRPr="00966B21">
        <w:rPr>
          <w:rFonts w:ascii="Symbol" w:hAnsi="Symbol"/>
          <w:color w:val="000000" w:themeColor="text1"/>
          <w:szCs w:val="16"/>
          <w:lang w:val="en-GB"/>
        </w:rPr>
        <w:t></w:t>
      </w:r>
      <w:r w:rsidR="00095334" w:rsidRPr="00966B21">
        <w:rPr>
          <w:color w:val="000000" w:themeColor="text1"/>
          <w:szCs w:val="16"/>
          <w:vertAlign w:val="superscript"/>
          <w:lang w:val="en-GB"/>
        </w:rPr>
        <w:t>2</w:t>
      </w:r>
      <w:r w:rsidR="00095334" w:rsidRPr="00966B21">
        <w:rPr>
          <w:rFonts w:ascii="Symbol" w:hAnsi="Symbol"/>
          <w:i/>
          <w:iCs/>
          <w:color w:val="000000" w:themeColor="text1"/>
          <w:szCs w:val="16"/>
          <w:lang w:val="en-GB"/>
        </w:rPr>
        <w:t></w:t>
      </w:r>
      <w:r w:rsidR="00095334" w:rsidRPr="00966B21">
        <w:rPr>
          <w:szCs w:val="16"/>
          <w:vertAlign w:val="subscript"/>
          <w:lang w:val="en-GB"/>
        </w:rPr>
        <w:t>b</w:t>
      </w:r>
      <w:r w:rsidR="00095334" w:rsidRPr="00966B21">
        <w:rPr>
          <w:szCs w:val="16"/>
          <w:lang w:val="en-GB"/>
        </w:rPr>
        <w:t xml:space="preserve"> </w:t>
      </w:r>
      <w:r w:rsidRPr="00966B21">
        <w:rPr>
          <w:szCs w:val="16"/>
          <w:lang w:val="en-GB"/>
        </w:rPr>
        <w:t xml:space="preserve">is positive, indicating that the bcps are localized in an electron charge density depletion zone. These values fall within the typical range for H-bonds, with </w:t>
      </w:r>
      <w:r w:rsidR="00095334" w:rsidRPr="00966B21">
        <w:rPr>
          <w:rFonts w:ascii="Symbol" w:hAnsi="Symbol"/>
          <w:i/>
          <w:iCs/>
          <w:color w:val="000000" w:themeColor="text1"/>
          <w:szCs w:val="16"/>
          <w:lang w:val="en-GB"/>
        </w:rPr>
        <w:t></w:t>
      </w:r>
      <w:r w:rsidR="00095334" w:rsidRPr="00966B21">
        <w:rPr>
          <w:szCs w:val="16"/>
          <w:vertAlign w:val="subscript"/>
          <w:lang w:val="en-GB"/>
        </w:rPr>
        <w:t>b</w:t>
      </w:r>
      <w:r w:rsidRPr="00966B21">
        <w:rPr>
          <w:szCs w:val="16"/>
          <w:lang w:val="en-GB"/>
        </w:rPr>
        <w:t xml:space="preserve"> ranging from 0.002 to 0.040 au. and </w:t>
      </w:r>
      <w:r w:rsidR="00095334" w:rsidRPr="00966B21">
        <w:rPr>
          <w:rFonts w:ascii="Symbol" w:hAnsi="Symbol"/>
          <w:color w:val="000000" w:themeColor="text1"/>
          <w:szCs w:val="16"/>
          <w:lang w:val="en-GB"/>
        </w:rPr>
        <w:t></w:t>
      </w:r>
      <w:r w:rsidR="00095334" w:rsidRPr="00966B21">
        <w:rPr>
          <w:color w:val="000000" w:themeColor="text1"/>
          <w:szCs w:val="16"/>
          <w:vertAlign w:val="superscript"/>
          <w:lang w:val="en-GB"/>
        </w:rPr>
        <w:t>2</w:t>
      </w:r>
      <w:r w:rsidR="00095334" w:rsidRPr="00966B21">
        <w:rPr>
          <w:rFonts w:ascii="Symbol" w:hAnsi="Symbol"/>
          <w:i/>
          <w:iCs/>
          <w:color w:val="000000" w:themeColor="text1"/>
          <w:szCs w:val="16"/>
          <w:lang w:val="en-GB"/>
        </w:rPr>
        <w:t></w:t>
      </w:r>
      <w:r w:rsidR="00095334" w:rsidRPr="00966B21">
        <w:rPr>
          <w:color w:val="000000" w:themeColor="text1"/>
          <w:szCs w:val="16"/>
          <w:vertAlign w:val="subscript"/>
          <w:lang w:val="en-GB"/>
        </w:rPr>
        <w:t>b</w:t>
      </w:r>
      <w:r w:rsidR="00095334" w:rsidRPr="00966B21">
        <w:rPr>
          <w:color w:val="0070C0"/>
          <w:szCs w:val="16"/>
          <w:lang w:val="en-GB"/>
        </w:rPr>
        <w:t xml:space="preserve"> </w:t>
      </w:r>
      <w:r w:rsidRPr="00966B21">
        <w:rPr>
          <w:szCs w:val="16"/>
          <w:lang w:val="en-GB"/>
        </w:rPr>
        <w:t>from 0.020 to 0.150 au</w:t>
      </w:r>
      <w:r w:rsidR="00095334" w:rsidRPr="00966B21">
        <w:rPr>
          <w:szCs w:val="16"/>
          <w:lang w:val="en-GB"/>
        </w:rPr>
        <w:t xml:space="preserve"> </w:t>
      </w:r>
      <w:r w:rsidR="00095334" w:rsidRPr="00966B21">
        <w:rPr>
          <w:szCs w:val="16"/>
          <w:lang w:val="en-GB"/>
        </w:rPr>
        <w:fldChar w:fldCharType="begin" w:fldLock="1"/>
      </w:r>
      <w:r w:rsidR="00CD7D53" w:rsidRPr="00966B21">
        <w:rPr>
          <w:szCs w:val="16"/>
          <w:lang w:val="en-GB"/>
        </w:rPr>
        <w:instrText>ADDIN CSL_CITATION {"citationItems":[{"id":"ITEM-1","itemData":{"author":[{"dropping-particle":"","family":"Popelier","given":"Paul","non-dropping-particle":"","parse-names":false,"suffix":""},{"dropping-particle":"","family":"Aicken","given":"F","non-dropping-particle":"","parse-names":false,"suffix":""},{"dropping-particle":"","family":"O’Brien","given":"S","non-dropping-particle":"","parse-names":false,"suffix":""}],"container-title":"Chemical Modelling: Applications and Theory","id":"ITEM-1","issued":{"date-parts":[["2000","1","1"]]},"page":"143-198","title":"Atoms in molecules","type":"article-journal","volume":"1"},"uris":["http://www.mendeley.com/documents/?uuid=6cd678ef-7142-4060-ba87-f5f6b9fa129b"]}],"mendeley":{"formattedCitation":"[45]","plainTextFormattedCitation":"[45]","previouslyFormattedCitation":"[44]"},"properties":{"noteIndex":0},"schema":"https://github.com/citation-style-language/schema/raw/master/csl-citation.json"}</w:instrText>
      </w:r>
      <w:r w:rsidR="00095334" w:rsidRPr="00966B21">
        <w:rPr>
          <w:szCs w:val="16"/>
          <w:lang w:val="en-GB"/>
        </w:rPr>
        <w:fldChar w:fldCharType="separate"/>
      </w:r>
      <w:r w:rsidR="00CD7D53" w:rsidRPr="00966B21">
        <w:rPr>
          <w:noProof/>
          <w:szCs w:val="16"/>
          <w:lang w:val="en-GB"/>
        </w:rPr>
        <w:t>[45]</w:t>
      </w:r>
      <w:r w:rsidR="00095334" w:rsidRPr="00966B21">
        <w:rPr>
          <w:szCs w:val="16"/>
          <w:lang w:val="en-GB"/>
        </w:rPr>
        <w:fldChar w:fldCharType="end"/>
      </w:r>
      <w:r w:rsidRPr="00966B21">
        <w:rPr>
          <w:szCs w:val="16"/>
          <w:lang w:val="en-GB"/>
        </w:rPr>
        <w:t xml:space="preserve">. Furthermore, the negative </w:t>
      </w:r>
      <w:r w:rsidRPr="00966B21">
        <w:rPr>
          <w:i/>
          <w:iCs/>
          <w:szCs w:val="16"/>
          <w:lang w:val="en-GB"/>
        </w:rPr>
        <w:t>H</w:t>
      </w:r>
      <w:r w:rsidRPr="00966B21">
        <w:rPr>
          <w:szCs w:val="16"/>
          <w:vertAlign w:val="subscript"/>
          <w:lang w:val="en-GB"/>
        </w:rPr>
        <w:t>b</w:t>
      </w:r>
      <w:r w:rsidRPr="00966B21">
        <w:rPr>
          <w:szCs w:val="16"/>
          <w:lang w:val="en-GB"/>
        </w:rPr>
        <w:t xml:space="preserve"> value for the O···H bcp suggests a partial covalent character for this interaction. This pattern is typical of bifunctional hydrogen bonding, where a proton donor also acts as a proton acceptor exerting a cooperative effect that enhances the stability of the complex </w:t>
      </w:r>
      <w:r w:rsidR="00095334" w:rsidRPr="00966B21">
        <w:rPr>
          <w:szCs w:val="16"/>
          <w:lang w:val="en-GB"/>
        </w:rPr>
        <w:fldChar w:fldCharType="begin" w:fldLock="1"/>
      </w:r>
      <w:r w:rsidR="00CD7D53" w:rsidRPr="00966B21">
        <w:rPr>
          <w:szCs w:val="16"/>
          <w:lang w:val="en-GB"/>
        </w:rPr>
        <w:instrText>ADDIN CSL_CITATION {"citationItems":[{"id":"ITEM-1","itemData":{"DOI":"10.1021/jp906372t","ISSN":"10895639","abstract":"In this work, the cooperative effects implicated in bifunctional hydrogen bonds (H-bonds) were studied (in monohydrated six-membered cycloether) within the framework of the atoms in molecules (AIM) theory and of the natural bond orbitais (NBO) analysis. The study was carried out in complexes formed by six-membered cycloetlier compounds (tetrahydropyrane, 1,4-dioxane, and 1,3-dioxane) and a water molecule. These compounds were used as model systems instead of more complicated molecules of biological importance. All the results were obtained at the second-order Møller-Plesset (MP2) level theory using a 6- 311++G(d,p) basis set. Attention was focused on the indicators of the cooperative effects that arise when a water molecule interacts simultaneously with a polar and a nonpolar portion of a six-membered cycloether (via bifunctional hydrogen bonds) and compared with conventional H-bonds where the water molecule only interacts with the polar portion of the cycloetlier. Different indicators of H-bonds strength, such as structural and spectroscopic data, electron charge density, population analysis, hyperconjugation energy and charge transference, consistently showed significant cooperative effects in bifunctional H-bonds. From the AIM, as well as from the NBO analysis, the obtained results allowed us to state that in the monohydrated six-membered cycloether, where the water molecule plays a dual role, as proton acceptor and proton donor, a mutual reinforcement of the two interactions occurs. Because of this feature, the complexes engaged by bifunctional hydrogen bonds are more stabilized than the complexes linked by conventional hydrogen bonds. © 2010 American Chemical Society.","author":[{"dropping-particle":"","family":"Vallejos","given":"Margarita M.","non-dropping-particle":"","parse-names":false,"suffix":""},{"dropping-particle":"","family":"Angelina","given":"Emilio L.","non-dropping-particle":"","parse-names":false,"suffix":""},{"dropping-particle":"","family":"Peruchena","given":"Nélida M.","non-dropping-particle":"","parse-names":false,"suffix":""}],"container-title":"Journal of Physical Chemistry A","id":"ITEM-1","issue":"8","issued":{"date-parts":[["2010"]]},"page":"2855-2863","title":"Bifunctional hydrogen bonds in monohydrated cycloether complexes","type":"article-journal","volume":"114"},"uris":["http://www.mendeley.com/documents/?uuid=7e82864d-6f08-45b2-9108-6296e30261cc"]}],"mendeley":{"formattedCitation":"[48]","plainTextFormattedCitation":"[48]","previouslyFormattedCitation":"[47]"},"properties":{"noteIndex":0},"schema":"https://github.com/citation-style-language/schema/raw/master/csl-citation.json"}</w:instrText>
      </w:r>
      <w:r w:rsidR="00095334" w:rsidRPr="00966B21">
        <w:rPr>
          <w:szCs w:val="16"/>
          <w:lang w:val="en-GB"/>
        </w:rPr>
        <w:fldChar w:fldCharType="separate"/>
      </w:r>
      <w:r w:rsidR="00CD7D53" w:rsidRPr="00966B21">
        <w:rPr>
          <w:noProof/>
          <w:szCs w:val="16"/>
          <w:lang w:val="en-GB"/>
        </w:rPr>
        <w:t>[48]</w:t>
      </w:r>
      <w:r w:rsidR="00095334" w:rsidRPr="00966B21">
        <w:rPr>
          <w:szCs w:val="16"/>
          <w:lang w:val="en-GB"/>
        </w:rPr>
        <w:fldChar w:fldCharType="end"/>
      </w:r>
      <w:r w:rsidRPr="00966B21">
        <w:rPr>
          <w:szCs w:val="16"/>
          <w:lang w:val="en-GB"/>
        </w:rPr>
        <w:t xml:space="preserve">. </w:t>
      </w:r>
    </w:p>
    <w:p w14:paraId="0D5A0A19" w14:textId="77777777" w:rsidR="00095334" w:rsidRPr="00966B21" w:rsidRDefault="00095334" w:rsidP="00626C62">
      <w:pPr>
        <w:pStyle w:val="NormaleWeb"/>
        <w:spacing w:before="0" w:beforeAutospacing="0" w:after="0" w:afterAutospacing="0"/>
        <w:jc w:val="both"/>
        <w:rPr>
          <w:szCs w:val="16"/>
          <w:lang w:val="en-GB"/>
        </w:rPr>
      </w:pPr>
    </w:p>
    <w:p w14:paraId="524220B2" w14:textId="77777777" w:rsidR="00B73D88" w:rsidRPr="00966B21" w:rsidRDefault="00706AF9" w:rsidP="00626C62">
      <w:pPr>
        <w:pStyle w:val="NormaleWeb"/>
        <w:spacing w:before="0" w:beforeAutospacing="0" w:after="0" w:afterAutospacing="0"/>
        <w:jc w:val="both"/>
        <w:rPr>
          <w:iCs/>
          <w:szCs w:val="16"/>
          <w:lang w:val="en-GB"/>
        </w:rPr>
      </w:pPr>
      <w:r w:rsidRPr="00966B21">
        <w:rPr>
          <w:iCs/>
          <w:szCs w:val="16"/>
          <w:lang w:val="en-GB"/>
        </w:rPr>
        <w:t xml:space="preserve">3.7.2 </w:t>
      </w:r>
      <w:r w:rsidR="00B73D88" w:rsidRPr="00966B21">
        <w:rPr>
          <w:iCs/>
          <w:szCs w:val="16"/>
          <w:lang w:val="en-GB"/>
        </w:rPr>
        <w:t>Interactions between TM and β-carotene</w:t>
      </w:r>
    </w:p>
    <w:p w14:paraId="4DED2EAB" w14:textId="77777777" w:rsidR="00095334" w:rsidRPr="00966B21" w:rsidRDefault="00095334" w:rsidP="00626C62">
      <w:pPr>
        <w:pStyle w:val="NormaleWeb"/>
        <w:spacing w:before="0" w:beforeAutospacing="0" w:after="0" w:afterAutospacing="0"/>
        <w:jc w:val="both"/>
        <w:rPr>
          <w:b/>
          <w:iCs/>
          <w:szCs w:val="16"/>
          <w:lang w:val="en-GB"/>
        </w:rPr>
      </w:pPr>
    </w:p>
    <w:p w14:paraId="1F244671" w14:textId="48909EBE" w:rsidR="00B73D88" w:rsidRPr="00966B21" w:rsidRDefault="00B73D88" w:rsidP="00626C62">
      <w:pPr>
        <w:pStyle w:val="NormaleWeb"/>
        <w:spacing w:before="0" w:beforeAutospacing="0" w:after="0" w:afterAutospacing="0"/>
        <w:jc w:val="both"/>
        <w:rPr>
          <w:szCs w:val="16"/>
          <w:lang w:val="en-GB"/>
        </w:rPr>
      </w:pPr>
      <w:r w:rsidRPr="00966B21">
        <w:rPr>
          <w:szCs w:val="16"/>
          <w:lang w:val="en-GB"/>
        </w:rPr>
        <w:t xml:space="preserve">To </w:t>
      </w:r>
      <w:r w:rsidR="00095334" w:rsidRPr="00966B21">
        <w:rPr>
          <w:szCs w:val="16"/>
          <w:lang w:val="en-GB"/>
        </w:rPr>
        <w:t>analyse</w:t>
      </w:r>
      <w:r w:rsidRPr="00966B21">
        <w:rPr>
          <w:szCs w:val="16"/>
          <w:lang w:val="en-GB"/>
        </w:rPr>
        <w:t xml:space="preserve"> the intermolecular interactions between β-carotene and TM, TM-β-carotene complexes (TM-βcar) were built. For this, the previously optimized structure of the TM complex was placed in different regions of the β-carotene molecule, </w:t>
      </w:r>
      <w:bookmarkStart w:id="5" w:name="_Hlk174872629"/>
      <w:r w:rsidRPr="00966B21">
        <w:rPr>
          <w:szCs w:val="16"/>
          <w:lang w:val="en-GB"/>
        </w:rPr>
        <w:t xml:space="preserve">resulting in six stable TM-βcar complexes </w:t>
      </w:r>
      <w:bookmarkEnd w:id="5"/>
      <w:r w:rsidRPr="00966B21">
        <w:rPr>
          <w:szCs w:val="16"/>
          <w:lang w:val="en-GB"/>
        </w:rPr>
        <w:t xml:space="preserve">(see </w:t>
      </w:r>
      <w:r w:rsidR="003D5567" w:rsidRPr="00966B21">
        <w:rPr>
          <w:szCs w:val="16"/>
          <w:lang w:val="en-GB"/>
        </w:rPr>
        <w:t>Figure S</w:t>
      </w:r>
      <w:r w:rsidR="00490314" w:rsidRPr="00966B21">
        <w:rPr>
          <w:szCs w:val="16"/>
          <w:lang w:val="en-GB"/>
        </w:rPr>
        <w:t>7</w:t>
      </w:r>
      <w:r w:rsidR="003D5567" w:rsidRPr="00966B21">
        <w:rPr>
          <w:szCs w:val="16"/>
          <w:lang w:val="en-GB"/>
        </w:rPr>
        <w:t xml:space="preserve"> in the </w:t>
      </w:r>
      <w:r w:rsidR="005E3ADD" w:rsidRPr="00966B21">
        <w:rPr>
          <w:szCs w:val="16"/>
          <w:lang w:val="en-GB"/>
        </w:rPr>
        <w:t>Supplementary Material</w:t>
      </w:r>
      <w:r w:rsidRPr="00966B21">
        <w:rPr>
          <w:szCs w:val="16"/>
          <w:lang w:val="en-GB"/>
        </w:rPr>
        <w:t>).</w:t>
      </w:r>
    </w:p>
    <w:p w14:paraId="4DAF1B3E" w14:textId="77777777" w:rsidR="00B73D88" w:rsidRPr="00966B21" w:rsidRDefault="00B73D88" w:rsidP="00626C62">
      <w:pPr>
        <w:pStyle w:val="NormaleWeb"/>
        <w:spacing w:before="0" w:beforeAutospacing="0" w:after="0" w:afterAutospacing="0"/>
        <w:jc w:val="both"/>
        <w:rPr>
          <w:szCs w:val="16"/>
          <w:lang w:val="en-GB"/>
        </w:rPr>
      </w:pPr>
      <w:r w:rsidRPr="00966B21">
        <w:rPr>
          <w:szCs w:val="16"/>
          <w:lang w:val="en-GB"/>
        </w:rPr>
        <w:t>The interaction energies of TM-</w:t>
      </w:r>
      <w:r w:rsidR="00095334" w:rsidRPr="00966B21">
        <w:rPr>
          <w:szCs w:val="16"/>
          <w:lang w:val="en-GB"/>
        </w:rPr>
        <w:t>β</w:t>
      </w:r>
      <w:r w:rsidRPr="00966B21">
        <w:rPr>
          <w:szCs w:val="16"/>
          <w:lang w:val="en-GB"/>
        </w:rPr>
        <w:t>car complexes were calculated using the following equation:</w:t>
      </w:r>
    </w:p>
    <w:p w14:paraId="51B4EA38" w14:textId="77777777" w:rsidR="00B73D88" w:rsidRPr="00966B21" w:rsidRDefault="00000000" w:rsidP="00626C62">
      <w:pPr>
        <w:pStyle w:val="NormaleWeb"/>
        <w:spacing w:before="0" w:beforeAutospacing="0" w:after="0" w:afterAutospacing="0"/>
        <w:jc w:val="both"/>
        <w:rPr>
          <w:szCs w:val="16"/>
          <w:lang w:val="en-GB"/>
        </w:rPr>
      </w:pPr>
      <m:oMathPara>
        <m:oMath>
          <m:sSub>
            <m:sSubPr>
              <m:ctrlPr>
                <w:rPr>
                  <w:rFonts w:ascii="Cambria Math" w:hAnsi="Cambria Math"/>
                  <w:i/>
                  <w:szCs w:val="16"/>
                  <w:lang w:val="en-GB"/>
                </w:rPr>
              </m:ctrlPr>
            </m:sSubPr>
            <m:e>
              <m:r>
                <m:rPr>
                  <m:sty m:val="p"/>
                </m:rPr>
                <w:rPr>
                  <w:rFonts w:ascii="Cambria Math" w:hAnsi="Cambria Math"/>
                  <w:szCs w:val="16"/>
                  <w:lang w:val="en-GB"/>
                </w:rPr>
                <m:t>Δ</m:t>
              </m:r>
              <m:r>
                <w:rPr>
                  <w:rFonts w:ascii="Cambria Math" w:hAnsi="Cambria Math"/>
                  <w:szCs w:val="16"/>
                  <w:lang w:val="en-GB"/>
                </w:rPr>
                <m:t>E</m:t>
              </m:r>
            </m:e>
            <m:sub>
              <m:r>
                <w:rPr>
                  <w:rFonts w:ascii="Cambria Math" w:hAnsi="Cambria Math"/>
                  <w:szCs w:val="16"/>
                  <w:lang w:val="en-GB"/>
                </w:rPr>
                <m:t>TM-βcar</m:t>
              </m:r>
            </m:sub>
          </m:sSub>
          <m:r>
            <w:rPr>
              <w:rFonts w:ascii="Cambria Math" w:hAnsi="Cambria Math"/>
              <w:szCs w:val="16"/>
              <w:lang w:val="en-GB"/>
            </w:rPr>
            <m:t>=</m:t>
          </m:r>
          <m:sSub>
            <m:sSubPr>
              <m:ctrlPr>
                <w:rPr>
                  <w:rFonts w:ascii="Cambria Math" w:hAnsi="Cambria Math"/>
                  <w:i/>
                  <w:szCs w:val="16"/>
                  <w:lang w:val="en-GB"/>
                </w:rPr>
              </m:ctrlPr>
            </m:sSubPr>
            <m:e>
              <m:r>
                <w:rPr>
                  <w:rFonts w:ascii="Cambria Math" w:hAnsi="Cambria Math"/>
                  <w:szCs w:val="16"/>
                  <w:lang w:val="en-GB"/>
                </w:rPr>
                <m:t>E</m:t>
              </m:r>
            </m:e>
            <m:sub>
              <m:r>
                <w:rPr>
                  <w:rFonts w:ascii="Cambria Math" w:hAnsi="Cambria Math"/>
                  <w:szCs w:val="16"/>
                  <w:lang w:val="en-GB"/>
                </w:rPr>
                <m:t>TM-βcar</m:t>
              </m:r>
            </m:sub>
          </m:sSub>
          <m:r>
            <w:rPr>
              <w:rFonts w:ascii="Cambria Math" w:hAnsi="Cambria Math"/>
              <w:szCs w:val="16"/>
              <w:lang w:val="en-GB"/>
            </w:rPr>
            <m:t>-</m:t>
          </m:r>
          <m:d>
            <m:dPr>
              <m:ctrlPr>
                <w:rPr>
                  <w:rFonts w:ascii="Cambria Math" w:hAnsi="Cambria Math"/>
                  <w:i/>
                  <w:szCs w:val="16"/>
                  <w:lang w:val="en-GB"/>
                </w:rPr>
              </m:ctrlPr>
            </m:dPr>
            <m:e>
              <m:sSub>
                <m:sSubPr>
                  <m:ctrlPr>
                    <w:rPr>
                      <w:rFonts w:ascii="Cambria Math" w:hAnsi="Cambria Math"/>
                      <w:i/>
                      <w:szCs w:val="16"/>
                      <w:lang w:val="en-GB"/>
                    </w:rPr>
                  </m:ctrlPr>
                </m:sSubPr>
                <m:e>
                  <m:r>
                    <w:rPr>
                      <w:rFonts w:ascii="Cambria Math" w:hAnsi="Cambria Math"/>
                      <w:szCs w:val="16"/>
                      <w:lang w:val="en-GB"/>
                    </w:rPr>
                    <m:t>E</m:t>
                  </m:r>
                </m:e>
                <m:sub>
                  <m:r>
                    <w:rPr>
                      <w:rFonts w:ascii="Cambria Math" w:hAnsi="Cambria Math"/>
                      <w:szCs w:val="16"/>
                      <w:lang w:val="en-GB"/>
                    </w:rPr>
                    <m:t>TM</m:t>
                  </m:r>
                </m:sub>
              </m:sSub>
              <m:r>
                <w:rPr>
                  <w:rFonts w:ascii="Cambria Math" w:hAnsi="Cambria Math"/>
                  <w:szCs w:val="16"/>
                  <w:lang w:val="en-GB"/>
                </w:rPr>
                <m:t>+</m:t>
              </m:r>
              <m:sSub>
                <m:sSubPr>
                  <m:ctrlPr>
                    <w:rPr>
                      <w:rFonts w:ascii="Cambria Math" w:hAnsi="Cambria Math"/>
                      <w:i/>
                      <w:szCs w:val="16"/>
                      <w:lang w:val="en-GB"/>
                    </w:rPr>
                  </m:ctrlPr>
                </m:sSubPr>
                <m:e>
                  <m:r>
                    <w:rPr>
                      <w:rFonts w:ascii="Cambria Math" w:hAnsi="Cambria Math"/>
                      <w:szCs w:val="16"/>
                      <w:lang w:val="en-GB"/>
                    </w:rPr>
                    <m:t>E</m:t>
                  </m:r>
                </m:e>
                <m:sub>
                  <m:r>
                    <w:rPr>
                      <w:rFonts w:ascii="Cambria Math" w:hAnsi="Cambria Math"/>
                      <w:szCs w:val="16"/>
                      <w:lang w:val="en-GB"/>
                    </w:rPr>
                    <m:t>βcar</m:t>
                  </m:r>
                </m:sub>
              </m:sSub>
            </m:e>
          </m:d>
        </m:oMath>
      </m:oMathPara>
    </w:p>
    <w:p w14:paraId="248A583D" w14:textId="77777777" w:rsidR="00095334" w:rsidRPr="00966B21" w:rsidRDefault="00095334" w:rsidP="00626C62">
      <w:pPr>
        <w:pStyle w:val="NormaleWeb"/>
        <w:spacing w:before="0" w:beforeAutospacing="0" w:after="0" w:afterAutospacing="0"/>
        <w:jc w:val="both"/>
        <w:rPr>
          <w:szCs w:val="16"/>
          <w:lang w:val="en-GB"/>
        </w:rPr>
      </w:pPr>
    </w:p>
    <w:p w14:paraId="6A67D33B" w14:textId="77777777" w:rsidR="00B73D88" w:rsidRPr="00966B21" w:rsidRDefault="00B73D88" w:rsidP="00626C62">
      <w:pPr>
        <w:pStyle w:val="NormaleWeb"/>
        <w:spacing w:before="0" w:beforeAutospacing="0" w:after="0" w:afterAutospacing="0"/>
        <w:jc w:val="both"/>
        <w:rPr>
          <w:szCs w:val="16"/>
          <w:lang w:val="en-GB"/>
        </w:rPr>
      </w:pPr>
      <w:r w:rsidRPr="00966B21">
        <w:rPr>
          <w:szCs w:val="16"/>
          <w:lang w:val="en-GB"/>
        </w:rPr>
        <w:t xml:space="preserve">where </w:t>
      </w:r>
      <w:r w:rsidRPr="00966B21">
        <w:rPr>
          <w:i/>
          <w:iCs/>
          <w:szCs w:val="16"/>
          <w:lang w:val="en-GB"/>
        </w:rPr>
        <w:t>E</w:t>
      </w:r>
      <w:r w:rsidRPr="00966B21">
        <w:rPr>
          <w:szCs w:val="16"/>
          <w:vertAlign w:val="subscript"/>
          <w:lang w:val="en-GB"/>
        </w:rPr>
        <w:t>TM-</w:t>
      </w:r>
      <w:r w:rsidR="00095334" w:rsidRPr="00966B21">
        <w:rPr>
          <w:szCs w:val="16"/>
          <w:vertAlign w:val="subscript"/>
          <w:lang w:val="en-GB"/>
        </w:rPr>
        <w:t>β</w:t>
      </w:r>
      <w:r w:rsidRPr="00966B21">
        <w:rPr>
          <w:szCs w:val="16"/>
          <w:vertAlign w:val="subscript"/>
          <w:lang w:val="en-GB"/>
        </w:rPr>
        <w:t>car</w:t>
      </w:r>
      <w:r w:rsidRPr="00966B21">
        <w:rPr>
          <w:szCs w:val="16"/>
          <w:lang w:val="en-GB"/>
        </w:rPr>
        <w:t xml:space="preserve">, </w:t>
      </w:r>
      <w:r w:rsidRPr="00966B21">
        <w:rPr>
          <w:i/>
          <w:iCs/>
          <w:szCs w:val="16"/>
          <w:lang w:val="en-GB"/>
        </w:rPr>
        <w:t>E</w:t>
      </w:r>
      <w:r w:rsidRPr="00966B21">
        <w:rPr>
          <w:szCs w:val="16"/>
          <w:vertAlign w:val="subscript"/>
          <w:lang w:val="en-GB"/>
        </w:rPr>
        <w:t>TM</w:t>
      </w:r>
      <w:r w:rsidRPr="00966B21">
        <w:rPr>
          <w:szCs w:val="16"/>
          <w:lang w:val="en-GB"/>
        </w:rPr>
        <w:t xml:space="preserve"> and </w:t>
      </w:r>
      <w:r w:rsidRPr="00966B21">
        <w:rPr>
          <w:i/>
          <w:iCs/>
          <w:szCs w:val="16"/>
          <w:lang w:val="en-GB"/>
        </w:rPr>
        <w:t>E</w:t>
      </w:r>
      <w:r w:rsidR="00095334" w:rsidRPr="00966B21">
        <w:rPr>
          <w:szCs w:val="16"/>
          <w:vertAlign w:val="subscript"/>
          <w:lang w:val="en-GB"/>
        </w:rPr>
        <w:t>β</w:t>
      </w:r>
      <w:r w:rsidRPr="00966B21">
        <w:rPr>
          <w:szCs w:val="16"/>
          <w:vertAlign w:val="subscript"/>
          <w:lang w:val="en-GB"/>
        </w:rPr>
        <w:t>car</w:t>
      </w:r>
      <w:r w:rsidRPr="00966B21">
        <w:rPr>
          <w:szCs w:val="16"/>
          <w:lang w:val="en-GB"/>
        </w:rPr>
        <w:t xml:space="preserve"> stand for the energy of the TM-car complex, TM, and the β-carotene molecule, respectively, in their optimized structures.</w:t>
      </w:r>
    </w:p>
    <w:p w14:paraId="2C1F6BAE" w14:textId="3795F5FA" w:rsidR="00B73D88" w:rsidRPr="00966B21" w:rsidRDefault="00B73D88" w:rsidP="00626C62">
      <w:pPr>
        <w:pStyle w:val="NormaleWeb"/>
        <w:spacing w:before="0" w:beforeAutospacing="0" w:after="0" w:afterAutospacing="0"/>
        <w:jc w:val="both"/>
        <w:rPr>
          <w:szCs w:val="16"/>
          <w:lang w:val="en-GB"/>
        </w:rPr>
      </w:pPr>
      <w:r w:rsidRPr="00966B21">
        <w:rPr>
          <w:szCs w:val="16"/>
          <w:lang w:val="en-GB"/>
        </w:rPr>
        <w:t xml:space="preserve">The stability of a complex is determined not only by its molecular interactions but also by the deformation of the individual components upon complex formation. To estimate the net interaction energy between TM and β-carotene </w:t>
      </w:r>
      <w:bookmarkStart w:id="6" w:name="_Hlk174298012"/>
      <w:r w:rsidRPr="00966B21">
        <w:rPr>
          <w:szCs w:val="16"/>
          <w:lang w:val="en-GB"/>
        </w:rPr>
        <w:t>(</w:t>
      </w:r>
      <w:r w:rsidR="00A615D3" w:rsidRPr="00966B21">
        <w:rPr>
          <w:szCs w:val="16"/>
          <w:lang w:val="en-GB"/>
        </w:rPr>
        <w:t>Δ</w:t>
      </w:r>
      <w:r w:rsidRPr="00966B21">
        <w:rPr>
          <w:i/>
          <w:iCs/>
          <w:szCs w:val="16"/>
          <w:lang w:val="en-GB"/>
        </w:rPr>
        <w:t>E</w:t>
      </w:r>
      <w:r w:rsidRPr="00966B21">
        <w:rPr>
          <w:szCs w:val="16"/>
          <w:vertAlign w:val="subscript"/>
          <w:lang w:val="en-GB"/>
        </w:rPr>
        <w:t>TM∩</w:t>
      </w:r>
      <w:r w:rsidR="00517C8F" w:rsidRPr="00966B21">
        <w:rPr>
          <w:szCs w:val="16"/>
          <w:vertAlign w:val="subscript"/>
          <w:lang w:val="en-GB"/>
        </w:rPr>
        <w:t>β</w:t>
      </w:r>
      <w:r w:rsidRPr="00966B21">
        <w:rPr>
          <w:szCs w:val="16"/>
          <w:vertAlign w:val="subscript"/>
          <w:lang w:val="en-GB"/>
        </w:rPr>
        <w:t>car</w:t>
      </w:r>
      <w:bookmarkEnd w:id="6"/>
      <w:r w:rsidRPr="00966B21">
        <w:rPr>
          <w:szCs w:val="16"/>
          <w:lang w:val="en-GB"/>
        </w:rPr>
        <w:t>), the binding energy was calculated using the following equation</w:t>
      </w:r>
      <w:r w:rsidR="00095334" w:rsidRPr="00966B21">
        <w:rPr>
          <w:szCs w:val="16"/>
          <w:lang w:val="en-GB"/>
        </w:rPr>
        <w:t xml:space="preserve"> </w:t>
      </w:r>
      <w:r w:rsidR="00095334" w:rsidRPr="00966B21">
        <w:rPr>
          <w:szCs w:val="16"/>
          <w:lang w:val="en-GB"/>
        </w:rPr>
        <w:fldChar w:fldCharType="begin" w:fldLock="1"/>
      </w:r>
      <w:r w:rsidR="00CD7D53" w:rsidRPr="00966B21">
        <w:rPr>
          <w:szCs w:val="16"/>
          <w:lang w:val="en-GB"/>
        </w:rPr>
        <w:instrText>ADDIN CSL_CITATION {"citationItems":[{"id":"ITEM-1","itemData":{"DOI":"10.1021/jp301498n","ISSN":"10895639","PMID":"22429188","abstract":"The role of cycloether-water (c-w) and water-water (w-w) hydrogen bonds (H-bonds) on the stability of the tetrahydrofuran THF/(H 2O) n and the tetrahydropyran THP/(H 2O) n complexes with n = 1-4 was investigated herein using the density functional and ab initio methods and the atoms in molecules theory. Geometry optimizations for these complexes were carried out with various possible initial guess structures. It was revealed that the major contributions of the mono and dihydrated complexes came from c-w H-bonds. A competition between c-w and w-w H-bonds contribution was observed for trihydrated complexes. For most of tetrahydrated complexes, the inter-water H-bonds provided the greatest contribution, whereas the c-w contributions were small but not negligible. It was confirmed that to produce a hydrophobic hydration of cycloethers, the C-H•••O w H-bond should be associated with a network of H-bonds that connects both portions of the solute, through the formation of a bifunctional H-bond. A linear correlation is obtained for the sum of electron density at the bond critical points (ρ b) with the interaction energy (ΔE) and with the solute-solvent interaction energy (ΔE s-w) of the microhydrated complexes. In addition, a new way to estimate the energetic contribution as well as the preferential formation of the different H-bonds based completely on ρ b was found. Even more, it allows to differentiate the contribution from c-w interactions in both hydrophilic and hydrophobic contributions, it is therefore a useful tool for studying the hydration of large biomolecules. The analysis of the modifications in the atomic and group properties brought about by successive addition of H 2O molecules allowed to pinpoint the atoms or molecular groups that undergo the greatest changes in electron population and energetic stabilization. It was identified that the remarkable stabilization of the water oxygen atoms is crucial for the stabilization of the complexes. © 2012 American Chemical Society.","author":[{"dropping-particle":"","family":"Vallejos","given":"Margarita M.","non-dropping-particle":"","parse-names":false,"suffix":""},{"dropping-particle":"","family":"Peruchena","given":"Nélida M.","non-dropping-particle":"","parse-names":false,"suffix":""}],"container-title":"Journal of Physical Chemistry A","id":"ITEM-1","issue":"16","issued":{"date-parts":[["2012"]]},"page":"4199-4210","title":"Preferential formation of the different hydrogen bonds and their effects in tetrahydrofuran and tetrahydropyran microhydrated complexes","type":"article-journal","volume":"116"},"uris":["http://www.mendeley.com/documents/?uuid=e9e7d8dd-ded9-4025-bb88-97e34cfabcae"]}],"mendeley":{"formattedCitation":"[49]","plainTextFormattedCitation":"[49]","previouslyFormattedCitation":"[48]"},"properties":{"noteIndex":0},"schema":"https://github.com/citation-style-language/schema/raw/master/csl-citation.json"}</w:instrText>
      </w:r>
      <w:r w:rsidR="00095334" w:rsidRPr="00966B21">
        <w:rPr>
          <w:szCs w:val="16"/>
          <w:lang w:val="en-GB"/>
        </w:rPr>
        <w:fldChar w:fldCharType="separate"/>
      </w:r>
      <w:r w:rsidR="00CD7D53" w:rsidRPr="00966B21">
        <w:rPr>
          <w:noProof/>
          <w:szCs w:val="16"/>
          <w:lang w:val="en-GB"/>
        </w:rPr>
        <w:t>[49]</w:t>
      </w:r>
      <w:r w:rsidR="00095334" w:rsidRPr="00966B21">
        <w:rPr>
          <w:szCs w:val="16"/>
          <w:lang w:val="en-GB"/>
        </w:rPr>
        <w:fldChar w:fldCharType="end"/>
      </w:r>
      <w:r w:rsidRPr="00966B21">
        <w:rPr>
          <w:szCs w:val="16"/>
          <w:lang w:val="en-GB"/>
        </w:rPr>
        <w:t>:</w:t>
      </w:r>
    </w:p>
    <w:p w14:paraId="4C72C59B" w14:textId="77777777" w:rsidR="00095334" w:rsidRPr="00966B21" w:rsidRDefault="00095334" w:rsidP="00626C62">
      <w:pPr>
        <w:pStyle w:val="NormaleWeb"/>
        <w:spacing w:before="0" w:beforeAutospacing="0" w:after="0" w:afterAutospacing="0"/>
        <w:jc w:val="both"/>
        <w:rPr>
          <w:szCs w:val="16"/>
          <w:lang w:val="en-GB"/>
        </w:rPr>
      </w:pPr>
    </w:p>
    <w:p w14:paraId="6A13AB84" w14:textId="77777777" w:rsidR="00B73D88" w:rsidRPr="00966B21" w:rsidRDefault="00000000" w:rsidP="00B73D88">
      <w:pPr>
        <w:pStyle w:val="NormaleWeb"/>
        <w:spacing w:before="0" w:beforeAutospacing="0" w:after="0" w:afterAutospacing="0"/>
        <w:rPr>
          <w:szCs w:val="16"/>
          <w:lang w:val="en-GB"/>
        </w:rPr>
      </w:pPr>
      <m:oMathPara>
        <m:oMath>
          <m:sSub>
            <m:sSubPr>
              <m:ctrlPr>
                <w:rPr>
                  <w:rFonts w:ascii="Cambria Math" w:hAnsi="Cambria Math"/>
                  <w:i/>
                  <w:szCs w:val="16"/>
                  <w:lang w:val="en-GB"/>
                </w:rPr>
              </m:ctrlPr>
            </m:sSubPr>
            <m:e>
              <m:r>
                <m:rPr>
                  <m:sty m:val="p"/>
                </m:rPr>
                <w:rPr>
                  <w:rFonts w:ascii="Cambria Math" w:hAnsi="Cambria Math"/>
                  <w:szCs w:val="16"/>
                  <w:lang w:val="en-GB"/>
                </w:rPr>
                <m:t>Δ</m:t>
              </m:r>
              <m:r>
                <w:rPr>
                  <w:rFonts w:ascii="Cambria Math" w:hAnsi="Cambria Math"/>
                  <w:szCs w:val="16"/>
                  <w:lang w:val="en-GB"/>
                </w:rPr>
                <m:t>E</m:t>
              </m:r>
            </m:e>
            <m:sub>
              <m:r>
                <w:rPr>
                  <w:rFonts w:ascii="Cambria Math" w:hAnsi="Cambria Math"/>
                  <w:szCs w:val="16"/>
                  <w:lang w:val="en-GB"/>
                </w:rPr>
                <m:t>TM∩βcar</m:t>
              </m:r>
            </m:sub>
          </m:sSub>
          <m:r>
            <w:rPr>
              <w:rFonts w:ascii="Cambria Math" w:hAnsi="Cambria Math"/>
              <w:szCs w:val="16"/>
              <w:lang w:val="en-GB"/>
            </w:rPr>
            <m:t>=</m:t>
          </m:r>
          <m:sSub>
            <m:sSubPr>
              <m:ctrlPr>
                <w:rPr>
                  <w:rFonts w:ascii="Cambria Math" w:hAnsi="Cambria Math"/>
                  <w:i/>
                  <w:szCs w:val="16"/>
                  <w:lang w:val="en-GB"/>
                </w:rPr>
              </m:ctrlPr>
            </m:sSubPr>
            <m:e>
              <m:r>
                <w:rPr>
                  <w:rFonts w:ascii="Cambria Math" w:hAnsi="Cambria Math"/>
                  <w:szCs w:val="16"/>
                  <w:lang w:val="en-GB"/>
                </w:rPr>
                <m:t>E</m:t>
              </m:r>
            </m:e>
            <m:sub>
              <m:r>
                <w:rPr>
                  <w:rFonts w:ascii="Cambria Math" w:hAnsi="Cambria Math"/>
                  <w:szCs w:val="16"/>
                  <w:lang w:val="en-GB"/>
                </w:rPr>
                <m:t>TM-βcar</m:t>
              </m:r>
            </m:sub>
          </m:sSub>
          <m:r>
            <w:rPr>
              <w:rFonts w:ascii="Cambria Math" w:hAnsi="Cambria Math"/>
              <w:szCs w:val="16"/>
              <w:lang w:val="en-GB"/>
            </w:rPr>
            <m:t>-</m:t>
          </m:r>
          <m:d>
            <m:dPr>
              <m:ctrlPr>
                <w:rPr>
                  <w:rFonts w:ascii="Cambria Math" w:hAnsi="Cambria Math"/>
                  <w:i/>
                  <w:szCs w:val="16"/>
                  <w:lang w:val="en-GB"/>
                </w:rPr>
              </m:ctrlPr>
            </m:dPr>
            <m:e>
              <m:sSubSup>
                <m:sSubSupPr>
                  <m:ctrlPr>
                    <w:rPr>
                      <w:rFonts w:ascii="Cambria Math" w:hAnsi="Cambria Math"/>
                      <w:i/>
                      <w:szCs w:val="16"/>
                      <w:lang w:val="en-GB"/>
                    </w:rPr>
                  </m:ctrlPr>
                </m:sSubSupPr>
                <m:e>
                  <m:r>
                    <w:rPr>
                      <w:rFonts w:ascii="Cambria Math" w:hAnsi="Cambria Math"/>
                      <w:szCs w:val="16"/>
                      <w:lang w:val="en-GB"/>
                    </w:rPr>
                    <m:t>E</m:t>
                  </m:r>
                </m:e>
                <m:sub>
                  <m:r>
                    <w:rPr>
                      <w:rFonts w:ascii="Cambria Math" w:hAnsi="Cambria Math"/>
                      <w:szCs w:val="16"/>
                      <w:lang w:val="en-GB"/>
                    </w:rPr>
                    <m:t>TM</m:t>
                  </m:r>
                </m:sub>
                <m:sup>
                  <m:r>
                    <w:rPr>
                      <w:rFonts w:ascii="Cambria Math" w:hAnsi="Cambria Math"/>
                      <w:szCs w:val="16"/>
                      <w:lang w:val="en-GB"/>
                    </w:rPr>
                    <m:t>c</m:t>
                  </m:r>
                </m:sup>
              </m:sSubSup>
              <m:r>
                <w:rPr>
                  <w:rFonts w:ascii="Cambria Math" w:hAnsi="Cambria Math"/>
                  <w:szCs w:val="16"/>
                  <w:lang w:val="en-GB"/>
                </w:rPr>
                <m:t>+</m:t>
              </m:r>
              <m:sSubSup>
                <m:sSubSupPr>
                  <m:ctrlPr>
                    <w:rPr>
                      <w:rFonts w:ascii="Cambria Math" w:hAnsi="Cambria Math"/>
                      <w:i/>
                      <w:szCs w:val="16"/>
                      <w:lang w:val="en-GB"/>
                    </w:rPr>
                  </m:ctrlPr>
                </m:sSubSupPr>
                <m:e>
                  <m:r>
                    <w:rPr>
                      <w:rFonts w:ascii="Cambria Math" w:hAnsi="Cambria Math"/>
                      <w:szCs w:val="16"/>
                      <w:lang w:val="en-GB"/>
                    </w:rPr>
                    <m:t>E</m:t>
                  </m:r>
                </m:e>
                <m:sub>
                  <m:r>
                    <w:rPr>
                      <w:rFonts w:ascii="Cambria Math" w:hAnsi="Cambria Math"/>
                      <w:szCs w:val="16"/>
                      <w:lang w:val="en-GB"/>
                    </w:rPr>
                    <m:t>βcar</m:t>
                  </m:r>
                </m:sub>
                <m:sup>
                  <m:r>
                    <w:rPr>
                      <w:rFonts w:ascii="Cambria Math" w:hAnsi="Cambria Math"/>
                      <w:szCs w:val="16"/>
                      <w:lang w:val="en-GB"/>
                    </w:rPr>
                    <m:t>c</m:t>
                  </m:r>
                </m:sup>
              </m:sSubSup>
            </m:e>
          </m:d>
        </m:oMath>
      </m:oMathPara>
    </w:p>
    <w:p w14:paraId="0FA7C97D" w14:textId="77777777" w:rsidR="00095334" w:rsidRPr="00966B21" w:rsidRDefault="00095334" w:rsidP="00B73D88">
      <w:pPr>
        <w:pStyle w:val="NormaleWeb"/>
        <w:spacing w:before="0" w:beforeAutospacing="0" w:after="0" w:afterAutospacing="0"/>
        <w:rPr>
          <w:szCs w:val="16"/>
          <w:lang w:val="en-GB"/>
        </w:rPr>
      </w:pPr>
    </w:p>
    <w:p w14:paraId="32E96E6B" w14:textId="51CA7F85" w:rsidR="00B73D88" w:rsidRPr="00966B21" w:rsidRDefault="00B73D88" w:rsidP="00626C62">
      <w:pPr>
        <w:pStyle w:val="NormaleWeb"/>
        <w:spacing w:before="0" w:beforeAutospacing="0" w:after="0" w:afterAutospacing="0"/>
        <w:jc w:val="both"/>
        <w:rPr>
          <w:szCs w:val="16"/>
          <w:lang w:val="en-GB"/>
        </w:rPr>
      </w:pPr>
      <w:r w:rsidRPr="00966B21">
        <w:rPr>
          <w:szCs w:val="16"/>
          <w:lang w:val="en-GB"/>
        </w:rPr>
        <w:lastRenderedPageBreak/>
        <w:t xml:space="preserve">where </w:t>
      </w:r>
      <m:oMath>
        <m:sSubSup>
          <m:sSubSupPr>
            <m:ctrlPr>
              <w:rPr>
                <w:rFonts w:ascii="Cambria Math" w:hAnsi="Cambria Math"/>
                <w:i/>
                <w:szCs w:val="16"/>
                <w:lang w:val="en-GB"/>
              </w:rPr>
            </m:ctrlPr>
          </m:sSubSupPr>
          <m:e>
            <m:r>
              <w:rPr>
                <w:rFonts w:ascii="Cambria Math" w:hAnsi="Cambria Math"/>
                <w:szCs w:val="16"/>
                <w:lang w:val="en-GB"/>
              </w:rPr>
              <m:t>E</m:t>
            </m:r>
          </m:e>
          <m:sub>
            <m:r>
              <w:rPr>
                <w:rFonts w:ascii="Cambria Math" w:hAnsi="Cambria Math"/>
                <w:szCs w:val="16"/>
                <w:lang w:val="en-GB"/>
              </w:rPr>
              <m:t>TM</m:t>
            </m:r>
          </m:sub>
          <m:sup>
            <m:r>
              <w:rPr>
                <w:rFonts w:ascii="Cambria Math" w:hAnsi="Cambria Math"/>
                <w:szCs w:val="16"/>
                <w:lang w:val="en-GB"/>
              </w:rPr>
              <m:t>c</m:t>
            </m:r>
          </m:sup>
        </m:sSubSup>
      </m:oMath>
      <w:r w:rsidRPr="00966B21">
        <w:rPr>
          <w:szCs w:val="16"/>
          <w:lang w:val="en-GB"/>
        </w:rPr>
        <w:t xml:space="preserve">, </w:t>
      </w:r>
      <m:oMath>
        <m:sSubSup>
          <m:sSubSupPr>
            <m:ctrlPr>
              <w:rPr>
                <w:rFonts w:ascii="Cambria Math" w:hAnsi="Cambria Math"/>
                <w:i/>
                <w:szCs w:val="16"/>
                <w:lang w:val="en-GB"/>
              </w:rPr>
            </m:ctrlPr>
          </m:sSubSupPr>
          <m:e>
            <m:r>
              <w:rPr>
                <w:rFonts w:ascii="Cambria Math" w:hAnsi="Cambria Math"/>
                <w:szCs w:val="16"/>
                <w:lang w:val="en-GB"/>
              </w:rPr>
              <m:t>E</m:t>
            </m:r>
          </m:e>
          <m:sub>
            <m:r>
              <w:rPr>
                <w:rFonts w:ascii="Cambria Math" w:hAnsi="Cambria Math"/>
                <w:szCs w:val="16"/>
                <w:lang w:val="en-GB"/>
              </w:rPr>
              <m:t>βcar</m:t>
            </m:r>
          </m:sub>
          <m:sup>
            <m:r>
              <w:rPr>
                <w:rFonts w:ascii="Cambria Math" w:hAnsi="Cambria Math"/>
                <w:szCs w:val="16"/>
                <w:lang w:val="en-GB"/>
              </w:rPr>
              <m:t>c</m:t>
            </m:r>
          </m:sup>
        </m:sSubSup>
      </m:oMath>
      <w:r w:rsidRPr="00966B21">
        <w:rPr>
          <w:szCs w:val="16"/>
          <w:lang w:val="en-GB"/>
        </w:rPr>
        <w:t xml:space="preserve">, represent the energies of TM and the β-carotene, respectively, both calculated in the geometry of the complex. The </w:t>
      </w:r>
      <w:r w:rsidR="00A615D3" w:rsidRPr="00966B21">
        <w:rPr>
          <w:szCs w:val="16"/>
          <w:lang w:val="en-GB"/>
        </w:rPr>
        <w:t>Δ</w:t>
      </w:r>
      <w:r w:rsidRPr="00966B21">
        <w:rPr>
          <w:i/>
          <w:iCs/>
          <w:szCs w:val="16"/>
          <w:lang w:val="en-GB"/>
        </w:rPr>
        <w:t>E</w:t>
      </w:r>
      <w:r w:rsidRPr="00966B21">
        <w:rPr>
          <w:szCs w:val="16"/>
          <w:vertAlign w:val="subscript"/>
          <w:lang w:val="en-GB"/>
        </w:rPr>
        <w:t>TM-</w:t>
      </w:r>
      <w:r w:rsidR="00A615D3" w:rsidRPr="00966B21">
        <w:rPr>
          <w:szCs w:val="16"/>
          <w:vertAlign w:val="subscript"/>
          <w:lang w:val="en-GB"/>
        </w:rPr>
        <w:t>β</w:t>
      </w:r>
      <w:r w:rsidRPr="00966B21">
        <w:rPr>
          <w:szCs w:val="16"/>
          <w:vertAlign w:val="subscript"/>
          <w:lang w:val="en-GB"/>
        </w:rPr>
        <w:t>car</w:t>
      </w:r>
      <w:r w:rsidRPr="00966B21">
        <w:rPr>
          <w:szCs w:val="16"/>
          <w:lang w:val="en-GB"/>
        </w:rPr>
        <w:t xml:space="preserve"> and </w:t>
      </w:r>
      <w:r w:rsidR="00A615D3" w:rsidRPr="00966B21">
        <w:rPr>
          <w:szCs w:val="16"/>
          <w:lang w:val="en-GB"/>
        </w:rPr>
        <w:t>Δ</w:t>
      </w:r>
      <w:r w:rsidRPr="00966B21">
        <w:rPr>
          <w:i/>
          <w:iCs/>
          <w:szCs w:val="16"/>
          <w:lang w:val="en-GB"/>
        </w:rPr>
        <w:t>E</w:t>
      </w:r>
      <w:r w:rsidRPr="00966B21">
        <w:rPr>
          <w:szCs w:val="16"/>
          <w:vertAlign w:val="subscript"/>
          <w:lang w:val="en-GB"/>
        </w:rPr>
        <w:t>TM∩</w:t>
      </w:r>
      <w:r w:rsidR="00A615D3" w:rsidRPr="00966B21">
        <w:rPr>
          <w:szCs w:val="16"/>
          <w:vertAlign w:val="subscript"/>
          <w:lang w:val="en-GB"/>
        </w:rPr>
        <w:t>β</w:t>
      </w:r>
      <w:r w:rsidRPr="00966B21">
        <w:rPr>
          <w:szCs w:val="16"/>
          <w:vertAlign w:val="subscript"/>
          <w:lang w:val="en-GB"/>
        </w:rPr>
        <w:t>car</w:t>
      </w:r>
      <w:r w:rsidRPr="00966B21">
        <w:rPr>
          <w:szCs w:val="16"/>
          <w:lang w:val="en-GB"/>
        </w:rPr>
        <w:t xml:space="preserve"> for the complexes are shown in the </w:t>
      </w:r>
      <w:r w:rsidR="00BE460E" w:rsidRPr="00966B21">
        <w:rPr>
          <w:szCs w:val="16"/>
          <w:lang w:val="en-GB"/>
        </w:rPr>
        <w:t>Supplementary Material</w:t>
      </w:r>
      <w:r w:rsidRPr="00966B21">
        <w:rPr>
          <w:szCs w:val="16"/>
          <w:lang w:val="en-GB"/>
        </w:rPr>
        <w:t xml:space="preserve">. </w:t>
      </w:r>
    </w:p>
    <w:p w14:paraId="403DC694" w14:textId="73536F7E" w:rsidR="00B73D88" w:rsidRPr="00966B21" w:rsidRDefault="00B73D88" w:rsidP="00626C62">
      <w:pPr>
        <w:pStyle w:val="NormaleWeb"/>
        <w:spacing w:before="0" w:beforeAutospacing="0" w:after="0" w:afterAutospacing="0"/>
        <w:jc w:val="both"/>
        <w:rPr>
          <w:szCs w:val="16"/>
          <w:lang w:val="en-GB"/>
        </w:rPr>
      </w:pPr>
      <w:r w:rsidRPr="00966B21">
        <w:rPr>
          <w:szCs w:val="16"/>
          <w:lang w:val="en-GB"/>
        </w:rPr>
        <w:t xml:space="preserve">In most of these complexes (TM-βcar-a-e), the hydroxyl groups, which represent the polar region of TM, interact with the β-carotene molecule with </w:t>
      </w:r>
      <w:r w:rsidR="00A615D3" w:rsidRPr="00966B21">
        <w:rPr>
          <w:szCs w:val="16"/>
          <w:lang w:val="en-GB"/>
        </w:rPr>
        <w:t>Δ</w:t>
      </w:r>
      <w:r w:rsidRPr="00966B21">
        <w:rPr>
          <w:i/>
          <w:iCs/>
          <w:szCs w:val="16"/>
          <w:lang w:val="en-GB"/>
        </w:rPr>
        <w:t>E</w:t>
      </w:r>
      <w:r w:rsidRPr="00966B21">
        <w:rPr>
          <w:szCs w:val="16"/>
          <w:vertAlign w:val="subscript"/>
          <w:lang w:val="en-GB"/>
        </w:rPr>
        <w:t>TM-</w:t>
      </w:r>
      <w:r w:rsidR="00A615D3" w:rsidRPr="00966B21">
        <w:rPr>
          <w:szCs w:val="16"/>
          <w:vertAlign w:val="subscript"/>
          <w:lang w:val="en-GB"/>
        </w:rPr>
        <w:t>β</w:t>
      </w:r>
      <w:r w:rsidRPr="00966B21">
        <w:rPr>
          <w:szCs w:val="16"/>
          <w:vertAlign w:val="subscript"/>
          <w:lang w:val="en-GB"/>
        </w:rPr>
        <w:t>car</w:t>
      </w:r>
      <w:r w:rsidRPr="00966B21">
        <w:rPr>
          <w:szCs w:val="16"/>
          <w:lang w:val="en-GB"/>
        </w:rPr>
        <w:t xml:space="preserve"> values ranging from −7.2 to −5.0 kcal/mol. However, in the TM-</w:t>
      </w:r>
      <w:r w:rsidR="00517C8F" w:rsidRPr="00966B21">
        <w:rPr>
          <w:szCs w:val="16"/>
          <w:lang w:val="en-GB"/>
        </w:rPr>
        <w:t>β</w:t>
      </w:r>
      <w:r w:rsidRPr="00966B21">
        <w:rPr>
          <w:szCs w:val="16"/>
          <w:lang w:val="en-GB"/>
        </w:rPr>
        <w:t xml:space="preserve">car-f complex, the polar portion of TM does not interact with β-carotene, resulting in lower stability, as indicated by a </w:t>
      </w:r>
      <w:r w:rsidR="00A615D3" w:rsidRPr="00966B21">
        <w:rPr>
          <w:szCs w:val="16"/>
          <w:lang w:val="en-GB"/>
        </w:rPr>
        <w:t>Δ</w:t>
      </w:r>
      <w:r w:rsidRPr="00966B21">
        <w:rPr>
          <w:i/>
          <w:iCs/>
          <w:szCs w:val="16"/>
          <w:lang w:val="en-GB"/>
        </w:rPr>
        <w:t>E</w:t>
      </w:r>
      <w:r w:rsidRPr="00966B21">
        <w:rPr>
          <w:szCs w:val="16"/>
          <w:vertAlign w:val="subscript"/>
          <w:lang w:val="en-GB"/>
        </w:rPr>
        <w:t>TM-</w:t>
      </w:r>
      <w:r w:rsidR="00517C8F" w:rsidRPr="00966B21">
        <w:rPr>
          <w:szCs w:val="16"/>
          <w:vertAlign w:val="subscript"/>
          <w:lang w:val="en-GB"/>
        </w:rPr>
        <w:t>β</w:t>
      </w:r>
      <w:r w:rsidRPr="00966B21">
        <w:rPr>
          <w:szCs w:val="16"/>
          <w:vertAlign w:val="subscript"/>
          <w:lang w:val="en-GB"/>
        </w:rPr>
        <w:t>car</w:t>
      </w:r>
      <w:r w:rsidRPr="00966B21">
        <w:rPr>
          <w:szCs w:val="16"/>
          <w:lang w:val="en-GB"/>
        </w:rPr>
        <w:t xml:space="preserve"> of -0.9 kcal/mol. </w:t>
      </w:r>
      <w:bookmarkStart w:id="7" w:name="_Hlk188870275"/>
      <w:r w:rsidRPr="00966B21">
        <w:rPr>
          <w:szCs w:val="16"/>
          <w:lang w:val="en-GB"/>
        </w:rPr>
        <w:t xml:space="preserve">These findings indicate that the interactions of polar region TM with β-carotene </w:t>
      </w:r>
      <w:r w:rsidR="00BD7070" w:rsidRPr="00966B21">
        <w:rPr>
          <w:szCs w:val="16"/>
          <w:lang w:val="en-GB"/>
        </w:rPr>
        <w:t>are</w:t>
      </w:r>
      <w:r w:rsidRPr="00966B21">
        <w:rPr>
          <w:szCs w:val="16"/>
          <w:lang w:val="en-GB"/>
        </w:rPr>
        <w:t xml:space="preserve"> key to the enhanced stabilization of the complex</w:t>
      </w:r>
      <w:bookmarkEnd w:id="7"/>
      <w:r w:rsidR="00517C8F" w:rsidRPr="00966B21">
        <w:rPr>
          <w:szCs w:val="16"/>
          <w:lang w:val="en-GB"/>
        </w:rPr>
        <w:t>.</w:t>
      </w:r>
    </w:p>
    <w:p w14:paraId="1CF7EF17" w14:textId="4F6A1CF7" w:rsidR="00B73D88" w:rsidRPr="00966B21" w:rsidRDefault="00B73D88" w:rsidP="00626C62">
      <w:pPr>
        <w:pStyle w:val="NormaleWeb"/>
        <w:spacing w:before="0" w:beforeAutospacing="0" w:after="0" w:afterAutospacing="0"/>
        <w:jc w:val="both"/>
        <w:rPr>
          <w:szCs w:val="16"/>
          <w:lang w:val="en-GB"/>
        </w:rPr>
      </w:pPr>
      <w:r w:rsidRPr="00966B21">
        <w:rPr>
          <w:szCs w:val="16"/>
          <w:lang w:val="en-GB"/>
        </w:rPr>
        <w:t>The binding energy did not show a significant difference from the interaction energy, suggesting that complexation does not lead to substantial geometric changes in either the TM or the target molecule. The results also suggest that multiple TM complex</w:t>
      </w:r>
      <w:r w:rsidR="0010289F" w:rsidRPr="00966B21">
        <w:rPr>
          <w:szCs w:val="16"/>
          <w:lang w:val="en-GB"/>
        </w:rPr>
        <w:t>es</w:t>
      </w:r>
      <w:r w:rsidRPr="00966B21">
        <w:rPr>
          <w:szCs w:val="16"/>
          <w:lang w:val="en-GB"/>
        </w:rPr>
        <w:t xml:space="preserve"> may interact with β-carotene during the extraction process. However, performing such calculations is computationally intensive and beyond the scope of this study.</w:t>
      </w:r>
    </w:p>
    <w:p w14:paraId="6E9BF83B" w14:textId="2C8FB06F" w:rsidR="00B73D88" w:rsidRPr="00966B21" w:rsidRDefault="00B73D88" w:rsidP="00626C62">
      <w:pPr>
        <w:pStyle w:val="NormaleWeb"/>
        <w:spacing w:before="0" w:beforeAutospacing="0" w:after="0" w:afterAutospacing="0"/>
        <w:jc w:val="both"/>
        <w:rPr>
          <w:szCs w:val="16"/>
          <w:lang w:val="en-GB"/>
        </w:rPr>
      </w:pPr>
      <w:r w:rsidRPr="00966B21">
        <w:rPr>
          <w:szCs w:val="16"/>
          <w:lang w:val="en-GB"/>
        </w:rPr>
        <w:t xml:space="preserve">The lowest energy structure was selected for further analysis. In Figure </w:t>
      </w:r>
      <w:r w:rsidR="005574A5" w:rsidRPr="00966B21">
        <w:rPr>
          <w:szCs w:val="16"/>
          <w:lang w:val="en-GB"/>
        </w:rPr>
        <w:t>4</w:t>
      </w:r>
      <w:r w:rsidRPr="00966B21">
        <w:rPr>
          <w:szCs w:val="16"/>
          <w:lang w:val="en-GB"/>
        </w:rPr>
        <w:t>, the molecular graph of T</w:t>
      </w:r>
      <w:r w:rsidR="0010289F" w:rsidRPr="00966B21">
        <w:rPr>
          <w:szCs w:val="16"/>
          <w:lang w:val="en-GB"/>
        </w:rPr>
        <w:t>M</w:t>
      </w:r>
      <w:r w:rsidRPr="00966B21">
        <w:rPr>
          <w:szCs w:val="16"/>
          <w:lang w:val="en-GB"/>
        </w:rPr>
        <w:t>-</w:t>
      </w:r>
      <w:r w:rsidR="00517C8F" w:rsidRPr="00966B21">
        <w:rPr>
          <w:szCs w:val="16"/>
          <w:lang w:val="en-GB"/>
        </w:rPr>
        <w:t>β</w:t>
      </w:r>
      <w:r w:rsidRPr="00966B21">
        <w:rPr>
          <w:szCs w:val="16"/>
          <w:lang w:val="en-GB"/>
        </w:rPr>
        <w:t xml:space="preserve">car-a complex is shown along with the contour plot of </w:t>
      </w:r>
      <w:r w:rsidR="00517C8F" w:rsidRPr="00966B21">
        <w:rPr>
          <w:color w:val="000000" w:themeColor="text1"/>
          <w:szCs w:val="16"/>
          <w:lang w:val="en-GB"/>
        </w:rPr>
        <w:t>-</w:t>
      </w:r>
      <w:r w:rsidR="00517C8F" w:rsidRPr="00966B21">
        <w:rPr>
          <w:rFonts w:ascii="Symbol" w:hAnsi="Symbol"/>
          <w:color w:val="000000" w:themeColor="text1"/>
          <w:szCs w:val="16"/>
          <w:lang w:val="en-GB"/>
        </w:rPr>
        <w:t></w:t>
      </w:r>
      <w:r w:rsidR="00517C8F" w:rsidRPr="00966B21">
        <w:rPr>
          <w:color w:val="000000" w:themeColor="text1"/>
          <w:szCs w:val="16"/>
          <w:vertAlign w:val="superscript"/>
          <w:lang w:val="en-GB"/>
        </w:rPr>
        <w:t>2</w:t>
      </w:r>
      <w:r w:rsidR="00517C8F" w:rsidRPr="00966B21">
        <w:rPr>
          <w:rFonts w:ascii="Symbol" w:hAnsi="Symbol"/>
          <w:i/>
          <w:iCs/>
          <w:color w:val="000000" w:themeColor="text1"/>
          <w:szCs w:val="16"/>
          <w:lang w:val="en-GB"/>
        </w:rPr>
        <w:t></w:t>
      </w:r>
      <w:r w:rsidRPr="00966B21">
        <w:rPr>
          <w:color w:val="000000" w:themeColor="text1"/>
          <w:szCs w:val="16"/>
          <w:lang w:val="en-GB"/>
        </w:rPr>
        <w:t>,</w:t>
      </w:r>
      <w:r w:rsidRPr="00966B21">
        <w:rPr>
          <w:szCs w:val="16"/>
          <w:lang w:val="en-GB"/>
        </w:rPr>
        <w:t xml:space="preserve"> focusing on the plane containing the atoms involved in the selected interactions. Additionally, the NCI surface of the T</w:t>
      </w:r>
      <w:r w:rsidR="0010289F" w:rsidRPr="00966B21">
        <w:rPr>
          <w:szCs w:val="16"/>
          <w:lang w:val="en-GB"/>
        </w:rPr>
        <w:t>M</w:t>
      </w:r>
      <w:r w:rsidRPr="00966B21">
        <w:rPr>
          <w:szCs w:val="16"/>
          <w:lang w:val="en-GB"/>
        </w:rPr>
        <w:t>-</w:t>
      </w:r>
      <w:r w:rsidRPr="00966B21">
        <w:rPr>
          <w:szCs w:val="16"/>
          <w:lang w:val="en-GB"/>
        </w:rPr>
        <w:sym w:font="Symbol" w:char="F062"/>
      </w:r>
      <w:r w:rsidRPr="00966B21">
        <w:rPr>
          <w:szCs w:val="16"/>
          <w:lang w:val="en-GB"/>
        </w:rPr>
        <w:t xml:space="preserve">car-a complex, is displayed, offering qualitative insights into the nature and spatial distribution of non-covalent interactions between the molecules. The topological properties at bcps corresponding to the intermolecular are provided in </w:t>
      </w:r>
      <w:r w:rsidR="003D5567" w:rsidRPr="00966B21">
        <w:rPr>
          <w:szCs w:val="16"/>
          <w:lang w:val="en-GB"/>
        </w:rPr>
        <w:t>Table</w:t>
      </w:r>
      <w:r w:rsidR="0010289F" w:rsidRPr="00966B21">
        <w:rPr>
          <w:szCs w:val="16"/>
          <w:lang w:val="en-GB"/>
        </w:rPr>
        <w:t xml:space="preserve"> </w:t>
      </w:r>
      <w:r w:rsidR="003D5567" w:rsidRPr="00966B21">
        <w:rPr>
          <w:szCs w:val="16"/>
          <w:lang w:val="en-GB"/>
        </w:rPr>
        <w:t xml:space="preserve">S2 in </w:t>
      </w:r>
      <w:r w:rsidR="005E3ADD" w:rsidRPr="00966B21">
        <w:rPr>
          <w:szCs w:val="16"/>
          <w:lang w:val="en-GB"/>
        </w:rPr>
        <w:t>Supplementary Material</w:t>
      </w:r>
      <w:r w:rsidRPr="00966B21">
        <w:rPr>
          <w:szCs w:val="16"/>
          <w:lang w:val="en-GB"/>
        </w:rPr>
        <w:t>.</w:t>
      </w:r>
    </w:p>
    <w:p w14:paraId="6DCC62C0" w14:textId="2511996E" w:rsidR="00B73D88" w:rsidRPr="00966B21" w:rsidRDefault="00B73D88" w:rsidP="00E26892">
      <w:pPr>
        <w:pStyle w:val="NormaleWeb"/>
        <w:spacing w:before="0" w:beforeAutospacing="0" w:after="0" w:afterAutospacing="0"/>
        <w:jc w:val="both"/>
        <w:rPr>
          <w:szCs w:val="16"/>
          <w:lang w:val="en-GB"/>
        </w:rPr>
      </w:pPr>
      <w:r w:rsidRPr="00966B21">
        <w:rPr>
          <w:szCs w:val="16"/>
          <w:lang w:val="en-GB"/>
        </w:rPr>
        <w:t>Several types of intermolecular interactions were found in the TM-βcar-a complexes. Three bcps (1-3) associated with the C-H</w:t>
      </w:r>
      <w:r w:rsidR="00E26892" w:rsidRPr="00966B21">
        <w:rPr>
          <w:szCs w:val="16"/>
          <w:vertAlign w:val="subscript"/>
          <w:lang w:val="en-GB"/>
        </w:rPr>
        <w:t>β</w:t>
      </w:r>
      <w:r w:rsidRPr="00966B21">
        <w:rPr>
          <w:szCs w:val="16"/>
          <w:vertAlign w:val="subscript"/>
          <w:lang w:val="en-GB"/>
        </w:rPr>
        <w:t>car</w:t>
      </w:r>
      <w:r w:rsidRPr="00966B21">
        <w:rPr>
          <w:szCs w:val="16"/>
          <w:lang w:val="en-GB"/>
        </w:rPr>
        <w:t>···O</w:t>
      </w:r>
      <w:r w:rsidRPr="00966B21">
        <w:rPr>
          <w:szCs w:val="16"/>
          <w:vertAlign w:val="subscript"/>
          <w:lang w:val="en-GB"/>
        </w:rPr>
        <w:t>TM</w:t>
      </w:r>
      <w:r w:rsidRPr="00966B21">
        <w:rPr>
          <w:szCs w:val="16"/>
          <w:lang w:val="en-GB"/>
        </w:rPr>
        <w:t xml:space="preserve"> H-bond interactions were identified, all involving the same proton acceptor (the oxygen atom of TM) and displaying similar topological characteristics. Additionally, bcps 4, 5, and 7-9 were associated with H···π interactions. Among these, the O-H</w:t>
      </w:r>
      <w:r w:rsidRPr="00966B21">
        <w:rPr>
          <w:szCs w:val="16"/>
          <w:vertAlign w:val="subscript"/>
          <w:lang w:val="en-GB"/>
        </w:rPr>
        <w:t>TM</w:t>
      </w:r>
      <w:r w:rsidRPr="00966B21">
        <w:rPr>
          <w:szCs w:val="16"/>
          <w:lang w:val="en-GB"/>
        </w:rPr>
        <w:t>···C</w:t>
      </w:r>
      <w:r w:rsidR="00E26892" w:rsidRPr="00966B21">
        <w:rPr>
          <w:rFonts w:ascii="Symbol" w:hAnsi="Symbol"/>
          <w:color w:val="000000" w:themeColor="text1"/>
          <w:vertAlign w:val="subscript"/>
          <w:lang w:val="en-GB"/>
        </w:rPr>
        <w:t></w:t>
      </w:r>
      <w:r w:rsidR="00E26892" w:rsidRPr="00966B21">
        <w:rPr>
          <w:rFonts w:ascii="Symbol" w:hAnsi="Symbol"/>
          <w:color w:val="000000" w:themeColor="text1"/>
          <w:vertAlign w:val="subscript"/>
          <w:lang w:val="en-GB"/>
        </w:rPr>
        <w:t></w:t>
      </w:r>
      <w:r w:rsidRPr="00966B21">
        <w:rPr>
          <w:szCs w:val="16"/>
          <w:vertAlign w:val="subscript"/>
          <w:lang w:val="en-GB"/>
        </w:rPr>
        <w:t>car</w:t>
      </w:r>
      <w:r w:rsidRPr="00966B21">
        <w:rPr>
          <w:szCs w:val="16"/>
          <w:lang w:val="en-GB"/>
        </w:rPr>
        <w:t xml:space="preserve"> interaction at the bcp 7 shows a higher </w:t>
      </w:r>
      <w:r w:rsidR="00E26892" w:rsidRPr="00966B21">
        <w:rPr>
          <w:rFonts w:ascii="Symbol" w:hAnsi="Symbol"/>
          <w:i/>
          <w:iCs/>
          <w:color w:val="000000" w:themeColor="text1"/>
          <w:szCs w:val="16"/>
          <w:lang w:val="en-GB"/>
        </w:rPr>
        <w:t></w:t>
      </w:r>
      <w:r w:rsidRPr="00966B21">
        <w:rPr>
          <w:szCs w:val="16"/>
          <w:vertAlign w:val="subscript"/>
          <w:lang w:val="en-GB"/>
        </w:rPr>
        <w:t>b</w:t>
      </w:r>
      <w:r w:rsidRPr="00966B21">
        <w:rPr>
          <w:szCs w:val="16"/>
          <w:lang w:val="en-GB"/>
        </w:rPr>
        <w:t>, indicating greater strength due to the O-H bond of TM acting as the hydrogen donor. In contrast, C-H bonds from β-carotene (bcps 4 and 5) and TM (bcps 8 and 9) act as weaker proton donors. Furthermore, bcp 6 was associated with a very weak dihydrogen bond,</w:t>
      </w:r>
      <w:r w:rsidR="00E26892" w:rsidRPr="00966B21">
        <w:rPr>
          <w:szCs w:val="16"/>
          <w:lang w:val="en-GB"/>
        </w:rPr>
        <w:t xml:space="preserve"> </w:t>
      </w:r>
      <w:r w:rsidRPr="00966B21">
        <w:rPr>
          <w:szCs w:val="16"/>
          <w:lang w:val="en-GB"/>
        </w:rPr>
        <w:t>C-H</w:t>
      </w:r>
      <w:r w:rsidR="00E26892" w:rsidRPr="00966B21">
        <w:rPr>
          <w:szCs w:val="16"/>
          <w:vertAlign w:val="subscript"/>
          <w:lang w:val="en-GB"/>
        </w:rPr>
        <w:t>β</w:t>
      </w:r>
      <w:r w:rsidRPr="00966B21">
        <w:rPr>
          <w:szCs w:val="16"/>
          <w:vertAlign w:val="subscript"/>
          <w:lang w:val="en-GB"/>
        </w:rPr>
        <w:t>car</w:t>
      </w:r>
      <w:r w:rsidRPr="00966B21">
        <w:rPr>
          <w:szCs w:val="16"/>
          <w:lang w:val="en-GB"/>
        </w:rPr>
        <w:t>···H-C</w:t>
      </w:r>
      <w:r w:rsidRPr="00966B21">
        <w:rPr>
          <w:szCs w:val="16"/>
          <w:vertAlign w:val="subscript"/>
          <w:lang w:val="en-GB"/>
        </w:rPr>
        <w:t xml:space="preserve">TM </w:t>
      </w:r>
      <w:r w:rsidR="001105B7" w:rsidRPr="00966B21">
        <w:rPr>
          <w:szCs w:val="16"/>
          <w:vertAlign w:val="subscript"/>
          <w:lang w:val="en-GB"/>
        </w:rPr>
        <w:fldChar w:fldCharType="begin" w:fldLock="1"/>
      </w:r>
      <w:r w:rsidR="00CD7D53" w:rsidRPr="00966B21">
        <w:rPr>
          <w:szCs w:val="16"/>
          <w:vertAlign w:val="subscript"/>
          <w:lang w:val="en-GB"/>
        </w:rPr>
        <w:instrText>ADDIN CSL_CITATION {"citationItems":[{"id":"ITEM-1","itemData":{"DOI":"10.1039/c2cp41749a","ISSN":"14639076","abstract":"In this paper, the intermolecular structural study asserted by the vibrational analysis in the stretch frequencies of hydrogen bonds (π</w:instrText>
      </w:r>
      <w:r w:rsidR="00CD7D53" w:rsidRPr="00966B21">
        <w:rPr>
          <w:rFonts w:ascii="Cambria Math" w:hAnsi="Cambria Math" w:cs="Cambria Math"/>
          <w:szCs w:val="16"/>
          <w:vertAlign w:val="subscript"/>
          <w:lang w:val="en-GB"/>
        </w:rPr>
        <w:instrText>⋯</w:instrText>
      </w:r>
      <w:r w:rsidR="00CD7D53" w:rsidRPr="00966B21">
        <w:rPr>
          <w:szCs w:val="16"/>
          <w:vertAlign w:val="subscript"/>
          <w:lang w:val="en-GB"/>
        </w:rPr>
        <w:instrText>H) and dihydrogen bonds (H-δ</w:instrText>
      </w:r>
      <w:r w:rsidR="00CD7D53" w:rsidRPr="00966B21">
        <w:rPr>
          <w:rFonts w:ascii="Cambria Math" w:hAnsi="Cambria Math" w:cs="Cambria Math"/>
          <w:szCs w:val="16"/>
          <w:vertAlign w:val="subscript"/>
          <w:lang w:val="en-GB"/>
        </w:rPr>
        <w:instrText>⋯</w:instrText>
      </w:r>
      <w:r w:rsidR="00CD7D53" w:rsidRPr="00966B21">
        <w:rPr>
          <w:szCs w:val="16"/>
          <w:vertAlign w:val="subscript"/>
          <w:lang w:val="en-GB"/>
        </w:rPr>
        <w:instrText>H +δ) have definitively been revisited by means of calculations carried out by Density Functional Theory (DFT) and topological parameters derived from the classic treatise of the Quantum Theory of Atoms in Molecules (QTAIM). As a matter of fact the π</w:instrText>
      </w:r>
      <w:r w:rsidR="00CD7D53" w:rsidRPr="00966B21">
        <w:rPr>
          <w:rFonts w:ascii="Cambria Math" w:hAnsi="Cambria Math" w:cs="Cambria Math"/>
          <w:szCs w:val="16"/>
          <w:vertAlign w:val="subscript"/>
          <w:lang w:val="en-GB"/>
        </w:rPr>
        <w:instrText>⋯</w:instrText>
      </w:r>
      <w:r w:rsidR="00CD7D53" w:rsidRPr="00966B21">
        <w:rPr>
          <w:szCs w:val="16"/>
          <w:vertAlign w:val="subscript"/>
          <w:lang w:val="en-GB"/>
        </w:rPr>
        <w:instrText>H hydrogen bond is formed between the hydrofluoric acid and the CC bond of the acetylene, but the QTAIM calculations revealed a distortion in this interaction due to the formation of the ternary complex C2H2</w:instrText>
      </w:r>
      <w:r w:rsidR="00CD7D53" w:rsidRPr="00966B21">
        <w:rPr>
          <w:rFonts w:ascii="Cambria Math" w:hAnsi="Cambria Math" w:cs="Cambria Math"/>
          <w:szCs w:val="16"/>
          <w:vertAlign w:val="subscript"/>
          <w:lang w:val="en-GB"/>
        </w:rPr>
        <w:instrText>⋯</w:instrText>
      </w:r>
      <w:r w:rsidR="00CD7D53" w:rsidRPr="00966B21">
        <w:rPr>
          <w:szCs w:val="16"/>
          <w:vertAlign w:val="subscript"/>
          <w:lang w:val="en-GB"/>
        </w:rPr>
        <w:instrText>2(HF). Although the π bonds of ethylene (C2H4), propylene (C2H 3(CH3)), and t-butylene (C2H 2(CH3)2) are considered proton acceptors, two hydrogen-bond types - π</w:instrText>
      </w:r>
      <w:r w:rsidR="00CD7D53" w:rsidRPr="00966B21">
        <w:rPr>
          <w:rFonts w:ascii="Cambria Math" w:hAnsi="Cambria Math" w:cs="Cambria Math"/>
          <w:szCs w:val="16"/>
          <w:vertAlign w:val="subscript"/>
          <w:lang w:val="en-GB"/>
        </w:rPr>
        <w:instrText>⋯</w:instrText>
      </w:r>
      <w:r w:rsidR="00CD7D53" w:rsidRPr="00966B21">
        <w:rPr>
          <w:szCs w:val="16"/>
          <w:vertAlign w:val="subscript"/>
          <w:lang w:val="en-GB"/>
        </w:rPr>
        <w:instrText>H and C</w:instrText>
      </w:r>
      <w:r w:rsidR="00CD7D53" w:rsidRPr="00966B21">
        <w:rPr>
          <w:rFonts w:ascii="Cambria Math" w:hAnsi="Cambria Math" w:cs="Cambria Math"/>
          <w:szCs w:val="16"/>
          <w:vertAlign w:val="subscript"/>
          <w:lang w:val="en-GB"/>
        </w:rPr>
        <w:instrText>⋯</w:instrText>
      </w:r>
      <w:r w:rsidR="00CD7D53" w:rsidRPr="00966B21">
        <w:rPr>
          <w:szCs w:val="16"/>
          <w:vertAlign w:val="subscript"/>
          <w:lang w:val="en-GB"/>
        </w:rPr>
        <w:instrText>H - can be observed. Over and above the analysis of the π hydrogen bonds, theoretical arguments also were used to discuss the red-shifts in the stretch frequencies of the binary dihydrogen complexes formed by BeH2</w:instrText>
      </w:r>
      <w:r w:rsidR="00CD7D53" w:rsidRPr="00966B21">
        <w:rPr>
          <w:rFonts w:ascii="Cambria Math" w:hAnsi="Cambria Math" w:cs="Cambria Math"/>
          <w:szCs w:val="16"/>
          <w:vertAlign w:val="subscript"/>
          <w:lang w:val="en-GB"/>
        </w:rPr>
        <w:instrText>⋯</w:instrText>
      </w:r>
      <w:r w:rsidR="00CD7D53" w:rsidRPr="00966B21">
        <w:rPr>
          <w:szCs w:val="16"/>
          <w:vertAlign w:val="subscript"/>
          <w:lang w:val="en-GB"/>
        </w:rPr>
        <w:instrText>HX with X = F, Cl, CN, and CCH. Although a vibrational blue-shift in the stretch frequency of the H-C bond of HCF3 due to the formation of the BeH2</w:instrText>
      </w:r>
      <w:r w:rsidR="00CD7D53" w:rsidRPr="00966B21">
        <w:rPr>
          <w:rFonts w:ascii="Cambria Math" w:hAnsi="Cambria Math" w:cs="Cambria Math"/>
          <w:szCs w:val="16"/>
          <w:vertAlign w:val="subscript"/>
          <w:lang w:val="en-GB"/>
        </w:rPr>
        <w:instrText>⋯</w:instrText>
      </w:r>
      <w:r w:rsidR="00CD7D53" w:rsidRPr="00966B21">
        <w:rPr>
          <w:szCs w:val="16"/>
          <w:vertAlign w:val="subscript"/>
          <w:lang w:val="en-GB"/>
        </w:rPr>
        <w:instrText>HCF 3 dihydrogen complex was obtained, unmistakable red-shifts were detected in LiH</w:instrText>
      </w:r>
      <w:r w:rsidR="00CD7D53" w:rsidRPr="00966B21">
        <w:rPr>
          <w:rFonts w:ascii="Cambria Math" w:hAnsi="Cambria Math" w:cs="Cambria Math"/>
          <w:szCs w:val="16"/>
          <w:vertAlign w:val="subscript"/>
          <w:lang w:val="en-GB"/>
        </w:rPr>
        <w:instrText>⋯</w:instrText>
      </w:r>
      <w:r w:rsidR="00CD7D53" w:rsidRPr="00966B21">
        <w:rPr>
          <w:szCs w:val="16"/>
          <w:vertAlign w:val="subscript"/>
          <w:lang w:val="en-GB"/>
        </w:rPr>
        <w:instrText>HCF3, MgH2</w:instrText>
      </w:r>
      <w:r w:rsidR="00CD7D53" w:rsidRPr="00966B21">
        <w:rPr>
          <w:rFonts w:ascii="Cambria Math" w:hAnsi="Cambria Math" w:cs="Cambria Math"/>
          <w:szCs w:val="16"/>
          <w:vertAlign w:val="subscript"/>
          <w:lang w:val="en-GB"/>
        </w:rPr>
        <w:instrText>⋯</w:instrText>
      </w:r>
      <w:r w:rsidR="00CD7D53" w:rsidRPr="00966B21">
        <w:rPr>
          <w:szCs w:val="16"/>
          <w:vertAlign w:val="subscript"/>
          <w:lang w:val="en-GB"/>
        </w:rPr>
        <w:instrText>HCF3, and NaH</w:instrText>
      </w:r>
      <w:r w:rsidR="00CD7D53" w:rsidRPr="00966B21">
        <w:rPr>
          <w:rFonts w:ascii="Cambria Math" w:hAnsi="Cambria Math" w:cs="Cambria Math"/>
          <w:szCs w:val="16"/>
          <w:vertAlign w:val="subscript"/>
          <w:lang w:val="en-GB"/>
        </w:rPr>
        <w:instrText>⋯</w:instrText>
      </w:r>
      <w:r w:rsidR="00CD7D53" w:rsidRPr="00966B21">
        <w:rPr>
          <w:szCs w:val="16"/>
          <w:vertAlign w:val="subscript"/>
          <w:lang w:val="en-GB"/>
        </w:rPr>
        <w:instrText>HCF3. Moreover, the alkali-halogen bonds were identified in relation to the formation of the trimolecular systems NaH</w:instrText>
      </w:r>
      <w:r w:rsidR="00CD7D53" w:rsidRPr="00966B21">
        <w:rPr>
          <w:rFonts w:ascii="Cambria Math" w:hAnsi="Cambria Math" w:cs="Cambria Math"/>
          <w:szCs w:val="16"/>
          <w:vertAlign w:val="subscript"/>
          <w:lang w:val="en-GB"/>
        </w:rPr>
        <w:instrText>⋯</w:instrText>
      </w:r>
      <w:r w:rsidR="00CD7D53" w:rsidRPr="00966B21">
        <w:rPr>
          <w:szCs w:val="16"/>
          <w:vertAlign w:val="subscript"/>
          <w:lang w:val="en-GB"/>
        </w:rPr>
        <w:instrText>2(HCF3) and NaH</w:instrText>
      </w:r>
      <w:r w:rsidR="00CD7D53" w:rsidRPr="00966B21">
        <w:rPr>
          <w:rFonts w:ascii="Cambria Math" w:hAnsi="Cambria Math" w:cs="Cambria Math"/>
          <w:szCs w:val="16"/>
          <w:vertAlign w:val="subscript"/>
          <w:lang w:val="en-GB"/>
        </w:rPr>
        <w:instrText>⋯</w:instrText>
      </w:r>
      <w:r w:rsidR="00CD7D53" w:rsidRPr="00966B21">
        <w:rPr>
          <w:szCs w:val="16"/>
          <w:vertAlign w:val="subscript"/>
          <w:lang w:val="en-GB"/>
        </w:rPr>
        <w:instrText xml:space="preserve">2(HCCl3). At last, theoretical calculations and QTAIM molecular integrations were used to study a novel class of dihydrogen-bonded complexes (mC2H5+ </w:instrText>
      </w:r>
      <w:r w:rsidR="00CD7D53" w:rsidRPr="00966B21">
        <w:rPr>
          <w:rFonts w:ascii="Cambria Math" w:hAnsi="Cambria Math" w:cs="Cambria Math"/>
          <w:szCs w:val="16"/>
          <w:vertAlign w:val="subscript"/>
          <w:lang w:val="en-GB"/>
        </w:rPr>
        <w:instrText>⋯</w:instrText>
      </w:r>
      <w:r w:rsidR="00CD7D53" w:rsidRPr="00966B21">
        <w:rPr>
          <w:szCs w:val="16"/>
          <w:vertAlign w:val="subscript"/>
          <w:lang w:val="en-GB"/>
        </w:rPr>
        <w:instrText>nMgH2 with m = 1 or 2 and n = 1 or 2) based in the insight that MgH2 can bind with the non-localized hydrogen H +δ of the ethyl cation (C2H5+). In an overview, QTAIM calculations were applied to evaluate the molecular topography, charge density, as well as to interpret the shifted frequencies either to red or blue caused by the formation of the hydrogen bonds and dihydrogen bonds. © the Owner Societies 2013.","author":[{"dropping-particle":"De","family":"Oliveira","given":"Boaz Galdino","non-dropping-particle":"","parse-names":false,"suffix":""}],"container-title":"Physical Chemistry Chemical Physics","id":"ITEM-1","issue":"1","issued":{"date-parts":[["2013"]]},"page":"37-79","title":"Structure, energy, vibrational spectrum, and Bader's analysis of π</w:instrText>
      </w:r>
      <w:r w:rsidR="00CD7D53" w:rsidRPr="00966B21">
        <w:rPr>
          <w:rFonts w:ascii="Cambria Math" w:hAnsi="Cambria Math" w:cs="Cambria Math"/>
          <w:szCs w:val="16"/>
          <w:vertAlign w:val="subscript"/>
          <w:lang w:val="en-GB"/>
        </w:rPr>
        <w:instrText>⋯</w:instrText>
      </w:r>
      <w:r w:rsidR="00CD7D53" w:rsidRPr="00966B21">
        <w:rPr>
          <w:szCs w:val="16"/>
          <w:vertAlign w:val="subscript"/>
          <w:lang w:val="en-GB"/>
        </w:rPr>
        <w:instrText>H hydrogen bonds and H-δ</w:instrText>
      </w:r>
      <w:r w:rsidR="00CD7D53" w:rsidRPr="00966B21">
        <w:rPr>
          <w:rFonts w:ascii="Cambria Math" w:hAnsi="Cambria Math" w:cs="Cambria Math"/>
          <w:szCs w:val="16"/>
          <w:vertAlign w:val="subscript"/>
          <w:lang w:val="en-GB"/>
        </w:rPr>
        <w:instrText>⋯</w:instrText>
      </w:r>
      <w:r w:rsidR="00CD7D53" w:rsidRPr="00966B21">
        <w:rPr>
          <w:szCs w:val="16"/>
          <w:vertAlign w:val="subscript"/>
          <w:lang w:val="en-GB"/>
        </w:rPr>
        <w:instrText>H +δ dihydrogen bonds","type":"article-journal","volume":"15"},"uris":["http://www.mendeley.com/documents/?uuid=e9c1968f-4433-4dc5-a87b-566d707cae15"]}],"mendeley":{"formattedCitation":"[50]","plainTextFormattedCitation":"[50]","previouslyFormattedCitation":"[49]"},"properties":{"noteIndex":0},"schema":"https://github.com/citation-style-language/schema/raw/master/csl-citation.json"}</w:instrText>
      </w:r>
      <w:r w:rsidR="001105B7" w:rsidRPr="00966B21">
        <w:rPr>
          <w:szCs w:val="16"/>
          <w:vertAlign w:val="subscript"/>
          <w:lang w:val="en-GB"/>
        </w:rPr>
        <w:fldChar w:fldCharType="separate"/>
      </w:r>
      <w:r w:rsidR="00CD7D53" w:rsidRPr="00966B21">
        <w:rPr>
          <w:noProof/>
          <w:szCs w:val="16"/>
          <w:lang w:val="en-GB"/>
        </w:rPr>
        <w:t>[50]</w:t>
      </w:r>
      <w:r w:rsidR="001105B7" w:rsidRPr="00966B21">
        <w:rPr>
          <w:szCs w:val="16"/>
          <w:vertAlign w:val="subscript"/>
          <w:lang w:val="en-GB"/>
        </w:rPr>
        <w:fldChar w:fldCharType="end"/>
      </w:r>
      <w:r w:rsidR="001105B7" w:rsidRPr="00966B21">
        <w:rPr>
          <w:szCs w:val="16"/>
          <w:vertAlign w:val="subscript"/>
          <w:lang w:val="en-GB"/>
        </w:rPr>
        <w:t>.</w:t>
      </w:r>
    </w:p>
    <w:p w14:paraId="54F547AD" w14:textId="280C8371" w:rsidR="00B73D88" w:rsidRPr="00966B21" w:rsidRDefault="00B73D88" w:rsidP="00E26892">
      <w:pPr>
        <w:pStyle w:val="NormaleWeb"/>
        <w:spacing w:before="0" w:beforeAutospacing="0" w:after="0" w:afterAutospacing="0"/>
        <w:jc w:val="both"/>
        <w:rPr>
          <w:szCs w:val="16"/>
          <w:lang w:val="en-GB"/>
        </w:rPr>
      </w:pPr>
      <w:r w:rsidRPr="00966B21">
        <w:rPr>
          <w:szCs w:val="16"/>
          <w:lang w:val="en-GB"/>
        </w:rPr>
        <w:t xml:space="preserve">All interactions exhibit low </w:t>
      </w:r>
      <w:r w:rsidR="00E26892" w:rsidRPr="00966B21">
        <w:rPr>
          <w:rFonts w:ascii="Symbol" w:hAnsi="Symbol"/>
          <w:i/>
          <w:iCs/>
          <w:color w:val="000000" w:themeColor="text1"/>
          <w:szCs w:val="16"/>
          <w:lang w:val="en-GB"/>
        </w:rPr>
        <w:t></w:t>
      </w:r>
      <w:r w:rsidRPr="00966B21">
        <w:rPr>
          <w:szCs w:val="16"/>
          <w:vertAlign w:val="subscript"/>
          <w:lang w:val="en-GB"/>
        </w:rPr>
        <w:t>b</w:t>
      </w:r>
      <w:r w:rsidRPr="00966B21">
        <w:rPr>
          <w:szCs w:val="16"/>
          <w:lang w:val="en-GB"/>
        </w:rPr>
        <w:t xml:space="preserve"> values (0.009-0.002 au.) with </w:t>
      </w:r>
      <w:r w:rsidR="00BD7070" w:rsidRPr="00966B21">
        <w:rPr>
          <w:szCs w:val="16"/>
          <w:lang w:val="en-GB"/>
        </w:rPr>
        <w:t xml:space="preserve">a </w:t>
      </w:r>
      <w:r w:rsidRPr="00966B21">
        <w:rPr>
          <w:szCs w:val="16"/>
          <w:lang w:val="en-GB"/>
        </w:rPr>
        <w:t xml:space="preserve">feature of closed-shell interactions </w:t>
      </w:r>
      <w:r w:rsidR="00E26892" w:rsidRPr="00966B21">
        <w:rPr>
          <w:szCs w:val="16"/>
          <w:lang w:val="en-GB"/>
        </w:rPr>
        <w:t>(</w:t>
      </w:r>
      <w:r w:rsidR="00E26892" w:rsidRPr="00966B21">
        <w:rPr>
          <w:rFonts w:ascii="Symbol" w:hAnsi="Symbol"/>
          <w:color w:val="000000" w:themeColor="text1"/>
          <w:szCs w:val="16"/>
          <w:lang w:val="en-GB"/>
        </w:rPr>
        <w:t></w:t>
      </w:r>
      <w:r w:rsidR="00E26892" w:rsidRPr="00966B21">
        <w:rPr>
          <w:color w:val="000000" w:themeColor="text1"/>
          <w:szCs w:val="16"/>
          <w:vertAlign w:val="superscript"/>
          <w:lang w:val="en-GB"/>
        </w:rPr>
        <w:t>2</w:t>
      </w:r>
      <w:r w:rsidR="00E26892" w:rsidRPr="00966B21">
        <w:rPr>
          <w:rFonts w:ascii="Symbol" w:hAnsi="Symbol"/>
          <w:i/>
          <w:iCs/>
          <w:color w:val="000000" w:themeColor="text1"/>
          <w:szCs w:val="16"/>
          <w:lang w:val="en-GB"/>
        </w:rPr>
        <w:t></w:t>
      </w:r>
      <w:r w:rsidR="00E26892" w:rsidRPr="00966B21">
        <w:rPr>
          <w:szCs w:val="16"/>
          <w:vertAlign w:val="subscript"/>
          <w:lang w:val="en-GB"/>
        </w:rPr>
        <w:t>b</w:t>
      </w:r>
      <w:r w:rsidR="00E26892" w:rsidRPr="00966B21">
        <w:rPr>
          <w:szCs w:val="16"/>
          <w:lang w:val="en-GB"/>
        </w:rPr>
        <w:t xml:space="preserve"> </w:t>
      </w:r>
      <w:r w:rsidRPr="00966B21">
        <w:rPr>
          <w:szCs w:val="16"/>
          <w:lang w:val="en-GB"/>
        </w:rPr>
        <w:t xml:space="preserve">&gt; 0), as shown in the contour plots where bcps are located in regions of electron density depletion (Figure </w:t>
      </w:r>
      <w:r w:rsidR="005574A5" w:rsidRPr="00966B21">
        <w:rPr>
          <w:szCs w:val="16"/>
          <w:lang w:val="en-GB"/>
        </w:rPr>
        <w:t>4</w:t>
      </w:r>
      <w:r w:rsidRPr="00966B21">
        <w:rPr>
          <w:szCs w:val="16"/>
          <w:lang w:val="en-GB"/>
        </w:rPr>
        <w:t>b). For bcps 4 and 7, the H···C</w:t>
      </w:r>
      <w:r w:rsidRPr="00966B21">
        <w:rPr>
          <w:szCs w:val="16"/>
          <w:vertAlign w:val="subscript"/>
          <w:lang w:val="en-GB"/>
        </w:rPr>
        <w:t>π</w:t>
      </w:r>
      <w:r w:rsidRPr="00966B21">
        <w:rPr>
          <w:szCs w:val="16"/>
          <w:lang w:val="en-GB"/>
        </w:rPr>
        <w:t xml:space="preserve"> bond path curves toward the bcp of the C=C double bond, a characteristic of H···π interactions</w:t>
      </w:r>
      <w:r w:rsidR="001105B7" w:rsidRPr="00966B21">
        <w:rPr>
          <w:szCs w:val="16"/>
          <w:lang w:val="en-GB"/>
        </w:rPr>
        <w:t xml:space="preserve"> </w:t>
      </w:r>
      <w:r w:rsidR="001105B7" w:rsidRPr="00966B21">
        <w:rPr>
          <w:szCs w:val="16"/>
          <w:lang w:val="en-GB"/>
        </w:rPr>
        <w:fldChar w:fldCharType="begin" w:fldLock="1"/>
      </w:r>
      <w:r w:rsidR="00CD7D53" w:rsidRPr="00966B21">
        <w:rPr>
          <w:szCs w:val="16"/>
          <w:lang w:val="en-GB"/>
        </w:rPr>
        <w:instrText>ADDIN CSL_CITATION {"citationItems":[{"id":"ITEM-1","itemData":{"DOI":"10.1039/c2cp41749a","ISSN":"14639076","abstract":"In this paper, the intermolecular structural study asserted by the vibrational analysis in the stretch frequencies of hydrogen bonds (π</w:instrText>
      </w:r>
      <w:r w:rsidR="00CD7D53" w:rsidRPr="00966B21">
        <w:rPr>
          <w:rFonts w:ascii="Cambria Math" w:hAnsi="Cambria Math" w:cs="Cambria Math"/>
          <w:szCs w:val="16"/>
          <w:lang w:val="en-GB"/>
        </w:rPr>
        <w:instrText>⋯</w:instrText>
      </w:r>
      <w:r w:rsidR="00CD7D53" w:rsidRPr="00966B21">
        <w:rPr>
          <w:szCs w:val="16"/>
          <w:lang w:val="en-GB"/>
        </w:rPr>
        <w:instrText>H) and dihydrogen bonds (H-δ</w:instrText>
      </w:r>
      <w:r w:rsidR="00CD7D53" w:rsidRPr="00966B21">
        <w:rPr>
          <w:rFonts w:ascii="Cambria Math" w:hAnsi="Cambria Math" w:cs="Cambria Math"/>
          <w:szCs w:val="16"/>
          <w:lang w:val="en-GB"/>
        </w:rPr>
        <w:instrText>⋯</w:instrText>
      </w:r>
      <w:r w:rsidR="00CD7D53" w:rsidRPr="00966B21">
        <w:rPr>
          <w:szCs w:val="16"/>
          <w:lang w:val="en-GB"/>
        </w:rPr>
        <w:instrText>H +δ) have definitively been revisited by means of calculations carried out by Density Functional Theory (DFT) and topological parameters derived from the classic treatise of the Quantum Theory of Atoms in Molecules (QTAIM). As a matter of fact the π</w:instrText>
      </w:r>
      <w:r w:rsidR="00CD7D53" w:rsidRPr="00966B21">
        <w:rPr>
          <w:rFonts w:ascii="Cambria Math" w:hAnsi="Cambria Math" w:cs="Cambria Math"/>
          <w:szCs w:val="16"/>
          <w:lang w:val="en-GB"/>
        </w:rPr>
        <w:instrText>⋯</w:instrText>
      </w:r>
      <w:r w:rsidR="00CD7D53" w:rsidRPr="00966B21">
        <w:rPr>
          <w:szCs w:val="16"/>
          <w:lang w:val="en-GB"/>
        </w:rPr>
        <w:instrText>H hydrogen bond is formed between the hydrofluoric acid and the CC bond of the acetylene, but the QTAIM calculations revealed a distortion in this interaction due to the formation of the ternary complex C2H2</w:instrText>
      </w:r>
      <w:r w:rsidR="00CD7D53" w:rsidRPr="00966B21">
        <w:rPr>
          <w:rFonts w:ascii="Cambria Math" w:hAnsi="Cambria Math" w:cs="Cambria Math"/>
          <w:szCs w:val="16"/>
          <w:lang w:val="en-GB"/>
        </w:rPr>
        <w:instrText>⋯</w:instrText>
      </w:r>
      <w:r w:rsidR="00CD7D53" w:rsidRPr="00966B21">
        <w:rPr>
          <w:szCs w:val="16"/>
          <w:lang w:val="en-GB"/>
        </w:rPr>
        <w:instrText>2(HF). Although the π bonds of ethylene (C2H4), propylene (C2H 3(CH3)), and t-butylene (C2H 2(CH3)2) are considered proton acceptors, two hydrogen-bond types - π</w:instrText>
      </w:r>
      <w:r w:rsidR="00CD7D53" w:rsidRPr="00966B21">
        <w:rPr>
          <w:rFonts w:ascii="Cambria Math" w:hAnsi="Cambria Math" w:cs="Cambria Math"/>
          <w:szCs w:val="16"/>
          <w:lang w:val="en-GB"/>
        </w:rPr>
        <w:instrText>⋯</w:instrText>
      </w:r>
      <w:r w:rsidR="00CD7D53" w:rsidRPr="00966B21">
        <w:rPr>
          <w:szCs w:val="16"/>
          <w:lang w:val="en-GB"/>
        </w:rPr>
        <w:instrText>H and C</w:instrText>
      </w:r>
      <w:r w:rsidR="00CD7D53" w:rsidRPr="00966B21">
        <w:rPr>
          <w:rFonts w:ascii="Cambria Math" w:hAnsi="Cambria Math" w:cs="Cambria Math"/>
          <w:szCs w:val="16"/>
          <w:lang w:val="en-GB"/>
        </w:rPr>
        <w:instrText>⋯</w:instrText>
      </w:r>
      <w:r w:rsidR="00CD7D53" w:rsidRPr="00966B21">
        <w:rPr>
          <w:szCs w:val="16"/>
          <w:lang w:val="en-GB"/>
        </w:rPr>
        <w:instrText>H - can be observed. Over and above the analysis of the π hydrogen bonds, theoretical arguments also were used to discuss the red-shifts in the stretch frequencies of the binary dihydrogen complexes formed by BeH2</w:instrText>
      </w:r>
      <w:r w:rsidR="00CD7D53" w:rsidRPr="00966B21">
        <w:rPr>
          <w:rFonts w:ascii="Cambria Math" w:hAnsi="Cambria Math" w:cs="Cambria Math"/>
          <w:szCs w:val="16"/>
          <w:lang w:val="en-GB"/>
        </w:rPr>
        <w:instrText>⋯</w:instrText>
      </w:r>
      <w:r w:rsidR="00CD7D53" w:rsidRPr="00966B21">
        <w:rPr>
          <w:szCs w:val="16"/>
          <w:lang w:val="en-GB"/>
        </w:rPr>
        <w:instrText>HX with X = F, Cl, CN, and CCH. Although a vibrational blue-shift in the stretch frequency of the H-C bond of HCF3 due to the formation of the BeH2</w:instrText>
      </w:r>
      <w:r w:rsidR="00CD7D53" w:rsidRPr="00966B21">
        <w:rPr>
          <w:rFonts w:ascii="Cambria Math" w:hAnsi="Cambria Math" w:cs="Cambria Math"/>
          <w:szCs w:val="16"/>
          <w:lang w:val="en-GB"/>
        </w:rPr>
        <w:instrText>⋯</w:instrText>
      </w:r>
      <w:r w:rsidR="00CD7D53" w:rsidRPr="00966B21">
        <w:rPr>
          <w:szCs w:val="16"/>
          <w:lang w:val="en-GB"/>
        </w:rPr>
        <w:instrText>HCF 3 dihydrogen complex was obtained, unmistakable red-shifts were detected in LiH</w:instrText>
      </w:r>
      <w:r w:rsidR="00CD7D53" w:rsidRPr="00966B21">
        <w:rPr>
          <w:rFonts w:ascii="Cambria Math" w:hAnsi="Cambria Math" w:cs="Cambria Math"/>
          <w:szCs w:val="16"/>
          <w:lang w:val="en-GB"/>
        </w:rPr>
        <w:instrText>⋯</w:instrText>
      </w:r>
      <w:r w:rsidR="00CD7D53" w:rsidRPr="00966B21">
        <w:rPr>
          <w:szCs w:val="16"/>
          <w:lang w:val="en-GB"/>
        </w:rPr>
        <w:instrText>HCF3, MgH2</w:instrText>
      </w:r>
      <w:r w:rsidR="00CD7D53" w:rsidRPr="00966B21">
        <w:rPr>
          <w:rFonts w:ascii="Cambria Math" w:hAnsi="Cambria Math" w:cs="Cambria Math"/>
          <w:szCs w:val="16"/>
          <w:lang w:val="en-GB"/>
        </w:rPr>
        <w:instrText>⋯</w:instrText>
      </w:r>
      <w:r w:rsidR="00CD7D53" w:rsidRPr="00966B21">
        <w:rPr>
          <w:szCs w:val="16"/>
          <w:lang w:val="en-GB"/>
        </w:rPr>
        <w:instrText>HCF3, and NaH</w:instrText>
      </w:r>
      <w:r w:rsidR="00CD7D53" w:rsidRPr="00966B21">
        <w:rPr>
          <w:rFonts w:ascii="Cambria Math" w:hAnsi="Cambria Math" w:cs="Cambria Math"/>
          <w:szCs w:val="16"/>
          <w:lang w:val="en-GB"/>
        </w:rPr>
        <w:instrText>⋯</w:instrText>
      </w:r>
      <w:r w:rsidR="00CD7D53" w:rsidRPr="00966B21">
        <w:rPr>
          <w:szCs w:val="16"/>
          <w:lang w:val="en-GB"/>
        </w:rPr>
        <w:instrText>HCF3. Moreover, the alkali-halogen bonds were identified in relation to the formation of the trimolecular systems NaH</w:instrText>
      </w:r>
      <w:r w:rsidR="00CD7D53" w:rsidRPr="00966B21">
        <w:rPr>
          <w:rFonts w:ascii="Cambria Math" w:hAnsi="Cambria Math" w:cs="Cambria Math"/>
          <w:szCs w:val="16"/>
          <w:lang w:val="en-GB"/>
        </w:rPr>
        <w:instrText>⋯</w:instrText>
      </w:r>
      <w:r w:rsidR="00CD7D53" w:rsidRPr="00966B21">
        <w:rPr>
          <w:szCs w:val="16"/>
          <w:lang w:val="en-GB"/>
        </w:rPr>
        <w:instrText>2(HCF3) and NaH</w:instrText>
      </w:r>
      <w:r w:rsidR="00CD7D53" w:rsidRPr="00966B21">
        <w:rPr>
          <w:rFonts w:ascii="Cambria Math" w:hAnsi="Cambria Math" w:cs="Cambria Math"/>
          <w:szCs w:val="16"/>
          <w:lang w:val="en-GB"/>
        </w:rPr>
        <w:instrText>⋯</w:instrText>
      </w:r>
      <w:r w:rsidR="00CD7D53" w:rsidRPr="00966B21">
        <w:rPr>
          <w:szCs w:val="16"/>
          <w:lang w:val="en-GB"/>
        </w:rPr>
        <w:instrText xml:space="preserve">2(HCCl3). At last, theoretical calculations and QTAIM molecular integrations were used to study a novel class of dihydrogen-bonded complexes (mC2H5+ </w:instrText>
      </w:r>
      <w:r w:rsidR="00CD7D53" w:rsidRPr="00966B21">
        <w:rPr>
          <w:rFonts w:ascii="Cambria Math" w:hAnsi="Cambria Math" w:cs="Cambria Math"/>
          <w:szCs w:val="16"/>
          <w:lang w:val="en-GB"/>
        </w:rPr>
        <w:instrText>⋯</w:instrText>
      </w:r>
      <w:r w:rsidR="00CD7D53" w:rsidRPr="00966B21">
        <w:rPr>
          <w:szCs w:val="16"/>
          <w:lang w:val="en-GB"/>
        </w:rPr>
        <w:instrText>nMgH2 with m = 1 or 2 and n = 1 or 2) based in the insight that MgH2 can bind with the non-localized hydrogen H +δ of the ethyl cation (C2H5+). In an overview, QTAIM calculations were applied to evaluate the molecular topography, charge density, as well as to interpret the shifted frequencies either to red or blue caused by the formation of the hydrogen bonds and dihydrogen bonds. © the Owner Societies 2013.","author":[{"dropping-particle":"De","family":"Oliveira","given":"Boaz Galdino","non-dropping-particle":"","parse-names":false,"suffix":""}],"container-title":"Physical Chemistry Chemical Physics","id":"ITEM-1","issue":"1","issued":{"date-parts":[["2013"]]},"page":"37-79","title":"Structure, energy, vibrational spectrum, and Bader's analysis of π</w:instrText>
      </w:r>
      <w:r w:rsidR="00CD7D53" w:rsidRPr="00966B21">
        <w:rPr>
          <w:rFonts w:ascii="Cambria Math" w:hAnsi="Cambria Math" w:cs="Cambria Math"/>
          <w:szCs w:val="16"/>
          <w:lang w:val="en-GB"/>
        </w:rPr>
        <w:instrText>⋯</w:instrText>
      </w:r>
      <w:r w:rsidR="00CD7D53" w:rsidRPr="00966B21">
        <w:rPr>
          <w:szCs w:val="16"/>
          <w:lang w:val="en-GB"/>
        </w:rPr>
        <w:instrText>H hydrogen bonds and H-δ</w:instrText>
      </w:r>
      <w:r w:rsidR="00CD7D53" w:rsidRPr="00966B21">
        <w:rPr>
          <w:rFonts w:ascii="Cambria Math" w:hAnsi="Cambria Math" w:cs="Cambria Math"/>
          <w:szCs w:val="16"/>
          <w:lang w:val="en-GB"/>
        </w:rPr>
        <w:instrText>⋯</w:instrText>
      </w:r>
      <w:r w:rsidR="00CD7D53" w:rsidRPr="00966B21">
        <w:rPr>
          <w:szCs w:val="16"/>
          <w:lang w:val="en-GB"/>
        </w:rPr>
        <w:instrText>H +δ dihydrogen bonds","type":"article-journal","volume":"15"},"uris":["http://www.mendeley.com/documents/?uuid=e9c1968f-4433-4dc5-a87b-566d707cae15"]}],"mendeley":{"formattedCitation":"[50]","plainTextFormattedCitation":"[50]","previouslyFormattedCitation":"[49]"},"properties":{"noteIndex":0},"schema":"https://github.com/citation-style-language/schema/raw/master/csl-citation.json"}</w:instrText>
      </w:r>
      <w:r w:rsidR="001105B7" w:rsidRPr="00966B21">
        <w:rPr>
          <w:szCs w:val="16"/>
          <w:lang w:val="en-GB"/>
        </w:rPr>
        <w:fldChar w:fldCharType="separate"/>
      </w:r>
      <w:r w:rsidR="00CD7D53" w:rsidRPr="00966B21">
        <w:rPr>
          <w:noProof/>
          <w:szCs w:val="16"/>
          <w:lang w:val="en-GB"/>
        </w:rPr>
        <w:t>[50]</w:t>
      </w:r>
      <w:r w:rsidR="001105B7" w:rsidRPr="00966B21">
        <w:rPr>
          <w:szCs w:val="16"/>
          <w:lang w:val="en-GB"/>
        </w:rPr>
        <w:fldChar w:fldCharType="end"/>
      </w:r>
      <w:r w:rsidRPr="00966B21">
        <w:rPr>
          <w:szCs w:val="16"/>
          <w:lang w:val="en-GB"/>
        </w:rPr>
        <w:t>. Additionally, the NCI surface, which correlates positively with electron density from QTAIM, shows a green isosurface between TM and β-carotene, indicating the relatively weak strength of the interactions involved in complex formation.</w:t>
      </w:r>
    </w:p>
    <w:p w14:paraId="60CB8F4A" w14:textId="4A890B4B" w:rsidR="00B73D88" w:rsidRPr="00966B21" w:rsidRDefault="00B73D88" w:rsidP="00E26892">
      <w:pPr>
        <w:pStyle w:val="NormaleWeb"/>
        <w:spacing w:before="0" w:beforeAutospacing="0" w:after="0" w:afterAutospacing="0"/>
        <w:jc w:val="both"/>
        <w:rPr>
          <w:szCs w:val="16"/>
          <w:lang w:val="en-GB"/>
        </w:rPr>
      </w:pPr>
      <w:r w:rsidRPr="00966B21">
        <w:rPr>
          <w:szCs w:val="16"/>
          <w:lang w:val="en-GB"/>
        </w:rPr>
        <w:t>In the remaining TM-βcar complexes, several types of weak interactions were identified, including H-bonds (C-H···O, O-H···C</w:t>
      </w:r>
      <w:r w:rsidRPr="00966B21">
        <w:rPr>
          <w:szCs w:val="16"/>
          <w:vertAlign w:val="subscript"/>
          <w:lang w:val="en-GB"/>
        </w:rPr>
        <w:t>π</w:t>
      </w:r>
      <w:r w:rsidRPr="00966B21">
        <w:rPr>
          <w:szCs w:val="16"/>
          <w:lang w:val="en-GB"/>
        </w:rPr>
        <w:t>, C-H···C</w:t>
      </w:r>
      <w:r w:rsidRPr="00966B21">
        <w:rPr>
          <w:szCs w:val="16"/>
          <w:vertAlign w:val="subscript"/>
          <w:lang w:val="en-GB"/>
        </w:rPr>
        <w:t>π</w:t>
      </w:r>
      <w:r w:rsidRPr="00966B21">
        <w:rPr>
          <w:szCs w:val="16"/>
          <w:lang w:val="en-GB"/>
        </w:rPr>
        <w:t>)</w:t>
      </w:r>
      <w:r w:rsidR="00D35E8B" w:rsidRPr="00966B21">
        <w:rPr>
          <w:szCs w:val="16"/>
          <w:lang w:val="en-GB"/>
        </w:rPr>
        <w:t xml:space="preserve"> </w:t>
      </w:r>
      <w:r w:rsidR="009A10EF" w:rsidRPr="00966B21">
        <w:rPr>
          <w:szCs w:val="16"/>
          <w:lang w:val="en-GB"/>
        </w:rPr>
        <w:t>and dihydrogen</w:t>
      </w:r>
      <w:r w:rsidRPr="00966B21">
        <w:rPr>
          <w:szCs w:val="16"/>
          <w:lang w:val="en-GB"/>
        </w:rPr>
        <w:t xml:space="preserve"> bonds (C-H···H-</w:t>
      </w:r>
      <w:r w:rsidR="008F0FDA" w:rsidRPr="00966B21">
        <w:rPr>
          <w:szCs w:val="16"/>
          <w:lang w:val="en-GB"/>
        </w:rPr>
        <w:t xml:space="preserve">C). </w:t>
      </w:r>
      <w:bookmarkStart w:id="8" w:name="_Hlk188899745"/>
      <w:r w:rsidR="008F0FDA" w:rsidRPr="00966B21">
        <w:rPr>
          <w:lang w:val="en-GB"/>
        </w:rPr>
        <w:t>Furthermore, C</w:t>
      </w:r>
      <w:r w:rsidR="008F0FDA" w:rsidRPr="00966B21">
        <w:rPr>
          <w:rFonts w:ascii="Symbol" w:hAnsi="Symbol"/>
          <w:vertAlign w:val="subscript"/>
        </w:rPr>
        <w:t></w:t>
      </w:r>
      <w:r w:rsidR="008F0FDA" w:rsidRPr="00966B21">
        <w:rPr>
          <w:vertAlign w:val="subscript"/>
          <w:lang w:val="en-GB"/>
        </w:rPr>
        <w:t>TM</w:t>
      </w:r>
      <w:r w:rsidR="008F0FDA" w:rsidRPr="00966B21">
        <w:rPr>
          <w:lang w:val="en-GB"/>
        </w:rPr>
        <w:t>···C</w:t>
      </w:r>
      <w:r w:rsidR="008F0FDA" w:rsidRPr="00966B21">
        <w:rPr>
          <w:rFonts w:ascii="Symbol" w:hAnsi="Symbol"/>
          <w:vertAlign w:val="subscript"/>
        </w:rPr>
        <w:t></w:t>
      </w:r>
      <w:r w:rsidR="008F0FDA" w:rsidRPr="00966B21">
        <w:rPr>
          <w:rFonts w:ascii="Symbol" w:hAnsi="Symbol"/>
          <w:vertAlign w:val="subscript"/>
        </w:rPr>
        <w:t></w:t>
      </w:r>
      <w:r w:rsidR="008F0FDA" w:rsidRPr="00966B21">
        <w:rPr>
          <w:vertAlign w:val="subscript"/>
          <w:lang w:val="en-GB"/>
        </w:rPr>
        <w:t>car</w:t>
      </w:r>
      <w:r w:rsidR="008F0FDA" w:rsidRPr="00966B21">
        <w:rPr>
          <w:sz w:val="22"/>
          <w:szCs w:val="22"/>
          <w:lang w:val="en-GB"/>
        </w:rPr>
        <w:t xml:space="preserve"> </w:t>
      </w:r>
      <w:r w:rsidR="008F0FDA" w:rsidRPr="00966B21">
        <w:rPr>
          <w:sz w:val="22"/>
          <w:szCs w:val="22"/>
        </w:rPr>
        <w:t>π</w:t>
      </w:r>
      <w:r w:rsidR="008F0FDA" w:rsidRPr="00966B21">
        <w:rPr>
          <w:sz w:val="22"/>
          <w:szCs w:val="22"/>
          <w:lang w:val="en-GB"/>
        </w:rPr>
        <w:t>–</w:t>
      </w:r>
      <w:r w:rsidR="008F0FDA" w:rsidRPr="00966B21">
        <w:rPr>
          <w:sz w:val="22"/>
          <w:szCs w:val="22"/>
        </w:rPr>
        <w:t>π</w:t>
      </w:r>
      <w:r w:rsidR="008F0FDA" w:rsidRPr="00966B21">
        <w:rPr>
          <w:lang w:val="en-GB"/>
        </w:rPr>
        <w:t xml:space="preserve"> interaction was identified in the TM–</w:t>
      </w:r>
      <w:r w:rsidR="008F0FDA" w:rsidRPr="00966B21">
        <w:t>β</w:t>
      </w:r>
      <w:r w:rsidR="008F0FDA" w:rsidRPr="00966B21">
        <w:rPr>
          <w:lang w:val="en-GB"/>
        </w:rPr>
        <w:t>car-b and TM–</w:t>
      </w:r>
      <w:r w:rsidR="008F0FDA" w:rsidRPr="00966B21">
        <w:t>β</w:t>
      </w:r>
      <w:r w:rsidR="008F0FDA" w:rsidRPr="00966B21">
        <w:rPr>
          <w:lang w:val="en-GB"/>
        </w:rPr>
        <w:t>car-d complexes, with the corresponding bcps (bcp 2 in both cases) exhibiting topological parameters characteristic of this type of weak interaction (see Figures S</w:t>
      </w:r>
      <w:r w:rsidR="00E04D22" w:rsidRPr="00966B21">
        <w:rPr>
          <w:lang w:val="en-GB"/>
        </w:rPr>
        <w:t>8</w:t>
      </w:r>
      <w:r w:rsidR="008F0FDA" w:rsidRPr="00966B21">
        <w:rPr>
          <w:lang w:val="en-GB"/>
        </w:rPr>
        <w:t xml:space="preserve"> and S</w:t>
      </w:r>
      <w:r w:rsidR="00E04D22" w:rsidRPr="00966B21">
        <w:rPr>
          <w:lang w:val="en-GB"/>
        </w:rPr>
        <w:t>10</w:t>
      </w:r>
      <w:r w:rsidR="008F0FDA" w:rsidRPr="00966B21">
        <w:rPr>
          <w:lang w:val="en-GB"/>
        </w:rPr>
        <w:t xml:space="preserve"> and Table S2 in the Supporting Material)</w:t>
      </w:r>
      <w:r w:rsidR="008F0FDA" w:rsidRPr="00966B21">
        <w:rPr>
          <w:color w:val="000000" w:themeColor="text1"/>
          <w:lang w:val="en-GB"/>
        </w:rPr>
        <w:t>.</w:t>
      </w:r>
      <w:r w:rsidR="008F0FDA" w:rsidRPr="00966B21">
        <w:rPr>
          <w:color w:val="FF0000"/>
          <w:lang w:val="en-GB"/>
        </w:rPr>
        <w:t xml:space="preserve"> </w:t>
      </w:r>
      <w:bookmarkEnd w:id="8"/>
      <w:r w:rsidRPr="00966B21">
        <w:rPr>
          <w:szCs w:val="16"/>
          <w:lang w:val="en-GB"/>
        </w:rPr>
        <w:t xml:space="preserve">The </w:t>
      </w:r>
      <w:r w:rsidR="00E26892" w:rsidRPr="00966B21">
        <w:rPr>
          <w:rFonts w:ascii="Symbol" w:hAnsi="Symbol"/>
          <w:i/>
          <w:iCs/>
          <w:color w:val="000000" w:themeColor="text1"/>
          <w:szCs w:val="16"/>
          <w:lang w:val="en-GB"/>
        </w:rPr>
        <w:t></w:t>
      </w:r>
      <w:r w:rsidRPr="00966B21">
        <w:rPr>
          <w:szCs w:val="16"/>
          <w:vertAlign w:val="subscript"/>
          <w:lang w:val="en-GB"/>
        </w:rPr>
        <w:t>b</w:t>
      </w:r>
      <w:r w:rsidRPr="00966B21">
        <w:rPr>
          <w:szCs w:val="16"/>
          <w:lang w:val="en-GB"/>
        </w:rPr>
        <w:t xml:space="preserve"> values for these interactions range from 0.013 to 0.002 au. Among them, the O-H</w:t>
      </w:r>
      <w:r w:rsidRPr="00966B21">
        <w:rPr>
          <w:szCs w:val="16"/>
          <w:vertAlign w:val="subscript"/>
          <w:lang w:val="en-GB"/>
        </w:rPr>
        <w:t>TM</w:t>
      </w:r>
      <w:r w:rsidRPr="00966B21">
        <w:rPr>
          <w:szCs w:val="16"/>
          <w:lang w:val="en-GB"/>
        </w:rPr>
        <w:t>···C</w:t>
      </w:r>
      <w:r w:rsidR="00E26892" w:rsidRPr="00966B21">
        <w:rPr>
          <w:rFonts w:ascii="Symbol" w:hAnsi="Symbol"/>
          <w:color w:val="000000" w:themeColor="text1"/>
          <w:vertAlign w:val="subscript"/>
          <w:lang w:val="en-GB"/>
        </w:rPr>
        <w:t></w:t>
      </w:r>
      <w:r w:rsidR="00E26892" w:rsidRPr="00966B21">
        <w:rPr>
          <w:rFonts w:ascii="Symbol" w:hAnsi="Symbol"/>
          <w:color w:val="000000" w:themeColor="text1"/>
          <w:vertAlign w:val="subscript"/>
          <w:lang w:val="en-GB"/>
        </w:rPr>
        <w:t></w:t>
      </w:r>
      <w:r w:rsidRPr="00966B21">
        <w:rPr>
          <w:szCs w:val="16"/>
          <w:vertAlign w:val="subscript"/>
          <w:lang w:val="en-GB"/>
        </w:rPr>
        <w:t>car</w:t>
      </w:r>
      <w:r w:rsidRPr="00966B21">
        <w:rPr>
          <w:szCs w:val="16"/>
          <w:lang w:val="en-GB"/>
        </w:rPr>
        <w:t xml:space="preserve"> H-bond displayed the strongest interaction (</w:t>
      </w:r>
      <w:r w:rsidR="001E7DB4" w:rsidRPr="00966B21">
        <w:rPr>
          <w:szCs w:val="16"/>
          <w:lang w:val="en-GB"/>
        </w:rPr>
        <w:t xml:space="preserve">see </w:t>
      </w:r>
      <w:r w:rsidRPr="00966B21">
        <w:rPr>
          <w:szCs w:val="16"/>
          <w:lang w:val="en-GB"/>
        </w:rPr>
        <w:t>Supp</w:t>
      </w:r>
      <w:r w:rsidR="001E7DB4" w:rsidRPr="00966B21">
        <w:rPr>
          <w:szCs w:val="16"/>
          <w:lang w:val="en-GB"/>
        </w:rPr>
        <w:t>lementary Material</w:t>
      </w:r>
      <w:r w:rsidRPr="00966B21">
        <w:rPr>
          <w:szCs w:val="16"/>
          <w:lang w:val="en-GB"/>
        </w:rPr>
        <w:t xml:space="preserve">). </w:t>
      </w:r>
    </w:p>
    <w:p w14:paraId="7C44E2BF" w14:textId="0E2EDA03" w:rsidR="00B73D88" w:rsidRPr="00966B21" w:rsidRDefault="00B73D88" w:rsidP="00E26892">
      <w:pPr>
        <w:pStyle w:val="NormaleWeb"/>
        <w:spacing w:before="0" w:beforeAutospacing="0" w:after="0" w:afterAutospacing="0"/>
        <w:jc w:val="both"/>
        <w:rPr>
          <w:szCs w:val="16"/>
          <w:lang w:val="en-GB"/>
        </w:rPr>
      </w:pPr>
      <w:r w:rsidRPr="00966B21">
        <w:rPr>
          <w:szCs w:val="16"/>
          <w:lang w:val="en-GB"/>
        </w:rPr>
        <w:t xml:space="preserve">The overall interaction strength, assessed by the sum of electron densities at all bcps between TM and β-carotene </w:t>
      </w:r>
      <w:r w:rsidR="00E26892" w:rsidRPr="00966B21">
        <w:rPr>
          <w:color w:val="000000" w:themeColor="text1"/>
          <w:lang w:val="en-GB"/>
        </w:rPr>
        <w:t>(</w:t>
      </w:r>
      <w:r w:rsidR="00E26892" w:rsidRPr="00966B21">
        <w:rPr>
          <w:rFonts w:ascii="Symbol" w:hAnsi="Symbol"/>
          <w:color w:val="000000" w:themeColor="text1"/>
          <w:lang w:val="en-GB"/>
        </w:rPr>
        <w:t></w:t>
      </w:r>
      <w:r w:rsidR="00E26892" w:rsidRPr="00966B21">
        <w:rPr>
          <w:rFonts w:ascii="Symbol" w:hAnsi="Symbol"/>
          <w:color w:val="000000" w:themeColor="text1"/>
          <w:lang w:val="en-GB"/>
        </w:rPr>
        <w:t></w:t>
      </w:r>
      <w:r w:rsidR="00E26892" w:rsidRPr="00966B21">
        <w:rPr>
          <w:color w:val="000000" w:themeColor="text1"/>
          <w:vertAlign w:val="subscript"/>
          <w:lang w:val="en-GB"/>
        </w:rPr>
        <w:t>b</w:t>
      </w:r>
      <w:r w:rsidRPr="00966B21">
        <w:rPr>
          <w:color w:val="000000" w:themeColor="text1"/>
          <w:szCs w:val="16"/>
          <w:lang w:val="en-GB"/>
        </w:rPr>
        <w:t>),</w:t>
      </w:r>
      <w:r w:rsidRPr="00966B21">
        <w:rPr>
          <w:szCs w:val="16"/>
          <w:lang w:val="en-GB"/>
        </w:rPr>
        <w:t xml:space="preserve"> correlates well with the interaction and binding energies of the complexes</w:t>
      </w:r>
      <w:r w:rsidR="00E26892" w:rsidRPr="00966B21">
        <w:rPr>
          <w:szCs w:val="16"/>
          <w:lang w:val="en-GB"/>
        </w:rPr>
        <w:t xml:space="preserve"> </w:t>
      </w:r>
      <w:r w:rsidR="00E26892" w:rsidRPr="00966B21">
        <w:rPr>
          <w:szCs w:val="16"/>
          <w:lang w:val="en-GB"/>
        </w:rPr>
        <w:fldChar w:fldCharType="begin" w:fldLock="1"/>
      </w:r>
      <w:r w:rsidR="00CD7D53" w:rsidRPr="00966B21">
        <w:rPr>
          <w:szCs w:val="16"/>
          <w:lang w:val="en-GB"/>
        </w:rPr>
        <w:instrText>ADDIN CSL_CITATION {"citationItems":[{"id":"ITEM-1","itemData":{"DOI":"10.1016/j.heliyon.2023.e16912","ISSN":"24058440","abstract":"Deep eutectic solvents (DESs) potential for the extraction of polyphenolic compounds (PC) from mango by-products (peel and seed) was evaluated. Ultrasound (US) and agitation were applied to evaluate the effects of solvent and extraction methodology. The extracts were characterized with antioxidant capacity and HPLC-DAD profile. A theoretical study was performed using density functional theory and the QTAIM approach. β-alanine and choline chloride based DESs were effective to extract PC from peel and seed. Some DES increased PC extraction up to three times for peel (23.05 ± 1.22 mg/g DW) and up to five time for seeds (60.01 ± 1.40 mg/g DW). The PC profile varied with the solvent (DES vs EtOH/MeOH), procedure (US vs agitation) and material (peel or seed). Mangiferin extraction from peels was significantly increased with β-alanine based DES (676.08 ± 20.34 μg/gDW). The strength of H-bonds had a determining effect on the viscosity of DESs. The solute-solvent solvation energy was suitable to estimate the strength of H-bond interactions between DES and target compounds. This study demonstrates the remarkable capacity of DESs to extract PC from mango by-products and provides insights into the factors controlling extraction properties.","author":[{"dropping-particle":"","family":"Ojeda","given":"Gonzalo A.","non-dropping-particle":"","parse-names":false,"suffix":""},{"dropping-particle":"","family":"Vallejos","given":"Margarita M.","non-dropping-particle":"","parse-names":false,"suffix":""},{"dropping-particle":"","family":"Sgroppo","given":"Sonia C.","non-dropping-particle":"","parse-names":false,"suffix":""},{"dropping-particle":"","family":"Sánchez-Moreno","given":"Concepción","non-dropping-particle":"","parse-names":false,"suffix":""},{"dropping-particle":"","family":"Ancos","given":"Begoña","non-dropping-particle":"de","parse-names":false,"suffix":""}],"container-title":"Heliyon","id":"ITEM-1","issue":"6","issued":{"date-parts":[["2023"]]},"page":"1-14","title":"Enhanced extraction of phenolic compounds from mango by-products using deep eutectic solvents","type":"article-journal","volume":"9"},"uris":["http://www.mendeley.com/documents/?uuid=912cf1d0-faf4-4619-ba81-33fc85d08b06"]}],"mendeley":{"formattedCitation":"[2]","plainTextFormattedCitation":"[2]","previouslyFormattedCitation":"[2]"},"properties":{"noteIndex":0},"schema":"https://github.com/citation-style-language/schema/raw/master/csl-citation.json"}</w:instrText>
      </w:r>
      <w:r w:rsidR="00E26892" w:rsidRPr="00966B21">
        <w:rPr>
          <w:szCs w:val="16"/>
          <w:lang w:val="en-GB"/>
        </w:rPr>
        <w:fldChar w:fldCharType="separate"/>
      </w:r>
      <w:r w:rsidR="00CA7138" w:rsidRPr="00966B21">
        <w:rPr>
          <w:noProof/>
          <w:szCs w:val="16"/>
          <w:lang w:val="en-GB"/>
        </w:rPr>
        <w:t>[2]</w:t>
      </w:r>
      <w:r w:rsidR="00E26892" w:rsidRPr="00966B21">
        <w:rPr>
          <w:szCs w:val="16"/>
          <w:lang w:val="en-GB"/>
        </w:rPr>
        <w:fldChar w:fldCharType="end"/>
      </w:r>
      <w:r w:rsidRPr="00966B21">
        <w:rPr>
          <w:szCs w:val="16"/>
          <w:lang w:val="en-GB"/>
        </w:rPr>
        <w:t>. Good linear correlations were observed between</w:t>
      </w:r>
      <w:r w:rsidR="00182A57" w:rsidRPr="00966B21">
        <w:rPr>
          <w:szCs w:val="16"/>
          <w:lang w:val="en-GB"/>
        </w:rPr>
        <w:t xml:space="preserve"> </w:t>
      </w:r>
      <w:r w:rsidR="00182A57" w:rsidRPr="00966B21">
        <w:rPr>
          <w:rFonts w:ascii="Symbol" w:hAnsi="Symbol"/>
          <w:color w:val="000000" w:themeColor="text1"/>
          <w:lang w:val="en-GB"/>
        </w:rPr>
        <w:t></w:t>
      </w:r>
      <w:r w:rsidR="00182A57" w:rsidRPr="00966B21">
        <w:rPr>
          <w:rFonts w:ascii="Symbol" w:hAnsi="Symbol"/>
          <w:i/>
          <w:iCs/>
          <w:color w:val="000000" w:themeColor="text1"/>
          <w:lang w:val="en-GB"/>
        </w:rPr>
        <w:t></w:t>
      </w:r>
      <w:r w:rsidR="00182A57" w:rsidRPr="00966B21">
        <w:rPr>
          <w:color w:val="000000" w:themeColor="text1"/>
          <w:vertAlign w:val="subscript"/>
          <w:lang w:val="en-GB"/>
        </w:rPr>
        <w:t>b</w:t>
      </w:r>
      <w:r w:rsidRPr="00966B21">
        <w:rPr>
          <w:szCs w:val="16"/>
          <w:lang w:val="en-GB"/>
        </w:rPr>
        <w:t xml:space="preserve"> and </w:t>
      </w:r>
      <w:r w:rsidRPr="00966B21">
        <w:rPr>
          <w:szCs w:val="16"/>
          <w:lang w:val="en-GB"/>
        </w:rPr>
        <w:lastRenderedPageBreak/>
        <w:t xml:space="preserve">both </w:t>
      </w:r>
      <w:r w:rsidR="00182A57" w:rsidRPr="00966B21">
        <w:rPr>
          <w:rFonts w:ascii="Symbol" w:hAnsi="Symbol"/>
          <w:color w:val="000000" w:themeColor="text1"/>
          <w:lang w:val="en-GB"/>
        </w:rPr>
        <w:t></w:t>
      </w:r>
      <w:r w:rsidR="00182A57" w:rsidRPr="00966B21">
        <w:rPr>
          <w:color w:val="000000" w:themeColor="text1"/>
          <w:lang w:val="en-GB"/>
        </w:rPr>
        <w:t>E</w:t>
      </w:r>
      <w:r w:rsidR="00182A57" w:rsidRPr="00966B21">
        <w:rPr>
          <w:color w:val="000000" w:themeColor="text1"/>
          <w:vertAlign w:val="subscript"/>
          <w:lang w:val="en-GB"/>
        </w:rPr>
        <w:t>TM-</w:t>
      </w:r>
      <w:r w:rsidR="00182A57" w:rsidRPr="00966B21">
        <w:rPr>
          <w:rFonts w:ascii="Symbol" w:hAnsi="Symbol"/>
          <w:color w:val="000000" w:themeColor="text1"/>
          <w:vertAlign w:val="subscript"/>
          <w:lang w:val="en-GB"/>
        </w:rPr>
        <w:t></w:t>
      </w:r>
      <w:r w:rsidR="00182A57" w:rsidRPr="00966B21">
        <w:rPr>
          <w:color w:val="000000" w:themeColor="text1"/>
          <w:vertAlign w:val="subscript"/>
          <w:lang w:val="en-GB"/>
        </w:rPr>
        <w:t>car</w:t>
      </w:r>
      <w:r w:rsidR="00182A57" w:rsidRPr="00966B21">
        <w:rPr>
          <w:color w:val="0070C0"/>
          <w:lang w:val="en-GB"/>
        </w:rPr>
        <w:t xml:space="preserve"> </w:t>
      </w:r>
      <w:r w:rsidRPr="00966B21">
        <w:rPr>
          <w:szCs w:val="16"/>
          <w:lang w:val="en-GB"/>
        </w:rPr>
        <w:t xml:space="preserve">and </w:t>
      </w:r>
      <w:r w:rsidR="00182A57" w:rsidRPr="00966B21">
        <w:rPr>
          <w:rFonts w:ascii="Symbol" w:hAnsi="Symbol"/>
          <w:color w:val="000000" w:themeColor="text1"/>
          <w:lang w:val="en-GB"/>
        </w:rPr>
        <w:t></w:t>
      </w:r>
      <w:r w:rsidR="00182A57" w:rsidRPr="00966B21">
        <w:rPr>
          <w:color w:val="000000" w:themeColor="text1"/>
          <w:lang w:val="en-GB"/>
        </w:rPr>
        <w:t>E</w:t>
      </w:r>
      <w:r w:rsidR="00182A57" w:rsidRPr="00966B21">
        <w:rPr>
          <w:color w:val="000000" w:themeColor="text1"/>
          <w:vertAlign w:val="subscript"/>
          <w:lang w:val="en-GB"/>
        </w:rPr>
        <w:t>TM∩</w:t>
      </w:r>
      <w:r w:rsidR="00182A57" w:rsidRPr="00966B21">
        <w:rPr>
          <w:rFonts w:ascii="Symbol" w:hAnsi="Symbol"/>
          <w:color w:val="000000" w:themeColor="text1"/>
          <w:vertAlign w:val="subscript"/>
          <w:lang w:val="en-GB"/>
        </w:rPr>
        <w:t></w:t>
      </w:r>
      <w:r w:rsidR="00182A57" w:rsidRPr="00966B21">
        <w:rPr>
          <w:color w:val="000000" w:themeColor="text1"/>
          <w:vertAlign w:val="subscript"/>
          <w:lang w:val="en-GB"/>
        </w:rPr>
        <w:t>car</w:t>
      </w:r>
      <w:r w:rsidR="00182A57" w:rsidRPr="00966B21">
        <w:rPr>
          <w:color w:val="0070C0"/>
          <w:lang w:val="en-GB"/>
        </w:rPr>
        <w:t xml:space="preserve"> </w:t>
      </w:r>
      <w:r w:rsidRPr="00966B21">
        <w:rPr>
          <w:szCs w:val="16"/>
          <w:lang w:val="en-GB"/>
        </w:rPr>
        <w:t>(</w:t>
      </w:r>
      <w:r w:rsidRPr="00966B21">
        <w:rPr>
          <w:i/>
          <w:iCs/>
          <w:szCs w:val="16"/>
          <w:lang w:val="en-GB"/>
        </w:rPr>
        <w:t>R</w:t>
      </w:r>
      <w:r w:rsidRPr="00966B21">
        <w:rPr>
          <w:szCs w:val="16"/>
          <w:lang w:val="en-GB"/>
        </w:rPr>
        <w:t>² = 0.972 and 0.936, respectively) (</w:t>
      </w:r>
      <w:r w:rsidR="00416BB8" w:rsidRPr="00966B21">
        <w:rPr>
          <w:szCs w:val="16"/>
          <w:lang w:val="en-GB"/>
        </w:rPr>
        <w:t>Figure</w:t>
      </w:r>
      <w:r w:rsidRPr="00966B21">
        <w:rPr>
          <w:szCs w:val="16"/>
          <w:lang w:val="en-GB"/>
        </w:rPr>
        <w:t xml:space="preserve"> S</w:t>
      </w:r>
      <w:r w:rsidR="00416BB8" w:rsidRPr="00966B21">
        <w:rPr>
          <w:szCs w:val="16"/>
          <w:lang w:val="en-GB"/>
        </w:rPr>
        <w:t>1</w:t>
      </w:r>
      <w:r w:rsidR="00E106C8" w:rsidRPr="00966B21">
        <w:rPr>
          <w:szCs w:val="16"/>
          <w:lang w:val="en-GB"/>
        </w:rPr>
        <w:t>3</w:t>
      </w:r>
      <w:r w:rsidRPr="00966B21">
        <w:rPr>
          <w:szCs w:val="16"/>
          <w:lang w:val="en-GB"/>
        </w:rPr>
        <w:t xml:space="preserve">), highlighting the role of these interactions in stabilizing the complexes. </w:t>
      </w:r>
    </w:p>
    <w:p w14:paraId="79BBA38F" w14:textId="77777777" w:rsidR="00B73D88" w:rsidRPr="00966B21" w:rsidRDefault="00B73D88" w:rsidP="002753DB">
      <w:pPr>
        <w:pStyle w:val="NormaleWeb"/>
        <w:spacing w:before="0" w:beforeAutospacing="0" w:after="0" w:afterAutospacing="0"/>
        <w:jc w:val="both"/>
        <w:rPr>
          <w:szCs w:val="16"/>
          <w:lang w:val="en-GB"/>
        </w:rPr>
      </w:pPr>
    </w:p>
    <w:p w14:paraId="2E7E8DA0" w14:textId="77777777" w:rsidR="000406C5" w:rsidRPr="00966B21" w:rsidRDefault="000406C5" w:rsidP="002753DB">
      <w:pPr>
        <w:pStyle w:val="NormaleWeb"/>
        <w:spacing w:before="0" w:beforeAutospacing="0" w:after="0" w:afterAutospacing="0"/>
        <w:jc w:val="both"/>
        <w:rPr>
          <w:szCs w:val="16"/>
          <w:lang w:val="en-GB"/>
        </w:rPr>
      </w:pPr>
    </w:p>
    <w:p w14:paraId="480C0386" w14:textId="77777777" w:rsidR="00590A65" w:rsidRPr="00966B21" w:rsidRDefault="00706AF9" w:rsidP="002753DB">
      <w:pPr>
        <w:pStyle w:val="NormaleWeb"/>
        <w:spacing w:before="0" w:beforeAutospacing="0" w:after="0" w:afterAutospacing="0"/>
        <w:jc w:val="both"/>
        <w:rPr>
          <w:b/>
          <w:lang w:val="en-GB"/>
        </w:rPr>
      </w:pPr>
      <w:r w:rsidRPr="00966B21">
        <w:rPr>
          <w:b/>
          <w:lang w:val="en-GB"/>
        </w:rPr>
        <w:t xml:space="preserve">4 </w:t>
      </w:r>
      <w:r w:rsidR="00557173" w:rsidRPr="00966B21">
        <w:rPr>
          <w:b/>
          <w:lang w:val="en-GB"/>
        </w:rPr>
        <w:t>Conclusions</w:t>
      </w:r>
    </w:p>
    <w:p w14:paraId="0FF001B3" w14:textId="77777777" w:rsidR="000406C5" w:rsidRPr="00966B21" w:rsidRDefault="000406C5" w:rsidP="002753DB">
      <w:pPr>
        <w:pStyle w:val="NormaleWeb"/>
        <w:spacing w:before="0" w:beforeAutospacing="0" w:after="0" w:afterAutospacing="0"/>
        <w:jc w:val="both"/>
        <w:rPr>
          <w:b/>
          <w:lang w:val="en-GB"/>
        </w:rPr>
      </w:pPr>
    </w:p>
    <w:p w14:paraId="057DF796" w14:textId="752D5D2C" w:rsidR="00182A57" w:rsidRPr="00966B21" w:rsidRDefault="003D6247" w:rsidP="002753DB">
      <w:pPr>
        <w:pStyle w:val="NormaleWeb"/>
        <w:spacing w:before="0" w:beforeAutospacing="0" w:after="0" w:afterAutospacing="0"/>
        <w:jc w:val="both"/>
        <w:rPr>
          <w:lang w:val="en-GB"/>
        </w:rPr>
      </w:pPr>
      <w:r w:rsidRPr="00966B21">
        <w:rPr>
          <w:lang w:val="en-GB"/>
        </w:rPr>
        <w:t>Hydrophobic eutectic solvents</w:t>
      </w:r>
      <w:r w:rsidR="002E7844" w:rsidRPr="00966B21">
        <w:rPr>
          <w:lang w:val="en-GB"/>
        </w:rPr>
        <w:t xml:space="preserve"> (HESs)</w:t>
      </w:r>
      <w:r w:rsidRPr="00966B21">
        <w:rPr>
          <w:lang w:val="en-GB"/>
        </w:rPr>
        <w:t xml:space="preserve"> </w:t>
      </w:r>
      <w:r w:rsidR="00D43636" w:rsidRPr="00966B21">
        <w:rPr>
          <w:bCs/>
          <w:lang w:val="en-GB"/>
        </w:rPr>
        <w:t>have proven to be effective for extracting carotenoids</w:t>
      </w:r>
      <w:r w:rsidR="00D43636" w:rsidRPr="00966B21">
        <w:rPr>
          <w:b/>
          <w:bCs/>
          <w:lang w:val="en-GB"/>
        </w:rPr>
        <w:t xml:space="preserve"> </w:t>
      </w:r>
      <w:r w:rsidRPr="00966B21">
        <w:rPr>
          <w:lang w:val="en-GB"/>
        </w:rPr>
        <w:t xml:space="preserve">from mango </w:t>
      </w:r>
      <w:r w:rsidR="00EF594D" w:rsidRPr="00966B21">
        <w:rPr>
          <w:i/>
          <w:lang w:val="en-GB"/>
        </w:rPr>
        <w:t>criollo</w:t>
      </w:r>
      <w:r w:rsidRPr="00966B21">
        <w:rPr>
          <w:lang w:val="en-GB"/>
        </w:rPr>
        <w:t xml:space="preserve"> peels. </w:t>
      </w:r>
      <w:r w:rsidR="00A94237" w:rsidRPr="00966B21">
        <w:rPr>
          <w:lang w:val="en-US"/>
        </w:rPr>
        <w:t xml:space="preserve">The </w:t>
      </w:r>
      <w:r w:rsidR="00CC7078" w:rsidRPr="00966B21">
        <w:rPr>
          <w:lang w:val="en-US"/>
        </w:rPr>
        <w:t xml:space="preserve">estimated </w:t>
      </w:r>
      <w:r w:rsidR="00A94237" w:rsidRPr="00966B21">
        <w:rPr>
          <w:lang w:val="en-US"/>
        </w:rPr>
        <w:t xml:space="preserve">polarity of solvents did not show a direct relationship with extraction yields and recovery rates for </w:t>
      </w:r>
      <w:r w:rsidR="00A94237" w:rsidRPr="00966B21">
        <w:t>β</w:t>
      </w:r>
      <w:r w:rsidR="00A94237" w:rsidRPr="00966B21">
        <w:rPr>
          <w:lang w:val="en-US"/>
        </w:rPr>
        <w:t>-carotene and lutein, indicating the potential influence of other factors</w:t>
      </w:r>
      <w:r w:rsidRPr="00966B21">
        <w:rPr>
          <w:lang w:val="en-GB"/>
        </w:rPr>
        <w:t xml:space="preserve">. </w:t>
      </w:r>
      <w:r w:rsidR="000406C5" w:rsidRPr="00966B21">
        <w:rPr>
          <w:lang w:val="en-GB"/>
        </w:rPr>
        <w:t>Light and thermal stability varied depending on solvent composition. A thymol</w:t>
      </w:r>
      <w:r w:rsidR="002B7A6A" w:rsidRPr="00966B21">
        <w:rPr>
          <w:lang w:val="en-GB"/>
        </w:rPr>
        <w:t xml:space="preserve"> : </w:t>
      </w:r>
      <w:r w:rsidR="000406C5" w:rsidRPr="00966B21">
        <w:rPr>
          <w:lang w:val="en-GB"/>
        </w:rPr>
        <w:t>menthol (1 : 1) eutectic mixture was effective to obtain stable carotenoid extracts</w:t>
      </w:r>
      <w:r w:rsidR="00182A57" w:rsidRPr="00966B21">
        <w:rPr>
          <w:lang w:val="en-GB"/>
        </w:rPr>
        <w:t>. These discoveries underline the importance of adequate solvent selection and extraction conditions to obtain stable carotenoid extracts</w:t>
      </w:r>
      <w:r w:rsidR="00643A71" w:rsidRPr="00966B21">
        <w:rPr>
          <w:lang w:val="en-GB"/>
        </w:rPr>
        <w:t>.</w:t>
      </w:r>
    </w:p>
    <w:p w14:paraId="4A9844DB" w14:textId="47D3BDF7" w:rsidR="00182A57" w:rsidRPr="00966B21" w:rsidRDefault="002E7844" w:rsidP="00182A57">
      <w:pPr>
        <w:pStyle w:val="NormaleWeb"/>
        <w:spacing w:before="0" w:beforeAutospacing="0" w:after="0" w:afterAutospacing="0"/>
        <w:jc w:val="both"/>
        <w:rPr>
          <w:color w:val="000000" w:themeColor="text1"/>
          <w:lang w:val="en-GB"/>
        </w:rPr>
      </w:pPr>
      <w:r w:rsidRPr="00966B21">
        <w:rPr>
          <w:lang w:val="en-GB"/>
        </w:rPr>
        <w:t xml:space="preserve">Theoretical studies revealed the importance of weak intermolecular interactions in the formation of </w:t>
      </w:r>
      <w:r w:rsidR="001E7DB4" w:rsidRPr="00966B21">
        <w:rPr>
          <w:lang w:val="en-GB"/>
        </w:rPr>
        <w:t>t</w:t>
      </w:r>
      <w:r w:rsidRPr="00966B21">
        <w:rPr>
          <w:lang w:val="en-GB"/>
        </w:rPr>
        <w:t xml:space="preserve">hymol </w:t>
      </w:r>
      <w:r w:rsidR="001E7DB4" w:rsidRPr="00966B21">
        <w:rPr>
          <w:lang w:val="en-GB"/>
        </w:rPr>
        <w:t>:</w:t>
      </w:r>
      <w:r w:rsidRPr="00966B21">
        <w:rPr>
          <w:lang w:val="en-GB"/>
        </w:rPr>
        <w:t xml:space="preserve"> </w:t>
      </w:r>
      <w:r w:rsidR="001E7DB4" w:rsidRPr="00966B21">
        <w:rPr>
          <w:lang w:val="en-GB"/>
        </w:rPr>
        <w:t>m</w:t>
      </w:r>
      <w:r w:rsidRPr="00966B21">
        <w:rPr>
          <w:lang w:val="en-GB"/>
        </w:rPr>
        <w:t>enthol : β-carotene complexes. These interactions, while individually weak, establish multiple contact points, contributing to the efficiency of the extraction process and the stability of the complex</w:t>
      </w:r>
      <w:r w:rsidR="00182A57" w:rsidRPr="00966B21">
        <w:rPr>
          <w:color w:val="000000" w:themeColor="text1"/>
          <w:lang w:val="en-GB"/>
        </w:rPr>
        <w:t xml:space="preserve">. Additionally, the electron density of intermolecular interactions proved to be a reliable indicator of complex stability, </w:t>
      </w:r>
      <w:r w:rsidRPr="00966B21">
        <w:rPr>
          <w:lang w:val="en-GB"/>
        </w:rPr>
        <w:t>offering valuable insights for the design of novel HES.</w:t>
      </w:r>
      <w:r w:rsidRPr="00966B21">
        <w:rPr>
          <w:color w:val="000000" w:themeColor="text1"/>
          <w:lang w:val="en-GB"/>
        </w:rPr>
        <w:t xml:space="preserve"> </w:t>
      </w:r>
      <w:r w:rsidR="00182A57" w:rsidRPr="00966B21">
        <w:rPr>
          <w:color w:val="000000" w:themeColor="text1"/>
          <w:lang w:val="en-GB"/>
        </w:rPr>
        <w:t xml:space="preserve">This underscores the importance of understanding these subtle interactions in advancing solvent technology and improving extraction methodologies. </w:t>
      </w:r>
    </w:p>
    <w:p w14:paraId="60B1CAF5" w14:textId="5F2FDA7D" w:rsidR="005E41E4" w:rsidRPr="00966B21" w:rsidRDefault="002E7844" w:rsidP="002E7844">
      <w:pPr>
        <w:pStyle w:val="NormaleWeb"/>
        <w:spacing w:before="0" w:beforeAutospacing="0" w:after="0" w:afterAutospacing="0"/>
        <w:jc w:val="both"/>
        <w:rPr>
          <w:color w:val="000000" w:themeColor="text1"/>
          <w:lang w:val="en-US"/>
        </w:rPr>
      </w:pPr>
      <w:r w:rsidRPr="00966B21">
        <w:rPr>
          <w:bCs/>
          <w:color w:val="000000" w:themeColor="text1"/>
          <w:lang w:val="en-GB"/>
        </w:rPr>
        <w:t xml:space="preserve">This research advances the </w:t>
      </w:r>
      <w:r w:rsidR="002B7A6A" w:rsidRPr="00966B21">
        <w:rPr>
          <w:bCs/>
          <w:color w:val="000000" w:themeColor="text1"/>
          <w:lang w:val="en-GB"/>
        </w:rPr>
        <w:t>valorisation</w:t>
      </w:r>
      <w:r w:rsidRPr="00966B21">
        <w:rPr>
          <w:bCs/>
          <w:color w:val="000000" w:themeColor="text1"/>
          <w:lang w:val="en-GB"/>
        </w:rPr>
        <w:t xml:space="preserve"> of mango peel waste by developing an efficient and sustainable method for carotenoid extraction.</w:t>
      </w:r>
      <w:r w:rsidRPr="00966B21">
        <w:rPr>
          <w:color w:val="000000" w:themeColor="text1"/>
          <w:lang w:val="en-GB"/>
        </w:rPr>
        <w:t xml:space="preserve"> </w:t>
      </w:r>
    </w:p>
    <w:p w14:paraId="1F3A7D43" w14:textId="3132A708" w:rsidR="002E7844" w:rsidRPr="00966B21" w:rsidRDefault="002E7844" w:rsidP="002E7844">
      <w:pPr>
        <w:pStyle w:val="NormaleWeb"/>
        <w:spacing w:before="0" w:beforeAutospacing="0" w:after="0" w:afterAutospacing="0"/>
        <w:jc w:val="both"/>
        <w:rPr>
          <w:color w:val="000000" w:themeColor="text1"/>
          <w:lang w:val="en-GB"/>
        </w:rPr>
      </w:pPr>
      <w:r w:rsidRPr="00966B21">
        <w:rPr>
          <w:color w:val="000000" w:themeColor="text1"/>
          <w:lang w:val="en-GB"/>
        </w:rPr>
        <w:t>The findings provide crucial information for selecting suitable solvents and optimizing extraction conditions to preserve carotenoid bioactivity. This opens up new possibilities for applications in the food, cosmetic, and pharmaceutical industries. Furthermore, the insights gained into the structure and molecular interactions between HESs and β-carotene offer a foundation for designing customized HESs tailored for the extraction of specific compounds.</w:t>
      </w:r>
      <w:r w:rsidR="0019610E" w:rsidRPr="00966B21">
        <w:rPr>
          <w:color w:val="000000" w:themeColor="text1"/>
          <w:lang w:val="en-GB"/>
        </w:rPr>
        <w:t xml:space="preserve"> </w:t>
      </w:r>
    </w:p>
    <w:p w14:paraId="55E20D87" w14:textId="0C666B02" w:rsidR="0019610E" w:rsidRPr="00966B21" w:rsidRDefault="0019610E" w:rsidP="0019610E">
      <w:pPr>
        <w:pStyle w:val="NormaleWeb"/>
        <w:spacing w:before="0" w:beforeAutospacing="0" w:after="0" w:afterAutospacing="0"/>
        <w:jc w:val="both"/>
        <w:rPr>
          <w:color w:val="000000" w:themeColor="text1"/>
          <w:lang w:val="en-US"/>
        </w:rPr>
      </w:pPr>
      <w:r w:rsidRPr="00966B21">
        <w:rPr>
          <w:lang w:val="en-US"/>
        </w:rPr>
        <w:t>While significant progress has been made in optimizing extraction conditions, one important area requiring further investigation is the efficient recovery of the extracted carotenoids from the HES mixture. Future research should focus on exploring recovery methods, including the use of switchable solvents, resins, antisolvents or other suitable method, to develop a complete and scalable process for carotenoid extraction and purification.</w:t>
      </w:r>
    </w:p>
    <w:p w14:paraId="21E4264B" w14:textId="77777777" w:rsidR="002E7844" w:rsidRPr="00966B21" w:rsidRDefault="002E7844" w:rsidP="002E7844">
      <w:pPr>
        <w:pStyle w:val="NormaleWeb"/>
        <w:spacing w:before="0" w:beforeAutospacing="0" w:after="0" w:afterAutospacing="0"/>
        <w:rPr>
          <w:color w:val="000000" w:themeColor="text1"/>
          <w:lang w:val="en-GB"/>
        </w:rPr>
      </w:pPr>
    </w:p>
    <w:p w14:paraId="71221443" w14:textId="77777777" w:rsidR="002E7844" w:rsidRPr="00966B21" w:rsidRDefault="002E7844" w:rsidP="002E7844">
      <w:pPr>
        <w:pStyle w:val="NormaleWeb"/>
        <w:spacing w:before="0" w:beforeAutospacing="0" w:after="0" w:afterAutospacing="0"/>
        <w:rPr>
          <w:b/>
          <w:color w:val="000000" w:themeColor="text1"/>
          <w:lang w:val="en-GB"/>
        </w:rPr>
      </w:pPr>
      <w:r w:rsidRPr="00966B21">
        <w:rPr>
          <w:b/>
          <w:color w:val="000000" w:themeColor="text1"/>
          <w:lang w:val="en-GB"/>
        </w:rPr>
        <w:t>Acknowledgements</w:t>
      </w:r>
    </w:p>
    <w:p w14:paraId="437032BE" w14:textId="77777777" w:rsidR="002E7844" w:rsidRPr="00966B21" w:rsidRDefault="002E7844" w:rsidP="002E7844">
      <w:pPr>
        <w:pStyle w:val="NormaleWeb"/>
        <w:spacing w:before="0" w:beforeAutospacing="0" w:after="0" w:afterAutospacing="0"/>
        <w:rPr>
          <w:b/>
          <w:color w:val="000000" w:themeColor="text1"/>
          <w:lang w:val="en-GB"/>
        </w:rPr>
      </w:pPr>
    </w:p>
    <w:p w14:paraId="55B53963" w14:textId="36E422D1" w:rsidR="003D5567" w:rsidRPr="00966B21" w:rsidRDefault="001E7DB4" w:rsidP="002E7844">
      <w:pPr>
        <w:pStyle w:val="NormaleWeb"/>
        <w:spacing w:before="0" w:beforeAutospacing="0" w:after="0" w:afterAutospacing="0"/>
        <w:jc w:val="both"/>
        <w:rPr>
          <w:bCs/>
          <w:lang w:val="en-GB"/>
        </w:rPr>
      </w:pPr>
      <w:r w:rsidRPr="00966B21">
        <w:rPr>
          <w:color w:val="000000" w:themeColor="text1"/>
          <w:lang w:val="en-GB"/>
        </w:rPr>
        <w:t>This study was partially carried out within the Agritech National Research Center and received funding from the European Union Next-GenerationEU (</w:t>
      </w:r>
      <w:r w:rsidR="00BE460E" w:rsidRPr="00966B21">
        <w:rPr>
          <w:color w:val="000000" w:themeColor="text1"/>
          <w:lang w:val="en-GB"/>
        </w:rPr>
        <w:t>Piano Nazionale di Ripresa e Resilienza PNRR</w:t>
      </w:r>
      <w:r w:rsidR="00E6687A" w:rsidRPr="00966B21">
        <w:rPr>
          <w:color w:val="000000" w:themeColor="text1"/>
          <w:lang w:val="en-GB"/>
        </w:rPr>
        <w:t xml:space="preserve"> </w:t>
      </w:r>
      <w:r w:rsidRPr="00966B21">
        <w:rPr>
          <w:color w:val="000000" w:themeColor="text1"/>
          <w:lang w:val="en-GB"/>
        </w:rPr>
        <w:t>– M</w:t>
      </w:r>
      <w:r w:rsidR="00E6687A" w:rsidRPr="00966B21">
        <w:rPr>
          <w:color w:val="000000" w:themeColor="text1"/>
          <w:lang w:val="en-GB"/>
        </w:rPr>
        <w:t>issione</w:t>
      </w:r>
      <w:r w:rsidRPr="00966B21">
        <w:rPr>
          <w:color w:val="000000" w:themeColor="text1"/>
          <w:lang w:val="en-GB"/>
        </w:rPr>
        <w:t xml:space="preserve"> 4 C</w:t>
      </w:r>
      <w:r w:rsidR="00E6687A" w:rsidRPr="00966B21">
        <w:rPr>
          <w:color w:val="000000" w:themeColor="text1"/>
          <w:lang w:val="en-GB"/>
        </w:rPr>
        <w:t>omponente</w:t>
      </w:r>
      <w:r w:rsidRPr="00966B21">
        <w:rPr>
          <w:color w:val="000000" w:themeColor="text1"/>
          <w:lang w:val="en-GB"/>
        </w:rPr>
        <w:t xml:space="preserve"> 2, </w:t>
      </w:r>
      <w:r w:rsidR="00E6687A" w:rsidRPr="00966B21">
        <w:rPr>
          <w:color w:val="000000" w:themeColor="text1"/>
          <w:lang w:val="en-GB"/>
        </w:rPr>
        <w:t xml:space="preserve">Ivestimento </w:t>
      </w:r>
      <w:r w:rsidRPr="00966B21">
        <w:rPr>
          <w:color w:val="000000" w:themeColor="text1"/>
          <w:lang w:val="en-GB"/>
        </w:rPr>
        <w:t>1.4 – D.D. 1032 17/06/2022, CN00000022). This manuscript reflects only the authors’ views and opinions, neither the European Union nor the European Commission can be considered responsible for them</w:t>
      </w:r>
      <w:r w:rsidR="00182A57" w:rsidRPr="00966B21">
        <w:rPr>
          <w:lang w:val="en-GB"/>
        </w:rPr>
        <w:t>. Dr. Ojeda thanks the COIMBRA Group for the scholarship</w:t>
      </w:r>
      <w:r w:rsidR="003D589E" w:rsidRPr="00966B21">
        <w:rPr>
          <w:lang w:val="en-GB"/>
        </w:rPr>
        <w:t xml:space="preserve"> provided</w:t>
      </w:r>
      <w:r w:rsidR="00182A57" w:rsidRPr="00966B21">
        <w:rPr>
          <w:lang w:val="en-GB"/>
        </w:rPr>
        <w:t xml:space="preserve">. </w:t>
      </w:r>
      <w:r w:rsidR="00182A57" w:rsidRPr="00966B21">
        <w:t>Dr. Ojeda and Dr. Vallejos thank Universidad Nacional del Nordeste (UNNE) and Consejo Nacional de Investigaciones Científicas y Técnicas.</w:t>
      </w:r>
      <w:r w:rsidR="003D5567" w:rsidRPr="00966B21">
        <w:t xml:space="preserve"> </w:t>
      </w:r>
      <w:r w:rsidR="003D5567" w:rsidRPr="00966B21">
        <w:rPr>
          <w:bCs/>
          <w:lang w:val="en-GB"/>
        </w:rPr>
        <w:t>Dr. Vallejos is grateful to Universidad Nacional del Nordeste, SECYT-UNNE for Grant PI:22V001.</w:t>
      </w:r>
    </w:p>
    <w:p w14:paraId="4CA8B27B" w14:textId="77777777" w:rsidR="00FD6727" w:rsidRPr="00966B21" w:rsidRDefault="00FD6727" w:rsidP="00182A57">
      <w:pPr>
        <w:pStyle w:val="NormaleWeb"/>
        <w:spacing w:before="0" w:beforeAutospacing="0" w:after="0" w:afterAutospacing="0"/>
        <w:jc w:val="both"/>
        <w:rPr>
          <w:b/>
          <w:lang w:val="en-GB"/>
        </w:rPr>
      </w:pPr>
      <w:r w:rsidRPr="00966B21">
        <w:rPr>
          <w:b/>
          <w:bCs/>
          <w:lang w:val="en-GB"/>
        </w:rPr>
        <w:t>Declaration of generative AI and AI-assisted technologies in the writing process</w:t>
      </w:r>
    </w:p>
    <w:p w14:paraId="2EB8F1E7" w14:textId="77777777" w:rsidR="00F9364C" w:rsidRPr="00966B21" w:rsidRDefault="00F9364C" w:rsidP="00182A57">
      <w:pPr>
        <w:pStyle w:val="NormaleWeb"/>
        <w:spacing w:before="0" w:beforeAutospacing="0" w:after="0" w:afterAutospacing="0"/>
        <w:jc w:val="both"/>
        <w:rPr>
          <w:lang w:val="en-GB"/>
        </w:rPr>
      </w:pPr>
    </w:p>
    <w:p w14:paraId="7ED3EA21" w14:textId="0F3CE8BA" w:rsidR="00FD6727" w:rsidRPr="00966B21" w:rsidRDefault="00FD6727" w:rsidP="00182A57">
      <w:pPr>
        <w:pStyle w:val="NormaleWeb"/>
        <w:spacing w:before="0" w:beforeAutospacing="0" w:after="0" w:afterAutospacing="0"/>
        <w:jc w:val="both"/>
        <w:rPr>
          <w:lang w:val="en-GB"/>
        </w:rPr>
      </w:pPr>
      <w:r w:rsidRPr="00966B21">
        <w:rPr>
          <w:lang w:val="en-GB"/>
        </w:rPr>
        <w:lastRenderedPageBreak/>
        <w:t>During the preparation of this work the author</w:t>
      </w:r>
      <w:r w:rsidR="006D6749" w:rsidRPr="00966B21">
        <w:rPr>
          <w:lang w:val="en-GB"/>
        </w:rPr>
        <w:t>s</w:t>
      </w:r>
      <w:r w:rsidRPr="00966B21">
        <w:rPr>
          <w:lang w:val="en-GB"/>
        </w:rPr>
        <w:t xml:space="preserve"> used GeminiAI in order to revise grammar. After using this tool, the authors reviewed and edited the content as needed and take full responsibility for the content of the publication.</w:t>
      </w:r>
    </w:p>
    <w:p w14:paraId="22C9DED7" w14:textId="77777777" w:rsidR="006D6749" w:rsidRPr="00966B21" w:rsidRDefault="006D6749" w:rsidP="00182A57">
      <w:pPr>
        <w:pStyle w:val="NormaleWeb"/>
        <w:spacing w:before="0" w:beforeAutospacing="0" w:after="0" w:afterAutospacing="0"/>
        <w:jc w:val="both"/>
        <w:rPr>
          <w:lang w:val="en-GB"/>
        </w:rPr>
      </w:pPr>
    </w:p>
    <w:p w14:paraId="3576927B" w14:textId="77777777" w:rsidR="00FD6727" w:rsidRPr="00966B21" w:rsidRDefault="00FD6727" w:rsidP="002753DB">
      <w:pPr>
        <w:pStyle w:val="NormaleWeb"/>
        <w:spacing w:before="0" w:beforeAutospacing="0" w:after="0" w:afterAutospacing="0"/>
        <w:jc w:val="both"/>
        <w:rPr>
          <w:b/>
        </w:rPr>
      </w:pPr>
      <w:r w:rsidRPr="00966B21">
        <w:rPr>
          <w:b/>
        </w:rPr>
        <w:t>References</w:t>
      </w:r>
    </w:p>
    <w:p w14:paraId="71164694" w14:textId="25B430A5" w:rsidR="00CD7D53" w:rsidRPr="00966B21" w:rsidRDefault="00E01993" w:rsidP="00CD7D53">
      <w:pPr>
        <w:widowControl w:val="0"/>
        <w:autoSpaceDE w:val="0"/>
        <w:autoSpaceDN w:val="0"/>
        <w:adjustRightInd w:val="0"/>
        <w:spacing w:after="0" w:line="240" w:lineRule="auto"/>
        <w:ind w:left="640" w:hanging="640"/>
        <w:rPr>
          <w:rFonts w:ascii="Times New Roman" w:hAnsi="Times New Roman" w:cs="Times New Roman"/>
          <w:noProof/>
          <w:sz w:val="24"/>
          <w:szCs w:val="24"/>
        </w:rPr>
      </w:pPr>
      <w:r w:rsidRPr="00966B21">
        <w:rPr>
          <w:lang w:val="en-GB"/>
        </w:rPr>
        <w:fldChar w:fldCharType="begin" w:fldLock="1"/>
      </w:r>
      <w:r w:rsidR="006A12DA" w:rsidRPr="00966B21">
        <w:instrText xml:space="preserve">ADDIN Mendeley Bibliography CSL_BIBLIOGRAPHY </w:instrText>
      </w:r>
      <w:r w:rsidRPr="00966B21">
        <w:rPr>
          <w:lang w:val="en-GB"/>
        </w:rPr>
        <w:fldChar w:fldCharType="separate"/>
      </w:r>
      <w:r w:rsidR="00CD7D53" w:rsidRPr="00966B21">
        <w:rPr>
          <w:rFonts w:ascii="Times New Roman" w:hAnsi="Times New Roman" w:cs="Times New Roman"/>
          <w:noProof/>
          <w:sz w:val="24"/>
          <w:szCs w:val="24"/>
        </w:rPr>
        <w:t>[1]</w:t>
      </w:r>
      <w:r w:rsidR="00CD7D53" w:rsidRPr="00966B21">
        <w:rPr>
          <w:rFonts w:ascii="Times New Roman" w:hAnsi="Times New Roman" w:cs="Times New Roman"/>
          <w:noProof/>
          <w:sz w:val="24"/>
          <w:szCs w:val="24"/>
        </w:rPr>
        <w:tab/>
        <w:t>A.M. Arias Gorman, S.C. Sgroppo, N.E. Zaritzky, Caracterización fisicoquímica de frutos de mango (Mangifera indica L.) silvestre de la provincia de Corrientes, Investig. Básicas y Apl. En Aliment. (2024) e001. https://doi.org/10.24215/30089336e001.</w:t>
      </w:r>
    </w:p>
    <w:p w14:paraId="7E9E97B2"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[2]</w:t>
      </w:r>
      <w:r w:rsidRPr="00966B21">
        <w:rPr>
          <w:rFonts w:ascii="Times New Roman" w:hAnsi="Times New Roman" w:cs="Times New Roman"/>
          <w:noProof/>
          <w:sz w:val="24"/>
          <w:szCs w:val="24"/>
          <w:lang w:val="en-US"/>
        </w:rPr>
        <w:tab/>
        <w:t>G.A. Ojeda, M.M. Vallejos, S.C. Sgroppo, C. Sánchez-Moreno, B. de Ancos, Enhanced extraction of phenolic compounds from mango by-products using deep eutectic solvents, Heliyon 9 (2023) 1–14. https://doi.org/10.1016/j.heliyon.2023.e16912.</w:t>
      </w:r>
    </w:p>
    <w:p w14:paraId="252E724A"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[3]</w:t>
      </w:r>
      <w:r w:rsidRPr="00966B21">
        <w:rPr>
          <w:rFonts w:ascii="Times New Roman" w:hAnsi="Times New Roman" w:cs="Times New Roman"/>
          <w:noProof/>
          <w:sz w:val="24"/>
          <w:szCs w:val="24"/>
          <w:lang w:val="en-US"/>
        </w:rPr>
        <w:tab/>
        <w:t>G.A. Ojeda, S.C. Sgroppo, C. Sánchez Moreno, B. de Ancos Siguero, Mango ‘criollo’ by-products as a source of polyphenols with antioxidant capacity. Ultrasound assisted extraction evaluated by response surface methodology and HPLC-ESI-QTOF-MS/MS characterization, Food Chem. 396 (2022). https://doi.org/10.1016/j.foodchem.2022.133738.</w:t>
      </w:r>
    </w:p>
    <w:p w14:paraId="01E346A5"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[4]</w:t>
      </w:r>
      <w:r w:rsidRPr="00966B21">
        <w:rPr>
          <w:rFonts w:ascii="Times New Roman" w:hAnsi="Times New Roman" w:cs="Times New Roman"/>
          <w:noProof/>
          <w:sz w:val="24"/>
          <w:szCs w:val="24"/>
          <w:lang w:val="en-US"/>
        </w:rPr>
        <w:tab/>
        <w:t>A. del P. Sánchez-Camargo, L.F. Gutiérrez, S.M. Vargas, H.A. Martinez-Correa, F. Parada-Alfonso, C.E. Narváez-Cuenca, Valorisation of mango peel: Proximate composition, supercritical fluid extraction of carotenoids, and application as an antioxidant additive for an edible oil, J. Supercrit. Fluids 152 (2019) 104574. https://doi.org/10.1016/j.supflu.2019.104574.</w:t>
      </w:r>
    </w:p>
    <w:p w14:paraId="0719DF8B"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[5]</w:t>
      </w:r>
      <w:r w:rsidRPr="00966B21">
        <w:rPr>
          <w:rFonts w:ascii="Times New Roman" w:hAnsi="Times New Roman" w:cs="Times New Roman"/>
          <w:noProof/>
          <w:sz w:val="24"/>
          <w:szCs w:val="24"/>
          <w:lang w:val="en-US"/>
        </w:rPr>
        <w:tab/>
        <w:t>G.C. Jeevitha, S. Ramamoorthy, F. Ahmad, R. Saravanan, S. Haque, E. Capanoglu, Recent advances in extraction methodologies for the valorization of mango peel wastes, Int. J. Food Prop. 26 (2023) 3492–3511. https://doi.org/10.1080/10942912.2023.2281255.</w:t>
      </w:r>
    </w:p>
    <w:p w14:paraId="06A18270"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[6]</w:t>
      </w:r>
      <w:r w:rsidRPr="00966B21">
        <w:rPr>
          <w:rFonts w:ascii="Times New Roman" w:hAnsi="Times New Roman" w:cs="Times New Roman"/>
          <w:noProof/>
          <w:sz w:val="24"/>
          <w:szCs w:val="24"/>
          <w:lang w:val="en-US"/>
        </w:rPr>
        <w:tab/>
        <w:t>B. Baria, N. Upadhyay, A.K. Singh, R.K. Malhotra, Optimization of ‘green’ extraction of carotenoids from mango pulp using split plot design and its characterization, Lwt 104 (2019) 186–194. https://doi.org/10.1016/j.lwt.2019.01.044.</w:t>
      </w:r>
    </w:p>
    <w:p w14:paraId="7D15A9DD"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[7]</w:t>
      </w:r>
      <w:r w:rsidRPr="00966B21">
        <w:rPr>
          <w:rFonts w:ascii="Times New Roman" w:hAnsi="Times New Roman" w:cs="Times New Roman"/>
          <w:noProof/>
          <w:sz w:val="24"/>
          <w:szCs w:val="24"/>
          <w:lang w:val="en-US"/>
        </w:rPr>
        <w:tab/>
        <w:t>A. Viñas-Ospino, A. Rita Jesus, A. Paiva, M.J. Esteve, A. Frígola, J. Blesa, D. López-Malo, Comparison of green solvents for the revalorization of orange by-products: Carotenoid extraction and in vitro antioxidant activity, Food Chem. 442 (2024). https://doi.org/10.1016/j.foodchem.2024.138530.</w:t>
      </w:r>
    </w:p>
    <w:p w14:paraId="43227428"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[8]</w:t>
      </w:r>
      <w:r w:rsidRPr="00966B21">
        <w:rPr>
          <w:rFonts w:ascii="Times New Roman" w:hAnsi="Times New Roman" w:cs="Times New Roman"/>
          <w:noProof/>
          <w:sz w:val="24"/>
          <w:szCs w:val="24"/>
          <w:lang w:val="en-US"/>
        </w:rPr>
        <w:tab/>
        <w:t>Á. Morón-Ortiz, P. Mapelli-Brahm, A.J. Meléndez-Martínez, Sustainable Green Extraction of Carotenoid Pigments: Innovative Technologies and Bio-Based Solvents, Antioxidants 13 (2024). https://doi.org/10.3390/antiox13020239.</w:t>
      </w:r>
    </w:p>
    <w:p w14:paraId="1BCEF2A2"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[9]</w:t>
      </w:r>
      <w:r w:rsidRPr="00966B21">
        <w:rPr>
          <w:rFonts w:ascii="Times New Roman" w:hAnsi="Times New Roman" w:cs="Times New Roman"/>
          <w:noProof/>
          <w:sz w:val="24"/>
          <w:szCs w:val="24"/>
          <w:lang w:val="en-US"/>
        </w:rPr>
        <w:tab/>
        <w:t>M.P. Garcia-Mendoza, J.T. Paula, L.C. Paviani, F.A. Cabral, H.A. Martinez-Correa, Extracts from mango peel by-product obtained by supercritical CO2 and pressurized solvent processes, LWT - Food Sci. Technol. 62 (2015) 131–137. https://doi.org/10.1016/j.lwt.2015.01.026.</w:t>
      </w:r>
    </w:p>
    <w:p w14:paraId="6D3EEAFE"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[10]</w:t>
      </w:r>
      <w:r w:rsidRPr="00966B21">
        <w:rPr>
          <w:rFonts w:ascii="Times New Roman" w:hAnsi="Times New Roman" w:cs="Times New Roman"/>
          <w:noProof/>
          <w:sz w:val="24"/>
          <w:szCs w:val="24"/>
          <w:lang w:val="en-US"/>
        </w:rPr>
        <w:tab/>
        <w:t>K. Mayumi Ueda, F. Castro Leal, F. Oliveira Farias, C.U. Mussagy, L. Igarashi-Mafra, M.R. Mafra, Enhancing the carotenoid recovery from Eugenia uniflora l. pulp: A comparative study of supramolecular solvents, ionic liquids, and deep eutectic solvents, Sep. Purif. Technol. 324 (2023) 124632. https://doi.org/10.1016/j.seppur.2023.124632.</w:t>
      </w:r>
    </w:p>
    <w:p w14:paraId="21CA10AE"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[11]</w:t>
      </w:r>
      <w:r w:rsidRPr="00966B21">
        <w:rPr>
          <w:rFonts w:ascii="Times New Roman" w:hAnsi="Times New Roman" w:cs="Times New Roman"/>
          <w:noProof/>
          <w:sz w:val="24"/>
          <w:szCs w:val="24"/>
          <w:lang w:val="en-US"/>
        </w:rPr>
        <w:tab/>
        <w:t xml:space="preserve">G. Mercado-Mercado, E. Montalvo-González, G.A. González-Aguilar, E. Alvarez-Parrilla, S.G. Sáyago-Ayerdi, Ultrasound-assisted extraction of carotenoids from mango (Mangifera indica L. ‘Ataulfo’) by-products on in vitro </w:t>
      </w:r>
      <w:r w:rsidRPr="00966B21">
        <w:rPr>
          <w:rFonts w:ascii="Times New Roman" w:hAnsi="Times New Roman" w:cs="Times New Roman"/>
          <w:noProof/>
          <w:sz w:val="24"/>
          <w:szCs w:val="24"/>
          <w:lang w:val="en-US"/>
        </w:rPr>
        <w:lastRenderedPageBreak/>
        <w:t>bioaccessibility, Food Biosci. 21 (2018) 125–131. https://doi.org/10.1016/j.fbio.2017.12.012.</w:t>
      </w:r>
    </w:p>
    <w:p w14:paraId="5FEEA72B"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[12]</w:t>
      </w:r>
      <w:r w:rsidRPr="00966B21">
        <w:rPr>
          <w:rFonts w:ascii="Times New Roman" w:hAnsi="Times New Roman" w:cs="Times New Roman"/>
          <w:noProof/>
          <w:sz w:val="24"/>
          <w:szCs w:val="24"/>
          <w:lang w:val="en-US"/>
        </w:rPr>
        <w:tab/>
        <w:t>A. Viñas-Ospino, D. López-Malo, M.J. Esteve, A. Frígola, J. Blesa, Green Solvents: Emerging Alternatives for Carotenoid Extraction from Fruit and Vegetable By-Products, Foods 12 (2023) 1–19. https://doi.org/10.3390/foods12040863.</w:t>
      </w:r>
    </w:p>
    <w:p w14:paraId="61901328"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[13]</w:t>
      </w:r>
      <w:r w:rsidRPr="00966B21">
        <w:rPr>
          <w:rFonts w:ascii="Times New Roman" w:hAnsi="Times New Roman" w:cs="Times New Roman"/>
          <w:noProof/>
          <w:sz w:val="24"/>
          <w:szCs w:val="24"/>
          <w:lang w:val="en-US"/>
        </w:rPr>
        <w:tab/>
        <w:t>S.E. Quintana, S. Salas, L.A. García-Zapateiro, Bioactive compounds of mango (Mangifera indica): a review of extraction technologies and chemical constituents, J. Sci. Food Agric. 101 (2021) 6186–6192. https://doi.org/10.1002/jsfa.11455.</w:t>
      </w:r>
    </w:p>
    <w:p w14:paraId="6F3BCD01"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[14]</w:t>
      </w:r>
      <w:r w:rsidRPr="00966B21">
        <w:rPr>
          <w:rFonts w:ascii="Times New Roman" w:hAnsi="Times New Roman" w:cs="Times New Roman"/>
          <w:noProof/>
          <w:sz w:val="24"/>
          <w:szCs w:val="24"/>
          <w:lang w:val="en-US"/>
        </w:rPr>
        <w:tab/>
        <w:t>W. Pitacco, C. Samorì, L. Pezzolesi, V. Gori, A. Grillo, M. Tiecco, M. Vagnoni, P. Galletti, Extraction of astaxanthin from Haematococcus pluvialis with hydrophobic deep eutectic solvents based on oleic acid, Food Chem. 379 (2022) 132156. https://doi.org/10.1016/j.foodchem.2022.132156.</w:t>
      </w:r>
    </w:p>
    <w:p w14:paraId="643499A5"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[15]</w:t>
      </w:r>
      <w:r w:rsidRPr="00966B21">
        <w:rPr>
          <w:rFonts w:ascii="Times New Roman" w:hAnsi="Times New Roman" w:cs="Times New Roman"/>
          <w:noProof/>
          <w:sz w:val="24"/>
          <w:szCs w:val="24"/>
          <w:lang w:val="en-US"/>
        </w:rPr>
        <w:tab/>
        <w:t>D.J.G.P. Van Osch, L.F. Zubeir, A. Van Den Bruinhorst, M.A.A. Rocha, M.C. Kroon, Hydrophobic deep eutectic solvents as water-immiscible extractants, Green Chem. 17 (2015) 4518–4521. https://doi.org/10.1039/c5gc01451d.</w:t>
      </w:r>
    </w:p>
    <w:p w14:paraId="50F73990"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[16]</w:t>
      </w:r>
      <w:r w:rsidRPr="00966B21">
        <w:rPr>
          <w:rFonts w:ascii="Times New Roman" w:hAnsi="Times New Roman" w:cs="Times New Roman"/>
          <w:noProof/>
          <w:sz w:val="24"/>
          <w:szCs w:val="24"/>
          <w:lang w:val="en-US"/>
        </w:rPr>
        <w:tab/>
        <w:t>T. Brouwer, B.C. Dielis, J.M. Bock, B. Schuur, Hydrophobic deep eutectic solvents for the recovery of bio-based chemicals: Solid–liquid equilibria and liquid–liquid extraction, Processes 9 (2021). https://doi.org/10.3390/pr9050796.</w:t>
      </w:r>
    </w:p>
    <w:p w14:paraId="3768355C"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[17]</w:t>
      </w:r>
      <w:r w:rsidRPr="00966B21">
        <w:rPr>
          <w:rFonts w:ascii="Times New Roman" w:hAnsi="Times New Roman" w:cs="Times New Roman"/>
          <w:noProof/>
          <w:sz w:val="24"/>
          <w:szCs w:val="24"/>
          <w:lang w:val="en-US"/>
        </w:rPr>
        <w:tab/>
        <w:t>A. Gutiérrez, L. Zamora, C. Benito, M. Atilhan, S. Aparicio, Insights on novel type v deep eutectic solvents based on levulinic acid, J. Chem. Phys. 156 (2022). https://doi.org/10.1063/5.0080470.</w:t>
      </w:r>
    </w:p>
    <w:p w14:paraId="33D3E16A"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[18]</w:t>
      </w:r>
      <w:r w:rsidRPr="00966B21">
        <w:rPr>
          <w:rFonts w:ascii="Times New Roman" w:hAnsi="Times New Roman" w:cs="Times New Roman"/>
          <w:noProof/>
          <w:sz w:val="24"/>
          <w:szCs w:val="24"/>
          <w:lang w:val="en-US"/>
        </w:rPr>
        <w:tab/>
        <w:t>M.A.R. Martins, E.A. Crespo, P.V.A. Pontes, L.P. Silva, M. Bülow, G.J. Maximo, E.A.C. Batista, C. Held, S.P. Pinho, J.A.P. Coutinho, Tunable Hydrophobic Eutectic Solvents Based on Terpenes and Monocarboxylic Acids, ACS Sustain. Chem. Eng. 6 (2018) 8836–8846. https://doi.org/10.1021/acssuschemeng.8b01203.</w:t>
      </w:r>
    </w:p>
    <w:p w14:paraId="627B74ED"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[19]</w:t>
      </w:r>
      <w:r w:rsidRPr="00966B21">
        <w:rPr>
          <w:rFonts w:ascii="Times New Roman" w:hAnsi="Times New Roman" w:cs="Times New Roman"/>
          <w:noProof/>
          <w:sz w:val="24"/>
          <w:szCs w:val="24"/>
          <w:lang w:val="en-US"/>
        </w:rPr>
        <w:tab/>
        <w:t>K. Terlidis, V. Athanasiadis, T. Chatzimitakos, E. Bozinou, S.I. Lalas, Carotenoids Extraction from Orange Peels Using a Thymol-Based Hydrophobic Eutectic Solvent, AppliedChem 3 (2023) 437–451. https://doi.org/10.3390/appliedchem3040028.</w:t>
      </w:r>
    </w:p>
    <w:p w14:paraId="354184A3"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[20]</w:t>
      </w:r>
      <w:r w:rsidRPr="00966B21">
        <w:rPr>
          <w:rFonts w:ascii="Times New Roman" w:hAnsi="Times New Roman" w:cs="Times New Roman"/>
          <w:noProof/>
          <w:sz w:val="24"/>
          <w:szCs w:val="24"/>
          <w:lang w:val="en-US"/>
        </w:rPr>
        <w:tab/>
        <w:t>Y. Dai, G.J. Witkamp, R. Verpoorte, Y.H. Choi, Natural deep eutectic solvents as a new extraction media for phenolic metabolites in carthamus tinctorius L., Anal. Chem. 85 (2013) 6272–6278. https://doi.org/10.1021/ac400432p.</w:t>
      </w:r>
    </w:p>
    <w:p w14:paraId="2D8A2134"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[21]</w:t>
      </w:r>
      <w:r w:rsidRPr="00966B21">
        <w:rPr>
          <w:rFonts w:ascii="Times New Roman" w:hAnsi="Times New Roman" w:cs="Times New Roman"/>
          <w:noProof/>
          <w:sz w:val="24"/>
          <w:szCs w:val="24"/>
          <w:lang w:val="en-US"/>
        </w:rPr>
        <w:tab/>
        <w:t>P.A. Cablé, Y. Le Brech, F. Mutelet, Density functional theory investigation of interactions between phenolic compounds and water or hydrophobic deep eutectic solvent, Struct. Chem. 35 (2024) 321–339. https://doi.org/10.1007/s11224-023-02180-6.</w:t>
      </w:r>
    </w:p>
    <w:p w14:paraId="2728A661"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[22]</w:t>
      </w:r>
      <w:r w:rsidRPr="00966B21">
        <w:rPr>
          <w:rFonts w:ascii="Times New Roman" w:hAnsi="Times New Roman" w:cs="Times New Roman"/>
          <w:noProof/>
          <w:sz w:val="24"/>
          <w:szCs w:val="24"/>
          <w:lang w:val="en-US"/>
        </w:rPr>
        <w:tab/>
        <w:t>L. Xu, Y. Luo, H. Liu, J. Yin, H. Li, W. Jiang, W. Zhu, H. Li, H. Ji, Extractive desulfurization of diesel fuel by amide-based type IV deep eutectic solvents, J. Mol. Liq. 338 (2021) 116620. https://doi.org/10.1016/j.molliq.2021.116620.</w:t>
      </w:r>
    </w:p>
    <w:p w14:paraId="5D838C96"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[23]</w:t>
      </w:r>
      <w:r w:rsidRPr="00966B21">
        <w:rPr>
          <w:rFonts w:ascii="Times New Roman" w:hAnsi="Times New Roman" w:cs="Times New Roman"/>
          <w:noProof/>
          <w:sz w:val="24"/>
          <w:szCs w:val="24"/>
          <w:lang w:val="en-US"/>
        </w:rPr>
        <w:tab/>
        <w:t>J. Cao, J. Cao, H. Wang, L. Chen, F. Cao, E. Su, Solubility improvement of phytochemicals using (natural) deep eutectic solvents and their bioactivity evaluation, J. Mol. Liq. 318 (2020) 113997. https://doi.org/10.1016/j.molliq.2020.113997.</w:t>
      </w:r>
    </w:p>
    <w:p w14:paraId="1AB53CEC"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[24]</w:t>
      </w:r>
      <w:r w:rsidRPr="00966B21">
        <w:rPr>
          <w:rFonts w:ascii="Times New Roman" w:hAnsi="Times New Roman" w:cs="Times New Roman"/>
          <w:noProof/>
          <w:sz w:val="24"/>
          <w:szCs w:val="24"/>
          <w:lang w:val="en-US"/>
        </w:rPr>
        <w:tab/>
        <w:t xml:space="preserve">D. Tolmachev, N. Lukasheva, R. Ramazanov, V. Nazarychev, N. Borzdun, I. Volgin, M. Andreeva, A. Glova, S. Melnikova, A. Dobrovskiy, S.A. Silber, S. Larin, R.M. de Souza, M.C.C. Ribeiro, S. Lyulin, M. Karttunen, Computer Simulations of Deep Eutectic Solvents: Challenges, Solutions, and Perspectives, </w:t>
      </w:r>
      <w:r w:rsidRPr="00966B21">
        <w:rPr>
          <w:rFonts w:ascii="Times New Roman" w:hAnsi="Times New Roman" w:cs="Times New Roman"/>
          <w:noProof/>
          <w:sz w:val="24"/>
          <w:szCs w:val="24"/>
          <w:lang w:val="en-US"/>
        </w:rPr>
        <w:lastRenderedPageBreak/>
        <w:t>Int. J. Mol. Sci. 23 (2022). https://doi.org/10.3390/ijms23020645.</w:t>
      </w:r>
    </w:p>
    <w:p w14:paraId="35EEE8D3"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[25]</w:t>
      </w:r>
      <w:r w:rsidRPr="00966B21">
        <w:rPr>
          <w:rFonts w:ascii="Times New Roman" w:hAnsi="Times New Roman" w:cs="Times New Roman"/>
          <w:noProof/>
          <w:sz w:val="24"/>
          <w:szCs w:val="24"/>
          <w:lang w:val="en-US"/>
        </w:rPr>
        <w:tab/>
        <w:t>R.F.W. Bader, Atoms in molecules : a quantum theory, Oxford : Clarendon press, 1990. http://lib.ugent.be/catalog/rug01:000227467.</w:t>
      </w:r>
    </w:p>
    <w:p w14:paraId="2966BE3F"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[26]</w:t>
      </w:r>
      <w:r w:rsidRPr="00966B21">
        <w:rPr>
          <w:rFonts w:ascii="Times New Roman" w:hAnsi="Times New Roman" w:cs="Times New Roman"/>
          <w:noProof/>
          <w:sz w:val="24"/>
          <w:szCs w:val="24"/>
          <w:lang w:val="en-US"/>
        </w:rPr>
        <w:tab/>
        <w:t>G. García, M. Atilhan, S. Aparicio, An approach for the rationalization of melting temperature for deep eutectic solvents from DFT, Chem. Phys. Lett. 634 (2015) 151–155. https://doi.org/10.1016/j.cplett.2015.06.017.</w:t>
      </w:r>
    </w:p>
    <w:p w14:paraId="659D3753"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[27]</w:t>
      </w:r>
      <w:r w:rsidRPr="00966B21">
        <w:rPr>
          <w:rFonts w:ascii="Times New Roman" w:hAnsi="Times New Roman" w:cs="Times New Roman"/>
          <w:noProof/>
          <w:sz w:val="24"/>
          <w:szCs w:val="24"/>
          <w:lang w:val="en-US"/>
        </w:rPr>
        <w:tab/>
        <w:t>Q. Xia, Y. Liu, J. Meng, W. Cheng, W. Chen, S. Liu, Y. Liu, J. Li, H. Yu, Multiple hydrogen bond coordination in three-constituent deep eutectic solvents enhances lignin fractionation from biomass, Green Chem. 20 (2018) 2711–2721. https://doi.org/10.1039/c8gc00900g.</w:t>
      </w:r>
    </w:p>
    <w:p w14:paraId="5B604D15"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[28]</w:t>
      </w:r>
      <w:r w:rsidRPr="00966B21">
        <w:rPr>
          <w:rFonts w:ascii="Times New Roman" w:hAnsi="Times New Roman" w:cs="Times New Roman"/>
          <w:noProof/>
          <w:sz w:val="24"/>
          <w:szCs w:val="24"/>
          <w:lang w:val="en-US"/>
        </w:rPr>
        <w:tab/>
        <w:t>C. Florindo, L.C. Branco, I.M. Marrucho, Development of hydrophobic deep eutectic solvents for extraction of pesticides from aqueous environments, Fluid Phase Equilib. 448 (2017) 135–142. https://doi.org/10.1016/j.fluid.2017.04.002.</w:t>
      </w:r>
    </w:p>
    <w:p w14:paraId="187A07FB"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[29]</w:t>
      </w:r>
      <w:r w:rsidRPr="00966B21">
        <w:rPr>
          <w:rFonts w:ascii="Times New Roman" w:hAnsi="Times New Roman" w:cs="Times New Roman"/>
          <w:noProof/>
          <w:sz w:val="24"/>
          <w:szCs w:val="24"/>
          <w:lang w:val="en-US"/>
        </w:rPr>
        <w:tab/>
        <w:t>J. Yan, S. Ma, M. Feng, J. Zheng, M. Guo, Hydrophobic deep eutectic solvent-based ultrasonic-assisted liquid-liquid microextraction combined with GC for eugenol, isoeugenol, and methyl isoeugenol determination in aquatic products, Food Addit. Contam. - Part A 39 (2022) 1718–1730. https://doi.org/10.1080/19440049.2022.2112764.</w:t>
      </w:r>
    </w:p>
    <w:p w14:paraId="1C90EA7F"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[30]</w:t>
      </w:r>
      <w:r w:rsidRPr="00966B21">
        <w:rPr>
          <w:rFonts w:ascii="Times New Roman" w:hAnsi="Times New Roman" w:cs="Times New Roman"/>
          <w:noProof/>
          <w:sz w:val="24"/>
          <w:szCs w:val="24"/>
          <w:lang w:val="en-US"/>
        </w:rPr>
        <w:tab/>
        <w:t>C.C. Fernandes, R. Haghbakhsh, R. Marques, A. Paiva, L. Carlyle, A.R.C. Duarte, Evaluation of Deep Eutectic Systems as an Alternative to Solvents in Painting Conservation, ACS Sustain. Chem. Eng. 9 (2021) 15451–15460. https://doi.org/10.1021/acssuschemeng.1c04591.</w:t>
      </w:r>
    </w:p>
    <w:p w14:paraId="7E80DA75"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[31]</w:t>
      </w:r>
      <w:r w:rsidRPr="00966B21">
        <w:rPr>
          <w:rFonts w:ascii="Times New Roman" w:hAnsi="Times New Roman" w:cs="Times New Roman"/>
          <w:noProof/>
          <w:sz w:val="24"/>
          <w:szCs w:val="24"/>
          <w:lang w:val="en-US"/>
        </w:rPr>
        <w:tab/>
        <w:t>B. de Ancos, C. Sánchez-Moreno, L. Zacarías, M.J. Rodrigo, S. Sáyago Ayerdí, F.J. Blancas Benítez, J.A. Domínguez Avila, G.A. González-Aguilar, Effects of two different drying methods (freeze-drying and hot air-drying) on the phenolic and carotenoid profile of ‘Ataulfo’ mango by-products, J. Food Meas. Charact. 12 (2018) 2145–2157. https://doi.org/10.1007/s11694-018-9830-4.</w:t>
      </w:r>
    </w:p>
    <w:p w14:paraId="3049AFEB"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[32]</w:t>
      </w:r>
      <w:r w:rsidRPr="00966B21">
        <w:rPr>
          <w:rFonts w:ascii="Times New Roman" w:hAnsi="Times New Roman" w:cs="Times New Roman"/>
          <w:noProof/>
          <w:sz w:val="24"/>
          <w:szCs w:val="24"/>
          <w:lang w:val="en-US"/>
        </w:rPr>
        <w:tab/>
        <w:t>J. Yu, X. Liu, L. Zhang, P. Shao, W. Wu, Z. Chen, J. Li, C.M.G.C. Renard, An overview of carotenoid extractions using green solvents assisted by Z-isomerization, Trends Food Sci. Technol. 123 (2022) 145–160. https://doi.org/10.1016/j.tifs.2022.03.009.</w:t>
      </w:r>
    </w:p>
    <w:p w14:paraId="15EE9620"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[33]</w:t>
      </w:r>
      <w:r w:rsidRPr="00966B21">
        <w:rPr>
          <w:rFonts w:ascii="Times New Roman" w:hAnsi="Times New Roman" w:cs="Times New Roman"/>
          <w:noProof/>
          <w:sz w:val="24"/>
          <w:szCs w:val="24"/>
          <w:lang w:val="en-US"/>
        </w:rPr>
        <w:tab/>
        <w:t>C. Lee, W. Yang, R.G. Parr, Development of the Colle-Salvetti correlation-energy formula into a functional of the electron density, Phys. Rev. B 37 (1988) 785–789. https://doi.org/10.1103/PhysRevB.37.785.</w:t>
      </w:r>
    </w:p>
    <w:p w14:paraId="7D021599"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[34]</w:t>
      </w:r>
      <w:r w:rsidRPr="00966B21">
        <w:rPr>
          <w:rFonts w:ascii="Times New Roman" w:hAnsi="Times New Roman" w:cs="Times New Roman"/>
          <w:noProof/>
          <w:sz w:val="24"/>
          <w:szCs w:val="24"/>
          <w:lang w:val="en-US"/>
        </w:rPr>
        <w:tab/>
        <w:t>R.G. Parr, Density Functional Theory of Atoms and Molecules BT  - Horizons of Quantum Chemistry, in: K. Fukui, B. Pullman (Eds.), Springer Netherlands, Dordrecht, 1980: pp. 5–15.</w:t>
      </w:r>
    </w:p>
    <w:p w14:paraId="540395D4"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[35]</w:t>
      </w:r>
      <w:r w:rsidRPr="00966B21">
        <w:rPr>
          <w:rFonts w:ascii="Times New Roman" w:hAnsi="Times New Roman" w:cs="Times New Roman"/>
          <w:noProof/>
          <w:sz w:val="24"/>
          <w:szCs w:val="24"/>
          <w:lang w:val="en-US"/>
        </w:rPr>
        <w:tab/>
        <w:t>Z. Naseem, R.A. Shehzad, A. Ihsan, J. Iqbal, M. Zahid, A. Pervaiz, G. Sarwari, Theoretical investigation of supramolecular hydrogen-bonded choline chloride-based deep eutectic solvents using density functional theory, Chem. Phys. Lett. 769 (2021) 138427. https://doi.org/10.1016/j.cplett.2021.138427.</w:t>
      </w:r>
    </w:p>
    <w:p w14:paraId="2897BA9D"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[36]</w:t>
      </w:r>
      <w:r w:rsidRPr="00966B21">
        <w:rPr>
          <w:rFonts w:ascii="Times New Roman" w:hAnsi="Times New Roman" w:cs="Times New Roman"/>
          <w:noProof/>
          <w:sz w:val="24"/>
          <w:szCs w:val="24"/>
          <w:lang w:val="en-US"/>
        </w:rPr>
        <w:tab/>
        <w:t xml:space="preserve">M.J. Frisch, G.W. Trucks, H.B. Schlegel, G.E. Scuseria, M. a. Robb, J.R. Cheeseman, G. Scalmani, V. Barone, G. a. Petersson, H. Nakatsuji, X. Li, M. Caricato,  a. V. Marenich, J. Bloino, B.G. Janesko, R. Gomperts, B. Mennucci, H.P. Hratchian, J. V. Ortiz,  a. F. Izmaylov, J.L. Sonnenberg, Williams, F. Ding, F. Lipparini, F. Egidi, J. Goings, B. Peng, A. Petrone, T. Henderson, D. Ranasinghe, V.G. Zakrzewski, J. Gao, N. Rega, G. Zheng, W. Liang, M. Hada, M. Ehara, K. Toyota, R. Fukuda, J. Hasegawa, M. Ishida, T. Nakajima, Y. Honda, O. Kitao, H. Nakai, T. Vreven, K. Throssell, J. a. Montgomery Jr., J.E. Peralta, F. Ogliaro, M.J. Bearpark, J.J. Heyd, E.N. Brothers, K.N. Kudin, V.N. </w:t>
      </w:r>
      <w:r w:rsidRPr="00966B21">
        <w:rPr>
          <w:rFonts w:ascii="Times New Roman" w:hAnsi="Times New Roman" w:cs="Times New Roman"/>
          <w:noProof/>
          <w:sz w:val="24"/>
          <w:szCs w:val="24"/>
          <w:lang w:val="en-US"/>
        </w:rPr>
        <w:lastRenderedPageBreak/>
        <w:t>Staroverov, T. a. Keith, R. Kobayashi, J. Normand, K. Raghavachari,  a. P. Rendell, J.C. Burant, S.S. Iyengar, J. Tomasi, M. Cossi, J.M. Millam, M. Klene, C. Adamo, R. Cammi, J.W. Ochterski, R.L. Martin, K. Morokuma, O. Farkas, J.B. Foresman, D.J. Fox, G16_C01, (2016) Gaussian 16, Revision C.01, Gaussian, Inc., Wallin.</w:t>
      </w:r>
    </w:p>
    <w:p w14:paraId="5FDECF48"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[37]</w:t>
      </w:r>
      <w:r w:rsidRPr="00966B21">
        <w:rPr>
          <w:rFonts w:ascii="Times New Roman" w:hAnsi="Times New Roman" w:cs="Times New Roman"/>
          <w:noProof/>
          <w:sz w:val="24"/>
          <w:szCs w:val="24"/>
          <w:lang w:val="en-US"/>
        </w:rPr>
        <w:tab/>
        <w:t>T.A. Keith, T.K. Gristmill Software, AIMAII (Version 11.05.16), (n.d.).</w:t>
      </w:r>
    </w:p>
    <w:p w14:paraId="01C2EA7B"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[38]</w:t>
      </w:r>
      <w:r w:rsidRPr="00966B21">
        <w:rPr>
          <w:rFonts w:ascii="Times New Roman" w:hAnsi="Times New Roman" w:cs="Times New Roman"/>
          <w:noProof/>
          <w:sz w:val="24"/>
          <w:szCs w:val="24"/>
          <w:lang w:val="en-US"/>
        </w:rPr>
        <w:tab/>
        <w:t>E.R. Johnson, S. Keinan, P. Mori-Sánchez, J. Contreras-García, A.J. Cohen, W. Yang, Revealing noncovalent interactions, J. Am. Chem. Soc. 132 (2010) 6498–6506. https://doi.org/10.1021/ja100936w.</w:t>
      </w:r>
    </w:p>
    <w:p w14:paraId="2DAA24AF"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[39]</w:t>
      </w:r>
      <w:r w:rsidRPr="00966B21">
        <w:rPr>
          <w:rFonts w:ascii="Times New Roman" w:hAnsi="Times New Roman" w:cs="Times New Roman"/>
          <w:noProof/>
          <w:sz w:val="24"/>
          <w:szCs w:val="24"/>
          <w:lang w:val="en-US"/>
        </w:rPr>
        <w:tab/>
        <w:t>J. Contreras, E. Johnson, S. Keinan, R. Chaudret, J. Piquemal, D. Beratan, W. Yang, Ct100641a, J. Chem. Theory Comput. (2011) 625–632. papers2://publication/uuid/2EAC1649-5A27-4E10-BDE8-922C3028FA8F.</w:t>
      </w:r>
    </w:p>
    <w:p w14:paraId="734E29A9"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[40]</w:t>
      </w:r>
      <w:r w:rsidRPr="00966B21">
        <w:rPr>
          <w:rFonts w:ascii="Times New Roman" w:hAnsi="Times New Roman" w:cs="Times New Roman"/>
          <w:noProof/>
          <w:sz w:val="24"/>
          <w:szCs w:val="24"/>
          <w:lang w:val="en-US"/>
        </w:rPr>
        <w:tab/>
        <w:t>A. Ranjkesh, M. Hagh Parast, J.S. Park, J.C. Choi, M.S. Zakerhamidi, H.R. Kim, Determination of polarity parameters for liquid crystals using solvatochromic method in anisotropic and isotropic phases, Liq. Cryst. 44 (2017) 695–704. https://doi.org/10.1080/02678292.2016.1233584.</w:t>
      </w:r>
    </w:p>
    <w:p w14:paraId="18A1324E"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[41]</w:t>
      </w:r>
      <w:r w:rsidRPr="00966B21">
        <w:rPr>
          <w:rFonts w:ascii="Times New Roman" w:hAnsi="Times New Roman" w:cs="Times New Roman"/>
          <w:noProof/>
          <w:sz w:val="24"/>
          <w:szCs w:val="24"/>
          <w:lang w:val="en-US"/>
        </w:rPr>
        <w:tab/>
        <w:t>A. Viñas-Ospino, M. Panić, I. Radojčić- Redovniković, J. Blesa, M.J. Esteve, Using novel hydrophobic deep eutectic solvents to improve a sustainable carotenoid extraction from orange peels, Food Biosci. 53 (2023). https://doi.org/10.1016/j.fbio.2023.102570.</w:t>
      </w:r>
    </w:p>
    <w:p w14:paraId="7B13A230"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[42]</w:t>
      </w:r>
      <w:r w:rsidRPr="00966B21">
        <w:rPr>
          <w:rFonts w:ascii="Times New Roman" w:hAnsi="Times New Roman" w:cs="Times New Roman"/>
          <w:noProof/>
          <w:sz w:val="24"/>
          <w:szCs w:val="24"/>
          <w:lang w:val="en-US"/>
        </w:rPr>
        <w:tab/>
        <w:t>A. Ligia Focsan, N.E. Polyakov, L.D. Kispert, Supramolecular carotenoid complexes of enhanced solubility and stability — The way of bioavailability improvement, Molecules 24 (2019). https://doi.org/10.3390/molecules24213947.</w:t>
      </w:r>
    </w:p>
    <w:p w14:paraId="3B42130F"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[43]</w:t>
      </w:r>
      <w:r w:rsidRPr="00966B21">
        <w:rPr>
          <w:rFonts w:ascii="Times New Roman" w:hAnsi="Times New Roman" w:cs="Times New Roman"/>
          <w:noProof/>
          <w:sz w:val="24"/>
          <w:szCs w:val="24"/>
          <w:lang w:val="en-US"/>
        </w:rPr>
        <w:tab/>
        <w:t>C.S. Souza, H.G. Daood, S.A. Duah, S. Vinogradov, G. Palotás, A. Neményi, L. Helyes, Z. Pék, Stability of carotenoids, carotenoid esters, tocopherols and capsaicinoids in new chili pepper hybrids during natural and thermal drying, Lwt 163 (2022). https://doi.org/10.1016/j.lwt.2022.113520.</w:t>
      </w:r>
    </w:p>
    <w:p w14:paraId="70E1F798"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[44]</w:t>
      </w:r>
      <w:r w:rsidRPr="00966B21">
        <w:rPr>
          <w:rFonts w:ascii="Times New Roman" w:hAnsi="Times New Roman" w:cs="Times New Roman"/>
          <w:noProof/>
          <w:sz w:val="24"/>
          <w:szCs w:val="24"/>
          <w:lang w:val="en-US"/>
        </w:rPr>
        <w:tab/>
        <w:t>V. Marcillo-Parra, M. Anaguano, M. Molina, D.S. Tupuna-Yerovi, J. Ruales, Characterization and quantification of bioactive compounds and antioxidant activity in three different varieties of mango (Mangifera indica L.) peel from the Ecuadorian region using HPLC-UV/VIS and UPLC-PDA, NFS J. 23 (2021) 1–7. https://doi.org/10.1016/j.nfs.2021.02.001.</w:t>
      </w:r>
    </w:p>
    <w:p w14:paraId="27E4778F"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[45]</w:t>
      </w:r>
      <w:r w:rsidRPr="00966B21">
        <w:rPr>
          <w:rFonts w:ascii="Times New Roman" w:hAnsi="Times New Roman" w:cs="Times New Roman"/>
          <w:noProof/>
          <w:sz w:val="24"/>
          <w:szCs w:val="24"/>
          <w:lang w:val="en-US"/>
        </w:rPr>
        <w:tab/>
        <w:t>P. Popelier, F. Aicken, S. O’Brien, Atoms in molecules, Chem. Model. Appl. Theory 1 (2000) 143–198.</w:t>
      </w:r>
    </w:p>
    <w:p w14:paraId="02CB6DD0"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[46]</w:t>
      </w:r>
      <w:r w:rsidRPr="00966B21">
        <w:rPr>
          <w:rFonts w:ascii="Times New Roman" w:hAnsi="Times New Roman" w:cs="Times New Roman"/>
          <w:noProof/>
          <w:sz w:val="24"/>
          <w:szCs w:val="24"/>
          <w:lang w:val="en-US"/>
        </w:rPr>
        <w:tab/>
        <w:t>D. Cremer, E. Kraka, Chemical Bonds without Bonding Electron Density — Does the Difference Electron-Density Analysis Suffice for a Description of the Chemical Bond?, Angew. Chemie Int. Ed. English 23 (1984) 627–628. https://doi.org/https://doi.org/10.1002/anie.198406271.</w:t>
      </w:r>
    </w:p>
    <w:p w14:paraId="51407544"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[47]</w:t>
      </w:r>
      <w:r w:rsidRPr="00966B21">
        <w:rPr>
          <w:rFonts w:ascii="Times New Roman" w:hAnsi="Times New Roman" w:cs="Times New Roman"/>
          <w:noProof/>
          <w:sz w:val="24"/>
          <w:szCs w:val="24"/>
          <w:lang w:val="en-US"/>
        </w:rPr>
        <w:tab/>
        <w:t>D.O. Abranches, M.A.R. Martins, L.P. Silva, N. Schaeffer, S.P. Pinho, J.A.P. Coutinho, Phenolic hydrogen bond donors in the formation of non-ionic deep eutectic solvents: The quest for type v des, Chem. Commun. 55 (2019) 10253–10256. https://doi.org/10.1039/c9cc04846d.</w:t>
      </w:r>
    </w:p>
    <w:p w14:paraId="30DF8E18"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[48]</w:t>
      </w:r>
      <w:r w:rsidRPr="00966B21">
        <w:rPr>
          <w:rFonts w:ascii="Times New Roman" w:hAnsi="Times New Roman" w:cs="Times New Roman"/>
          <w:noProof/>
          <w:sz w:val="24"/>
          <w:szCs w:val="24"/>
          <w:lang w:val="en-US"/>
        </w:rPr>
        <w:tab/>
        <w:t>M.M. Vallejos, E.L. Angelina, N.M. Peruchena, Bifunctional hydrogen bonds in monohydrated cycloether complexes, J. Phys. Chem. A 114 (2010) 2855–2863. https://doi.org/10.1021/jp906372t.</w:t>
      </w:r>
    </w:p>
    <w:p w14:paraId="0B5AF7C7"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szCs w:val="24"/>
          <w:lang w:val="en-US"/>
        </w:rPr>
      </w:pPr>
      <w:r w:rsidRPr="00966B21">
        <w:rPr>
          <w:rFonts w:ascii="Times New Roman" w:hAnsi="Times New Roman" w:cs="Times New Roman"/>
          <w:noProof/>
          <w:sz w:val="24"/>
          <w:szCs w:val="24"/>
          <w:lang w:val="en-US"/>
        </w:rPr>
        <w:t>[49]</w:t>
      </w:r>
      <w:r w:rsidRPr="00966B21">
        <w:rPr>
          <w:rFonts w:ascii="Times New Roman" w:hAnsi="Times New Roman" w:cs="Times New Roman"/>
          <w:noProof/>
          <w:sz w:val="24"/>
          <w:szCs w:val="24"/>
          <w:lang w:val="en-US"/>
        </w:rPr>
        <w:tab/>
        <w:t>M.M. Vallejos, N.M. Peruchena, Preferential formation of the different hydrogen bonds and their effects in tetrahydrofuran and tetrahydropyran microhydrated complexes, J. Phys. Chem. A 116 (2012) 4199–4210. https://doi.org/10.1021/jp301498n.</w:t>
      </w:r>
    </w:p>
    <w:p w14:paraId="3BE04497" w14:textId="77777777" w:rsidR="00CD7D53" w:rsidRPr="00966B21" w:rsidRDefault="00CD7D53" w:rsidP="00CD7D53">
      <w:pPr>
        <w:widowControl w:val="0"/>
        <w:autoSpaceDE w:val="0"/>
        <w:autoSpaceDN w:val="0"/>
        <w:adjustRightInd w:val="0"/>
        <w:spacing w:after="0" w:line="240" w:lineRule="auto"/>
        <w:ind w:left="640" w:hanging="640"/>
        <w:rPr>
          <w:rFonts w:ascii="Times New Roman" w:hAnsi="Times New Roman" w:cs="Times New Roman"/>
          <w:noProof/>
          <w:sz w:val="24"/>
          <w:lang w:val="en-US"/>
        </w:rPr>
      </w:pPr>
      <w:r w:rsidRPr="00966B21">
        <w:rPr>
          <w:rFonts w:ascii="Times New Roman" w:hAnsi="Times New Roman" w:cs="Times New Roman"/>
          <w:noProof/>
          <w:sz w:val="24"/>
          <w:szCs w:val="24"/>
          <w:lang w:val="en-US"/>
        </w:rPr>
        <w:t>[50]</w:t>
      </w:r>
      <w:r w:rsidRPr="00966B21">
        <w:rPr>
          <w:rFonts w:ascii="Times New Roman" w:hAnsi="Times New Roman" w:cs="Times New Roman"/>
          <w:noProof/>
          <w:sz w:val="24"/>
          <w:szCs w:val="24"/>
          <w:lang w:val="en-US"/>
        </w:rPr>
        <w:tab/>
        <w:t xml:space="preserve">B.G. De Oliveira, Structure, energy, vibrational spectrum, and Bader’s analysis </w:t>
      </w:r>
      <w:r w:rsidRPr="00966B21">
        <w:rPr>
          <w:rFonts w:ascii="Times New Roman" w:hAnsi="Times New Roman" w:cs="Times New Roman"/>
          <w:noProof/>
          <w:sz w:val="24"/>
          <w:szCs w:val="24"/>
          <w:lang w:val="en-US"/>
        </w:rPr>
        <w:lastRenderedPageBreak/>
        <w:t xml:space="preserve">of </w:t>
      </w:r>
      <w:r w:rsidRPr="00966B21">
        <w:rPr>
          <w:rFonts w:ascii="Times New Roman" w:hAnsi="Times New Roman" w:cs="Times New Roman"/>
          <w:noProof/>
          <w:sz w:val="24"/>
          <w:szCs w:val="24"/>
        </w:rPr>
        <w:t>π</w:t>
      </w:r>
      <w:r w:rsidRPr="00966B21">
        <w:rPr>
          <w:rFonts w:ascii="Cambria Math" w:hAnsi="Cambria Math" w:cs="Cambria Math"/>
          <w:noProof/>
          <w:sz w:val="24"/>
          <w:szCs w:val="24"/>
          <w:lang w:val="en-US"/>
        </w:rPr>
        <w:t>⋯</w:t>
      </w:r>
      <w:r w:rsidRPr="00966B21">
        <w:rPr>
          <w:rFonts w:ascii="Times New Roman" w:hAnsi="Times New Roman" w:cs="Times New Roman"/>
          <w:noProof/>
          <w:sz w:val="24"/>
          <w:szCs w:val="24"/>
          <w:lang w:val="en-US"/>
        </w:rPr>
        <w:t>H hydrogen bonds and H-</w:t>
      </w:r>
      <w:r w:rsidRPr="00966B21">
        <w:rPr>
          <w:rFonts w:ascii="Times New Roman" w:hAnsi="Times New Roman" w:cs="Times New Roman"/>
          <w:noProof/>
          <w:sz w:val="24"/>
          <w:szCs w:val="24"/>
        </w:rPr>
        <w:t>δ</w:t>
      </w:r>
      <w:r w:rsidRPr="00966B21">
        <w:rPr>
          <w:rFonts w:ascii="Cambria Math" w:hAnsi="Cambria Math" w:cs="Cambria Math"/>
          <w:noProof/>
          <w:sz w:val="24"/>
          <w:szCs w:val="24"/>
          <w:lang w:val="en-US"/>
        </w:rPr>
        <w:t>⋯</w:t>
      </w:r>
      <w:r w:rsidRPr="00966B21">
        <w:rPr>
          <w:rFonts w:ascii="Times New Roman" w:hAnsi="Times New Roman" w:cs="Times New Roman"/>
          <w:noProof/>
          <w:sz w:val="24"/>
          <w:szCs w:val="24"/>
          <w:lang w:val="en-US"/>
        </w:rPr>
        <w:t>H +</w:t>
      </w:r>
      <w:r w:rsidRPr="00966B21">
        <w:rPr>
          <w:rFonts w:ascii="Times New Roman" w:hAnsi="Times New Roman" w:cs="Times New Roman"/>
          <w:noProof/>
          <w:sz w:val="24"/>
          <w:szCs w:val="24"/>
        </w:rPr>
        <w:t>δ</w:t>
      </w:r>
      <w:r w:rsidRPr="00966B21">
        <w:rPr>
          <w:rFonts w:ascii="Times New Roman" w:hAnsi="Times New Roman" w:cs="Times New Roman"/>
          <w:noProof/>
          <w:sz w:val="24"/>
          <w:szCs w:val="24"/>
          <w:lang w:val="en-US"/>
        </w:rPr>
        <w:t xml:space="preserve"> dihydrogen bonds, Phys. Chem. Chem. Phys. 15 (2013) 37–79. https://doi.org/10.1039/c2cp41749a.</w:t>
      </w:r>
    </w:p>
    <w:p w14:paraId="760D6178" w14:textId="77777777" w:rsidR="006A12DA" w:rsidRPr="00966B21" w:rsidRDefault="00E01993" w:rsidP="002753DB">
      <w:pPr>
        <w:widowControl w:val="0"/>
        <w:autoSpaceDE w:val="0"/>
        <w:autoSpaceDN w:val="0"/>
        <w:adjustRightInd w:val="0"/>
        <w:spacing w:after="0" w:line="240" w:lineRule="auto"/>
        <w:ind w:left="640" w:hanging="640"/>
        <w:rPr>
          <w:lang w:val="en-GB"/>
        </w:rPr>
      </w:pPr>
      <w:r w:rsidRPr="00966B21">
        <w:rPr>
          <w:lang w:val="en-GB"/>
        </w:rPr>
        <w:fldChar w:fldCharType="end"/>
      </w:r>
    </w:p>
    <w:p w14:paraId="7A612E14" w14:textId="77777777" w:rsidR="006A12DA" w:rsidRPr="00966B21" w:rsidRDefault="006A12DA" w:rsidP="002753DB">
      <w:pPr>
        <w:pStyle w:val="NormaleWeb"/>
        <w:spacing w:before="0" w:beforeAutospacing="0" w:after="0" w:afterAutospacing="0"/>
        <w:jc w:val="both"/>
        <w:rPr>
          <w:lang w:val="en-GB"/>
        </w:rPr>
      </w:pPr>
    </w:p>
    <w:p w14:paraId="7D31AE45" w14:textId="77777777" w:rsidR="006A12DA" w:rsidRPr="00966B21" w:rsidRDefault="006A12DA" w:rsidP="002753DB">
      <w:pPr>
        <w:pStyle w:val="NormaleWeb"/>
        <w:spacing w:before="0" w:beforeAutospacing="0" w:after="0" w:afterAutospacing="0"/>
        <w:jc w:val="both"/>
        <w:rPr>
          <w:lang w:val="en-GB"/>
        </w:rPr>
      </w:pPr>
    </w:p>
    <w:p w14:paraId="75F79AC1" w14:textId="77777777" w:rsidR="00557173" w:rsidRPr="00966B21" w:rsidRDefault="00557173" w:rsidP="002753DB">
      <w:pPr>
        <w:pStyle w:val="NormaleWeb"/>
        <w:spacing w:before="0" w:beforeAutospacing="0" w:after="0" w:afterAutospacing="0"/>
        <w:jc w:val="both"/>
        <w:rPr>
          <w:lang w:val="en-GB"/>
        </w:rPr>
      </w:pPr>
    </w:p>
    <w:p w14:paraId="36F8CA89" w14:textId="77777777" w:rsidR="00557173" w:rsidRPr="00966B21" w:rsidRDefault="00557173" w:rsidP="002753DB">
      <w:pPr>
        <w:pStyle w:val="NormaleWeb"/>
        <w:spacing w:before="0" w:beforeAutospacing="0" w:after="0" w:afterAutospacing="0"/>
        <w:jc w:val="both"/>
        <w:rPr>
          <w:lang w:val="en-GB"/>
        </w:rPr>
      </w:pPr>
    </w:p>
    <w:p w14:paraId="017EBD52" w14:textId="77777777" w:rsidR="00557173" w:rsidRPr="00966B21" w:rsidRDefault="00557173" w:rsidP="002753DB">
      <w:pPr>
        <w:pStyle w:val="NormaleWeb"/>
        <w:spacing w:before="0" w:beforeAutospacing="0" w:after="0" w:afterAutospacing="0"/>
        <w:jc w:val="both"/>
        <w:rPr>
          <w:lang w:val="en-GB"/>
        </w:rPr>
      </w:pPr>
    </w:p>
    <w:p w14:paraId="76319434" w14:textId="3BA1C390" w:rsidR="00557173" w:rsidRPr="00966B21" w:rsidRDefault="00557173" w:rsidP="002753DB">
      <w:pPr>
        <w:pStyle w:val="NormaleWeb"/>
        <w:spacing w:before="0" w:beforeAutospacing="0" w:after="0" w:afterAutospacing="0"/>
        <w:jc w:val="both"/>
        <w:rPr>
          <w:sz w:val="20"/>
          <w:lang w:val="en-GB"/>
        </w:rPr>
      </w:pPr>
    </w:p>
    <w:p w14:paraId="47D83C76" w14:textId="4C884CF6" w:rsidR="00F7236B" w:rsidRPr="00966B21" w:rsidRDefault="00F7236B" w:rsidP="002753DB">
      <w:pPr>
        <w:pStyle w:val="NormaleWeb"/>
        <w:spacing w:before="0" w:beforeAutospacing="0" w:after="0" w:afterAutospacing="0"/>
        <w:jc w:val="both"/>
        <w:rPr>
          <w:sz w:val="20"/>
          <w:lang w:val="en-GB"/>
        </w:rPr>
      </w:pPr>
    </w:p>
    <w:p w14:paraId="23FD6724" w14:textId="75446E42" w:rsidR="00F7236B" w:rsidRPr="00966B21" w:rsidRDefault="00F7236B" w:rsidP="002753DB">
      <w:pPr>
        <w:pStyle w:val="NormaleWeb"/>
        <w:spacing w:before="0" w:beforeAutospacing="0" w:after="0" w:afterAutospacing="0"/>
        <w:jc w:val="both"/>
        <w:rPr>
          <w:sz w:val="20"/>
          <w:lang w:val="en-GB"/>
        </w:rPr>
      </w:pPr>
    </w:p>
    <w:p w14:paraId="5D46C160" w14:textId="79C8EB35" w:rsidR="00F7236B" w:rsidRPr="00966B21" w:rsidRDefault="00F7236B" w:rsidP="002753DB">
      <w:pPr>
        <w:pStyle w:val="NormaleWeb"/>
        <w:spacing w:before="0" w:beforeAutospacing="0" w:after="0" w:afterAutospacing="0"/>
        <w:jc w:val="both"/>
        <w:rPr>
          <w:sz w:val="20"/>
          <w:lang w:val="en-GB"/>
        </w:rPr>
      </w:pPr>
    </w:p>
    <w:p w14:paraId="2BF44DE9" w14:textId="473251DF" w:rsidR="00F7236B" w:rsidRPr="00966B21" w:rsidRDefault="00F7236B" w:rsidP="002753DB">
      <w:pPr>
        <w:pStyle w:val="NormaleWeb"/>
        <w:spacing w:before="0" w:beforeAutospacing="0" w:after="0" w:afterAutospacing="0"/>
        <w:jc w:val="both"/>
        <w:rPr>
          <w:sz w:val="20"/>
          <w:lang w:val="en-GB"/>
        </w:rPr>
      </w:pPr>
    </w:p>
    <w:p w14:paraId="707BB153" w14:textId="1B282FAF" w:rsidR="00F7236B" w:rsidRPr="00966B21" w:rsidRDefault="00F7236B" w:rsidP="002753DB">
      <w:pPr>
        <w:pStyle w:val="NormaleWeb"/>
        <w:spacing w:before="0" w:beforeAutospacing="0" w:after="0" w:afterAutospacing="0"/>
        <w:jc w:val="both"/>
        <w:rPr>
          <w:sz w:val="20"/>
          <w:lang w:val="en-GB"/>
        </w:rPr>
      </w:pPr>
    </w:p>
    <w:p w14:paraId="6FBA1CD2" w14:textId="5A6A8998" w:rsidR="00F7236B" w:rsidRPr="00966B21" w:rsidRDefault="00F7236B" w:rsidP="002753DB">
      <w:pPr>
        <w:pStyle w:val="NormaleWeb"/>
        <w:spacing w:before="0" w:beforeAutospacing="0" w:after="0" w:afterAutospacing="0"/>
        <w:jc w:val="both"/>
        <w:rPr>
          <w:sz w:val="20"/>
          <w:lang w:val="en-GB"/>
        </w:rPr>
      </w:pPr>
    </w:p>
    <w:p w14:paraId="442D636F" w14:textId="198D4F2C" w:rsidR="00F7236B" w:rsidRPr="00966B21" w:rsidRDefault="00F7236B" w:rsidP="002753DB">
      <w:pPr>
        <w:pStyle w:val="NormaleWeb"/>
        <w:spacing w:before="0" w:beforeAutospacing="0" w:after="0" w:afterAutospacing="0"/>
        <w:jc w:val="both"/>
        <w:rPr>
          <w:sz w:val="20"/>
          <w:lang w:val="en-GB"/>
        </w:rPr>
      </w:pPr>
    </w:p>
    <w:p w14:paraId="5D23014E" w14:textId="73021EB0" w:rsidR="00F7236B" w:rsidRPr="00966B21" w:rsidRDefault="00F7236B" w:rsidP="002753DB">
      <w:pPr>
        <w:pStyle w:val="NormaleWeb"/>
        <w:spacing w:before="0" w:beforeAutospacing="0" w:after="0" w:afterAutospacing="0"/>
        <w:jc w:val="both"/>
        <w:rPr>
          <w:sz w:val="20"/>
          <w:lang w:val="en-GB"/>
        </w:rPr>
      </w:pPr>
    </w:p>
    <w:p w14:paraId="336047A4" w14:textId="201565D5" w:rsidR="00F7236B" w:rsidRPr="00966B21" w:rsidRDefault="00F7236B" w:rsidP="002753DB">
      <w:pPr>
        <w:pStyle w:val="NormaleWeb"/>
        <w:spacing w:before="0" w:beforeAutospacing="0" w:after="0" w:afterAutospacing="0"/>
        <w:jc w:val="both"/>
        <w:rPr>
          <w:sz w:val="20"/>
          <w:lang w:val="en-GB"/>
        </w:rPr>
      </w:pPr>
    </w:p>
    <w:p w14:paraId="6FF067C1" w14:textId="0454D001" w:rsidR="00F7236B" w:rsidRPr="00966B21" w:rsidRDefault="00F7236B" w:rsidP="002753DB">
      <w:pPr>
        <w:pStyle w:val="NormaleWeb"/>
        <w:spacing w:before="0" w:beforeAutospacing="0" w:after="0" w:afterAutospacing="0"/>
        <w:jc w:val="both"/>
        <w:rPr>
          <w:sz w:val="20"/>
          <w:lang w:val="en-GB"/>
        </w:rPr>
      </w:pPr>
    </w:p>
    <w:p w14:paraId="44BC5D7A" w14:textId="3ABF955B" w:rsidR="00F7236B" w:rsidRPr="00966B21" w:rsidRDefault="00F7236B" w:rsidP="002753DB">
      <w:pPr>
        <w:pStyle w:val="NormaleWeb"/>
        <w:spacing w:before="0" w:beforeAutospacing="0" w:after="0" w:afterAutospacing="0"/>
        <w:jc w:val="both"/>
        <w:rPr>
          <w:sz w:val="20"/>
          <w:lang w:val="en-GB"/>
        </w:rPr>
      </w:pPr>
    </w:p>
    <w:p w14:paraId="62D19EA5" w14:textId="55B2A7FF" w:rsidR="00F7236B" w:rsidRPr="00966B21" w:rsidRDefault="00F7236B" w:rsidP="002753DB">
      <w:pPr>
        <w:pStyle w:val="NormaleWeb"/>
        <w:spacing w:before="0" w:beforeAutospacing="0" w:after="0" w:afterAutospacing="0"/>
        <w:jc w:val="both"/>
        <w:rPr>
          <w:sz w:val="20"/>
          <w:lang w:val="en-GB"/>
        </w:rPr>
      </w:pPr>
    </w:p>
    <w:p w14:paraId="41E3D540" w14:textId="4B3404C4" w:rsidR="00F7236B" w:rsidRPr="00966B21" w:rsidRDefault="00F7236B" w:rsidP="002753DB">
      <w:pPr>
        <w:pStyle w:val="NormaleWeb"/>
        <w:spacing w:before="0" w:beforeAutospacing="0" w:after="0" w:afterAutospacing="0"/>
        <w:jc w:val="both"/>
        <w:rPr>
          <w:sz w:val="20"/>
          <w:lang w:val="en-GB"/>
        </w:rPr>
      </w:pPr>
    </w:p>
    <w:p w14:paraId="25A7AC4B" w14:textId="71269F1F" w:rsidR="00F7236B" w:rsidRPr="00966B21" w:rsidRDefault="00F7236B" w:rsidP="002753DB">
      <w:pPr>
        <w:pStyle w:val="NormaleWeb"/>
        <w:spacing w:before="0" w:beforeAutospacing="0" w:after="0" w:afterAutospacing="0"/>
        <w:jc w:val="both"/>
        <w:rPr>
          <w:sz w:val="20"/>
          <w:lang w:val="en-GB"/>
        </w:rPr>
      </w:pPr>
    </w:p>
    <w:p w14:paraId="71B35CC6" w14:textId="04A97158" w:rsidR="00F7236B" w:rsidRPr="00966B21" w:rsidRDefault="00F7236B" w:rsidP="002753DB">
      <w:pPr>
        <w:pStyle w:val="NormaleWeb"/>
        <w:spacing w:before="0" w:beforeAutospacing="0" w:after="0" w:afterAutospacing="0"/>
        <w:jc w:val="both"/>
        <w:rPr>
          <w:sz w:val="20"/>
          <w:lang w:val="en-GB"/>
        </w:rPr>
      </w:pPr>
    </w:p>
    <w:p w14:paraId="736DEE0B" w14:textId="500949AF" w:rsidR="00F7236B" w:rsidRPr="00966B21" w:rsidRDefault="00F7236B" w:rsidP="002753DB">
      <w:pPr>
        <w:pStyle w:val="NormaleWeb"/>
        <w:spacing w:before="0" w:beforeAutospacing="0" w:after="0" w:afterAutospacing="0"/>
        <w:jc w:val="both"/>
        <w:rPr>
          <w:sz w:val="20"/>
          <w:lang w:val="en-GB"/>
        </w:rPr>
      </w:pPr>
    </w:p>
    <w:p w14:paraId="0F5CA0F5" w14:textId="43DF1C5D" w:rsidR="00F7236B" w:rsidRPr="00966B21" w:rsidRDefault="00F7236B" w:rsidP="002753DB">
      <w:pPr>
        <w:pStyle w:val="NormaleWeb"/>
        <w:spacing w:before="0" w:beforeAutospacing="0" w:after="0" w:afterAutospacing="0"/>
        <w:jc w:val="both"/>
        <w:rPr>
          <w:sz w:val="20"/>
          <w:lang w:val="en-GB"/>
        </w:rPr>
      </w:pPr>
    </w:p>
    <w:p w14:paraId="614FEC68" w14:textId="7661B4A2" w:rsidR="00F7236B" w:rsidRPr="00966B21" w:rsidRDefault="00F7236B" w:rsidP="002753DB">
      <w:pPr>
        <w:pStyle w:val="NormaleWeb"/>
        <w:spacing w:before="0" w:beforeAutospacing="0" w:after="0" w:afterAutospacing="0"/>
        <w:jc w:val="both"/>
        <w:rPr>
          <w:sz w:val="20"/>
          <w:lang w:val="en-GB"/>
        </w:rPr>
      </w:pPr>
    </w:p>
    <w:p w14:paraId="1D5BB1E0" w14:textId="77F71030" w:rsidR="00F7236B" w:rsidRPr="00966B21" w:rsidRDefault="00F7236B" w:rsidP="002753DB">
      <w:pPr>
        <w:pStyle w:val="NormaleWeb"/>
        <w:spacing w:before="0" w:beforeAutospacing="0" w:after="0" w:afterAutospacing="0"/>
        <w:jc w:val="both"/>
        <w:rPr>
          <w:sz w:val="20"/>
          <w:lang w:val="en-GB"/>
        </w:rPr>
      </w:pPr>
    </w:p>
    <w:p w14:paraId="5C34F07B" w14:textId="0F6F92EE" w:rsidR="00F7236B" w:rsidRPr="00966B21" w:rsidRDefault="00F7236B" w:rsidP="002753DB">
      <w:pPr>
        <w:pStyle w:val="NormaleWeb"/>
        <w:spacing w:before="0" w:beforeAutospacing="0" w:after="0" w:afterAutospacing="0"/>
        <w:jc w:val="both"/>
        <w:rPr>
          <w:sz w:val="20"/>
          <w:lang w:val="en-GB"/>
        </w:rPr>
      </w:pPr>
    </w:p>
    <w:p w14:paraId="466473DA" w14:textId="514ADC30" w:rsidR="00F7236B" w:rsidRPr="00966B21" w:rsidRDefault="00F7236B" w:rsidP="002753DB">
      <w:pPr>
        <w:pStyle w:val="NormaleWeb"/>
        <w:spacing w:before="0" w:beforeAutospacing="0" w:after="0" w:afterAutospacing="0"/>
        <w:jc w:val="both"/>
        <w:rPr>
          <w:sz w:val="20"/>
          <w:lang w:val="en-GB"/>
        </w:rPr>
      </w:pPr>
    </w:p>
    <w:p w14:paraId="3FEDF122" w14:textId="36C29768" w:rsidR="00F7236B" w:rsidRPr="00966B21" w:rsidRDefault="00F7236B" w:rsidP="002753DB">
      <w:pPr>
        <w:pStyle w:val="NormaleWeb"/>
        <w:spacing w:before="0" w:beforeAutospacing="0" w:after="0" w:afterAutospacing="0"/>
        <w:jc w:val="both"/>
        <w:rPr>
          <w:sz w:val="20"/>
          <w:lang w:val="en-GB"/>
        </w:rPr>
      </w:pPr>
    </w:p>
    <w:p w14:paraId="62375183" w14:textId="6F71437C" w:rsidR="00F7236B" w:rsidRPr="00966B21" w:rsidRDefault="00F7236B" w:rsidP="002753DB">
      <w:pPr>
        <w:pStyle w:val="NormaleWeb"/>
        <w:spacing w:before="0" w:beforeAutospacing="0" w:after="0" w:afterAutospacing="0"/>
        <w:jc w:val="both"/>
        <w:rPr>
          <w:sz w:val="20"/>
          <w:lang w:val="en-GB"/>
        </w:rPr>
      </w:pPr>
    </w:p>
    <w:p w14:paraId="6736E042" w14:textId="5AEAB297" w:rsidR="00F7236B" w:rsidRPr="00966B21" w:rsidRDefault="00F7236B" w:rsidP="002753DB">
      <w:pPr>
        <w:pStyle w:val="NormaleWeb"/>
        <w:spacing w:before="0" w:beforeAutospacing="0" w:after="0" w:afterAutospacing="0"/>
        <w:jc w:val="both"/>
        <w:rPr>
          <w:sz w:val="20"/>
          <w:lang w:val="en-GB"/>
        </w:rPr>
      </w:pPr>
    </w:p>
    <w:p w14:paraId="78D244B0" w14:textId="73B48F1E" w:rsidR="00F7236B" w:rsidRPr="00966B21" w:rsidRDefault="00F7236B" w:rsidP="002753DB">
      <w:pPr>
        <w:pStyle w:val="NormaleWeb"/>
        <w:spacing w:before="0" w:beforeAutospacing="0" w:after="0" w:afterAutospacing="0"/>
        <w:jc w:val="both"/>
        <w:rPr>
          <w:sz w:val="20"/>
          <w:lang w:val="en-GB"/>
        </w:rPr>
      </w:pPr>
    </w:p>
    <w:p w14:paraId="70E376E5" w14:textId="32E190A9" w:rsidR="00F7236B" w:rsidRPr="00966B21" w:rsidRDefault="00F7236B" w:rsidP="002753DB">
      <w:pPr>
        <w:pStyle w:val="NormaleWeb"/>
        <w:spacing w:before="0" w:beforeAutospacing="0" w:after="0" w:afterAutospacing="0"/>
        <w:jc w:val="both"/>
        <w:rPr>
          <w:sz w:val="20"/>
          <w:lang w:val="en-GB"/>
        </w:rPr>
      </w:pPr>
    </w:p>
    <w:p w14:paraId="127770F3" w14:textId="2F3818F9" w:rsidR="00F7236B" w:rsidRPr="00966B21" w:rsidRDefault="00F7236B" w:rsidP="002753DB">
      <w:pPr>
        <w:pStyle w:val="NormaleWeb"/>
        <w:spacing w:before="0" w:beforeAutospacing="0" w:after="0" w:afterAutospacing="0"/>
        <w:jc w:val="both"/>
        <w:rPr>
          <w:sz w:val="20"/>
          <w:lang w:val="en-GB"/>
        </w:rPr>
      </w:pPr>
    </w:p>
    <w:p w14:paraId="3CECEE3C" w14:textId="0FFAF787" w:rsidR="00CA7B0B" w:rsidRPr="00966B21" w:rsidRDefault="00CA7B0B" w:rsidP="00F7236B">
      <w:pPr>
        <w:rPr>
          <w:rFonts w:ascii="Times New Roman" w:hAnsi="Times New Roman" w:cs="Times New Roman"/>
          <w:sz w:val="24"/>
          <w:szCs w:val="24"/>
          <w:lang w:val="en-US"/>
        </w:rPr>
      </w:pPr>
      <w:bookmarkStart w:id="9" w:name="_Hlk176428374"/>
    </w:p>
    <w:p w14:paraId="29F69EA8" w14:textId="4B76E1A1" w:rsidR="004941B1" w:rsidRPr="00966B21" w:rsidRDefault="004941B1" w:rsidP="00F7236B">
      <w:pPr>
        <w:rPr>
          <w:rFonts w:ascii="Times New Roman" w:hAnsi="Times New Roman" w:cs="Times New Roman"/>
          <w:sz w:val="24"/>
          <w:szCs w:val="24"/>
          <w:lang w:val="en-US"/>
        </w:rPr>
      </w:pPr>
    </w:p>
    <w:p w14:paraId="2ABAAF9C" w14:textId="64887016" w:rsidR="004941B1" w:rsidRPr="00966B21" w:rsidRDefault="004941B1" w:rsidP="00F7236B">
      <w:pPr>
        <w:rPr>
          <w:rFonts w:ascii="Times New Roman" w:hAnsi="Times New Roman" w:cs="Times New Roman"/>
          <w:sz w:val="24"/>
          <w:szCs w:val="24"/>
          <w:lang w:val="en-US"/>
        </w:rPr>
      </w:pPr>
    </w:p>
    <w:p w14:paraId="6140E4F7" w14:textId="181CE559" w:rsidR="004941B1" w:rsidRPr="00966B21" w:rsidRDefault="004941B1" w:rsidP="00F7236B">
      <w:pPr>
        <w:rPr>
          <w:rFonts w:ascii="Times New Roman" w:hAnsi="Times New Roman" w:cs="Times New Roman"/>
          <w:sz w:val="24"/>
          <w:szCs w:val="24"/>
          <w:lang w:val="en-US"/>
        </w:rPr>
      </w:pPr>
    </w:p>
    <w:p w14:paraId="27974A8B" w14:textId="6FC6E2E2" w:rsidR="004941B1" w:rsidRPr="00966B21" w:rsidRDefault="004941B1" w:rsidP="00F7236B">
      <w:pPr>
        <w:rPr>
          <w:rFonts w:ascii="Times New Roman" w:hAnsi="Times New Roman" w:cs="Times New Roman"/>
          <w:sz w:val="24"/>
          <w:szCs w:val="24"/>
          <w:lang w:val="en-US"/>
        </w:rPr>
      </w:pPr>
    </w:p>
    <w:p w14:paraId="3BFAE44C" w14:textId="055FFD6F" w:rsidR="004941B1" w:rsidRPr="00966B21" w:rsidRDefault="004941B1" w:rsidP="00F7236B">
      <w:pPr>
        <w:rPr>
          <w:rFonts w:ascii="Times New Roman" w:hAnsi="Times New Roman" w:cs="Times New Roman"/>
          <w:sz w:val="24"/>
          <w:szCs w:val="24"/>
          <w:lang w:val="en-US"/>
        </w:rPr>
      </w:pPr>
    </w:p>
    <w:p w14:paraId="4E8A3908" w14:textId="1C719425" w:rsidR="004941B1" w:rsidRPr="00966B21" w:rsidRDefault="004941B1" w:rsidP="00F7236B">
      <w:pPr>
        <w:rPr>
          <w:rFonts w:ascii="Times New Roman" w:hAnsi="Times New Roman" w:cs="Times New Roman"/>
          <w:sz w:val="24"/>
          <w:szCs w:val="24"/>
          <w:lang w:val="en-US"/>
        </w:rPr>
      </w:pPr>
    </w:p>
    <w:p w14:paraId="4C4D1CEB" w14:textId="7E2F78FB" w:rsidR="004941B1" w:rsidRPr="00966B21" w:rsidRDefault="004941B1" w:rsidP="00F7236B">
      <w:pPr>
        <w:rPr>
          <w:rFonts w:ascii="Times New Roman" w:hAnsi="Times New Roman" w:cs="Times New Roman"/>
          <w:sz w:val="24"/>
          <w:szCs w:val="24"/>
          <w:lang w:val="en-US"/>
        </w:rPr>
      </w:pPr>
    </w:p>
    <w:p w14:paraId="7E41305D" w14:textId="77777777" w:rsidR="005070B7" w:rsidRPr="00966B21" w:rsidRDefault="005070B7" w:rsidP="00F7236B">
      <w:pPr>
        <w:rPr>
          <w:rFonts w:ascii="Times New Roman" w:hAnsi="Times New Roman" w:cs="Times New Roman"/>
          <w:sz w:val="24"/>
          <w:szCs w:val="24"/>
          <w:lang w:val="en-US"/>
        </w:rPr>
      </w:pPr>
    </w:p>
    <w:p w14:paraId="638E5E10" w14:textId="77777777" w:rsidR="004941B1" w:rsidRPr="00966B21" w:rsidRDefault="004941B1" w:rsidP="00F7236B">
      <w:pPr>
        <w:rPr>
          <w:rFonts w:ascii="Times New Roman" w:hAnsi="Times New Roman" w:cs="Times New Roman"/>
          <w:sz w:val="24"/>
          <w:szCs w:val="24"/>
          <w:lang w:val="en-US"/>
        </w:rPr>
      </w:pPr>
    </w:p>
    <w:p w14:paraId="48C7ADB6" w14:textId="3C823B1B" w:rsidR="00F7236B" w:rsidRPr="00966B21" w:rsidRDefault="00F7236B" w:rsidP="00F7236B">
      <w:pPr>
        <w:rPr>
          <w:rFonts w:ascii="Times New Roman" w:hAnsi="Times New Roman" w:cs="Times New Roman"/>
          <w:sz w:val="24"/>
          <w:szCs w:val="24"/>
          <w:lang w:val="en-US"/>
        </w:rPr>
      </w:pPr>
      <w:r w:rsidRPr="00966B21">
        <w:rPr>
          <w:rFonts w:ascii="Times New Roman" w:hAnsi="Times New Roman" w:cs="Times New Roman"/>
          <w:sz w:val="24"/>
          <w:szCs w:val="24"/>
          <w:lang w:val="en-US"/>
        </w:rPr>
        <w:lastRenderedPageBreak/>
        <w:t>Table 1</w:t>
      </w:r>
      <w:r w:rsidRPr="00966B21">
        <w:rPr>
          <w:rFonts w:ascii="Times New Roman" w:hAnsi="Times New Roman" w:cs="Times New Roman"/>
          <w:sz w:val="24"/>
          <w:szCs w:val="24"/>
          <w:lang w:val="en-GB"/>
        </w:rPr>
        <w:t xml:space="preserve">. </w:t>
      </w:r>
      <w:r w:rsidRPr="00966B21">
        <w:rPr>
          <w:rFonts w:ascii="Times New Roman" w:hAnsi="Times New Roman" w:cs="Times New Roman"/>
          <w:sz w:val="24"/>
          <w:szCs w:val="24"/>
          <w:lang w:val="en-US"/>
        </w:rPr>
        <w:t>Details and solvatometric parameters of the HES systems evaluated in this work.</w:t>
      </w:r>
    </w:p>
    <w:tbl>
      <w:tblPr>
        <w:tblStyle w:val="Grigliatabella"/>
        <w:tblW w:w="9923" w:type="dxa"/>
        <w:tblInd w:w="-718" w:type="dxa"/>
        <w:tblLayout w:type="fixed"/>
        <w:tblLook w:val="04A0" w:firstRow="1" w:lastRow="0" w:firstColumn="1" w:lastColumn="0" w:noHBand="0" w:noVBand="1"/>
      </w:tblPr>
      <w:tblGrid>
        <w:gridCol w:w="1282"/>
        <w:gridCol w:w="2121"/>
        <w:gridCol w:w="1701"/>
        <w:gridCol w:w="850"/>
        <w:gridCol w:w="993"/>
        <w:gridCol w:w="850"/>
        <w:gridCol w:w="2126"/>
      </w:tblGrid>
      <w:tr w:rsidR="00F7236B" w:rsidRPr="00966B21" w14:paraId="6A269FBF" w14:textId="77777777" w:rsidTr="00B60D8F">
        <w:tc>
          <w:tcPr>
            <w:tcW w:w="1282" w:type="dxa"/>
            <w:tcBorders>
              <w:top w:val="single" w:sz="4" w:space="0" w:color="auto"/>
              <w:left w:val="nil"/>
              <w:bottom w:val="single" w:sz="4" w:space="0" w:color="auto"/>
              <w:right w:val="nil"/>
            </w:tcBorders>
          </w:tcPr>
          <w:p w14:paraId="2F5FF74F" w14:textId="77777777" w:rsidR="00F7236B" w:rsidRPr="00966B21" w:rsidRDefault="00F7236B" w:rsidP="00B60D8F">
            <w:pPr>
              <w:rPr>
                <w:rFonts w:ascii="Times New Roman" w:hAnsi="Times New Roman" w:cs="Times New Roman"/>
                <w:sz w:val="24"/>
                <w:szCs w:val="24"/>
                <w:lang w:val="en-GB"/>
              </w:rPr>
            </w:pPr>
          </w:p>
        </w:tc>
        <w:tc>
          <w:tcPr>
            <w:tcW w:w="3822" w:type="dxa"/>
            <w:gridSpan w:val="2"/>
            <w:tcBorders>
              <w:top w:val="single" w:sz="4" w:space="0" w:color="auto"/>
              <w:left w:val="nil"/>
              <w:bottom w:val="single" w:sz="4" w:space="0" w:color="auto"/>
              <w:right w:val="nil"/>
            </w:tcBorders>
          </w:tcPr>
          <w:p w14:paraId="0F9F6386"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Individual components</w:t>
            </w:r>
          </w:p>
        </w:tc>
        <w:tc>
          <w:tcPr>
            <w:tcW w:w="1843" w:type="dxa"/>
            <w:gridSpan w:val="2"/>
            <w:tcBorders>
              <w:top w:val="single" w:sz="4" w:space="0" w:color="auto"/>
              <w:left w:val="nil"/>
              <w:bottom w:val="single" w:sz="4" w:space="0" w:color="auto"/>
              <w:right w:val="nil"/>
            </w:tcBorders>
          </w:tcPr>
          <w:p w14:paraId="70B9CCA4"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Molar ratio</w:t>
            </w:r>
          </w:p>
        </w:tc>
        <w:tc>
          <w:tcPr>
            <w:tcW w:w="2976" w:type="dxa"/>
            <w:gridSpan w:val="2"/>
            <w:tcBorders>
              <w:top w:val="single" w:sz="4" w:space="0" w:color="auto"/>
              <w:left w:val="nil"/>
              <w:bottom w:val="single" w:sz="4" w:space="0" w:color="auto"/>
              <w:right w:val="nil"/>
            </w:tcBorders>
          </w:tcPr>
          <w:p w14:paraId="22EC9BED"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Solvatometric properties</w:t>
            </w:r>
          </w:p>
        </w:tc>
      </w:tr>
      <w:tr w:rsidR="00F7236B" w:rsidRPr="00966B21" w14:paraId="67DAD831" w14:textId="77777777" w:rsidTr="00B60D8F">
        <w:tc>
          <w:tcPr>
            <w:tcW w:w="1282" w:type="dxa"/>
            <w:tcBorders>
              <w:top w:val="single" w:sz="4" w:space="0" w:color="auto"/>
              <w:left w:val="nil"/>
              <w:bottom w:val="single" w:sz="4" w:space="0" w:color="auto"/>
              <w:right w:val="nil"/>
            </w:tcBorders>
          </w:tcPr>
          <w:p w14:paraId="66CB5B9E" w14:textId="77777777" w:rsidR="00F7236B" w:rsidRPr="00966B21" w:rsidRDefault="00F7236B" w:rsidP="00B60D8F">
            <w:pPr>
              <w:rPr>
                <w:rFonts w:ascii="Times New Roman" w:hAnsi="Times New Roman" w:cs="Times New Roman"/>
                <w:sz w:val="24"/>
                <w:szCs w:val="24"/>
                <w:lang w:val="en-GB"/>
              </w:rPr>
            </w:pPr>
            <w:r w:rsidRPr="00966B21">
              <w:rPr>
                <w:rFonts w:ascii="Times New Roman" w:hAnsi="Times New Roman" w:cs="Times New Roman"/>
                <w:sz w:val="24"/>
                <w:szCs w:val="24"/>
                <w:lang w:val="en-GB"/>
              </w:rPr>
              <w:t>Solvent</w:t>
            </w:r>
          </w:p>
        </w:tc>
        <w:tc>
          <w:tcPr>
            <w:tcW w:w="2121" w:type="dxa"/>
            <w:tcBorders>
              <w:top w:val="single" w:sz="4" w:space="0" w:color="auto"/>
              <w:left w:val="nil"/>
              <w:bottom w:val="single" w:sz="4" w:space="0" w:color="auto"/>
              <w:right w:val="nil"/>
            </w:tcBorders>
          </w:tcPr>
          <w:p w14:paraId="2286B88F"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HBD</w:t>
            </w:r>
          </w:p>
        </w:tc>
        <w:tc>
          <w:tcPr>
            <w:tcW w:w="1701" w:type="dxa"/>
            <w:tcBorders>
              <w:top w:val="single" w:sz="4" w:space="0" w:color="auto"/>
              <w:left w:val="nil"/>
              <w:bottom w:val="single" w:sz="4" w:space="0" w:color="auto"/>
              <w:right w:val="nil"/>
            </w:tcBorders>
          </w:tcPr>
          <w:p w14:paraId="2562F89A"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HBA</w:t>
            </w:r>
          </w:p>
        </w:tc>
        <w:tc>
          <w:tcPr>
            <w:tcW w:w="850" w:type="dxa"/>
            <w:tcBorders>
              <w:top w:val="single" w:sz="4" w:space="0" w:color="auto"/>
              <w:left w:val="nil"/>
              <w:bottom w:val="single" w:sz="4" w:space="0" w:color="auto"/>
              <w:right w:val="nil"/>
            </w:tcBorders>
          </w:tcPr>
          <w:p w14:paraId="60E7FDB1"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HBD</w:t>
            </w:r>
          </w:p>
        </w:tc>
        <w:tc>
          <w:tcPr>
            <w:tcW w:w="993" w:type="dxa"/>
            <w:tcBorders>
              <w:top w:val="single" w:sz="4" w:space="0" w:color="auto"/>
              <w:left w:val="nil"/>
              <w:bottom w:val="single" w:sz="4" w:space="0" w:color="auto"/>
              <w:right w:val="nil"/>
            </w:tcBorders>
          </w:tcPr>
          <w:p w14:paraId="3EFC4FA9"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HBA</w:t>
            </w:r>
          </w:p>
        </w:tc>
        <w:tc>
          <w:tcPr>
            <w:tcW w:w="850" w:type="dxa"/>
            <w:tcBorders>
              <w:top w:val="single" w:sz="4" w:space="0" w:color="auto"/>
              <w:left w:val="nil"/>
              <w:bottom w:val="single" w:sz="4" w:space="0" w:color="auto"/>
              <w:right w:val="nil"/>
            </w:tcBorders>
          </w:tcPr>
          <w:p w14:paraId="7088D07F"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λ</w:t>
            </w:r>
            <w:r w:rsidRPr="00966B21">
              <w:rPr>
                <w:rFonts w:ascii="Times New Roman" w:hAnsi="Times New Roman" w:cs="Times New Roman"/>
                <w:sz w:val="24"/>
                <w:szCs w:val="24"/>
                <w:vertAlign w:val="subscript"/>
                <w:lang w:val="en-GB"/>
              </w:rPr>
              <w:t>max</w:t>
            </w:r>
          </w:p>
          <w:p w14:paraId="4BB38AA0"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(nm)</w:t>
            </w:r>
          </w:p>
        </w:tc>
        <w:tc>
          <w:tcPr>
            <w:tcW w:w="2126" w:type="dxa"/>
            <w:tcBorders>
              <w:top w:val="single" w:sz="4" w:space="0" w:color="auto"/>
              <w:left w:val="nil"/>
              <w:bottom w:val="single" w:sz="4" w:space="0" w:color="auto"/>
              <w:right w:val="nil"/>
            </w:tcBorders>
          </w:tcPr>
          <w:p w14:paraId="41DA0AF2"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E</w:t>
            </w:r>
            <w:r w:rsidRPr="00966B21">
              <w:rPr>
                <w:rFonts w:ascii="Times New Roman" w:hAnsi="Times New Roman" w:cs="Times New Roman"/>
                <w:sz w:val="24"/>
                <w:szCs w:val="24"/>
                <w:vertAlign w:val="subscript"/>
                <w:lang w:val="en-GB"/>
              </w:rPr>
              <w:t>NR</w:t>
            </w:r>
          </w:p>
          <w:p w14:paraId="64E2B230"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(kcal mol</w:t>
            </w:r>
            <w:r w:rsidRPr="00966B21">
              <w:rPr>
                <w:rFonts w:ascii="Times New Roman" w:hAnsi="Times New Roman" w:cs="Times New Roman"/>
                <w:sz w:val="24"/>
                <w:szCs w:val="24"/>
                <w:vertAlign w:val="superscript"/>
                <w:lang w:val="en-GB"/>
              </w:rPr>
              <w:t>-1</w:t>
            </w:r>
            <w:r w:rsidRPr="00966B21">
              <w:rPr>
                <w:rFonts w:ascii="Times New Roman" w:hAnsi="Times New Roman" w:cs="Times New Roman"/>
                <w:sz w:val="24"/>
                <w:szCs w:val="24"/>
                <w:lang w:val="en-GB"/>
              </w:rPr>
              <w:t>)</w:t>
            </w:r>
          </w:p>
        </w:tc>
      </w:tr>
      <w:tr w:rsidR="00F7236B" w:rsidRPr="00966B21" w14:paraId="30E6B5F6" w14:textId="77777777" w:rsidTr="00B60D8F">
        <w:tc>
          <w:tcPr>
            <w:tcW w:w="1282" w:type="dxa"/>
            <w:tcBorders>
              <w:top w:val="single" w:sz="4" w:space="0" w:color="auto"/>
              <w:left w:val="nil"/>
              <w:bottom w:val="nil"/>
              <w:right w:val="nil"/>
            </w:tcBorders>
          </w:tcPr>
          <w:p w14:paraId="51A4BA33" w14:textId="77777777" w:rsidR="00F7236B" w:rsidRPr="00966B21" w:rsidRDefault="00F7236B" w:rsidP="00B60D8F">
            <w:pPr>
              <w:rPr>
                <w:rFonts w:ascii="Times New Roman" w:hAnsi="Times New Roman" w:cs="Times New Roman"/>
                <w:sz w:val="24"/>
                <w:szCs w:val="24"/>
                <w:lang w:val="en-GB"/>
              </w:rPr>
            </w:pPr>
            <w:r w:rsidRPr="00966B21">
              <w:rPr>
                <w:rFonts w:ascii="Times New Roman" w:hAnsi="Times New Roman" w:cs="Times New Roman"/>
                <w:sz w:val="24"/>
                <w:szCs w:val="24"/>
                <w:lang w:val="en-GB"/>
              </w:rPr>
              <w:t>CONV*</w:t>
            </w:r>
          </w:p>
        </w:tc>
        <w:tc>
          <w:tcPr>
            <w:tcW w:w="2121" w:type="dxa"/>
            <w:tcBorders>
              <w:top w:val="single" w:sz="4" w:space="0" w:color="auto"/>
              <w:left w:val="nil"/>
              <w:bottom w:val="nil"/>
              <w:right w:val="nil"/>
            </w:tcBorders>
          </w:tcPr>
          <w:p w14:paraId="37880DAB"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w:t>
            </w:r>
          </w:p>
        </w:tc>
        <w:tc>
          <w:tcPr>
            <w:tcW w:w="1701" w:type="dxa"/>
            <w:tcBorders>
              <w:top w:val="single" w:sz="4" w:space="0" w:color="auto"/>
              <w:left w:val="nil"/>
              <w:bottom w:val="nil"/>
              <w:right w:val="nil"/>
            </w:tcBorders>
          </w:tcPr>
          <w:p w14:paraId="79813C79"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w:t>
            </w:r>
          </w:p>
        </w:tc>
        <w:tc>
          <w:tcPr>
            <w:tcW w:w="850" w:type="dxa"/>
            <w:tcBorders>
              <w:top w:val="single" w:sz="4" w:space="0" w:color="auto"/>
              <w:left w:val="nil"/>
              <w:bottom w:val="nil"/>
              <w:right w:val="nil"/>
            </w:tcBorders>
          </w:tcPr>
          <w:p w14:paraId="6DF9E89D"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w:t>
            </w:r>
          </w:p>
        </w:tc>
        <w:tc>
          <w:tcPr>
            <w:tcW w:w="993" w:type="dxa"/>
            <w:tcBorders>
              <w:top w:val="single" w:sz="4" w:space="0" w:color="auto"/>
              <w:left w:val="nil"/>
              <w:bottom w:val="nil"/>
              <w:right w:val="nil"/>
            </w:tcBorders>
          </w:tcPr>
          <w:p w14:paraId="275DB637"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w:t>
            </w:r>
          </w:p>
        </w:tc>
        <w:tc>
          <w:tcPr>
            <w:tcW w:w="850" w:type="dxa"/>
            <w:tcBorders>
              <w:top w:val="single" w:sz="4" w:space="0" w:color="auto"/>
              <w:left w:val="nil"/>
              <w:bottom w:val="nil"/>
              <w:right w:val="nil"/>
            </w:tcBorders>
            <w:vAlign w:val="bottom"/>
          </w:tcPr>
          <w:p w14:paraId="5124141A" w14:textId="77777777" w:rsidR="00F7236B" w:rsidRPr="00966B21" w:rsidRDefault="00F7236B" w:rsidP="00B60D8F">
            <w:pPr>
              <w:pStyle w:val="NormaleWeb"/>
              <w:spacing w:before="0" w:beforeAutospacing="0" w:after="0" w:afterAutospacing="0"/>
              <w:jc w:val="center"/>
              <w:textAlignment w:val="bottom"/>
              <w:rPr>
                <w:lang w:val="en-GB"/>
              </w:rPr>
            </w:pPr>
            <w:r w:rsidRPr="00966B21">
              <w:rPr>
                <w:color w:val="000000"/>
                <w:kern w:val="24"/>
                <w:lang w:val="en-GB"/>
              </w:rPr>
              <w:t>534.5</w:t>
            </w:r>
          </w:p>
        </w:tc>
        <w:tc>
          <w:tcPr>
            <w:tcW w:w="2126" w:type="dxa"/>
            <w:tcBorders>
              <w:top w:val="single" w:sz="4" w:space="0" w:color="auto"/>
              <w:left w:val="nil"/>
              <w:bottom w:val="nil"/>
              <w:right w:val="nil"/>
            </w:tcBorders>
            <w:vAlign w:val="bottom"/>
          </w:tcPr>
          <w:p w14:paraId="70240528" w14:textId="77777777" w:rsidR="00F7236B" w:rsidRPr="00966B21" w:rsidRDefault="00F7236B" w:rsidP="00B60D8F">
            <w:pPr>
              <w:pStyle w:val="NormaleWeb"/>
              <w:spacing w:before="0" w:beforeAutospacing="0" w:after="0" w:afterAutospacing="0"/>
              <w:jc w:val="center"/>
              <w:textAlignment w:val="bottom"/>
              <w:rPr>
                <w:lang w:val="en-GB"/>
              </w:rPr>
            </w:pPr>
            <w:r w:rsidRPr="00966B21">
              <w:rPr>
                <w:color w:val="000000"/>
                <w:kern w:val="24"/>
                <w:lang w:val="en-GB"/>
              </w:rPr>
              <w:t>53.49 ± 0.07</w:t>
            </w:r>
          </w:p>
        </w:tc>
      </w:tr>
      <w:tr w:rsidR="00F7236B" w:rsidRPr="00966B21" w14:paraId="67575604" w14:textId="77777777" w:rsidTr="00B60D8F">
        <w:tc>
          <w:tcPr>
            <w:tcW w:w="1282" w:type="dxa"/>
            <w:tcBorders>
              <w:top w:val="nil"/>
              <w:left w:val="nil"/>
              <w:bottom w:val="nil"/>
              <w:right w:val="nil"/>
            </w:tcBorders>
          </w:tcPr>
          <w:p w14:paraId="1DDF5D89" w14:textId="77777777" w:rsidR="00F7236B" w:rsidRPr="00966B21" w:rsidRDefault="00F7236B" w:rsidP="00B60D8F">
            <w:pPr>
              <w:rPr>
                <w:rFonts w:ascii="Times New Roman" w:hAnsi="Times New Roman" w:cs="Times New Roman"/>
                <w:b/>
                <w:sz w:val="24"/>
                <w:szCs w:val="24"/>
                <w:lang w:val="en-GB"/>
              </w:rPr>
            </w:pPr>
            <w:r w:rsidRPr="00966B21">
              <w:rPr>
                <w:rFonts w:ascii="Times New Roman" w:hAnsi="Times New Roman" w:cs="Times New Roman"/>
                <w:b/>
                <w:sz w:val="24"/>
                <w:szCs w:val="24"/>
                <w:lang w:val="en-GB"/>
              </w:rPr>
              <w:t>MAO</w:t>
            </w:r>
          </w:p>
        </w:tc>
        <w:tc>
          <w:tcPr>
            <w:tcW w:w="2121" w:type="dxa"/>
            <w:tcBorders>
              <w:top w:val="nil"/>
              <w:left w:val="nil"/>
              <w:bottom w:val="nil"/>
              <w:right w:val="nil"/>
            </w:tcBorders>
          </w:tcPr>
          <w:p w14:paraId="1D1408F8"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DL-Menthol</w:t>
            </w:r>
          </w:p>
        </w:tc>
        <w:tc>
          <w:tcPr>
            <w:tcW w:w="1701" w:type="dxa"/>
            <w:tcBorders>
              <w:top w:val="nil"/>
              <w:left w:val="nil"/>
              <w:bottom w:val="nil"/>
              <w:right w:val="nil"/>
            </w:tcBorders>
          </w:tcPr>
          <w:p w14:paraId="24A8CE6A"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Oleic acid</w:t>
            </w:r>
          </w:p>
        </w:tc>
        <w:tc>
          <w:tcPr>
            <w:tcW w:w="850" w:type="dxa"/>
            <w:tcBorders>
              <w:top w:val="nil"/>
              <w:left w:val="nil"/>
              <w:bottom w:val="nil"/>
              <w:right w:val="nil"/>
            </w:tcBorders>
          </w:tcPr>
          <w:p w14:paraId="7B037472"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1</w:t>
            </w:r>
          </w:p>
        </w:tc>
        <w:tc>
          <w:tcPr>
            <w:tcW w:w="993" w:type="dxa"/>
            <w:tcBorders>
              <w:top w:val="nil"/>
              <w:left w:val="nil"/>
              <w:bottom w:val="nil"/>
              <w:right w:val="nil"/>
            </w:tcBorders>
          </w:tcPr>
          <w:p w14:paraId="4E97459B"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2</w:t>
            </w:r>
          </w:p>
        </w:tc>
        <w:tc>
          <w:tcPr>
            <w:tcW w:w="850" w:type="dxa"/>
            <w:tcBorders>
              <w:top w:val="nil"/>
              <w:left w:val="nil"/>
              <w:bottom w:val="nil"/>
              <w:right w:val="nil"/>
            </w:tcBorders>
            <w:vAlign w:val="bottom"/>
          </w:tcPr>
          <w:p w14:paraId="1C561F75" w14:textId="77777777" w:rsidR="00F7236B" w:rsidRPr="00966B21" w:rsidRDefault="00F7236B" w:rsidP="00B60D8F">
            <w:pPr>
              <w:pStyle w:val="NormaleWeb"/>
              <w:spacing w:before="0" w:beforeAutospacing="0" w:after="0" w:afterAutospacing="0"/>
              <w:jc w:val="center"/>
              <w:textAlignment w:val="bottom"/>
              <w:rPr>
                <w:lang w:val="en-GB"/>
              </w:rPr>
            </w:pPr>
            <w:r w:rsidRPr="00966B21">
              <w:rPr>
                <w:color w:val="000000"/>
                <w:kern w:val="24"/>
                <w:lang w:val="en-GB"/>
              </w:rPr>
              <w:t>535.5</w:t>
            </w:r>
          </w:p>
        </w:tc>
        <w:tc>
          <w:tcPr>
            <w:tcW w:w="2126" w:type="dxa"/>
            <w:tcBorders>
              <w:top w:val="nil"/>
              <w:left w:val="nil"/>
              <w:bottom w:val="nil"/>
              <w:right w:val="nil"/>
            </w:tcBorders>
            <w:vAlign w:val="bottom"/>
          </w:tcPr>
          <w:p w14:paraId="2F017E4F" w14:textId="77777777" w:rsidR="00F7236B" w:rsidRPr="00966B21" w:rsidRDefault="00F7236B" w:rsidP="00B60D8F">
            <w:pPr>
              <w:pStyle w:val="NormaleWeb"/>
              <w:spacing w:before="0" w:beforeAutospacing="0" w:after="0" w:afterAutospacing="0"/>
              <w:jc w:val="center"/>
              <w:textAlignment w:val="bottom"/>
              <w:rPr>
                <w:lang w:val="en-GB"/>
              </w:rPr>
            </w:pPr>
            <w:r w:rsidRPr="00966B21">
              <w:rPr>
                <w:color w:val="000000"/>
                <w:kern w:val="24"/>
                <w:lang w:val="en-GB"/>
              </w:rPr>
              <w:t>53.39 ± 0.07</w:t>
            </w:r>
          </w:p>
        </w:tc>
      </w:tr>
      <w:tr w:rsidR="00F7236B" w:rsidRPr="00966B21" w14:paraId="568D2CF4" w14:textId="77777777" w:rsidTr="00B60D8F">
        <w:tc>
          <w:tcPr>
            <w:tcW w:w="1282" w:type="dxa"/>
            <w:tcBorders>
              <w:top w:val="nil"/>
              <w:left w:val="nil"/>
              <w:bottom w:val="nil"/>
              <w:right w:val="nil"/>
            </w:tcBorders>
          </w:tcPr>
          <w:p w14:paraId="1C8BD5EF" w14:textId="77777777" w:rsidR="00F7236B" w:rsidRPr="00966B21" w:rsidRDefault="00F7236B" w:rsidP="00B60D8F">
            <w:pPr>
              <w:rPr>
                <w:rFonts w:ascii="Times New Roman" w:hAnsi="Times New Roman" w:cs="Times New Roman"/>
                <w:b/>
                <w:sz w:val="24"/>
                <w:szCs w:val="24"/>
                <w:lang w:val="en-GB"/>
              </w:rPr>
            </w:pPr>
            <w:r w:rsidRPr="00966B21">
              <w:rPr>
                <w:rFonts w:ascii="Times New Roman" w:hAnsi="Times New Roman" w:cs="Times New Roman"/>
                <w:b/>
                <w:sz w:val="24"/>
                <w:szCs w:val="24"/>
                <w:lang w:val="en-GB"/>
              </w:rPr>
              <w:t>TAO</w:t>
            </w:r>
          </w:p>
        </w:tc>
        <w:tc>
          <w:tcPr>
            <w:tcW w:w="2121" w:type="dxa"/>
            <w:tcBorders>
              <w:top w:val="nil"/>
              <w:left w:val="nil"/>
              <w:bottom w:val="nil"/>
              <w:right w:val="nil"/>
            </w:tcBorders>
          </w:tcPr>
          <w:p w14:paraId="3B9AFCAE"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Thymol</w:t>
            </w:r>
          </w:p>
        </w:tc>
        <w:tc>
          <w:tcPr>
            <w:tcW w:w="1701" w:type="dxa"/>
            <w:tcBorders>
              <w:top w:val="nil"/>
              <w:left w:val="nil"/>
              <w:bottom w:val="nil"/>
              <w:right w:val="nil"/>
            </w:tcBorders>
          </w:tcPr>
          <w:p w14:paraId="43DC644B"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Oleic acid</w:t>
            </w:r>
          </w:p>
        </w:tc>
        <w:tc>
          <w:tcPr>
            <w:tcW w:w="850" w:type="dxa"/>
            <w:tcBorders>
              <w:top w:val="nil"/>
              <w:left w:val="nil"/>
              <w:bottom w:val="nil"/>
              <w:right w:val="nil"/>
            </w:tcBorders>
          </w:tcPr>
          <w:p w14:paraId="79007D37"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3</w:t>
            </w:r>
          </w:p>
        </w:tc>
        <w:tc>
          <w:tcPr>
            <w:tcW w:w="993" w:type="dxa"/>
            <w:tcBorders>
              <w:top w:val="nil"/>
              <w:left w:val="nil"/>
              <w:bottom w:val="nil"/>
              <w:right w:val="nil"/>
            </w:tcBorders>
          </w:tcPr>
          <w:p w14:paraId="22D09D5F"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1</w:t>
            </w:r>
          </w:p>
        </w:tc>
        <w:tc>
          <w:tcPr>
            <w:tcW w:w="850" w:type="dxa"/>
            <w:tcBorders>
              <w:top w:val="nil"/>
              <w:left w:val="nil"/>
              <w:bottom w:val="nil"/>
              <w:right w:val="nil"/>
            </w:tcBorders>
            <w:vAlign w:val="bottom"/>
          </w:tcPr>
          <w:p w14:paraId="3831F8B0" w14:textId="77777777" w:rsidR="00F7236B" w:rsidRPr="00966B21" w:rsidRDefault="00F7236B" w:rsidP="00B60D8F">
            <w:pPr>
              <w:pStyle w:val="NormaleWeb"/>
              <w:spacing w:before="0" w:beforeAutospacing="0" w:after="0" w:afterAutospacing="0"/>
              <w:jc w:val="center"/>
              <w:textAlignment w:val="bottom"/>
              <w:rPr>
                <w:lang w:val="en-GB"/>
              </w:rPr>
            </w:pPr>
            <w:r w:rsidRPr="00966B21">
              <w:rPr>
                <w:color w:val="000000"/>
                <w:kern w:val="24"/>
                <w:lang w:val="en-GB"/>
              </w:rPr>
              <w:t>563.0</w:t>
            </w:r>
          </w:p>
        </w:tc>
        <w:tc>
          <w:tcPr>
            <w:tcW w:w="2126" w:type="dxa"/>
            <w:tcBorders>
              <w:top w:val="nil"/>
              <w:left w:val="nil"/>
              <w:bottom w:val="nil"/>
              <w:right w:val="nil"/>
            </w:tcBorders>
            <w:vAlign w:val="bottom"/>
          </w:tcPr>
          <w:p w14:paraId="701E5419" w14:textId="77777777" w:rsidR="00F7236B" w:rsidRPr="00966B21" w:rsidRDefault="00F7236B" w:rsidP="00B60D8F">
            <w:pPr>
              <w:pStyle w:val="NormaleWeb"/>
              <w:spacing w:before="0" w:beforeAutospacing="0" w:after="0" w:afterAutospacing="0"/>
              <w:jc w:val="center"/>
              <w:textAlignment w:val="bottom"/>
              <w:rPr>
                <w:lang w:val="en-GB"/>
              </w:rPr>
            </w:pPr>
            <w:r w:rsidRPr="00966B21">
              <w:rPr>
                <w:color w:val="000000"/>
                <w:kern w:val="24"/>
                <w:lang w:val="en-GB"/>
              </w:rPr>
              <w:t>50.78 ± 0.24</w:t>
            </w:r>
          </w:p>
        </w:tc>
      </w:tr>
      <w:tr w:rsidR="00F7236B" w:rsidRPr="00966B21" w14:paraId="2E1591F6" w14:textId="77777777" w:rsidTr="00B60D8F">
        <w:tc>
          <w:tcPr>
            <w:tcW w:w="1282" w:type="dxa"/>
            <w:tcBorders>
              <w:top w:val="nil"/>
              <w:left w:val="nil"/>
              <w:bottom w:val="nil"/>
              <w:right w:val="nil"/>
            </w:tcBorders>
          </w:tcPr>
          <w:p w14:paraId="01027FCF" w14:textId="77777777" w:rsidR="00F7236B" w:rsidRPr="00966B21" w:rsidRDefault="00F7236B" w:rsidP="00B60D8F">
            <w:pPr>
              <w:rPr>
                <w:rFonts w:ascii="Times New Roman" w:hAnsi="Times New Roman" w:cs="Times New Roman"/>
                <w:b/>
                <w:sz w:val="24"/>
                <w:szCs w:val="24"/>
                <w:lang w:val="en-GB"/>
              </w:rPr>
            </w:pPr>
            <w:r w:rsidRPr="00966B21">
              <w:rPr>
                <w:rFonts w:ascii="Times New Roman" w:hAnsi="Times New Roman" w:cs="Times New Roman"/>
                <w:b/>
                <w:sz w:val="24"/>
                <w:szCs w:val="24"/>
                <w:lang w:val="en-GB"/>
              </w:rPr>
              <w:t>TM</w:t>
            </w:r>
          </w:p>
        </w:tc>
        <w:tc>
          <w:tcPr>
            <w:tcW w:w="2121" w:type="dxa"/>
            <w:tcBorders>
              <w:top w:val="nil"/>
              <w:left w:val="nil"/>
              <w:bottom w:val="nil"/>
              <w:right w:val="nil"/>
            </w:tcBorders>
          </w:tcPr>
          <w:p w14:paraId="57EDE2A4"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DL-Menthol</w:t>
            </w:r>
          </w:p>
        </w:tc>
        <w:tc>
          <w:tcPr>
            <w:tcW w:w="1701" w:type="dxa"/>
            <w:tcBorders>
              <w:top w:val="nil"/>
              <w:left w:val="nil"/>
              <w:bottom w:val="nil"/>
              <w:right w:val="nil"/>
            </w:tcBorders>
          </w:tcPr>
          <w:p w14:paraId="5C1CA17E"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Thymol</w:t>
            </w:r>
          </w:p>
        </w:tc>
        <w:tc>
          <w:tcPr>
            <w:tcW w:w="850" w:type="dxa"/>
            <w:tcBorders>
              <w:top w:val="nil"/>
              <w:left w:val="nil"/>
              <w:bottom w:val="nil"/>
              <w:right w:val="nil"/>
            </w:tcBorders>
          </w:tcPr>
          <w:p w14:paraId="516C4400"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1</w:t>
            </w:r>
          </w:p>
        </w:tc>
        <w:tc>
          <w:tcPr>
            <w:tcW w:w="993" w:type="dxa"/>
            <w:tcBorders>
              <w:top w:val="nil"/>
              <w:left w:val="nil"/>
              <w:bottom w:val="nil"/>
              <w:right w:val="nil"/>
            </w:tcBorders>
          </w:tcPr>
          <w:p w14:paraId="41799D0D"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1</w:t>
            </w:r>
          </w:p>
        </w:tc>
        <w:tc>
          <w:tcPr>
            <w:tcW w:w="850" w:type="dxa"/>
            <w:tcBorders>
              <w:top w:val="nil"/>
              <w:left w:val="nil"/>
              <w:bottom w:val="nil"/>
              <w:right w:val="nil"/>
            </w:tcBorders>
            <w:vAlign w:val="bottom"/>
          </w:tcPr>
          <w:p w14:paraId="718AC885" w14:textId="77777777" w:rsidR="00F7236B" w:rsidRPr="00966B21" w:rsidRDefault="00F7236B" w:rsidP="00B60D8F">
            <w:pPr>
              <w:pStyle w:val="NormaleWeb"/>
              <w:spacing w:before="0" w:beforeAutospacing="0" w:after="0" w:afterAutospacing="0"/>
              <w:jc w:val="center"/>
              <w:textAlignment w:val="bottom"/>
              <w:rPr>
                <w:lang w:val="en-GB"/>
              </w:rPr>
            </w:pPr>
            <w:r w:rsidRPr="00966B21">
              <w:rPr>
                <w:color w:val="000000"/>
                <w:kern w:val="24"/>
                <w:lang w:val="en-GB"/>
              </w:rPr>
              <w:t>556.5</w:t>
            </w:r>
          </w:p>
        </w:tc>
        <w:tc>
          <w:tcPr>
            <w:tcW w:w="2126" w:type="dxa"/>
            <w:tcBorders>
              <w:top w:val="nil"/>
              <w:left w:val="nil"/>
              <w:bottom w:val="nil"/>
              <w:right w:val="nil"/>
            </w:tcBorders>
            <w:vAlign w:val="bottom"/>
          </w:tcPr>
          <w:p w14:paraId="743B9D7C" w14:textId="77777777" w:rsidR="00F7236B" w:rsidRPr="00966B21" w:rsidRDefault="00F7236B" w:rsidP="00B60D8F">
            <w:pPr>
              <w:pStyle w:val="NormaleWeb"/>
              <w:spacing w:before="0" w:beforeAutospacing="0" w:after="0" w:afterAutospacing="0"/>
              <w:jc w:val="center"/>
              <w:textAlignment w:val="bottom"/>
              <w:rPr>
                <w:lang w:val="en-GB"/>
              </w:rPr>
            </w:pPr>
            <w:r w:rsidRPr="00966B21">
              <w:rPr>
                <w:color w:val="000000"/>
                <w:kern w:val="24"/>
                <w:lang w:val="en-GB"/>
              </w:rPr>
              <w:t>51.38 ± 0.07</w:t>
            </w:r>
          </w:p>
        </w:tc>
      </w:tr>
      <w:tr w:rsidR="00F7236B" w:rsidRPr="00966B21" w14:paraId="1AF5C0C2" w14:textId="77777777" w:rsidTr="00B60D8F">
        <w:tc>
          <w:tcPr>
            <w:tcW w:w="1282" w:type="dxa"/>
            <w:tcBorders>
              <w:top w:val="nil"/>
              <w:left w:val="nil"/>
              <w:bottom w:val="nil"/>
              <w:right w:val="nil"/>
            </w:tcBorders>
          </w:tcPr>
          <w:p w14:paraId="0C8D6436" w14:textId="77777777" w:rsidR="00F7236B" w:rsidRPr="00966B21" w:rsidRDefault="00F7236B" w:rsidP="00B60D8F">
            <w:pPr>
              <w:rPr>
                <w:rFonts w:ascii="Times New Roman" w:hAnsi="Times New Roman" w:cs="Times New Roman"/>
                <w:b/>
                <w:sz w:val="24"/>
                <w:szCs w:val="24"/>
                <w:lang w:val="en-GB"/>
              </w:rPr>
            </w:pPr>
            <w:r w:rsidRPr="00966B21">
              <w:rPr>
                <w:rFonts w:ascii="Times New Roman" w:hAnsi="Times New Roman" w:cs="Times New Roman"/>
                <w:b/>
                <w:sz w:val="24"/>
                <w:szCs w:val="24"/>
                <w:lang w:val="en-GB"/>
              </w:rPr>
              <w:t>MLAC</w:t>
            </w:r>
          </w:p>
        </w:tc>
        <w:tc>
          <w:tcPr>
            <w:tcW w:w="2121" w:type="dxa"/>
            <w:tcBorders>
              <w:top w:val="nil"/>
              <w:left w:val="nil"/>
              <w:bottom w:val="nil"/>
              <w:right w:val="nil"/>
            </w:tcBorders>
          </w:tcPr>
          <w:p w14:paraId="274A16ED"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DL-Menthol</w:t>
            </w:r>
          </w:p>
        </w:tc>
        <w:tc>
          <w:tcPr>
            <w:tcW w:w="1701" w:type="dxa"/>
            <w:tcBorders>
              <w:top w:val="nil"/>
              <w:left w:val="nil"/>
              <w:bottom w:val="nil"/>
              <w:right w:val="nil"/>
            </w:tcBorders>
          </w:tcPr>
          <w:p w14:paraId="605E5B7C"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Lactic acid</w:t>
            </w:r>
          </w:p>
        </w:tc>
        <w:tc>
          <w:tcPr>
            <w:tcW w:w="850" w:type="dxa"/>
            <w:tcBorders>
              <w:top w:val="nil"/>
              <w:left w:val="nil"/>
              <w:bottom w:val="nil"/>
              <w:right w:val="nil"/>
            </w:tcBorders>
          </w:tcPr>
          <w:p w14:paraId="1EE898A3"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2</w:t>
            </w:r>
          </w:p>
        </w:tc>
        <w:tc>
          <w:tcPr>
            <w:tcW w:w="993" w:type="dxa"/>
            <w:tcBorders>
              <w:top w:val="nil"/>
              <w:left w:val="nil"/>
              <w:bottom w:val="nil"/>
              <w:right w:val="nil"/>
            </w:tcBorders>
          </w:tcPr>
          <w:p w14:paraId="5C3470F7"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1</w:t>
            </w:r>
          </w:p>
        </w:tc>
        <w:tc>
          <w:tcPr>
            <w:tcW w:w="850" w:type="dxa"/>
            <w:tcBorders>
              <w:top w:val="nil"/>
              <w:left w:val="nil"/>
              <w:bottom w:val="nil"/>
              <w:right w:val="nil"/>
            </w:tcBorders>
            <w:vAlign w:val="bottom"/>
          </w:tcPr>
          <w:p w14:paraId="62DEA612" w14:textId="77777777" w:rsidR="00F7236B" w:rsidRPr="00966B21" w:rsidRDefault="00F7236B" w:rsidP="00B60D8F">
            <w:pPr>
              <w:pStyle w:val="NormaleWeb"/>
              <w:spacing w:before="0" w:beforeAutospacing="0" w:after="0" w:afterAutospacing="0"/>
              <w:jc w:val="center"/>
              <w:textAlignment w:val="bottom"/>
              <w:rPr>
                <w:lang w:val="en-GB"/>
              </w:rPr>
            </w:pPr>
            <w:r w:rsidRPr="00966B21">
              <w:rPr>
                <w:color w:val="000000"/>
                <w:kern w:val="24"/>
                <w:lang w:val="en-GB"/>
              </w:rPr>
              <w:t>572.5</w:t>
            </w:r>
          </w:p>
        </w:tc>
        <w:tc>
          <w:tcPr>
            <w:tcW w:w="2126" w:type="dxa"/>
            <w:tcBorders>
              <w:top w:val="nil"/>
              <w:left w:val="nil"/>
              <w:bottom w:val="nil"/>
              <w:right w:val="nil"/>
            </w:tcBorders>
            <w:vAlign w:val="bottom"/>
          </w:tcPr>
          <w:p w14:paraId="1295E16D" w14:textId="77777777" w:rsidR="00F7236B" w:rsidRPr="00966B21" w:rsidRDefault="00F7236B" w:rsidP="00B60D8F">
            <w:pPr>
              <w:pStyle w:val="NormaleWeb"/>
              <w:spacing w:before="0" w:beforeAutospacing="0" w:after="0" w:afterAutospacing="0"/>
              <w:jc w:val="center"/>
              <w:textAlignment w:val="bottom"/>
              <w:rPr>
                <w:lang w:val="en-GB"/>
              </w:rPr>
            </w:pPr>
            <w:r w:rsidRPr="00966B21">
              <w:rPr>
                <w:color w:val="000000"/>
                <w:kern w:val="24"/>
                <w:lang w:val="en-GB"/>
              </w:rPr>
              <w:t>49.94 ± 0.06</w:t>
            </w:r>
          </w:p>
        </w:tc>
      </w:tr>
      <w:tr w:rsidR="00F7236B" w:rsidRPr="00966B21" w14:paraId="2993A2BB" w14:textId="77777777" w:rsidTr="00B60D8F">
        <w:tc>
          <w:tcPr>
            <w:tcW w:w="1282" w:type="dxa"/>
            <w:tcBorders>
              <w:top w:val="nil"/>
              <w:left w:val="nil"/>
              <w:bottom w:val="nil"/>
              <w:right w:val="nil"/>
            </w:tcBorders>
          </w:tcPr>
          <w:p w14:paraId="60F081C1" w14:textId="77777777" w:rsidR="00F7236B" w:rsidRPr="00966B21" w:rsidRDefault="00F7236B" w:rsidP="00B60D8F">
            <w:pPr>
              <w:rPr>
                <w:rFonts w:ascii="Times New Roman" w:hAnsi="Times New Roman" w:cs="Times New Roman"/>
                <w:sz w:val="24"/>
                <w:szCs w:val="24"/>
                <w:lang w:val="en-GB"/>
              </w:rPr>
            </w:pPr>
            <w:r w:rsidRPr="00966B21">
              <w:rPr>
                <w:rFonts w:ascii="Times New Roman" w:hAnsi="Times New Roman" w:cs="Times New Roman"/>
                <w:sz w:val="24"/>
                <w:szCs w:val="24"/>
                <w:lang w:val="en-GB"/>
              </w:rPr>
              <w:t>TLAC</w:t>
            </w:r>
          </w:p>
        </w:tc>
        <w:tc>
          <w:tcPr>
            <w:tcW w:w="2121" w:type="dxa"/>
            <w:tcBorders>
              <w:top w:val="nil"/>
              <w:left w:val="nil"/>
              <w:bottom w:val="nil"/>
              <w:right w:val="nil"/>
            </w:tcBorders>
          </w:tcPr>
          <w:p w14:paraId="05AEBA8F"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Thymol</w:t>
            </w:r>
          </w:p>
        </w:tc>
        <w:tc>
          <w:tcPr>
            <w:tcW w:w="1701" w:type="dxa"/>
            <w:tcBorders>
              <w:top w:val="nil"/>
              <w:left w:val="nil"/>
              <w:bottom w:val="nil"/>
              <w:right w:val="nil"/>
            </w:tcBorders>
          </w:tcPr>
          <w:p w14:paraId="1B37B394"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Lactic acid</w:t>
            </w:r>
          </w:p>
        </w:tc>
        <w:tc>
          <w:tcPr>
            <w:tcW w:w="850" w:type="dxa"/>
            <w:tcBorders>
              <w:top w:val="nil"/>
              <w:left w:val="nil"/>
              <w:bottom w:val="nil"/>
              <w:right w:val="nil"/>
            </w:tcBorders>
          </w:tcPr>
          <w:p w14:paraId="42F0EE03"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3</w:t>
            </w:r>
          </w:p>
        </w:tc>
        <w:tc>
          <w:tcPr>
            <w:tcW w:w="993" w:type="dxa"/>
            <w:tcBorders>
              <w:top w:val="nil"/>
              <w:left w:val="nil"/>
              <w:bottom w:val="nil"/>
              <w:right w:val="nil"/>
            </w:tcBorders>
          </w:tcPr>
          <w:p w14:paraId="2FE7BA3D"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1</w:t>
            </w:r>
          </w:p>
        </w:tc>
        <w:tc>
          <w:tcPr>
            <w:tcW w:w="850" w:type="dxa"/>
            <w:tcBorders>
              <w:top w:val="nil"/>
              <w:left w:val="nil"/>
              <w:bottom w:val="nil"/>
              <w:right w:val="nil"/>
            </w:tcBorders>
            <w:vAlign w:val="bottom"/>
          </w:tcPr>
          <w:p w14:paraId="67E08522" w14:textId="481D1573" w:rsidR="00F7236B" w:rsidRPr="00966B21" w:rsidRDefault="00F7236B" w:rsidP="00B60D8F">
            <w:pPr>
              <w:pStyle w:val="NormaleWeb"/>
              <w:spacing w:before="0" w:beforeAutospacing="0" w:after="0" w:afterAutospacing="0"/>
              <w:jc w:val="center"/>
              <w:textAlignment w:val="bottom"/>
              <w:rPr>
                <w:lang w:val="en-GB"/>
              </w:rPr>
            </w:pPr>
            <w:r w:rsidRPr="00966B21">
              <w:rPr>
                <w:color w:val="000000"/>
                <w:kern w:val="24"/>
                <w:lang w:val="en-GB"/>
              </w:rPr>
              <w:t>646.0</w:t>
            </w:r>
          </w:p>
        </w:tc>
        <w:tc>
          <w:tcPr>
            <w:tcW w:w="2126" w:type="dxa"/>
            <w:tcBorders>
              <w:top w:val="nil"/>
              <w:left w:val="nil"/>
              <w:bottom w:val="nil"/>
              <w:right w:val="nil"/>
            </w:tcBorders>
            <w:vAlign w:val="bottom"/>
          </w:tcPr>
          <w:p w14:paraId="2B60546D" w14:textId="77777777" w:rsidR="00F7236B" w:rsidRPr="00966B21" w:rsidRDefault="00F7236B" w:rsidP="00B60D8F">
            <w:pPr>
              <w:pStyle w:val="NormaleWeb"/>
              <w:spacing w:before="0" w:beforeAutospacing="0" w:after="0" w:afterAutospacing="0"/>
              <w:jc w:val="center"/>
              <w:textAlignment w:val="bottom"/>
              <w:rPr>
                <w:color w:val="000000" w:themeColor="text1"/>
                <w:lang w:val="en-GB"/>
              </w:rPr>
            </w:pPr>
            <w:r w:rsidRPr="00966B21">
              <w:rPr>
                <w:color w:val="000000" w:themeColor="text1"/>
                <w:kern w:val="24"/>
                <w:lang w:val="en-GB"/>
              </w:rPr>
              <w:t>44.26 ± 0.10</w:t>
            </w:r>
          </w:p>
        </w:tc>
      </w:tr>
      <w:tr w:rsidR="00F7236B" w:rsidRPr="00966B21" w14:paraId="6C58F105" w14:textId="77777777" w:rsidTr="00B60D8F">
        <w:tc>
          <w:tcPr>
            <w:tcW w:w="1282" w:type="dxa"/>
            <w:tcBorders>
              <w:top w:val="nil"/>
              <w:left w:val="nil"/>
              <w:bottom w:val="nil"/>
              <w:right w:val="nil"/>
            </w:tcBorders>
          </w:tcPr>
          <w:p w14:paraId="1FD69E34" w14:textId="77777777" w:rsidR="00F7236B" w:rsidRPr="00966B21" w:rsidRDefault="00F7236B" w:rsidP="00B60D8F">
            <w:pPr>
              <w:rPr>
                <w:rFonts w:ascii="Times New Roman" w:hAnsi="Times New Roman" w:cs="Times New Roman"/>
                <w:b/>
                <w:sz w:val="24"/>
                <w:szCs w:val="24"/>
                <w:lang w:val="en-GB"/>
              </w:rPr>
            </w:pPr>
            <w:r w:rsidRPr="00966B21">
              <w:rPr>
                <w:rFonts w:ascii="Times New Roman" w:hAnsi="Times New Roman" w:cs="Times New Roman"/>
                <w:b/>
                <w:sz w:val="24"/>
                <w:szCs w:val="24"/>
                <w:lang w:val="en-GB"/>
              </w:rPr>
              <w:t>MLAU</w:t>
            </w:r>
          </w:p>
        </w:tc>
        <w:tc>
          <w:tcPr>
            <w:tcW w:w="2121" w:type="dxa"/>
            <w:tcBorders>
              <w:top w:val="nil"/>
              <w:left w:val="nil"/>
              <w:bottom w:val="nil"/>
              <w:right w:val="nil"/>
            </w:tcBorders>
          </w:tcPr>
          <w:p w14:paraId="077FE232"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DL-Menthol</w:t>
            </w:r>
          </w:p>
        </w:tc>
        <w:tc>
          <w:tcPr>
            <w:tcW w:w="1701" w:type="dxa"/>
            <w:tcBorders>
              <w:top w:val="nil"/>
              <w:left w:val="nil"/>
              <w:bottom w:val="nil"/>
              <w:right w:val="nil"/>
            </w:tcBorders>
          </w:tcPr>
          <w:p w14:paraId="50155F92"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Lauric acid</w:t>
            </w:r>
          </w:p>
        </w:tc>
        <w:tc>
          <w:tcPr>
            <w:tcW w:w="850" w:type="dxa"/>
            <w:tcBorders>
              <w:top w:val="nil"/>
              <w:left w:val="nil"/>
              <w:bottom w:val="nil"/>
              <w:right w:val="nil"/>
            </w:tcBorders>
          </w:tcPr>
          <w:p w14:paraId="5F0041D9"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3</w:t>
            </w:r>
          </w:p>
        </w:tc>
        <w:tc>
          <w:tcPr>
            <w:tcW w:w="993" w:type="dxa"/>
            <w:tcBorders>
              <w:top w:val="nil"/>
              <w:left w:val="nil"/>
              <w:bottom w:val="nil"/>
              <w:right w:val="nil"/>
            </w:tcBorders>
          </w:tcPr>
          <w:p w14:paraId="27EB0B8F"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1</w:t>
            </w:r>
          </w:p>
        </w:tc>
        <w:tc>
          <w:tcPr>
            <w:tcW w:w="850" w:type="dxa"/>
            <w:tcBorders>
              <w:top w:val="nil"/>
              <w:left w:val="nil"/>
              <w:bottom w:val="nil"/>
              <w:right w:val="nil"/>
            </w:tcBorders>
            <w:vAlign w:val="bottom"/>
          </w:tcPr>
          <w:p w14:paraId="7F272BBC" w14:textId="77777777" w:rsidR="00F7236B" w:rsidRPr="00966B21" w:rsidRDefault="00F7236B" w:rsidP="00B60D8F">
            <w:pPr>
              <w:pStyle w:val="NormaleWeb"/>
              <w:spacing w:before="0" w:beforeAutospacing="0" w:after="0" w:afterAutospacing="0"/>
              <w:jc w:val="center"/>
              <w:textAlignment w:val="bottom"/>
              <w:rPr>
                <w:lang w:val="en-GB"/>
              </w:rPr>
            </w:pPr>
            <w:r w:rsidRPr="00966B21">
              <w:rPr>
                <w:color w:val="000000"/>
                <w:kern w:val="24"/>
                <w:lang w:val="en-GB"/>
              </w:rPr>
              <w:t>534.5</w:t>
            </w:r>
          </w:p>
        </w:tc>
        <w:tc>
          <w:tcPr>
            <w:tcW w:w="2126" w:type="dxa"/>
            <w:tcBorders>
              <w:top w:val="nil"/>
              <w:left w:val="nil"/>
              <w:bottom w:val="nil"/>
              <w:right w:val="nil"/>
            </w:tcBorders>
            <w:vAlign w:val="bottom"/>
          </w:tcPr>
          <w:p w14:paraId="1CC5D3BE" w14:textId="77777777" w:rsidR="00F7236B" w:rsidRPr="00966B21" w:rsidRDefault="00F7236B" w:rsidP="00B60D8F">
            <w:pPr>
              <w:pStyle w:val="NormaleWeb"/>
              <w:spacing w:before="0" w:beforeAutospacing="0" w:after="0" w:afterAutospacing="0"/>
              <w:jc w:val="center"/>
              <w:textAlignment w:val="bottom"/>
              <w:rPr>
                <w:lang w:val="en-GB"/>
              </w:rPr>
            </w:pPr>
            <w:r w:rsidRPr="00966B21">
              <w:rPr>
                <w:color w:val="000000"/>
                <w:kern w:val="24"/>
                <w:lang w:val="en-GB"/>
              </w:rPr>
              <w:t>53.49 ± 0.07</w:t>
            </w:r>
          </w:p>
        </w:tc>
      </w:tr>
      <w:tr w:rsidR="00F7236B" w:rsidRPr="00966B21" w14:paraId="0371634C" w14:textId="77777777" w:rsidTr="00B60D8F">
        <w:tc>
          <w:tcPr>
            <w:tcW w:w="1282" w:type="dxa"/>
            <w:tcBorders>
              <w:top w:val="nil"/>
              <w:left w:val="nil"/>
              <w:bottom w:val="nil"/>
              <w:right w:val="nil"/>
            </w:tcBorders>
          </w:tcPr>
          <w:p w14:paraId="2B233438" w14:textId="77777777" w:rsidR="00F7236B" w:rsidRPr="00966B21" w:rsidRDefault="00F7236B" w:rsidP="00B60D8F">
            <w:pPr>
              <w:rPr>
                <w:rFonts w:ascii="Times New Roman" w:hAnsi="Times New Roman" w:cs="Times New Roman"/>
                <w:sz w:val="24"/>
                <w:szCs w:val="24"/>
                <w:lang w:val="en-GB"/>
              </w:rPr>
            </w:pPr>
            <w:r w:rsidRPr="00966B21">
              <w:rPr>
                <w:rFonts w:ascii="Times New Roman" w:hAnsi="Times New Roman" w:cs="Times New Roman"/>
                <w:sz w:val="24"/>
                <w:szCs w:val="24"/>
                <w:lang w:val="en-GB"/>
              </w:rPr>
              <w:t>TLAU</w:t>
            </w:r>
          </w:p>
        </w:tc>
        <w:tc>
          <w:tcPr>
            <w:tcW w:w="2121" w:type="dxa"/>
            <w:tcBorders>
              <w:top w:val="nil"/>
              <w:left w:val="nil"/>
              <w:bottom w:val="nil"/>
              <w:right w:val="nil"/>
            </w:tcBorders>
          </w:tcPr>
          <w:p w14:paraId="0097154D"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Thymol</w:t>
            </w:r>
          </w:p>
        </w:tc>
        <w:tc>
          <w:tcPr>
            <w:tcW w:w="1701" w:type="dxa"/>
            <w:tcBorders>
              <w:top w:val="nil"/>
              <w:left w:val="nil"/>
              <w:bottom w:val="nil"/>
              <w:right w:val="nil"/>
            </w:tcBorders>
          </w:tcPr>
          <w:p w14:paraId="3F18CCFE"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Lauric acid</w:t>
            </w:r>
          </w:p>
        </w:tc>
        <w:tc>
          <w:tcPr>
            <w:tcW w:w="850" w:type="dxa"/>
            <w:tcBorders>
              <w:top w:val="nil"/>
              <w:left w:val="nil"/>
              <w:bottom w:val="nil"/>
              <w:right w:val="nil"/>
            </w:tcBorders>
          </w:tcPr>
          <w:p w14:paraId="357CF196"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1.65</w:t>
            </w:r>
          </w:p>
        </w:tc>
        <w:tc>
          <w:tcPr>
            <w:tcW w:w="993" w:type="dxa"/>
            <w:tcBorders>
              <w:top w:val="nil"/>
              <w:left w:val="nil"/>
              <w:bottom w:val="nil"/>
              <w:right w:val="nil"/>
            </w:tcBorders>
          </w:tcPr>
          <w:p w14:paraId="154CC71C"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1.35</w:t>
            </w:r>
          </w:p>
        </w:tc>
        <w:tc>
          <w:tcPr>
            <w:tcW w:w="850" w:type="dxa"/>
            <w:tcBorders>
              <w:top w:val="nil"/>
              <w:left w:val="nil"/>
              <w:bottom w:val="nil"/>
              <w:right w:val="nil"/>
            </w:tcBorders>
            <w:vAlign w:val="bottom"/>
          </w:tcPr>
          <w:p w14:paraId="3D7F38D1" w14:textId="77777777" w:rsidR="00F7236B" w:rsidRPr="00966B21" w:rsidRDefault="00F7236B" w:rsidP="00B60D8F">
            <w:pPr>
              <w:pStyle w:val="NormaleWeb"/>
              <w:spacing w:before="0" w:beforeAutospacing="0" w:after="0" w:afterAutospacing="0"/>
              <w:jc w:val="center"/>
              <w:textAlignment w:val="bottom"/>
              <w:rPr>
                <w:lang w:val="en-GB"/>
              </w:rPr>
            </w:pPr>
            <w:r w:rsidRPr="00966B21">
              <w:rPr>
                <w:color w:val="000000"/>
                <w:kern w:val="24"/>
                <w:lang w:val="en-GB"/>
              </w:rPr>
              <w:t>562.0</w:t>
            </w:r>
          </w:p>
        </w:tc>
        <w:tc>
          <w:tcPr>
            <w:tcW w:w="2126" w:type="dxa"/>
            <w:tcBorders>
              <w:top w:val="nil"/>
              <w:left w:val="nil"/>
              <w:bottom w:val="nil"/>
              <w:right w:val="nil"/>
            </w:tcBorders>
            <w:vAlign w:val="bottom"/>
          </w:tcPr>
          <w:p w14:paraId="54B373E1" w14:textId="77777777" w:rsidR="00F7236B" w:rsidRPr="00966B21" w:rsidRDefault="00F7236B" w:rsidP="00B60D8F">
            <w:pPr>
              <w:pStyle w:val="NormaleWeb"/>
              <w:spacing w:before="0" w:beforeAutospacing="0" w:after="0" w:afterAutospacing="0"/>
              <w:jc w:val="center"/>
              <w:textAlignment w:val="bottom"/>
              <w:rPr>
                <w:lang w:val="en-GB"/>
              </w:rPr>
            </w:pPr>
            <w:r w:rsidRPr="00966B21">
              <w:rPr>
                <w:color w:val="000000"/>
                <w:kern w:val="24"/>
                <w:lang w:val="en-GB"/>
              </w:rPr>
              <w:t>50.87 ± 0.13</w:t>
            </w:r>
          </w:p>
        </w:tc>
      </w:tr>
      <w:tr w:rsidR="00F7236B" w:rsidRPr="00966B21" w14:paraId="7CAF207B" w14:textId="77777777" w:rsidTr="00B60D8F">
        <w:tc>
          <w:tcPr>
            <w:tcW w:w="1282" w:type="dxa"/>
            <w:tcBorders>
              <w:top w:val="nil"/>
              <w:left w:val="nil"/>
              <w:bottom w:val="nil"/>
              <w:right w:val="nil"/>
            </w:tcBorders>
          </w:tcPr>
          <w:p w14:paraId="2FFB04F2" w14:textId="77777777" w:rsidR="00F7236B" w:rsidRPr="00966B21" w:rsidRDefault="00F7236B" w:rsidP="00B60D8F">
            <w:pPr>
              <w:rPr>
                <w:rFonts w:ascii="Times New Roman" w:hAnsi="Times New Roman" w:cs="Times New Roman"/>
                <w:b/>
                <w:sz w:val="24"/>
                <w:szCs w:val="24"/>
                <w:lang w:val="en-GB"/>
              </w:rPr>
            </w:pPr>
            <w:r w:rsidRPr="00966B21">
              <w:rPr>
                <w:rFonts w:ascii="Times New Roman" w:hAnsi="Times New Roman" w:cs="Times New Roman"/>
                <w:b/>
                <w:sz w:val="24"/>
                <w:szCs w:val="24"/>
                <w:lang w:val="en-GB"/>
              </w:rPr>
              <w:t>MLEV</w:t>
            </w:r>
          </w:p>
        </w:tc>
        <w:tc>
          <w:tcPr>
            <w:tcW w:w="2121" w:type="dxa"/>
            <w:tcBorders>
              <w:top w:val="nil"/>
              <w:left w:val="nil"/>
              <w:bottom w:val="nil"/>
              <w:right w:val="nil"/>
            </w:tcBorders>
          </w:tcPr>
          <w:p w14:paraId="4BF98371"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DL-Menthol</w:t>
            </w:r>
          </w:p>
        </w:tc>
        <w:tc>
          <w:tcPr>
            <w:tcW w:w="1701" w:type="dxa"/>
            <w:tcBorders>
              <w:top w:val="nil"/>
              <w:left w:val="nil"/>
              <w:bottom w:val="nil"/>
              <w:right w:val="nil"/>
            </w:tcBorders>
          </w:tcPr>
          <w:p w14:paraId="3E34637D"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Levulinic acid</w:t>
            </w:r>
          </w:p>
        </w:tc>
        <w:tc>
          <w:tcPr>
            <w:tcW w:w="850" w:type="dxa"/>
            <w:tcBorders>
              <w:top w:val="nil"/>
              <w:left w:val="nil"/>
              <w:bottom w:val="nil"/>
              <w:right w:val="nil"/>
            </w:tcBorders>
          </w:tcPr>
          <w:p w14:paraId="7AD9794A"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1</w:t>
            </w:r>
          </w:p>
        </w:tc>
        <w:tc>
          <w:tcPr>
            <w:tcW w:w="993" w:type="dxa"/>
            <w:tcBorders>
              <w:top w:val="nil"/>
              <w:left w:val="nil"/>
              <w:bottom w:val="nil"/>
              <w:right w:val="nil"/>
            </w:tcBorders>
          </w:tcPr>
          <w:p w14:paraId="040F05A5"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1</w:t>
            </w:r>
          </w:p>
        </w:tc>
        <w:tc>
          <w:tcPr>
            <w:tcW w:w="850" w:type="dxa"/>
            <w:tcBorders>
              <w:top w:val="nil"/>
              <w:left w:val="nil"/>
              <w:bottom w:val="nil"/>
              <w:right w:val="nil"/>
            </w:tcBorders>
            <w:vAlign w:val="bottom"/>
          </w:tcPr>
          <w:p w14:paraId="4F5844DC" w14:textId="77777777" w:rsidR="00F7236B" w:rsidRPr="00966B21" w:rsidRDefault="00F7236B" w:rsidP="00B60D8F">
            <w:pPr>
              <w:pStyle w:val="NormaleWeb"/>
              <w:spacing w:before="0" w:beforeAutospacing="0" w:after="0" w:afterAutospacing="0"/>
              <w:jc w:val="center"/>
              <w:textAlignment w:val="bottom"/>
              <w:rPr>
                <w:lang w:val="en-GB"/>
              </w:rPr>
            </w:pPr>
            <w:r w:rsidRPr="00966B21">
              <w:rPr>
                <w:color w:val="000000"/>
                <w:kern w:val="24"/>
                <w:lang w:val="en-GB"/>
              </w:rPr>
              <w:t>555.0</w:t>
            </w:r>
          </w:p>
        </w:tc>
        <w:tc>
          <w:tcPr>
            <w:tcW w:w="2126" w:type="dxa"/>
            <w:tcBorders>
              <w:top w:val="nil"/>
              <w:left w:val="nil"/>
              <w:bottom w:val="nil"/>
              <w:right w:val="nil"/>
            </w:tcBorders>
            <w:vAlign w:val="bottom"/>
          </w:tcPr>
          <w:p w14:paraId="0856956D" w14:textId="77777777" w:rsidR="00F7236B" w:rsidRPr="00966B21" w:rsidRDefault="00F7236B" w:rsidP="00B60D8F">
            <w:pPr>
              <w:pStyle w:val="NormaleWeb"/>
              <w:spacing w:before="0" w:beforeAutospacing="0" w:after="0" w:afterAutospacing="0"/>
              <w:jc w:val="center"/>
              <w:textAlignment w:val="bottom"/>
              <w:rPr>
                <w:lang w:val="en-GB"/>
              </w:rPr>
            </w:pPr>
            <w:r w:rsidRPr="00966B21">
              <w:rPr>
                <w:color w:val="000000"/>
                <w:kern w:val="24"/>
                <w:lang w:val="en-GB"/>
              </w:rPr>
              <w:t>51.52 ± 0.13</w:t>
            </w:r>
          </w:p>
        </w:tc>
      </w:tr>
      <w:tr w:rsidR="00F7236B" w:rsidRPr="00966B21" w14:paraId="5905DC8F" w14:textId="77777777" w:rsidTr="00B60D8F">
        <w:tc>
          <w:tcPr>
            <w:tcW w:w="1282" w:type="dxa"/>
            <w:tcBorders>
              <w:top w:val="nil"/>
              <w:left w:val="nil"/>
              <w:bottom w:val="single" w:sz="4" w:space="0" w:color="auto"/>
              <w:right w:val="nil"/>
            </w:tcBorders>
          </w:tcPr>
          <w:p w14:paraId="657DFD20" w14:textId="77777777" w:rsidR="00F7236B" w:rsidRPr="00966B21" w:rsidRDefault="00F7236B" w:rsidP="00B60D8F">
            <w:pPr>
              <w:rPr>
                <w:rFonts w:ascii="Times New Roman" w:hAnsi="Times New Roman" w:cs="Times New Roman"/>
                <w:sz w:val="24"/>
                <w:szCs w:val="24"/>
                <w:lang w:val="en-GB"/>
              </w:rPr>
            </w:pPr>
            <w:r w:rsidRPr="00966B21">
              <w:rPr>
                <w:rFonts w:ascii="Times New Roman" w:hAnsi="Times New Roman" w:cs="Times New Roman"/>
                <w:sz w:val="24"/>
                <w:szCs w:val="24"/>
                <w:lang w:val="en-GB"/>
              </w:rPr>
              <w:t>TLEV</w:t>
            </w:r>
          </w:p>
        </w:tc>
        <w:tc>
          <w:tcPr>
            <w:tcW w:w="2121" w:type="dxa"/>
            <w:tcBorders>
              <w:top w:val="nil"/>
              <w:left w:val="nil"/>
              <w:bottom w:val="single" w:sz="4" w:space="0" w:color="auto"/>
              <w:right w:val="nil"/>
            </w:tcBorders>
          </w:tcPr>
          <w:p w14:paraId="2D64AAF0"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Thymol</w:t>
            </w:r>
          </w:p>
        </w:tc>
        <w:tc>
          <w:tcPr>
            <w:tcW w:w="1701" w:type="dxa"/>
            <w:tcBorders>
              <w:top w:val="nil"/>
              <w:left w:val="nil"/>
              <w:bottom w:val="single" w:sz="4" w:space="0" w:color="auto"/>
              <w:right w:val="nil"/>
            </w:tcBorders>
          </w:tcPr>
          <w:p w14:paraId="09FE8BC3"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Levulinic acid</w:t>
            </w:r>
          </w:p>
        </w:tc>
        <w:tc>
          <w:tcPr>
            <w:tcW w:w="850" w:type="dxa"/>
            <w:tcBorders>
              <w:top w:val="nil"/>
              <w:left w:val="nil"/>
              <w:bottom w:val="single" w:sz="4" w:space="0" w:color="auto"/>
              <w:right w:val="nil"/>
            </w:tcBorders>
          </w:tcPr>
          <w:p w14:paraId="054471C3"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1</w:t>
            </w:r>
          </w:p>
        </w:tc>
        <w:tc>
          <w:tcPr>
            <w:tcW w:w="993" w:type="dxa"/>
            <w:tcBorders>
              <w:top w:val="nil"/>
              <w:left w:val="nil"/>
              <w:bottom w:val="single" w:sz="4" w:space="0" w:color="auto"/>
              <w:right w:val="nil"/>
            </w:tcBorders>
          </w:tcPr>
          <w:p w14:paraId="2DCD08FA" w14:textId="77777777" w:rsidR="00F7236B" w:rsidRPr="00966B21" w:rsidRDefault="00F7236B" w:rsidP="00B60D8F">
            <w:pPr>
              <w:jc w:val="center"/>
              <w:rPr>
                <w:rFonts w:ascii="Times New Roman" w:hAnsi="Times New Roman" w:cs="Times New Roman"/>
                <w:sz w:val="24"/>
                <w:szCs w:val="24"/>
                <w:lang w:val="en-GB"/>
              </w:rPr>
            </w:pPr>
            <w:r w:rsidRPr="00966B21">
              <w:rPr>
                <w:rFonts w:ascii="Times New Roman" w:hAnsi="Times New Roman" w:cs="Times New Roman"/>
                <w:sz w:val="24"/>
                <w:szCs w:val="24"/>
                <w:lang w:val="en-GB"/>
              </w:rPr>
              <w:t>1</w:t>
            </w:r>
          </w:p>
        </w:tc>
        <w:tc>
          <w:tcPr>
            <w:tcW w:w="850" w:type="dxa"/>
            <w:tcBorders>
              <w:top w:val="nil"/>
              <w:left w:val="nil"/>
              <w:bottom w:val="single" w:sz="4" w:space="0" w:color="auto"/>
              <w:right w:val="nil"/>
            </w:tcBorders>
            <w:vAlign w:val="bottom"/>
          </w:tcPr>
          <w:p w14:paraId="2DDE2F12" w14:textId="77777777" w:rsidR="00F7236B" w:rsidRPr="00966B21" w:rsidRDefault="00F7236B" w:rsidP="00B60D8F">
            <w:pPr>
              <w:pStyle w:val="NormaleWeb"/>
              <w:spacing w:before="0" w:beforeAutospacing="0" w:after="0" w:afterAutospacing="0"/>
              <w:jc w:val="center"/>
              <w:textAlignment w:val="bottom"/>
              <w:rPr>
                <w:lang w:val="en-GB"/>
              </w:rPr>
            </w:pPr>
            <w:r w:rsidRPr="00966B21">
              <w:rPr>
                <w:lang w:val="en-GB"/>
              </w:rPr>
              <w:t>577.5</w:t>
            </w:r>
          </w:p>
        </w:tc>
        <w:tc>
          <w:tcPr>
            <w:tcW w:w="2126" w:type="dxa"/>
            <w:tcBorders>
              <w:top w:val="nil"/>
              <w:left w:val="nil"/>
              <w:bottom w:val="single" w:sz="4" w:space="0" w:color="auto"/>
              <w:right w:val="nil"/>
            </w:tcBorders>
            <w:vAlign w:val="bottom"/>
          </w:tcPr>
          <w:p w14:paraId="3FC08D9F" w14:textId="77777777" w:rsidR="00F7236B" w:rsidRPr="00966B21" w:rsidRDefault="00F7236B" w:rsidP="00B60D8F">
            <w:pPr>
              <w:pStyle w:val="NormaleWeb"/>
              <w:spacing w:before="0" w:beforeAutospacing="0" w:after="0" w:afterAutospacing="0"/>
              <w:jc w:val="center"/>
              <w:textAlignment w:val="bottom"/>
              <w:rPr>
                <w:lang w:val="en-GB"/>
              </w:rPr>
            </w:pPr>
            <w:r w:rsidRPr="00966B21">
              <w:rPr>
                <w:lang w:val="en-GB"/>
              </w:rPr>
              <w:t>49.51 ± 0.06</w:t>
            </w:r>
          </w:p>
        </w:tc>
      </w:tr>
    </w:tbl>
    <w:p w14:paraId="50EB44F2" w14:textId="77777777" w:rsidR="00F7236B" w:rsidRPr="00966B21" w:rsidRDefault="00F7236B" w:rsidP="00F7236B">
      <w:pPr>
        <w:rPr>
          <w:rFonts w:ascii="Times New Roman" w:hAnsi="Times New Roman" w:cs="Times New Roman"/>
          <w:lang w:val="es-MX"/>
        </w:rPr>
      </w:pPr>
      <w:r w:rsidRPr="00966B21">
        <w:rPr>
          <w:rFonts w:ascii="Times New Roman" w:hAnsi="Times New Roman" w:cs="Times New Roman"/>
          <w:lang w:val="es-MX"/>
        </w:rPr>
        <w:t>*n-hexane/acetone/ethanol (2/1/1)</w:t>
      </w:r>
      <w:bookmarkEnd w:id="9"/>
    </w:p>
    <w:p w14:paraId="354D213D" w14:textId="23BC7A12" w:rsidR="009423EB" w:rsidRPr="00966B21" w:rsidRDefault="009423EB" w:rsidP="009423EB">
      <w:pPr>
        <w:rPr>
          <w:rFonts w:ascii="Times New Roman" w:hAnsi="Times New Roman" w:cs="Times New Roman"/>
          <w:lang w:val="en-US"/>
        </w:rPr>
      </w:pPr>
      <w:r w:rsidRPr="00966B21">
        <w:rPr>
          <w:rFonts w:ascii="Times New Roman" w:hAnsi="Times New Roman" w:cs="Times New Roman"/>
          <w:b/>
          <w:lang w:val="en-US"/>
        </w:rPr>
        <w:t>In bold:</w:t>
      </w:r>
      <w:r w:rsidRPr="00966B21">
        <w:rPr>
          <w:rFonts w:ascii="Times New Roman" w:hAnsi="Times New Roman" w:cs="Times New Roman"/>
          <w:lang w:val="en-US"/>
        </w:rPr>
        <w:t xml:space="preserve"> Hydrophobic Eutectic Solvents characterized as Hydrophobic Deep</w:t>
      </w:r>
      <w:r w:rsidR="00977BCD" w:rsidRPr="00966B21">
        <w:rPr>
          <w:rFonts w:ascii="Times New Roman" w:hAnsi="Times New Roman" w:cs="Times New Roman"/>
          <w:lang w:val="en-US"/>
        </w:rPr>
        <w:t xml:space="preserve"> Eutectic</w:t>
      </w:r>
      <w:r w:rsidRPr="00966B21">
        <w:rPr>
          <w:rFonts w:ascii="Times New Roman" w:hAnsi="Times New Roman" w:cs="Times New Roman"/>
          <w:lang w:val="en-US"/>
        </w:rPr>
        <w:t xml:space="preserve"> Solvents (HDES)</w:t>
      </w:r>
    </w:p>
    <w:p w14:paraId="022B092C" w14:textId="64291025" w:rsidR="00F7236B" w:rsidRPr="00966B21" w:rsidRDefault="00F7236B" w:rsidP="002753DB">
      <w:pPr>
        <w:pStyle w:val="NormaleWeb"/>
        <w:spacing w:before="0" w:beforeAutospacing="0" w:after="0" w:afterAutospacing="0"/>
        <w:jc w:val="both"/>
        <w:rPr>
          <w:sz w:val="20"/>
          <w:lang w:val="en-US"/>
        </w:rPr>
      </w:pPr>
    </w:p>
    <w:p w14:paraId="165D458B" w14:textId="79369DCA" w:rsidR="00F7236B" w:rsidRPr="00966B21" w:rsidRDefault="00F7236B" w:rsidP="002753DB">
      <w:pPr>
        <w:pStyle w:val="NormaleWeb"/>
        <w:spacing w:before="0" w:beforeAutospacing="0" w:after="0" w:afterAutospacing="0"/>
        <w:jc w:val="both"/>
        <w:rPr>
          <w:sz w:val="20"/>
          <w:lang w:val="en-GB"/>
        </w:rPr>
      </w:pPr>
    </w:p>
    <w:p w14:paraId="3F5058A0" w14:textId="6086BAB4" w:rsidR="00F7236B" w:rsidRPr="00966B21" w:rsidRDefault="00F7236B" w:rsidP="002753DB">
      <w:pPr>
        <w:pStyle w:val="NormaleWeb"/>
        <w:spacing w:before="0" w:beforeAutospacing="0" w:after="0" w:afterAutospacing="0"/>
        <w:jc w:val="both"/>
        <w:rPr>
          <w:sz w:val="20"/>
          <w:lang w:val="en-GB"/>
        </w:rPr>
      </w:pPr>
    </w:p>
    <w:p w14:paraId="2BB56C80" w14:textId="427B5A8D" w:rsidR="00F7236B" w:rsidRPr="00966B21" w:rsidRDefault="00F7236B" w:rsidP="002753DB">
      <w:pPr>
        <w:pStyle w:val="NormaleWeb"/>
        <w:spacing w:before="0" w:beforeAutospacing="0" w:after="0" w:afterAutospacing="0"/>
        <w:jc w:val="both"/>
        <w:rPr>
          <w:sz w:val="20"/>
          <w:lang w:val="en-GB"/>
        </w:rPr>
      </w:pPr>
    </w:p>
    <w:p w14:paraId="114DA9FE" w14:textId="05DC35A8" w:rsidR="00F7236B" w:rsidRPr="00966B21" w:rsidRDefault="00F7236B" w:rsidP="002753DB">
      <w:pPr>
        <w:pStyle w:val="NormaleWeb"/>
        <w:spacing w:before="0" w:beforeAutospacing="0" w:after="0" w:afterAutospacing="0"/>
        <w:jc w:val="both"/>
        <w:rPr>
          <w:sz w:val="20"/>
          <w:lang w:val="en-GB"/>
        </w:rPr>
      </w:pPr>
    </w:p>
    <w:p w14:paraId="6C032879" w14:textId="41AC10DC" w:rsidR="00F7236B" w:rsidRPr="00966B21" w:rsidRDefault="00F7236B" w:rsidP="002753DB">
      <w:pPr>
        <w:pStyle w:val="NormaleWeb"/>
        <w:spacing w:before="0" w:beforeAutospacing="0" w:after="0" w:afterAutospacing="0"/>
        <w:jc w:val="both"/>
        <w:rPr>
          <w:sz w:val="20"/>
          <w:lang w:val="en-GB"/>
        </w:rPr>
      </w:pPr>
    </w:p>
    <w:p w14:paraId="010F93AE" w14:textId="06261165" w:rsidR="00F7236B" w:rsidRPr="00966B21" w:rsidRDefault="00F7236B" w:rsidP="002753DB">
      <w:pPr>
        <w:pStyle w:val="NormaleWeb"/>
        <w:spacing w:before="0" w:beforeAutospacing="0" w:after="0" w:afterAutospacing="0"/>
        <w:jc w:val="both"/>
        <w:rPr>
          <w:sz w:val="20"/>
          <w:lang w:val="en-GB"/>
        </w:rPr>
      </w:pPr>
    </w:p>
    <w:p w14:paraId="7D761645" w14:textId="61536D28" w:rsidR="00F7236B" w:rsidRPr="00966B21" w:rsidRDefault="00F7236B" w:rsidP="002753DB">
      <w:pPr>
        <w:pStyle w:val="NormaleWeb"/>
        <w:spacing w:before="0" w:beforeAutospacing="0" w:after="0" w:afterAutospacing="0"/>
        <w:jc w:val="both"/>
        <w:rPr>
          <w:sz w:val="20"/>
          <w:lang w:val="en-GB"/>
        </w:rPr>
      </w:pPr>
    </w:p>
    <w:p w14:paraId="588F8633" w14:textId="7E0E15AF" w:rsidR="00F7236B" w:rsidRPr="00966B21" w:rsidRDefault="00F7236B" w:rsidP="002753DB">
      <w:pPr>
        <w:pStyle w:val="NormaleWeb"/>
        <w:spacing w:before="0" w:beforeAutospacing="0" w:after="0" w:afterAutospacing="0"/>
        <w:jc w:val="both"/>
        <w:rPr>
          <w:sz w:val="20"/>
          <w:lang w:val="en-GB"/>
        </w:rPr>
      </w:pPr>
    </w:p>
    <w:p w14:paraId="7D62C93D" w14:textId="2140A2B4" w:rsidR="00F7236B" w:rsidRPr="00966B21" w:rsidRDefault="00F7236B" w:rsidP="002753DB">
      <w:pPr>
        <w:pStyle w:val="NormaleWeb"/>
        <w:spacing w:before="0" w:beforeAutospacing="0" w:after="0" w:afterAutospacing="0"/>
        <w:jc w:val="both"/>
        <w:rPr>
          <w:sz w:val="20"/>
          <w:lang w:val="en-GB"/>
        </w:rPr>
      </w:pPr>
    </w:p>
    <w:p w14:paraId="47AE8BD0" w14:textId="183B185B" w:rsidR="00F7236B" w:rsidRPr="00966B21" w:rsidRDefault="00F7236B" w:rsidP="002753DB">
      <w:pPr>
        <w:pStyle w:val="NormaleWeb"/>
        <w:spacing w:before="0" w:beforeAutospacing="0" w:after="0" w:afterAutospacing="0"/>
        <w:jc w:val="both"/>
        <w:rPr>
          <w:sz w:val="20"/>
          <w:lang w:val="en-GB"/>
        </w:rPr>
      </w:pPr>
    </w:p>
    <w:p w14:paraId="2E22299F" w14:textId="2181FF39" w:rsidR="00F7236B" w:rsidRPr="00966B21" w:rsidRDefault="00F7236B" w:rsidP="002753DB">
      <w:pPr>
        <w:pStyle w:val="NormaleWeb"/>
        <w:spacing w:before="0" w:beforeAutospacing="0" w:after="0" w:afterAutospacing="0"/>
        <w:jc w:val="both"/>
        <w:rPr>
          <w:sz w:val="20"/>
          <w:lang w:val="en-GB"/>
        </w:rPr>
      </w:pPr>
    </w:p>
    <w:p w14:paraId="1328FDA9" w14:textId="145041F8" w:rsidR="00F7236B" w:rsidRPr="00966B21" w:rsidRDefault="00F7236B" w:rsidP="002753DB">
      <w:pPr>
        <w:pStyle w:val="NormaleWeb"/>
        <w:spacing w:before="0" w:beforeAutospacing="0" w:after="0" w:afterAutospacing="0"/>
        <w:jc w:val="both"/>
        <w:rPr>
          <w:sz w:val="20"/>
          <w:lang w:val="en-GB"/>
        </w:rPr>
      </w:pPr>
    </w:p>
    <w:p w14:paraId="65FF7087" w14:textId="6498A0B4" w:rsidR="00F7236B" w:rsidRPr="00966B21" w:rsidRDefault="00F7236B" w:rsidP="002753DB">
      <w:pPr>
        <w:pStyle w:val="NormaleWeb"/>
        <w:spacing w:before="0" w:beforeAutospacing="0" w:after="0" w:afterAutospacing="0"/>
        <w:jc w:val="both"/>
        <w:rPr>
          <w:sz w:val="20"/>
          <w:lang w:val="en-GB"/>
        </w:rPr>
      </w:pPr>
    </w:p>
    <w:p w14:paraId="4E5A0BCF" w14:textId="78437638" w:rsidR="00F7236B" w:rsidRPr="00966B21" w:rsidRDefault="00F7236B" w:rsidP="002753DB">
      <w:pPr>
        <w:pStyle w:val="NormaleWeb"/>
        <w:spacing w:before="0" w:beforeAutospacing="0" w:after="0" w:afterAutospacing="0"/>
        <w:jc w:val="both"/>
        <w:rPr>
          <w:sz w:val="20"/>
          <w:lang w:val="en-GB"/>
        </w:rPr>
      </w:pPr>
    </w:p>
    <w:p w14:paraId="4F1B27F2" w14:textId="7FD098D3" w:rsidR="00F7236B" w:rsidRPr="00966B21" w:rsidRDefault="00F7236B" w:rsidP="002753DB">
      <w:pPr>
        <w:pStyle w:val="NormaleWeb"/>
        <w:spacing w:before="0" w:beforeAutospacing="0" w:after="0" w:afterAutospacing="0"/>
        <w:jc w:val="both"/>
        <w:rPr>
          <w:sz w:val="20"/>
          <w:lang w:val="en-GB"/>
        </w:rPr>
      </w:pPr>
    </w:p>
    <w:p w14:paraId="0083D117" w14:textId="7BA749B4" w:rsidR="00F7236B" w:rsidRPr="00966B21" w:rsidRDefault="00F7236B" w:rsidP="002753DB">
      <w:pPr>
        <w:pStyle w:val="NormaleWeb"/>
        <w:spacing w:before="0" w:beforeAutospacing="0" w:after="0" w:afterAutospacing="0"/>
        <w:jc w:val="both"/>
        <w:rPr>
          <w:sz w:val="20"/>
          <w:lang w:val="en-GB"/>
        </w:rPr>
      </w:pPr>
    </w:p>
    <w:p w14:paraId="5BC37081" w14:textId="3DB45077" w:rsidR="00F7236B" w:rsidRPr="00966B21" w:rsidRDefault="00F7236B" w:rsidP="002753DB">
      <w:pPr>
        <w:pStyle w:val="NormaleWeb"/>
        <w:spacing w:before="0" w:beforeAutospacing="0" w:after="0" w:afterAutospacing="0"/>
        <w:jc w:val="both"/>
        <w:rPr>
          <w:sz w:val="20"/>
          <w:lang w:val="en-GB"/>
        </w:rPr>
      </w:pPr>
    </w:p>
    <w:p w14:paraId="497FAB5D" w14:textId="48213425" w:rsidR="00F7236B" w:rsidRPr="00966B21" w:rsidRDefault="00F7236B" w:rsidP="002753DB">
      <w:pPr>
        <w:pStyle w:val="NormaleWeb"/>
        <w:spacing w:before="0" w:beforeAutospacing="0" w:after="0" w:afterAutospacing="0"/>
        <w:jc w:val="both"/>
        <w:rPr>
          <w:sz w:val="20"/>
          <w:lang w:val="en-GB"/>
        </w:rPr>
      </w:pPr>
    </w:p>
    <w:p w14:paraId="3CDA5246" w14:textId="08220970" w:rsidR="00F7236B" w:rsidRPr="00966B21" w:rsidRDefault="00F7236B" w:rsidP="002753DB">
      <w:pPr>
        <w:pStyle w:val="NormaleWeb"/>
        <w:spacing w:before="0" w:beforeAutospacing="0" w:after="0" w:afterAutospacing="0"/>
        <w:jc w:val="both"/>
        <w:rPr>
          <w:sz w:val="20"/>
          <w:lang w:val="en-GB"/>
        </w:rPr>
      </w:pPr>
    </w:p>
    <w:p w14:paraId="1CD0C2D0" w14:textId="05D520A6" w:rsidR="00F7236B" w:rsidRPr="00966B21" w:rsidRDefault="00F7236B" w:rsidP="002753DB">
      <w:pPr>
        <w:pStyle w:val="NormaleWeb"/>
        <w:spacing w:before="0" w:beforeAutospacing="0" w:after="0" w:afterAutospacing="0"/>
        <w:jc w:val="both"/>
        <w:rPr>
          <w:sz w:val="20"/>
          <w:lang w:val="en-GB"/>
        </w:rPr>
      </w:pPr>
    </w:p>
    <w:p w14:paraId="5C523C65" w14:textId="335CD367" w:rsidR="00F7236B" w:rsidRPr="00966B21" w:rsidRDefault="00F7236B" w:rsidP="002753DB">
      <w:pPr>
        <w:pStyle w:val="NormaleWeb"/>
        <w:spacing w:before="0" w:beforeAutospacing="0" w:after="0" w:afterAutospacing="0"/>
        <w:jc w:val="both"/>
        <w:rPr>
          <w:sz w:val="20"/>
          <w:lang w:val="en-GB"/>
        </w:rPr>
      </w:pPr>
    </w:p>
    <w:p w14:paraId="0B26E88B" w14:textId="131CC287" w:rsidR="00F7236B" w:rsidRPr="00966B21" w:rsidRDefault="00F7236B" w:rsidP="002753DB">
      <w:pPr>
        <w:pStyle w:val="NormaleWeb"/>
        <w:spacing w:before="0" w:beforeAutospacing="0" w:after="0" w:afterAutospacing="0"/>
        <w:jc w:val="both"/>
        <w:rPr>
          <w:sz w:val="20"/>
          <w:lang w:val="en-GB"/>
        </w:rPr>
      </w:pPr>
    </w:p>
    <w:p w14:paraId="515F6F30" w14:textId="3E64A6CF" w:rsidR="00F7236B" w:rsidRPr="00966B21" w:rsidRDefault="00F7236B" w:rsidP="002753DB">
      <w:pPr>
        <w:pStyle w:val="NormaleWeb"/>
        <w:spacing w:before="0" w:beforeAutospacing="0" w:after="0" w:afterAutospacing="0"/>
        <w:jc w:val="both"/>
        <w:rPr>
          <w:sz w:val="20"/>
          <w:lang w:val="en-GB"/>
        </w:rPr>
      </w:pPr>
    </w:p>
    <w:p w14:paraId="36601AFB" w14:textId="540002CF" w:rsidR="00F7236B" w:rsidRPr="00966B21" w:rsidRDefault="00F7236B" w:rsidP="002753DB">
      <w:pPr>
        <w:pStyle w:val="NormaleWeb"/>
        <w:spacing w:before="0" w:beforeAutospacing="0" w:after="0" w:afterAutospacing="0"/>
        <w:jc w:val="both"/>
        <w:rPr>
          <w:sz w:val="20"/>
          <w:lang w:val="en-GB"/>
        </w:rPr>
      </w:pPr>
    </w:p>
    <w:p w14:paraId="1F78A900" w14:textId="38D37A1E" w:rsidR="00F7236B" w:rsidRPr="00966B21" w:rsidRDefault="00F7236B" w:rsidP="002753DB">
      <w:pPr>
        <w:pStyle w:val="NormaleWeb"/>
        <w:spacing w:before="0" w:beforeAutospacing="0" w:after="0" w:afterAutospacing="0"/>
        <w:jc w:val="both"/>
        <w:rPr>
          <w:sz w:val="20"/>
          <w:lang w:val="en-GB"/>
        </w:rPr>
      </w:pPr>
    </w:p>
    <w:p w14:paraId="24009B9B" w14:textId="182206E1" w:rsidR="00F7236B" w:rsidRPr="00966B21" w:rsidRDefault="00F7236B" w:rsidP="002753DB">
      <w:pPr>
        <w:pStyle w:val="NormaleWeb"/>
        <w:spacing w:before="0" w:beforeAutospacing="0" w:after="0" w:afterAutospacing="0"/>
        <w:jc w:val="both"/>
        <w:rPr>
          <w:sz w:val="20"/>
          <w:lang w:val="en-GB"/>
        </w:rPr>
      </w:pPr>
    </w:p>
    <w:p w14:paraId="6C6EA580" w14:textId="690817DF" w:rsidR="00F7236B" w:rsidRPr="00966B21" w:rsidRDefault="00F7236B" w:rsidP="002753DB">
      <w:pPr>
        <w:pStyle w:val="NormaleWeb"/>
        <w:spacing w:before="0" w:beforeAutospacing="0" w:after="0" w:afterAutospacing="0"/>
        <w:jc w:val="both"/>
        <w:rPr>
          <w:sz w:val="20"/>
          <w:lang w:val="en-GB"/>
        </w:rPr>
      </w:pPr>
    </w:p>
    <w:p w14:paraId="7688C6E3" w14:textId="3918EE2D" w:rsidR="00F7236B" w:rsidRPr="00966B21" w:rsidRDefault="00F7236B" w:rsidP="002753DB">
      <w:pPr>
        <w:pStyle w:val="NormaleWeb"/>
        <w:spacing w:before="0" w:beforeAutospacing="0" w:after="0" w:afterAutospacing="0"/>
        <w:jc w:val="both"/>
        <w:rPr>
          <w:sz w:val="20"/>
          <w:lang w:val="en-GB"/>
        </w:rPr>
      </w:pPr>
    </w:p>
    <w:p w14:paraId="0C75FC95" w14:textId="77D2EC6D" w:rsidR="00F7236B" w:rsidRPr="00966B21" w:rsidRDefault="00F7236B" w:rsidP="002753DB">
      <w:pPr>
        <w:pStyle w:val="NormaleWeb"/>
        <w:spacing w:before="0" w:beforeAutospacing="0" w:after="0" w:afterAutospacing="0"/>
        <w:jc w:val="both"/>
        <w:rPr>
          <w:sz w:val="20"/>
          <w:lang w:val="en-GB"/>
        </w:rPr>
      </w:pPr>
    </w:p>
    <w:p w14:paraId="71C506A2" w14:textId="7D3F09AB" w:rsidR="00F7236B" w:rsidRPr="00966B21" w:rsidRDefault="00F7236B" w:rsidP="002753DB">
      <w:pPr>
        <w:pStyle w:val="NormaleWeb"/>
        <w:spacing w:before="0" w:beforeAutospacing="0" w:after="0" w:afterAutospacing="0"/>
        <w:jc w:val="both"/>
        <w:rPr>
          <w:sz w:val="20"/>
          <w:lang w:val="en-GB"/>
        </w:rPr>
      </w:pPr>
    </w:p>
    <w:p w14:paraId="7662DB6E" w14:textId="3DEFDEC4" w:rsidR="00F7236B" w:rsidRPr="00966B21" w:rsidRDefault="00F7236B" w:rsidP="002753DB">
      <w:pPr>
        <w:pStyle w:val="NormaleWeb"/>
        <w:spacing w:before="0" w:beforeAutospacing="0" w:after="0" w:afterAutospacing="0"/>
        <w:jc w:val="both"/>
        <w:rPr>
          <w:sz w:val="20"/>
          <w:lang w:val="en-GB"/>
        </w:rPr>
      </w:pPr>
    </w:p>
    <w:p w14:paraId="3641E33D" w14:textId="32FC2906" w:rsidR="00F7236B" w:rsidRPr="00966B21" w:rsidRDefault="00F7236B" w:rsidP="002753DB">
      <w:pPr>
        <w:pStyle w:val="NormaleWeb"/>
        <w:spacing w:before="0" w:beforeAutospacing="0" w:after="0" w:afterAutospacing="0"/>
        <w:jc w:val="both"/>
        <w:rPr>
          <w:sz w:val="20"/>
          <w:lang w:val="en-GB"/>
        </w:rPr>
      </w:pPr>
    </w:p>
    <w:p w14:paraId="0EBEA8D8" w14:textId="5FCFBB03" w:rsidR="00F7236B" w:rsidRPr="00966B21" w:rsidRDefault="00F7236B" w:rsidP="002753DB">
      <w:pPr>
        <w:pStyle w:val="NormaleWeb"/>
        <w:spacing w:before="0" w:beforeAutospacing="0" w:after="0" w:afterAutospacing="0"/>
        <w:jc w:val="both"/>
        <w:rPr>
          <w:sz w:val="20"/>
          <w:lang w:val="en-GB"/>
        </w:rPr>
      </w:pPr>
    </w:p>
    <w:p w14:paraId="3F463D5A" w14:textId="0EBF2F91" w:rsidR="00F7236B" w:rsidRPr="00966B21" w:rsidRDefault="00F7236B" w:rsidP="002753DB">
      <w:pPr>
        <w:pStyle w:val="NormaleWeb"/>
        <w:spacing w:before="0" w:beforeAutospacing="0" w:after="0" w:afterAutospacing="0"/>
        <w:jc w:val="both"/>
        <w:rPr>
          <w:sz w:val="20"/>
          <w:lang w:val="en-GB"/>
        </w:rPr>
      </w:pPr>
    </w:p>
    <w:p w14:paraId="244E2D6D" w14:textId="77777777" w:rsidR="004941B1" w:rsidRPr="00966B21" w:rsidRDefault="004941B1" w:rsidP="004941B1">
      <w:pPr>
        <w:rPr>
          <w:rFonts w:ascii="Times New Roman" w:hAnsi="Times New Roman" w:cs="Times New Roman"/>
          <w:sz w:val="24"/>
          <w:szCs w:val="24"/>
          <w:lang w:val="en-US"/>
        </w:rPr>
      </w:pPr>
      <w:r w:rsidRPr="00966B21">
        <w:rPr>
          <w:rFonts w:ascii="Times New Roman" w:hAnsi="Times New Roman" w:cs="Times New Roman"/>
          <w:sz w:val="24"/>
          <w:szCs w:val="24"/>
          <w:lang w:val="en-US"/>
        </w:rPr>
        <w:lastRenderedPageBreak/>
        <w:t>Table 2. Results for total carotenoid content (TCC) and individual percentages of recovery for β-carotene and lutein.</w:t>
      </w:r>
    </w:p>
    <w:tbl>
      <w:tblPr>
        <w:tblStyle w:val="Grigliatabella"/>
        <w:tblW w:w="90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29"/>
        <w:gridCol w:w="2694"/>
        <w:gridCol w:w="2976"/>
        <w:gridCol w:w="2268"/>
      </w:tblGrid>
      <w:tr w:rsidR="004941B1" w:rsidRPr="00966B21" w14:paraId="663E7D6C" w14:textId="77777777" w:rsidTr="00A94237">
        <w:trPr>
          <w:jc w:val="center"/>
        </w:trPr>
        <w:tc>
          <w:tcPr>
            <w:tcW w:w="1129" w:type="dxa"/>
            <w:tcBorders>
              <w:top w:val="single" w:sz="4" w:space="0" w:color="auto"/>
              <w:bottom w:val="single" w:sz="4" w:space="0" w:color="auto"/>
            </w:tcBorders>
          </w:tcPr>
          <w:p w14:paraId="663162AC"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Extract</w:t>
            </w:r>
          </w:p>
        </w:tc>
        <w:tc>
          <w:tcPr>
            <w:tcW w:w="2694" w:type="dxa"/>
            <w:tcBorders>
              <w:top w:val="single" w:sz="4" w:space="0" w:color="auto"/>
              <w:bottom w:val="single" w:sz="4" w:space="0" w:color="auto"/>
            </w:tcBorders>
          </w:tcPr>
          <w:p w14:paraId="0FA3438B"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 xml:space="preserve">TCC </w:t>
            </w:r>
          </w:p>
          <w:p w14:paraId="0562E3EC"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(µg β-carotene / mg DW)</w:t>
            </w:r>
          </w:p>
        </w:tc>
        <w:tc>
          <w:tcPr>
            <w:tcW w:w="2976" w:type="dxa"/>
            <w:tcBorders>
              <w:top w:val="single" w:sz="4" w:space="0" w:color="auto"/>
              <w:bottom w:val="single" w:sz="4" w:space="0" w:color="auto"/>
            </w:tcBorders>
          </w:tcPr>
          <w:p w14:paraId="3DCE7F98"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 of recovery</w:t>
            </w:r>
          </w:p>
          <w:p w14:paraId="3601C02A"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 xml:space="preserve"> β-carotene*</w:t>
            </w:r>
          </w:p>
        </w:tc>
        <w:tc>
          <w:tcPr>
            <w:tcW w:w="2268" w:type="dxa"/>
            <w:tcBorders>
              <w:top w:val="single" w:sz="4" w:space="0" w:color="auto"/>
              <w:bottom w:val="single" w:sz="4" w:space="0" w:color="auto"/>
            </w:tcBorders>
          </w:tcPr>
          <w:p w14:paraId="7C35CBD8"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 xml:space="preserve">% recovery </w:t>
            </w:r>
          </w:p>
          <w:p w14:paraId="36DA0D56"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lutein*</w:t>
            </w:r>
          </w:p>
        </w:tc>
      </w:tr>
      <w:tr w:rsidR="004941B1" w:rsidRPr="00966B21" w14:paraId="32580F05" w14:textId="77777777" w:rsidTr="00A94237">
        <w:trPr>
          <w:jc w:val="center"/>
        </w:trPr>
        <w:tc>
          <w:tcPr>
            <w:tcW w:w="1129" w:type="dxa"/>
            <w:tcBorders>
              <w:top w:val="single" w:sz="4" w:space="0" w:color="auto"/>
            </w:tcBorders>
          </w:tcPr>
          <w:p w14:paraId="065E88A1"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CONV</w:t>
            </w:r>
          </w:p>
        </w:tc>
        <w:tc>
          <w:tcPr>
            <w:tcW w:w="2694" w:type="dxa"/>
            <w:tcBorders>
              <w:top w:val="single" w:sz="4" w:space="0" w:color="auto"/>
            </w:tcBorders>
          </w:tcPr>
          <w:p w14:paraId="73AC4DA5"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3.73 ± 0.19</w:t>
            </w:r>
          </w:p>
        </w:tc>
        <w:tc>
          <w:tcPr>
            <w:tcW w:w="2976" w:type="dxa"/>
            <w:tcBorders>
              <w:top w:val="single" w:sz="4" w:space="0" w:color="auto"/>
            </w:tcBorders>
          </w:tcPr>
          <w:p w14:paraId="342BA5E2"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100 ± 1.10</w:t>
            </w:r>
          </w:p>
        </w:tc>
        <w:tc>
          <w:tcPr>
            <w:tcW w:w="2268" w:type="dxa"/>
            <w:tcBorders>
              <w:top w:val="single" w:sz="4" w:space="0" w:color="auto"/>
            </w:tcBorders>
          </w:tcPr>
          <w:p w14:paraId="09879B28"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100 ± 2.25</w:t>
            </w:r>
          </w:p>
        </w:tc>
      </w:tr>
      <w:tr w:rsidR="004941B1" w:rsidRPr="00966B21" w14:paraId="2DA13B5D" w14:textId="77777777" w:rsidTr="00A94237">
        <w:trPr>
          <w:jc w:val="center"/>
        </w:trPr>
        <w:tc>
          <w:tcPr>
            <w:tcW w:w="1129" w:type="dxa"/>
          </w:tcPr>
          <w:p w14:paraId="77450336" w14:textId="77777777" w:rsidR="004941B1" w:rsidRPr="00966B21" w:rsidRDefault="004941B1" w:rsidP="00A94237">
            <w:pPr>
              <w:jc w:val="center"/>
              <w:rPr>
                <w:rFonts w:ascii="Times New Roman" w:hAnsi="Times New Roman" w:cs="Times New Roman"/>
                <w:b/>
                <w:sz w:val="24"/>
                <w:szCs w:val="24"/>
                <w:lang w:val="en-US"/>
              </w:rPr>
            </w:pPr>
            <w:r w:rsidRPr="00966B21">
              <w:rPr>
                <w:rFonts w:ascii="Times New Roman" w:hAnsi="Times New Roman" w:cs="Times New Roman"/>
                <w:b/>
                <w:sz w:val="24"/>
                <w:szCs w:val="24"/>
                <w:lang w:val="en-US"/>
              </w:rPr>
              <w:t>MAO</w:t>
            </w:r>
          </w:p>
        </w:tc>
        <w:tc>
          <w:tcPr>
            <w:tcW w:w="2694" w:type="dxa"/>
          </w:tcPr>
          <w:p w14:paraId="2D992B00"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3.79 ± 0.35</w:t>
            </w:r>
          </w:p>
        </w:tc>
        <w:tc>
          <w:tcPr>
            <w:tcW w:w="2976" w:type="dxa"/>
          </w:tcPr>
          <w:p w14:paraId="6813668E"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61.40 ± 3.22</w:t>
            </w:r>
          </w:p>
        </w:tc>
        <w:tc>
          <w:tcPr>
            <w:tcW w:w="2268" w:type="dxa"/>
          </w:tcPr>
          <w:p w14:paraId="4B524155"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62.13 ± 2.20</w:t>
            </w:r>
          </w:p>
        </w:tc>
      </w:tr>
      <w:tr w:rsidR="004941B1" w:rsidRPr="00966B21" w14:paraId="35629ECE" w14:textId="77777777" w:rsidTr="00A94237">
        <w:trPr>
          <w:jc w:val="center"/>
        </w:trPr>
        <w:tc>
          <w:tcPr>
            <w:tcW w:w="1129" w:type="dxa"/>
          </w:tcPr>
          <w:p w14:paraId="1D6F1E54" w14:textId="77777777" w:rsidR="004941B1" w:rsidRPr="00966B21" w:rsidRDefault="004941B1" w:rsidP="00A94237">
            <w:pPr>
              <w:jc w:val="center"/>
              <w:rPr>
                <w:rFonts w:ascii="Times New Roman" w:hAnsi="Times New Roman" w:cs="Times New Roman"/>
                <w:b/>
                <w:sz w:val="24"/>
                <w:szCs w:val="24"/>
                <w:lang w:val="en-US"/>
              </w:rPr>
            </w:pPr>
            <w:r w:rsidRPr="00966B21">
              <w:rPr>
                <w:rFonts w:ascii="Times New Roman" w:hAnsi="Times New Roman" w:cs="Times New Roman"/>
                <w:b/>
                <w:sz w:val="24"/>
                <w:szCs w:val="24"/>
                <w:lang w:val="en-US"/>
              </w:rPr>
              <w:t>TAO</w:t>
            </w:r>
          </w:p>
        </w:tc>
        <w:tc>
          <w:tcPr>
            <w:tcW w:w="2694" w:type="dxa"/>
          </w:tcPr>
          <w:p w14:paraId="4AEB3131"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3.33 ± 0.32</w:t>
            </w:r>
          </w:p>
        </w:tc>
        <w:tc>
          <w:tcPr>
            <w:tcW w:w="2976" w:type="dxa"/>
          </w:tcPr>
          <w:p w14:paraId="3BCAF2E0"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47.39 ± 2.12</w:t>
            </w:r>
          </w:p>
        </w:tc>
        <w:tc>
          <w:tcPr>
            <w:tcW w:w="2268" w:type="dxa"/>
          </w:tcPr>
          <w:p w14:paraId="73D45F8D"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69.13 ± 3.54</w:t>
            </w:r>
          </w:p>
        </w:tc>
      </w:tr>
      <w:tr w:rsidR="004941B1" w:rsidRPr="00966B21" w14:paraId="738E9FEE" w14:textId="77777777" w:rsidTr="00A94237">
        <w:trPr>
          <w:jc w:val="center"/>
        </w:trPr>
        <w:tc>
          <w:tcPr>
            <w:tcW w:w="1129" w:type="dxa"/>
          </w:tcPr>
          <w:p w14:paraId="237324F9" w14:textId="77777777" w:rsidR="004941B1" w:rsidRPr="00966B21" w:rsidRDefault="004941B1" w:rsidP="00A94237">
            <w:pPr>
              <w:jc w:val="center"/>
              <w:rPr>
                <w:rFonts w:ascii="Times New Roman" w:hAnsi="Times New Roman" w:cs="Times New Roman"/>
                <w:b/>
                <w:sz w:val="24"/>
                <w:szCs w:val="24"/>
                <w:lang w:val="en-US"/>
              </w:rPr>
            </w:pPr>
            <w:r w:rsidRPr="00966B21">
              <w:rPr>
                <w:rFonts w:ascii="Times New Roman" w:hAnsi="Times New Roman" w:cs="Times New Roman"/>
                <w:b/>
                <w:sz w:val="24"/>
                <w:szCs w:val="24"/>
                <w:lang w:val="en-US"/>
              </w:rPr>
              <w:t>TM</w:t>
            </w:r>
          </w:p>
        </w:tc>
        <w:tc>
          <w:tcPr>
            <w:tcW w:w="2694" w:type="dxa"/>
          </w:tcPr>
          <w:p w14:paraId="135E19A9"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4.17 ± 0.14</w:t>
            </w:r>
          </w:p>
        </w:tc>
        <w:tc>
          <w:tcPr>
            <w:tcW w:w="2976" w:type="dxa"/>
          </w:tcPr>
          <w:p w14:paraId="1C0B1A86"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76.49 ± 0.98</w:t>
            </w:r>
          </w:p>
        </w:tc>
        <w:tc>
          <w:tcPr>
            <w:tcW w:w="2268" w:type="dxa"/>
          </w:tcPr>
          <w:p w14:paraId="71054E02"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80.88 ± 3.21</w:t>
            </w:r>
          </w:p>
        </w:tc>
      </w:tr>
      <w:tr w:rsidR="004941B1" w:rsidRPr="00966B21" w14:paraId="7DC646A7" w14:textId="77777777" w:rsidTr="00A94237">
        <w:trPr>
          <w:jc w:val="center"/>
        </w:trPr>
        <w:tc>
          <w:tcPr>
            <w:tcW w:w="1129" w:type="dxa"/>
          </w:tcPr>
          <w:p w14:paraId="419A5B62" w14:textId="77777777" w:rsidR="004941B1" w:rsidRPr="00966B21" w:rsidRDefault="004941B1" w:rsidP="00A94237">
            <w:pPr>
              <w:jc w:val="center"/>
              <w:rPr>
                <w:rFonts w:ascii="Times New Roman" w:hAnsi="Times New Roman" w:cs="Times New Roman"/>
                <w:b/>
                <w:sz w:val="24"/>
                <w:szCs w:val="24"/>
                <w:lang w:val="en-US"/>
              </w:rPr>
            </w:pPr>
            <w:r w:rsidRPr="00966B21">
              <w:rPr>
                <w:rFonts w:ascii="Times New Roman" w:hAnsi="Times New Roman" w:cs="Times New Roman"/>
                <w:b/>
                <w:sz w:val="24"/>
                <w:szCs w:val="24"/>
                <w:lang w:val="en-US"/>
              </w:rPr>
              <w:t>MLAC</w:t>
            </w:r>
          </w:p>
        </w:tc>
        <w:tc>
          <w:tcPr>
            <w:tcW w:w="2694" w:type="dxa"/>
          </w:tcPr>
          <w:p w14:paraId="59B0840F"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4.02 ± 0.36</w:t>
            </w:r>
          </w:p>
        </w:tc>
        <w:tc>
          <w:tcPr>
            <w:tcW w:w="2976" w:type="dxa"/>
          </w:tcPr>
          <w:p w14:paraId="63C71BE6"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115.78 ± 3.10</w:t>
            </w:r>
          </w:p>
        </w:tc>
        <w:tc>
          <w:tcPr>
            <w:tcW w:w="2268" w:type="dxa"/>
          </w:tcPr>
          <w:p w14:paraId="68862855"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55.77 ± 1.54</w:t>
            </w:r>
          </w:p>
        </w:tc>
      </w:tr>
      <w:tr w:rsidR="004941B1" w:rsidRPr="00966B21" w14:paraId="25A0E26D" w14:textId="77777777" w:rsidTr="00A94237">
        <w:trPr>
          <w:jc w:val="center"/>
        </w:trPr>
        <w:tc>
          <w:tcPr>
            <w:tcW w:w="1129" w:type="dxa"/>
          </w:tcPr>
          <w:p w14:paraId="3A916596"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TLAC</w:t>
            </w:r>
          </w:p>
        </w:tc>
        <w:tc>
          <w:tcPr>
            <w:tcW w:w="2694" w:type="dxa"/>
          </w:tcPr>
          <w:p w14:paraId="76F2FB23"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1.80 ± 0.17</w:t>
            </w:r>
          </w:p>
        </w:tc>
        <w:tc>
          <w:tcPr>
            <w:tcW w:w="2976" w:type="dxa"/>
          </w:tcPr>
          <w:p w14:paraId="62997123"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nd</w:t>
            </w:r>
          </w:p>
        </w:tc>
        <w:tc>
          <w:tcPr>
            <w:tcW w:w="2268" w:type="dxa"/>
          </w:tcPr>
          <w:p w14:paraId="33963CA2"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nd</w:t>
            </w:r>
          </w:p>
        </w:tc>
      </w:tr>
      <w:tr w:rsidR="004941B1" w:rsidRPr="00966B21" w14:paraId="73BD42AF" w14:textId="77777777" w:rsidTr="00A94237">
        <w:trPr>
          <w:jc w:val="center"/>
        </w:trPr>
        <w:tc>
          <w:tcPr>
            <w:tcW w:w="1129" w:type="dxa"/>
          </w:tcPr>
          <w:p w14:paraId="281B45B1" w14:textId="77777777" w:rsidR="004941B1" w:rsidRPr="00966B21" w:rsidRDefault="004941B1" w:rsidP="00A94237">
            <w:pPr>
              <w:jc w:val="center"/>
              <w:rPr>
                <w:rFonts w:ascii="Times New Roman" w:hAnsi="Times New Roman" w:cs="Times New Roman"/>
                <w:b/>
                <w:sz w:val="24"/>
                <w:szCs w:val="24"/>
                <w:lang w:val="en-US"/>
              </w:rPr>
            </w:pPr>
            <w:r w:rsidRPr="00966B21">
              <w:rPr>
                <w:rFonts w:ascii="Times New Roman" w:hAnsi="Times New Roman" w:cs="Times New Roman"/>
                <w:b/>
                <w:sz w:val="24"/>
                <w:szCs w:val="24"/>
                <w:lang w:val="en-US"/>
              </w:rPr>
              <w:t>MLAU</w:t>
            </w:r>
          </w:p>
        </w:tc>
        <w:tc>
          <w:tcPr>
            <w:tcW w:w="2694" w:type="dxa"/>
          </w:tcPr>
          <w:p w14:paraId="394D65D4"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4.31 ± 0.56</w:t>
            </w:r>
          </w:p>
        </w:tc>
        <w:tc>
          <w:tcPr>
            <w:tcW w:w="2976" w:type="dxa"/>
          </w:tcPr>
          <w:p w14:paraId="69483747"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84.47 ± 2.69</w:t>
            </w:r>
          </w:p>
        </w:tc>
        <w:tc>
          <w:tcPr>
            <w:tcW w:w="2268" w:type="dxa"/>
          </w:tcPr>
          <w:p w14:paraId="127D80A7"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90.81 ± 4.33</w:t>
            </w:r>
          </w:p>
        </w:tc>
      </w:tr>
      <w:tr w:rsidR="004941B1" w:rsidRPr="00966B21" w14:paraId="21EDC098" w14:textId="77777777" w:rsidTr="00A94237">
        <w:trPr>
          <w:jc w:val="center"/>
        </w:trPr>
        <w:tc>
          <w:tcPr>
            <w:tcW w:w="1129" w:type="dxa"/>
          </w:tcPr>
          <w:p w14:paraId="3EB4205F"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TLAU</w:t>
            </w:r>
          </w:p>
        </w:tc>
        <w:tc>
          <w:tcPr>
            <w:tcW w:w="2694" w:type="dxa"/>
          </w:tcPr>
          <w:p w14:paraId="1F4AAC76"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4.22 ± 0.38</w:t>
            </w:r>
          </w:p>
        </w:tc>
        <w:tc>
          <w:tcPr>
            <w:tcW w:w="2976" w:type="dxa"/>
          </w:tcPr>
          <w:p w14:paraId="0EC6FD71"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61.89 ± 3.33</w:t>
            </w:r>
          </w:p>
        </w:tc>
        <w:tc>
          <w:tcPr>
            <w:tcW w:w="2268" w:type="dxa"/>
          </w:tcPr>
          <w:p w14:paraId="02F591F9"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79.34 ± 2.41</w:t>
            </w:r>
          </w:p>
        </w:tc>
      </w:tr>
      <w:tr w:rsidR="004941B1" w:rsidRPr="00966B21" w14:paraId="55CB1409" w14:textId="77777777" w:rsidTr="00A94237">
        <w:trPr>
          <w:jc w:val="center"/>
        </w:trPr>
        <w:tc>
          <w:tcPr>
            <w:tcW w:w="1129" w:type="dxa"/>
          </w:tcPr>
          <w:p w14:paraId="39025778" w14:textId="77777777" w:rsidR="004941B1" w:rsidRPr="00966B21" w:rsidRDefault="004941B1" w:rsidP="00A94237">
            <w:pPr>
              <w:jc w:val="center"/>
              <w:rPr>
                <w:rFonts w:ascii="Times New Roman" w:hAnsi="Times New Roman" w:cs="Times New Roman"/>
                <w:b/>
                <w:sz w:val="24"/>
                <w:szCs w:val="24"/>
                <w:lang w:val="en-US"/>
              </w:rPr>
            </w:pPr>
            <w:r w:rsidRPr="00966B21">
              <w:rPr>
                <w:rFonts w:ascii="Times New Roman" w:hAnsi="Times New Roman" w:cs="Times New Roman"/>
                <w:b/>
                <w:sz w:val="24"/>
                <w:szCs w:val="24"/>
                <w:lang w:val="en-US"/>
              </w:rPr>
              <w:t>MLEV</w:t>
            </w:r>
          </w:p>
        </w:tc>
        <w:tc>
          <w:tcPr>
            <w:tcW w:w="2694" w:type="dxa"/>
          </w:tcPr>
          <w:p w14:paraId="29E275AE"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3.99 ± 0.25</w:t>
            </w:r>
          </w:p>
        </w:tc>
        <w:tc>
          <w:tcPr>
            <w:tcW w:w="2976" w:type="dxa"/>
          </w:tcPr>
          <w:p w14:paraId="6FC95AF1"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74.97 ± 1.87</w:t>
            </w:r>
          </w:p>
        </w:tc>
        <w:tc>
          <w:tcPr>
            <w:tcW w:w="2268" w:type="dxa"/>
          </w:tcPr>
          <w:p w14:paraId="1AB2BB60"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90.17 ± 1.58</w:t>
            </w:r>
          </w:p>
        </w:tc>
      </w:tr>
      <w:tr w:rsidR="004941B1" w:rsidRPr="00966B21" w14:paraId="3BFBA4E1" w14:textId="77777777" w:rsidTr="00A94237">
        <w:trPr>
          <w:jc w:val="center"/>
        </w:trPr>
        <w:tc>
          <w:tcPr>
            <w:tcW w:w="1129" w:type="dxa"/>
            <w:tcBorders>
              <w:bottom w:val="single" w:sz="4" w:space="0" w:color="auto"/>
            </w:tcBorders>
          </w:tcPr>
          <w:p w14:paraId="6ACC8604"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TLEV</w:t>
            </w:r>
          </w:p>
        </w:tc>
        <w:tc>
          <w:tcPr>
            <w:tcW w:w="2694" w:type="dxa"/>
            <w:tcBorders>
              <w:bottom w:val="single" w:sz="4" w:space="0" w:color="auto"/>
            </w:tcBorders>
          </w:tcPr>
          <w:p w14:paraId="433E451C"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4.71 ± 0.14</w:t>
            </w:r>
          </w:p>
        </w:tc>
        <w:tc>
          <w:tcPr>
            <w:tcW w:w="2976" w:type="dxa"/>
            <w:tcBorders>
              <w:bottom w:val="single" w:sz="4" w:space="0" w:color="auto"/>
            </w:tcBorders>
          </w:tcPr>
          <w:p w14:paraId="46EE0E2D"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74.07 ± 2.66</w:t>
            </w:r>
          </w:p>
        </w:tc>
        <w:tc>
          <w:tcPr>
            <w:tcW w:w="2268" w:type="dxa"/>
            <w:tcBorders>
              <w:bottom w:val="single" w:sz="4" w:space="0" w:color="auto"/>
            </w:tcBorders>
          </w:tcPr>
          <w:p w14:paraId="35A2A75F" w14:textId="77777777" w:rsidR="004941B1" w:rsidRPr="00966B21" w:rsidRDefault="004941B1" w:rsidP="00A94237">
            <w:pPr>
              <w:jc w:val="center"/>
              <w:rPr>
                <w:rFonts w:ascii="Times New Roman" w:hAnsi="Times New Roman" w:cs="Times New Roman"/>
                <w:sz w:val="24"/>
                <w:szCs w:val="24"/>
                <w:lang w:val="en-US"/>
              </w:rPr>
            </w:pPr>
            <w:r w:rsidRPr="00966B21">
              <w:rPr>
                <w:rFonts w:ascii="Times New Roman" w:hAnsi="Times New Roman" w:cs="Times New Roman"/>
                <w:sz w:val="24"/>
                <w:szCs w:val="24"/>
                <w:lang w:val="en-US"/>
              </w:rPr>
              <w:t>78.38 ± 0.99</w:t>
            </w:r>
          </w:p>
        </w:tc>
      </w:tr>
    </w:tbl>
    <w:p w14:paraId="3FF11C83" w14:textId="77777777" w:rsidR="004941B1" w:rsidRPr="00966B21" w:rsidRDefault="004941B1" w:rsidP="004941B1">
      <w:pPr>
        <w:spacing w:after="0" w:line="240" w:lineRule="auto"/>
        <w:rPr>
          <w:rFonts w:ascii="Times New Roman" w:hAnsi="Times New Roman" w:cs="Times New Roman"/>
          <w:sz w:val="24"/>
          <w:szCs w:val="24"/>
          <w:lang w:val="en-US"/>
        </w:rPr>
      </w:pPr>
      <w:r w:rsidRPr="00966B21">
        <w:rPr>
          <w:rFonts w:ascii="Times New Roman" w:hAnsi="Times New Roman" w:cs="Times New Roman"/>
          <w:sz w:val="24"/>
          <w:szCs w:val="24"/>
          <w:lang w:val="en-US"/>
        </w:rPr>
        <w:t>*compared to conventional solvent extraction</w:t>
      </w:r>
    </w:p>
    <w:p w14:paraId="1FDFA017" w14:textId="77777777" w:rsidR="004941B1" w:rsidRPr="00966B21" w:rsidRDefault="004941B1" w:rsidP="004941B1">
      <w:pPr>
        <w:spacing w:after="0" w:line="240" w:lineRule="auto"/>
        <w:rPr>
          <w:rFonts w:ascii="Times New Roman" w:hAnsi="Times New Roman" w:cs="Times New Roman"/>
          <w:sz w:val="24"/>
          <w:szCs w:val="24"/>
          <w:lang w:val="en-US"/>
        </w:rPr>
      </w:pPr>
      <w:r w:rsidRPr="00966B21">
        <w:rPr>
          <w:rFonts w:ascii="Times New Roman" w:hAnsi="Times New Roman" w:cs="Times New Roman"/>
          <w:sz w:val="24"/>
          <w:szCs w:val="24"/>
          <w:lang w:val="en-US"/>
        </w:rPr>
        <w:t>nd: not detected</w:t>
      </w:r>
    </w:p>
    <w:p w14:paraId="610D454E" w14:textId="77777777" w:rsidR="004941B1" w:rsidRPr="00966B21" w:rsidRDefault="004941B1" w:rsidP="004941B1">
      <w:pPr>
        <w:rPr>
          <w:rFonts w:ascii="Times New Roman" w:hAnsi="Times New Roman" w:cs="Times New Roman"/>
          <w:lang w:val="en-US"/>
        </w:rPr>
      </w:pPr>
      <w:r w:rsidRPr="00966B21">
        <w:rPr>
          <w:rFonts w:ascii="Times New Roman" w:hAnsi="Times New Roman" w:cs="Times New Roman"/>
          <w:b/>
          <w:lang w:val="en-US"/>
        </w:rPr>
        <w:t>In bold:</w:t>
      </w:r>
      <w:r w:rsidRPr="00966B21">
        <w:rPr>
          <w:rFonts w:ascii="Times New Roman" w:hAnsi="Times New Roman" w:cs="Times New Roman"/>
          <w:lang w:val="en-US"/>
        </w:rPr>
        <w:t xml:space="preserve"> Hydrophobic Eutectic Solvents characterized as Hydrophobic Deep Eutectic Solvents (HDES)</w:t>
      </w:r>
    </w:p>
    <w:p w14:paraId="5528AEF4" w14:textId="77777777" w:rsidR="004941B1" w:rsidRPr="00966B21" w:rsidRDefault="004941B1" w:rsidP="004941B1">
      <w:pPr>
        <w:rPr>
          <w:rFonts w:ascii="Times New Roman" w:hAnsi="Times New Roman" w:cs="Times New Roman"/>
          <w:sz w:val="24"/>
          <w:szCs w:val="24"/>
          <w:lang w:val="en-US"/>
        </w:rPr>
      </w:pPr>
    </w:p>
    <w:p w14:paraId="6D22FB1B" w14:textId="7340A26C" w:rsidR="00F7236B" w:rsidRPr="00966B21" w:rsidRDefault="00F7236B" w:rsidP="002753DB">
      <w:pPr>
        <w:pStyle w:val="NormaleWeb"/>
        <w:spacing w:before="0" w:beforeAutospacing="0" w:after="0" w:afterAutospacing="0"/>
        <w:jc w:val="both"/>
        <w:rPr>
          <w:sz w:val="20"/>
          <w:lang w:val="en-US"/>
        </w:rPr>
      </w:pPr>
    </w:p>
    <w:p w14:paraId="11A40146" w14:textId="3CFE23A1" w:rsidR="00F7236B" w:rsidRPr="00966B21" w:rsidRDefault="00F7236B" w:rsidP="002753DB">
      <w:pPr>
        <w:pStyle w:val="NormaleWeb"/>
        <w:spacing w:before="0" w:beforeAutospacing="0" w:after="0" w:afterAutospacing="0"/>
        <w:jc w:val="both"/>
        <w:rPr>
          <w:sz w:val="20"/>
          <w:lang w:val="en-GB"/>
        </w:rPr>
      </w:pPr>
    </w:p>
    <w:p w14:paraId="2648AF9D" w14:textId="77777777" w:rsidR="004941B1" w:rsidRPr="00966B21" w:rsidRDefault="004941B1" w:rsidP="00F7236B">
      <w:pPr>
        <w:pStyle w:val="NormaleWeb"/>
        <w:spacing w:before="0" w:beforeAutospacing="0" w:after="0" w:afterAutospacing="0"/>
        <w:jc w:val="both"/>
        <w:rPr>
          <w:lang w:val="en-GB"/>
        </w:rPr>
      </w:pPr>
    </w:p>
    <w:p w14:paraId="186A3ACF" w14:textId="77777777" w:rsidR="004941B1" w:rsidRPr="00966B21" w:rsidRDefault="004941B1" w:rsidP="00F7236B">
      <w:pPr>
        <w:pStyle w:val="NormaleWeb"/>
        <w:spacing w:before="0" w:beforeAutospacing="0" w:after="0" w:afterAutospacing="0"/>
        <w:jc w:val="both"/>
        <w:rPr>
          <w:lang w:val="en-GB"/>
        </w:rPr>
      </w:pPr>
    </w:p>
    <w:p w14:paraId="481D7F9B" w14:textId="77777777" w:rsidR="004941B1" w:rsidRPr="00966B21" w:rsidRDefault="004941B1" w:rsidP="00F7236B">
      <w:pPr>
        <w:pStyle w:val="NormaleWeb"/>
        <w:spacing w:before="0" w:beforeAutospacing="0" w:after="0" w:afterAutospacing="0"/>
        <w:jc w:val="both"/>
        <w:rPr>
          <w:lang w:val="en-GB"/>
        </w:rPr>
      </w:pPr>
    </w:p>
    <w:p w14:paraId="3A0A4B58" w14:textId="77777777" w:rsidR="004941B1" w:rsidRPr="00966B21" w:rsidRDefault="004941B1" w:rsidP="00F7236B">
      <w:pPr>
        <w:pStyle w:val="NormaleWeb"/>
        <w:spacing w:before="0" w:beforeAutospacing="0" w:after="0" w:afterAutospacing="0"/>
        <w:jc w:val="both"/>
        <w:rPr>
          <w:lang w:val="en-GB"/>
        </w:rPr>
      </w:pPr>
    </w:p>
    <w:p w14:paraId="44101668" w14:textId="77777777" w:rsidR="004941B1" w:rsidRPr="00966B21" w:rsidRDefault="004941B1" w:rsidP="00F7236B">
      <w:pPr>
        <w:pStyle w:val="NormaleWeb"/>
        <w:spacing w:before="0" w:beforeAutospacing="0" w:after="0" w:afterAutospacing="0"/>
        <w:jc w:val="both"/>
        <w:rPr>
          <w:lang w:val="en-GB"/>
        </w:rPr>
      </w:pPr>
    </w:p>
    <w:p w14:paraId="0AC1D6C1" w14:textId="77777777" w:rsidR="004941B1" w:rsidRPr="00966B21" w:rsidRDefault="004941B1" w:rsidP="00F7236B">
      <w:pPr>
        <w:pStyle w:val="NormaleWeb"/>
        <w:spacing w:before="0" w:beforeAutospacing="0" w:after="0" w:afterAutospacing="0"/>
        <w:jc w:val="both"/>
        <w:rPr>
          <w:lang w:val="en-GB"/>
        </w:rPr>
      </w:pPr>
    </w:p>
    <w:p w14:paraId="206CADBE" w14:textId="77777777" w:rsidR="004941B1" w:rsidRPr="00966B21" w:rsidRDefault="004941B1" w:rsidP="00F7236B">
      <w:pPr>
        <w:pStyle w:val="NormaleWeb"/>
        <w:spacing w:before="0" w:beforeAutospacing="0" w:after="0" w:afterAutospacing="0"/>
        <w:jc w:val="both"/>
        <w:rPr>
          <w:lang w:val="en-GB"/>
        </w:rPr>
      </w:pPr>
    </w:p>
    <w:p w14:paraId="5D96D5D5" w14:textId="77777777" w:rsidR="004941B1" w:rsidRPr="00966B21" w:rsidRDefault="004941B1" w:rsidP="00F7236B">
      <w:pPr>
        <w:pStyle w:val="NormaleWeb"/>
        <w:spacing w:before="0" w:beforeAutospacing="0" w:after="0" w:afterAutospacing="0"/>
        <w:jc w:val="both"/>
        <w:rPr>
          <w:lang w:val="en-GB"/>
        </w:rPr>
      </w:pPr>
    </w:p>
    <w:p w14:paraId="0C78C369" w14:textId="77777777" w:rsidR="004941B1" w:rsidRPr="00966B21" w:rsidRDefault="004941B1" w:rsidP="00F7236B">
      <w:pPr>
        <w:pStyle w:val="NormaleWeb"/>
        <w:spacing w:before="0" w:beforeAutospacing="0" w:after="0" w:afterAutospacing="0"/>
        <w:jc w:val="both"/>
        <w:rPr>
          <w:lang w:val="en-GB"/>
        </w:rPr>
      </w:pPr>
    </w:p>
    <w:p w14:paraId="0EE70C7A" w14:textId="77777777" w:rsidR="004941B1" w:rsidRPr="00966B21" w:rsidRDefault="004941B1" w:rsidP="00F7236B">
      <w:pPr>
        <w:pStyle w:val="NormaleWeb"/>
        <w:spacing w:before="0" w:beforeAutospacing="0" w:after="0" w:afterAutospacing="0"/>
        <w:jc w:val="both"/>
        <w:rPr>
          <w:lang w:val="en-GB"/>
        </w:rPr>
      </w:pPr>
    </w:p>
    <w:p w14:paraId="432E3054" w14:textId="77777777" w:rsidR="004941B1" w:rsidRPr="00966B21" w:rsidRDefault="004941B1" w:rsidP="00F7236B">
      <w:pPr>
        <w:pStyle w:val="NormaleWeb"/>
        <w:spacing w:before="0" w:beforeAutospacing="0" w:after="0" w:afterAutospacing="0"/>
        <w:jc w:val="both"/>
        <w:rPr>
          <w:lang w:val="en-GB"/>
        </w:rPr>
      </w:pPr>
    </w:p>
    <w:p w14:paraId="54AA5F96" w14:textId="77777777" w:rsidR="004941B1" w:rsidRPr="00966B21" w:rsidRDefault="004941B1" w:rsidP="00F7236B">
      <w:pPr>
        <w:pStyle w:val="NormaleWeb"/>
        <w:spacing w:before="0" w:beforeAutospacing="0" w:after="0" w:afterAutospacing="0"/>
        <w:jc w:val="both"/>
        <w:rPr>
          <w:lang w:val="en-GB"/>
        </w:rPr>
      </w:pPr>
    </w:p>
    <w:p w14:paraId="27FE42F8" w14:textId="77777777" w:rsidR="004941B1" w:rsidRPr="00966B21" w:rsidRDefault="004941B1" w:rsidP="00F7236B">
      <w:pPr>
        <w:pStyle w:val="NormaleWeb"/>
        <w:spacing w:before="0" w:beforeAutospacing="0" w:after="0" w:afterAutospacing="0"/>
        <w:jc w:val="both"/>
        <w:rPr>
          <w:lang w:val="en-GB"/>
        </w:rPr>
      </w:pPr>
    </w:p>
    <w:p w14:paraId="4B1F3A67" w14:textId="77777777" w:rsidR="004941B1" w:rsidRPr="00966B21" w:rsidRDefault="004941B1" w:rsidP="00F7236B">
      <w:pPr>
        <w:pStyle w:val="NormaleWeb"/>
        <w:spacing w:before="0" w:beforeAutospacing="0" w:after="0" w:afterAutospacing="0"/>
        <w:jc w:val="both"/>
        <w:rPr>
          <w:lang w:val="en-GB"/>
        </w:rPr>
      </w:pPr>
    </w:p>
    <w:p w14:paraId="7A78ED6F" w14:textId="77777777" w:rsidR="004941B1" w:rsidRPr="00966B21" w:rsidRDefault="004941B1" w:rsidP="00F7236B">
      <w:pPr>
        <w:pStyle w:val="NormaleWeb"/>
        <w:spacing w:before="0" w:beforeAutospacing="0" w:after="0" w:afterAutospacing="0"/>
        <w:jc w:val="both"/>
        <w:rPr>
          <w:lang w:val="en-GB"/>
        </w:rPr>
      </w:pPr>
    </w:p>
    <w:p w14:paraId="1AF9B5E2" w14:textId="77777777" w:rsidR="004941B1" w:rsidRPr="00966B21" w:rsidRDefault="004941B1" w:rsidP="00F7236B">
      <w:pPr>
        <w:pStyle w:val="NormaleWeb"/>
        <w:spacing w:before="0" w:beforeAutospacing="0" w:after="0" w:afterAutospacing="0"/>
        <w:jc w:val="both"/>
        <w:rPr>
          <w:lang w:val="en-GB"/>
        </w:rPr>
      </w:pPr>
    </w:p>
    <w:p w14:paraId="6657715B" w14:textId="77777777" w:rsidR="004941B1" w:rsidRPr="00966B21" w:rsidRDefault="004941B1" w:rsidP="00F7236B">
      <w:pPr>
        <w:pStyle w:val="NormaleWeb"/>
        <w:spacing w:before="0" w:beforeAutospacing="0" w:after="0" w:afterAutospacing="0"/>
        <w:jc w:val="both"/>
        <w:rPr>
          <w:lang w:val="en-GB"/>
        </w:rPr>
      </w:pPr>
    </w:p>
    <w:p w14:paraId="53FD9081" w14:textId="77777777" w:rsidR="004941B1" w:rsidRPr="00966B21" w:rsidRDefault="004941B1" w:rsidP="00F7236B">
      <w:pPr>
        <w:pStyle w:val="NormaleWeb"/>
        <w:spacing w:before="0" w:beforeAutospacing="0" w:after="0" w:afterAutospacing="0"/>
        <w:jc w:val="both"/>
        <w:rPr>
          <w:lang w:val="en-GB"/>
        </w:rPr>
      </w:pPr>
    </w:p>
    <w:p w14:paraId="59263F9C" w14:textId="77777777" w:rsidR="004941B1" w:rsidRPr="00966B21" w:rsidRDefault="004941B1" w:rsidP="00F7236B">
      <w:pPr>
        <w:pStyle w:val="NormaleWeb"/>
        <w:spacing w:before="0" w:beforeAutospacing="0" w:after="0" w:afterAutospacing="0"/>
        <w:jc w:val="both"/>
        <w:rPr>
          <w:lang w:val="en-GB"/>
        </w:rPr>
      </w:pPr>
    </w:p>
    <w:p w14:paraId="69EAA818" w14:textId="77777777" w:rsidR="004941B1" w:rsidRPr="00966B21" w:rsidRDefault="004941B1" w:rsidP="00F7236B">
      <w:pPr>
        <w:pStyle w:val="NormaleWeb"/>
        <w:spacing w:before="0" w:beforeAutospacing="0" w:after="0" w:afterAutospacing="0"/>
        <w:jc w:val="both"/>
        <w:rPr>
          <w:lang w:val="en-GB"/>
        </w:rPr>
      </w:pPr>
    </w:p>
    <w:p w14:paraId="6DABA70A" w14:textId="77777777" w:rsidR="004941B1" w:rsidRPr="00966B21" w:rsidRDefault="004941B1" w:rsidP="00F7236B">
      <w:pPr>
        <w:pStyle w:val="NormaleWeb"/>
        <w:spacing w:before="0" w:beforeAutospacing="0" w:after="0" w:afterAutospacing="0"/>
        <w:jc w:val="both"/>
        <w:rPr>
          <w:lang w:val="en-GB"/>
        </w:rPr>
      </w:pPr>
    </w:p>
    <w:p w14:paraId="1CB18749" w14:textId="77777777" w:rsidR="004941B1" w:rsidRPr="00966B21" w:rsidRDefault="004941B1" w:rsidP="00F7236B">
      <w:pPr>
        <w:pStyle w:val="NormaleWeb"/>
        <w:spacing w:before="0" w:beforeAutospacing="0" w:after="0" w:afterAutospacing="0"/>
        <w:jc w:val="both"/>
        <w:rPr>
          <w:lang w:val="en-GB"/>
        </w:rPr>
      </w:pPr>
    </w:p>
    <w:p w14:paraId="3C567BF9" w14:textId="77777777" w:rsidR="004941B1" w:rsidRPr="00966B21" w:rsidRDefault="004941B1" w:rsidP="00F7236B">
      <w:pPr>
        <w:pStyle w:val="NormaleWeb"/>
        <w:spacing w:before="0" w:beforeAutospacing="0" w:after="0" w:afterAutospacing="0"/>
        <w:jc w:val="both"/>
        <w:rPr>
          <w:lang w:val="en-GB"/>
        </w:rPr>
      </w:pPr>
    </w:p>
    <w:p w14:paraId="59624838" w14:textId="77777777" w:rsidR="004941B1" w:rsidRPr="00966B21" w:rsidRDefault="004941B1" w:rsidP="00F7236B">
      <w:pPr>
        <w:pStyle w:val="NormaleWeb"/>
        <w:spacing w:before="0" w:beforeAutospacing="0" w:after="0" w:afterAutospacing="0"/>
        <w:jc w:val="both"/>
        <w:rPr>
          <w:lang w:val="en-GB"/>
        </w:rPr>
      </w:pPr>
    </w:p>
    <w:p w14:paraId="58BCD836" w14:textId="77777777" w:rsidR="004941B1" w:rsidRPr="00966B21" w:rsidRDefault="004941B1" w:rsidP="00F7236B">
      <w:pPr>
        <w:pStyle w:val="NormaleWeb"/>
        <w:spacing w:before="0" w:beforeAutospacing="0" w:after="0" w:afterAutospacing="0"/>
        <w:jc w:val="both"/>
        <w:rPr>
          <w:lang w:val="en-GB"/>
        </w:rPr>
      </w:pPr>
    </w:p>
    <w:p w14:paraId="52A6E2EB" w14:textId="77777777" w:rsidR="004941B1" w:rsidRPr="00966B21" w:rsidRDefault="004941B1" w:rsidP="00F7236B">
      <w:pPr>
        <w:pStyle w:val="NormaleWeb"/>
        <w:spacing w:before="0" w:beforeAutospacing="0" w:after="0" w:afterAutospacing="0"/>
        <w:jc w:val="both"/>
        <w:rPr>
          <w:lang w:val="en-GB"/>
        </w:rPr>
      </w:pPr>
    </w:p>
    <w:p w14:paraId="7BC0FB3C" w14:textId="77777777" w:rsidR="004941B1" w:rsidRPr="00966B21" w:rsidRDefault="004941B1" w:rsidP="00F7236B">
      <w:pPr>
        <w:pStyle w:val="NormaleWeb"/>
        <w:spacing w:before="0" w:beforeAutospacing="0" w:after="0" w:afterAutospacing="0"/>
        <w:jc w:val="both"/>
        <w:rPr>
          <w:lang w:val="en-GB"/>
        </w:rPr>
      </w:pPr>
    </w:p>
    <w:p w14:paraId="2DB0F341" w14:textId="16683231" w:rsidR="00F7236B" w:rsidRPr="00966B21" w:rsidRDefault="00F7236B" w:rsidP="00F7236B">
      <w:pPr>
        <w:pStyle w:val="NormaleWeb"/>
        <w:spacing w:before="0" w:beforeAutospacing="0" w:after="0" w:afterAutospacing="0"/>
        <w:jc w:val="both"/>
        <w:rPr>
          <w:lang w:val="en-GB"/>
        </w:rPr>
      </w:pPr>
      <w:r w:rsidRPr="00966B21">
        <w:rPr>
          <w:lang w:val="en-GB"/>
        </w:rPr>
        <w:lastRenderedPageBreak/>
        <w:t xml:space="preserve">Table </w:t>
      </w:r>
      <w:r w:rsidR="004941B1" w:rsidRPr="00966B21">
        <w:rPr>
          <w:lang w:val="en-GB"/>
        </w:rPr>
        <w:t>3</w:t>
      </w:r>
      <w:r w:rsidRPr="00966B21">
        <w:rPr>
          <w:lang w:val="en-GB"/>
        </w:rPr>
        <w:t>. Validation values for the proposed optimized responses</w:t>
      </w:r>
    </w:p>
    <w:p w14:paraId="7870BE3B" w14:textId="77777777" w:rsidR="00F7236B" w:rsidRPr="00966B21" w:rsidRDefault="00F7236B" w:rsidP="00F7236B">
      <w:pPr>
        <w:pStyle w:val="NormaleWeb"/>
        <w:spacing w:before="0" w:beforeAutospacing="0" w:after="0" w:afterAutospacing="0"/>
        <w:jc w:val="both"/>
        <w:rPr>
          <w:lang w:val="en-GB"/>
        </w:rPr>
      </w:pPr>
    </w:p>
    <w:tbl>
      <w:tblPr>
        <w:tblStyle w:val="Grigliatabella"/>
        <w:tblW w:w="839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185"/>
        <w:gridCol w:w="1348"/>
        <w:gridCol w:w="1275"/>
        <w:gridCol w:w="1525"/>
        <w:gridCol w:w="1417"/>
        <w:gridCol w:w="1645"/>
      </w:tblGrid>
      <w:tr w:rsidR="00F7236B" w:rsidRPr="00966B21" w14:paraId="1D997CAE" w14:textId="77777777" w:rsidTr="00B60D8F">
        <w:trPr>
          <w:trHeight w:val="257"/>
          <w:jc w:val="center"/>
        </w:trPr>
        <w:tc>
          <w:tcPr>
            <w:tcW w:w="1185" w:type="dxa"/>
            <w:tcBorders>
              <w:top w:val="single" w:sz="4" w:space="0" w:color="auto"/>
              <w:bottom w:val="single" w:sz="4" w:space="0" w:color="auto"/>
            </w:tcBorders>
          </w:tcPr>
          <w:p w14:paraId="183ED16D" w14:textId="77777777" w:rsidR="00F7236B" w:rsidRPr="00966B21" w:rsidRDefault="00F7236B" w:rsidP="00B60D8F">
            <w:pPr>
              <w:pStyle w:val="NormaleWeb"/>
              <w:spacing w:before="0" w:beforeAutospacing="0" w:after="0" w:afterAutospacing="0"/>
              <w:jc w:val="both"/>
              <w:rPr>
                <w:sz w:val="22"/>
                <w:szCs w:val="22"/>
                <w:lang w:val="en-GB"/>
              </w:rPr>
            </w:pPr>
          </w:p>
        </w:tc>
        <w:tc>
          <w:tcPr>
            <w:tcW w:w="7210" w:type="dxa"/>
            <w:gridSpan w:val="5"/>
            <w:tcBorders>
              <w:top w:val="single" w:sz="4" w:space="0" w:color="auto"/>
              <w:bottom w:val="single" w:sz="4" w:space="0" w:color="auto"/>
            </w:tcBorders>
          </w:tcPr>
          <w:p w14:paraId="3CF4FCF8" w14:textId="77777777" w:rsidR="00F7236B" w:rsidRPr="00966B21" w:rsidRDefault="00F7236B" w:rsidP="00B60D8F">
            <w:pPr>
              <w:pStyle w:val="NormaleWeb"/>
              <w:spacing w:before="0" w:beforeAutospacing="0" w:after="0" w:afterAutospacing="0"/>
              <w:jc w:val="center"/>
              <w:rPr>
                <w:sz w:val="22"/>
                <w:szCs w:val="22"/>
                <w:lang w:val="en-GB"/>
              </w:rPr>
            </w:pPr>
            <w:r w:rsidRPr="00966B21">
              <w:rPr>
                <w:sz w:val="22"/>
                <w:szCs w:val="22"/>
                <w:lang w:val="en-GB"/>
              </w:rPr>
              <w:t>TM-OPT1</w:t>
            </w:r>
          </w:p>
        </w:tc>
      </w:tr>
      <w:tr w:rsidR="00F7236B" w:rsidRPr="00966B21" w14:paraId="0EB723C7" w14:textId="77777777" w:rsidTr="00B60D8F">
        <w:trPr>
          <w:trHeight w:val="507"/>
          <w:jc w:val="center"/>
        </w:trPr>
        <w:tc>
          <w:tcPr>
            <w:tcW w:w="1185" w:type="dxa"/>
            <w:tcBorders>
              <w:top w:val="single" w:sz="4" w:space="0" w:color="auto"/>
              <w:bottom w:val="single" w:sz="4" w:space="0" w:color="auto"/>
            </w:tcBorders>
          </w:tcPr>
          <w:p w14:paraId="2450D6BC" w14:textId="77777777" w:rsidR="00F7236B" w:rsidRPr="00966B21" w:rsidRDefault="00F7236B" w:rsidP="00B60D8F">
            <w:pPr>
              <w:pStyle w:val="NormaleWeb"/>
              <w:spacing w:before="0" w:beforeAutospacing="0" w:after="0" w:afterAutospacing="0"/>
              <w:jc w:val="center"/>
              <w:rPr>
                <w:sz w:val="22"/>
                <w:szCs w:val="22"/>
              </w:rPr>
            </w:pPr>
            <w:r w:rsidRPr="00966B21">
              <w:rPr>
                <w:color w:val="000000"/>
                <w:kern w:val="24"/>
                <w:sz w:val="22"/>
                <w:szCs w:val="22"/>
                <w:lang w:val="en-US"/>
              </w:rPr>
              <w:t>Response</w:t>
            </w:r>
          </w:p>
        </w:tc>
        <w:tc>
          <w:tcPr>
            <w:tcW w:w="1348" w:type="dxa"/>
            <w:tcBorders>
              <w:top w:val="single" w:sz="4" w:space="0" w:color="auto"/>
              <w:bottom w:val="single" w:sz="4" w:space="0" w:color="auto"/>
            </w:tcBorders>
          </w:tcPr>
          <w:p w14:paraId="4C4AB4A0" w14:textId="77777777" w:rsidR="00F7236B" w:rsidRPr="00966B21" w:rsidRDefault="00F7236B" w:rsidP="00B60D8F">
            <w:pPr>
              <w:pStyle w:val="NormaleWeb"/>
              <w:spacing w:before="0" w:beforeAutospacing="0" w:after="0" w:afterAutospacing="0"/>
              <w:jc w:val="center"/>
              <w:rPr>
                <w:sz w:val="22"/>
                <w:szCs w:val="22"/>
              </w:rPr>
            </w:pPr>
            <w:r w:rsidRPr="00966B21">
              <w:rPr>
                <w:color w:val="000000"/>
                <w:kern w:val="24"/>
                <w:sz w:val="22"/>
                <w:szCs w:val="22"/>
                <w:lang w:val="en-US"/>
              </w:rPr>
              <w:t xml:space="preserve">Prediction </w:t>
            </w:r>
          </w:p>
        </w:tc>
        <w:tc>
          <w:tcPr>
            <w:tcW w:w="1275" w:type="dxa"/>
            <w:tcBorders>
              <w:top w:val="single" w:sz="4" w:space="0" w:color="auto"/>
              <w:bottom w:val="single" w:sz="4" w:space="0" w:color="auto"/>
            </w:tcBorders>
          </w:tcPr>
          <w:p w14:paraId="69003F28" w14:textId="77777777" w:rsidR="00F7236B" w:rsidRPr="00966B21" w:rsidRDefault="00F7236B" w:rsidP="00B60D8F">
            <w:pPr>
              <w:pStyle w:val="NormaleWeb"/>
              <w:spacing w:before="0" w:beforeAutospacing="0" w:after="0" w:afterAutospacing="0"/>
              <w:jc w:val="center"/>
              <w:rPr>
                <w:sz w:val="22"/>
                <w:szCs w:val="22"/>
              </w:rPr>
            </w:pPr>
            <w:r w:rsidRPr="00966B21">
              <w:rPr>
                <w:color w:val="000000"/>
                <w:kern w:val="24"/>
                <w:sz w:val="22"/>
                <w:szCs w:val="22"/>
                <w:lang w:val="en-US"/>
              </w:rPr>
              <w:t xml:space="preserve">SE Mean </w:t>
            </w:r>
          </w:p>
        </w:tc>
        <w:tc>
          <w:tcPr>
            <w:tcW w:w="1525" w:type="dxa"/>
            <w:tcBorders>
              <w:top w:val="single" w:sz="4" w:space="0" w:color="auto"/>
              <w:bottom w:val="single" w:sz="4" w:space="0" w:color="auto"/>
            </w:tcBorders>
          </w:tcPr>
          <w:p w14:paraId="4983C3FD" w14:textId="77777777" w:rsidR="00F7236B" w:rsidRPr="00966B21" w:rsidRDefault="00F7236B" w:rsidP="00B60D8F">
            <w:pPr>
              <w:pStyle w:val="NormaleWeb"/>
              <w:spacing w:before="0" w:beforeAutospacing="0" w:after="0" w:afterAutospacing="0"/>
              <w:jc w:val="center"/>
              <w:rPr>
                <w:sz w:val="22"/>
                <w:szCs w:val="22"/>
              </w:rPr>
            </w:pPr>
            <w:r w:rsidRPr="00966B21">
              <w:rPr>
                <w:color w:val="000000"/>
                <w:kern w:val="24"/>
                <w:sz w:val="22"/>
                <w:szCs w:val="22"/>
                <w:lang w:val="en-US"/>
              </w:rPr>
              <w:t xml:space="preserve">95% CI low </w:t>
            </w:r>
          </w:p>
        </w:tc>
        <w:tc>
          <w:tcPr>
            <w:tcW w:w="1417" w:type="dxa"/>
            <w:tcBorders>
              <w:top w:val="single" w:sz="4" w:space="0" w:color="auto"/>
              <w:bottom w:val="single" w:sz="4" w:space="0" w:color="auto"/>
            </w:tcBorders>
          </w:tcPr>
          <w:p w14:paraId="5F028E4F" w14:textId="77777777" w:rsidR="00F7236B" w:rsidRPr="00966B21" w:rsidRDefault="00F7236B" w:rsidP="00B60D8F">
            <w:pPr>
              <w:pStyle w:val="NormaleWeb"/>
              <w:spacing w:before="0" w:beforeAutospacing="0" w:after="0" w:afterAutospacing="0"/>
              <w:jc w:val="center"/>
              <w:rPr>
                <w:sz w:val="22"/>
                <w:szCs w:val="22"/>
              </w:rPr>
            </w:pPr>
            <w:r w:rsidRPr="00966B21">
              <w:rPr>
                <w:color w:val="000000"/>
                <w:kern w:val="24"/>
                <w:sz w:val="22"/>
                <w:szCs w:val="22"/>
                <w:lang w:val="en-US"/>
              </w:rPr>
              <w:t>Experimental</w:t>
            </w:r>
          </w:p>
        </w:tc>
        <w:tc>
          <w:tcPr>
            <w:tcW w:w="1645" w:type="dxa"/>
            <w:tcBorders>
              <w:top w:val="single" w:sz="4" w:space="0" w:color="auto"/>
              <w:bottom w:val="single" w:sz="4" w:space="0" w:color="auto"/>
            </w:tcBorders>
          </w:tcPr>
          <w:p w14:paraId="001A5EE5" w14:textId="77777777" w:rsidR="00F7236B" w:rsidRPr="00966B21" w:rsidRDefault="00F7236B" w:rsidP="00B60D8F">
            <w:pPr>
              <w:pStyle w:val="NormaleWeb"/>
              <w:spacing w:before="0" w:beforeAutospacing="0" w:after="0" w:afterAutospacing="0"/>
              <w:jc w:val="center"/>
              <w:rPr>
                <w:sz w:val="22"/>
                <w:szCs w:val="22"/>
              </w:rPr>
            </w:pPr>
            <w:r w:rsidRPr="00966B21">
              <w:rPr>
                <w:color w:val="000000"/>
                <w:kern w:val="24"/>
                <w:sz w:val="22"/>
                <w:szCs w:val="22"/>
                <w:lang w:val="en-US"/>
              </w:rPr>
              <w:t>95% CI high</w:t>
            </w:r>
          </w:p>
        </w:tc>
      </w:tr>
      <w:tr w:rsidR="00F7236B" w:rsidRPr="00966B21" w14:paraId="104020AA" w14:textId="77777777" w:rsidTr="00B60D8F">
        <w:trPr>
          <w:trHeight w:val="257"/>
          <w:jc w:val="center"/>
        </w:trPr>
        <w:tc>
          <w:tcPr>
            <w:tcW w:w="1185" w:type="dxa"/>
            <w:tcBorders>
              <w:top w:val="single" w:sz="4" w:space="0" w:color="auto"/>
            </w:tcBorders>
          </w:tcPr>
          <w:p w14:paraId="22E43FB2" w14:textId="77777777" w:rsidR="00F7236B" w:rsidRPr="00966B21" w:rsidRDefault="00F7236B" w:rsidP="00B60D8F">
            <w:pPr>
              <w:pStyle w:val="NormaleWeb"/>
              <w:spacing w:before="0" w:beforeAutospacing="0" w:after="0" w:afterAutospacing="0"/>
              <w:jc w:val="center"/>
              <w:rPr>
                <w:sz w:val="22"/>
                <w:szCs w:val="22"/>
              </w:rPr>
            </w:pPr>
            <w:r w:rsidRPr="00966B21">
              <w:rPr>
                <w:color w:val="000000"/>
                <w:kern w:val="24"/>
                <w:sz w:val="22"/>
                <w:szCs w:val="22"/>
                <w:lang w:val="en-US"/>
              </w:rPr>
              <w:t>TCC</w:t>
            </w:r>
          </w:p>
        </w:tc>
        <w:tc>
          <w:tcPr>
            <w:tcW w:w="1348" w:type="dxa"/>
            <w:tcBorders>
              <w:top w:val="single" w:sz="4" w:space="0" w:color="auto"/>
            </w:tcBorders>
          </w:tcPr>
          <w:p w14:paraId="296C4C90" w14:textId="77777777" w:rsidR="00F7236B" w:rsidRPr="00966B21" w:rsidRDefault="00F7236B" w:rsidP="00B60D8F">
            <w:pPr>
              <w:pStyle w:val="NormaleWeb"/>
              <w:spacing w:before="0" w:beforeAutospacing="0" w:after="0" w:afterAutospacing="0"/>
              <w:jc w:val="center"/>
              <w:rPr>
                <w:sz w:val="22"/>
                <w:szCs w:val="22"/>
              </w:rPr>
            </w:pPr>
            <w:r w:rsidRPr="00966B21">
              <w:rPr>
                <w:color w:val="000000"/>
                <w:kern w:val="24"/>
                <w:sz w:val="22"/>
                <w:szCs w:val="22"/>
                <w:lang w:val="en-US"/>
              </w:rPr>
              <w:t xml:space="preserve">3.64 </w:t>
            </w:r>
          </w:p>
        </w:tc>
        <w:tc>
          <w:tcPr>
            <w:tcW w:w="1275" w:type="dxa"/>
            <w:tcBorders>
              <w:top w:val="single" w:sz="4" w:space="0" w:color="auto"/>
            </w:tcBorders>
          </w:tcPr>
          <w:p w14:paraId="3AC20582" w14:textId="77777777" w:rsidR="00F7236B" w:rsidRPr="00966B21" w:rsidRDefault="00F7236B" w:rsidP="00B60D8F">
            <w:pPr>
              <w:pStyle w:val="NormaleWeb"/>
              <w:spacing w:before="0" w:beforeAutospacing="0" w:after="0" w:afterAutospacing="0"/>
              <w:jc w:val="center"/>
              <w:rPr>
                <w:sz w:val="22"/>
                <w:szCs w:val="22"/>
              </w:rPr>
            </w:pPr>
            <w:r w:rsidRPr="00966B21">
              <w:rPr>
                <w:color w:val="000000"/>
                <w:kern w:val="24"/>
                <w:sz w:val="22"/>
                <w:szCs w:val="22"/>
                <w:lang w:val="en-US"/>
              </w:rPr>
              <w:t xml:space="preserve">0.15 </w:t>
            </w:r>
          </w:p>
        </w:tc>
        <w:tc>
          <w:tcPr>
            <w:tcW w:w="1525" w:type="dxa"/>
            <w:tcBorders>
              <w:top w:val="single" w:sz="4" w:space="0" w:color="auto"/>
            </w:tcBorders>
          </w:tcPr>
          <w:p w14:paraId="405A13DC" w14:textId="77777777" w:rsidR="00F7236B" w:rsidRPr="00966B21" w:rsidRDefault="00F7236B" w:rsidP="00B60D8F">
            <w:pPr>
              <w:pStyle w:val="NormaleWeb"/>
              <w:spacing w:before="0" w:beforeAutospacing="0" w:after="0" w:afterAutospacing="0"/>
              <w:jc w:val="center"/>
              <w:rPr>
                <w:sz w:val="22"/>
                <w:szCs w:val="22"/>
              </w:rPr>
            </w:pPr>
            <w:r w:rsidRPr="00966B21">
              <w:rPr>
                <w:color w:val="000000"/>
                <w:kern w:val="24"/>
                <w:sz w:val="22"/>
                <w:szCs w:val="22"/>
                <w:lang w:val="en-US"/>
              </w:rPr>
              <w:t xml:space="preserve">3.30 </w:t>
            </w:r>
          </w:p>
        </w:tc>
        <w:tc>
          <w:tcPr>
            <w:tcW w:w="1417" w:type="dxa"/>
            <w:tcBorders>
              <w:top w:val="single" w:sz="4" w:space="0" w:color="auto"/>
            </w:tcBorders>
          </w:tcPr>
          <w:p w14:paraId="5AB8AB46" w14:textId="77777777" w:rsidR="00F7236B" w:rsidRPr="00966B21" w:rsidRDefault="00F7236B" w:rsidP="00B60D8F">
            <w:pPr>
              <w:pStyle w:val="NormaleWeb"/>
              <w:spacing w:before="0" w:beforeAutospacing="0" w:after="0" w:afterAutospacing="0"/>
              <w:jc w:val="center"/>
              <w:rPr>
                <w:sz w:val="22"/>
                <w:szCs w:val="22"/>
              </w:rPr>
            </w:pPr>
            <w:r w:rsidRPr="00966B21">
              <w:rPr>
                <w:color w:val="000000"/>
                <w:kern w:val="24"/>
                <w:sz w:val="22"/>
                <w:szCs w:val="22"/>
                <w:lang w:val="en-US"/>
              </w:rPr>
              <w:t xml:space="preserve">3.58 ± 0.28 </w:t>
            </w:r>
          </w:p>
        </w:tc>
        <w:tc>
          <w:tcPr>
            <w:tcW w:w="1645" w:type="dxa"/>
            <w:tcBorders>
              <w:top w:val="single" w:sz="4" w:space="0" w:color="auto"/>
            </w:tcBorders>
          </w:tcPr>
          <w:p w14:paraId="798F79CA" w14:textId="77777777" w:rsidR="00F7236B" w:rsidRPr="00966B21" w:rsidRDefault="00F7236B" w:rsidP="00B60D8F">
            <w:pPr>
              <w:pStyle w:val="NormaleWeb"/>
              <w:spacing w:before="0" w:beforeAutospacing="0" w:after="0" w:afterAutospacing="0"/>
              <w:jc w:val="center"/>
              <w:rPr>
                <w:sz w:val="22"/>
                <w:szCs w:val="22"/>
              </w:rPr>
            </w:pPr>
            <w:r w:rsidRPr="00966B21">
              <w:rPr>
                <w:color w:val="000000"/>
                <w:kern w:val="24"/>
                <w:sz w:val="22"/>
                <w:szCs w:val="22"/>
                <w:lang w:val="en-US"/>
              </w:rPr>
              <w:t xml:space="preserve">4.01 </w:t>
            </w:r>
          </w:p>
        </w:tc>
      </w:tr>
      <w:tr w:rsidR="00F7236B" w:rsidRPr="00966B21" w14:paraId="1FF79444" w14:textId="77777777" w:rsidTr="00B60D8F">
        <w:trPr>
          <w:trHeight w:val="257"/>
          <w:jc w:val="center"/>
        </w:trPr>
        <w:tc>
          <w:tcPr>
            <w:tcW w:w="1185" w:type="dxa"/>
            <w:tcBorders>
              <w:bottom w:val="single" w:sz="4" w:space="0" w:color="auto"/>
            </w:tcBorders>
          </w:tcPr>
          <w:p w14:paraId="0731CAFD" w14:textId="77777777" w:rsidR="00F7236B" w:rsidRPr="00966B21" w:rsidRDefault="00F7236B" w:rsidP="00B60D8F">
            <w:pPr>
              <w:pStyle w:val="NormaleWeb"/>
              <w:spacing w:before="0" w:beforeAutospacing="0" w:after="0" w:afterAutospacing="0"/>
              <w:jc w:val="center"/>
              <w:rPr>
                <w:sz w:val="22"/>
                <w:szCs w:val="22"/>
                <w:lang w:val="en-GB"/>
              </w:rPr>
            </w:pPr>
          </w:p>
        </w:tc>
        <w:tc>
          <w:tcPr>
            <w:tcW w:w="7210" w:type="dxa"/>
            <w:gridSpan w:val="5"/>
            <w:tcBorders>
              <w:bottom w:val="single" w:sz="4" w:space="0" w:color="auto"/>
            </w:tcBorders>
          </w:tcPr>
          <w:p w14:paraId="1C450C5A" w14:textId="77777777" w:rsidR="00F7236B" w:rsidRPr="00966B21" w:rsidRDefault="00F7236B" w:rsidP="00B60D8F">
            <w:pPr>
              <w:pStyle w:val="NormaleWeb"/>
              <w:spacing w:before="0" w:beforeAutospacing="0" w:after="0" w:afterAutospacing="0"/>
              <w:jc w:val="center"/>
              <w:rPr>
                <w:sz w:val="22"/>
                <w:szCs w:val="22"/>
                <w:lang w:val="en-GB"/>
              </w:rPr>
            </w:pPr>
          </w:p>
        </w:tc>
      </w:tr>
      <w:tr w:rsidR="00F7236B" w:rsidRPr="00966B21" w14:paraId="57FB2E6F" w14:textId="77777777" w:rsidTr="00B60D8F">
        <w:trPr>
          <w:trHeight w:val="257"/>
          <w:jc w:val="center"/>
        </w:trPr>
        <w:tc>
          <w:tcPr>
            <w:tcW w:w="1185" w:type="dxa"/>
            <w:tcBorders>
              <w:top w:val="single" w:sz="4" w:space="0" w:color="auto"/>
              <w:bottom w:val="single" w:sz="4" w:space="0" w:color="auto"/>
            </w:tcBorders>
          </w:tcPr>
          <w:p w14:paraId="77FFB7B0" w14:textId="77777777" w:rsidR="00F7236B" w:rsidRPr="00966B21" w:rsidRDefault="00F7236B" w:rsidP="00B60D8F">
            <w:pPr>
              <w:pStyle w:val="NormaleWeb"/>
              <w:spacing w:before="0" w:beforeAutospacing="0" w:after="0" w:afterAutospacing="0"/>
              <w:jc w:val="center"/>
              <w:rPr>
                <w:sz w:val="22"/>
                <w:szCs w:val="22"/>
                <w:lang w:val="en-GB"/>
              </w:rPr>
            </w:pPr>
          </w:p>
        </w:tc>
        <w:tc>
          <w:tcPr>
            <w:tcW w:w="7210" w:type="dxa"/>
            <w:gridSpan w:val="5"/>
            <w:tcBorders>
              <w:top w:val="single" w:sz="4" w:space="0" w:color="auto"/>
              <w:bottom w:val="single" w:sz="4" w:space="0" w:color="auto"/>
            </w:tcBorders>
          </w:tcPr>
          <w:p w14:paraId="2836C39D" w14:textId="77777777" w:rsidR="00F7236B" w:rsidRPr="00966B21" w:rsidRDefault="00F7236B" w:rsidP="00B60D8F">
            <w:pPr>
              <w:pStyle w:val="NormaleWeb"/>
              <w:spacing w:before="0" w:beforeAutospacing="0" w:after="0" w:afterAutospacing="0"/>
              <w:jc w:val="center"/>
              <w:rPr>
                <w:sz w:val="22"/>
                <w:szCs w:val="22"/>
                <w:lang w:val="en-GB"/>
              </w:rPr>
            </w:pPr>
            <w:r w:rsidRPr="00966B21">
              <w:rPr>
                <w:sz w:val="22"/>
                <w:szCs w:val="22"/>
                <w:lang w:val="en-GB"/>
              </w:rPr>
              <w:t>TM-OPT2</w:t>
            </w:r>
          </w:p>
        </w:tc>
      </w:tr>
      <w:tr w:rsidR="00F7236B" w:rsidRPr="00966B21" w14:paraId="7612C678" w14:textId="77777777" w:rsidTr="00B60D8F">
        <w:trPr>
          <w:trHeight w:val="257"/>
          <w:jc w:val="center"/>
        </w:trPr>
        <w:tc>
          <w:tcPr>
            <w:tcW w:w="1185" w:type="dxa"/>
            <w:tcBorders>
              <w:top w:val="single" w:sz="4" w:space="0" w:color="auto"/>
              <w:bottom w:val="single" w:sz="4" w:space="0" w:color="auto"/>
            </w:tcBorders>
          </w:tcPr>
          <w:p w14:paraId="5A312E57" w14:textId="77777777" w:rsidR="00F7236B" w:rsidRPr="00966B21" w:rsidRDefault="00F7236B" w:rsidP="00B60D8F">
            <w:pPr>
              <w:pStyle w:val="NormaleWeb"/>
              <w:spacing w:before="0" w:beforeAutospacing="0" w:after="0" w:afterAutospacing="0"/>
              <w:jc w:val="center"/>
              <w:rPr>
                <w:sz w:val="22"/>
                <w:szCs w:val="22"/>
                <w:lang w:val="en-GB"/>
              </w:rPr>
            </w:pPr>
            <w:r w:rsidRPr="00966B21">
              <w:rPr>
                <w:sz w:val="22"/>
                <w:szCs w:val="22"/>
                <w:lang w:val="en-GB"/>
              </w:rPr>
              <w:t>TCC</w:t>
            </w:r>
          </w:p>
        </w:tc>
        <w:tc>
          <w:tcPr>
            <w:tcW w:w="1348" w:type="dxa"/>
            <w:tcBorders>
              <w:top w:val="single" w:sz="4" w:space="0" w:color="auto"/>
              <w:bottom w:val="single" w:sz="4" w:space="0" w:color="auto"/>
            </w:tcBorders>
          </w:tcPr>
          <w:p w14:paraId="2BCBAD87" w14:textId="77777777" w:rsidR="00F7236B" w:rsidRPr="00966B21" w:rsidRDefault="00F7236B" w:rsidP="00B60D8F">
            <w:pPr>
              <w:pStyle w:val="NormaleWeb"/>
              <w:spacing w:before="0" w:beforeAutospacing="0" w:after="0" w:afterAutospacing="0"/>
              <w:jc w:val="center"/>
              <w:rPr>
                <w:sz w:val="22"/>
                <w:szCs w:val="22"/>
              </w:rPr>
            </w:pPr>
            <w:r w:rsidRPr="00966B21">
              <w:rPr>
                <w:color w:val="000000"/>
                <w:kern w:val="24"/>
                <w:sz w:val="22"/>
                <w:szCs w:val="22"/>
                <w:lang w:val="en-US"/>
              </w:rPr>
              <w:t xml:space="preserve">3.43 </w:t>
            </w:r>
          </w:p>
        </w:tc>
        <w:tc>
          <w:tcPr>
            <w:tcW w:w="1275" w:type="dxa"/>
            <w:tcBorders>
              <w:top w:val="single" w:sz="4" w:space="0" w:color="auto"/>
              <w:bottom w:val="single" w:sz="4" w:space="0" w:color="auto"/>
            </w:tcBorders>
          </w:tcPr>
          <w:p w14:paraId="3FCCD96D" w14:textId="77777777" w:rsidR="00F7236B" w:rsidRPr="00966B21" w:rsidRDefault="00F7236B" w:rsidP="00B60D8F">
            <w:pPr>
              <w:pStyle w:val="NormaleWeb"/>
              <w:spacing w:before="0" w:beforeAutospacing="0" w:after="0" w:afterAutospacing="0"/>
              <w:jc w:val="center"/>
              <w:rPr>
                <w:sz w:val="22"/>
                <w:szCs w:val="22"/>
              </w:rPr>
            </w:pPr>
            <w:r w:rsidRPr="00966B21">
              <w:rPr>
                <w:color w:val="000000"/>
                <w:kern w:val="24"/>
                <w:sz w:val="22"/>
                <w:szCs w:val="22"/>
                <w:lang w:val="en-US"/>
              </w:rPr>
              <w:t xml:space="preserve">0.24 </w:t>
            </w:r>
          </w:p>
        </w:tc>
        <w:tc>
          <w:tcPr>
            <w:tcW w:w="1525" w:type="dxa"/>
            <w:tcBorders>
              <w:top w:val="single" w:sz="4" w:space="0" w:color="auto"/>
              <w:bottom w:val="single" w:sz="4" w:space="0" w:color="auto"/>
            </w:tcBorders>
          </w:tcPr>
          <w:p w14:paraId="30BE0C15" w14:textId="77777777" w:rsidR="00F7236B" w:rsidRPr="00966B21" w:rsidRDefault="00F7236B" w:rsidP="00B60D8F">
            <w:pPr>
              <w:pStyle w:val="NormaleWeb"/>
              <w:spacing w:before="0" w:beforeAutospacing="0" w:after="0" w:afterAutospacing="0"/>
              <w:jc w:val="center"/>
              <w:rPr>
                <w:sz w:val="22"/>
                <w:szCs w:val="22"/>
              </w:rPr>
            </w:pPr>
            <w:r w:rsidRPr="00966B21">
              <w:rPr>
                <w:color w:val="000000"/>
                <w:kern w:val="24"/>
                <w:sz w:val="22"/>
                <w:szCs w:val="22"/>
                <w:lang w:val="en-US"/>
              </w:rPr>
              <w:t xml:space="preserve">2.87 </w:t>
            </w:r>
          </w:p>
        </w:tc>
        <w:tc>
          <w:tcPr>
            <w:tcW w:w="1417" w:type="dxa"/>
            <w:tcBorders>
              <w:top w:val="single" w:sz="4" w:space="0" w:color="auto"/>
              <w:bottom w:val="single" w:sz="4" w:space="0" w:color="auto"/>
            </w:tcBorders>
          </w:tcPr>
          <w:p w14:paraId="05E2412C" w14:textId="77777777" w:rsidR="00F7236B" w:rsidRPr="00966B21" w:rsidRDefault="00F7236B" w:rsidP="00B60D8F">
            <w:pPr>
              <w:pStyle w:val="NormaleWeb"/>
              <w:spacing w:before="0" w:beforeAutospacing="0" w:after="0" w:afterAutospacing="0"/>
              <w:jc w:val="center"/>
              <w:rPr>
                <w:sz w:val="22"/>
                <w:szCs w:val="22"/>
              </w:rPr>
            </w:pPr>
            <w:r w:rsidRPr="00966B21">
              <w:rPr>
                <w:color w:val="000000"/>
                <w:kern w:val="24"/>
                <w:sz w:val="22"/>
                <w:szCs w:val="22"/>
                <w:lang w:val="en-US"/>
              </w:rPr>
              <w:t xml:space="preserve">3.32 ± 0.16 </w:t>
            </w:r>
          </w:p>
        </w:tc>
        <w:tc>
          <w:tcPr>
            <w:tcW w:w="1645" w:type="dxa"/>
            <w:tcBorders>
              <w:top w:val="single" w:sz="4" w:space="0" w:color="auto"/>
              <w:bottom w:val="single" w:sz="4" w:space="0" w:color="auto"/>
            </w:tcBorders>
          </w:tcPr>
          <w:p w14:paraId="53EAE9A8" w14:textId="77777777" w:rsidR="00F7236B" w:rsidRPr="00966B21" w:rsidRDefault="00F7236B" w:rsidP="00B60D8F">
            <w:pPr>
              <w:pStyle w:val="NormaleWeb"/>
              <w:spacing w:before="0" w:beforeAutospacing="0" w:after="0" w:afterAutospacing="0"/>
              <w:jc w:val="center"/>
              <w:rPr>
                <w:sz w:val="22"/>
                <w:szCs w:val="22"/>
              </w:rPr>
            </w:pPr>
            <w:r w:rsidRPr="00966B21">
              <w:rPr>
                <w:color w:val="000000"/>
                <w:kern w:val="24"/>
                <w:sz w:val="22"/>
                <w:szCs w:val="22"/>
                <w:lang w:val="en-US"/>
              </w:rPr>
              <w:t xml:space="preserve">4.01 </w:t>
            </w:r>
          </w:p>
        </w:tc>
      </w:tr>
    </w:tbl>
    <w:p w14:paraId="4954CDC6" w14:textId="77777777" w:rsidR="00F7236B" w:rsidRDefault="00F7236B" w:rsidP="00F7236B">
      <w:pPr>
        <w:pStyle w:val="NormaleWeb"/>
        <w:spacing w:before="0" w:beforeAutospacing="0" w:after="0" w:afterAutospacing="0"/>
        <w:jc w:val="both"/>
        <w:rPr>
          <w:lang w:val="en-GB"/>
        </w:rPr>
      </w:pPr>
      <w:r w:rsidRPr="00966B21">
        <w:rPr>
          <w:lang w:val="en-GB"/>
        </w:rPr>
        <w:t>TCC: total carotenoid content (µg/mg DW), CI: confidence interval</w:t>
      </w:r>
    </w:p>
    <w:p w14:paraId="5566F939" w14:textId="77777777" w:rsidR="00F7236B" w:rsidRPr="002969A9" w:rsidRDefault="00F7236B" w:rsidP="00F7236B">
      <w:pPr>
        <w:rPr>
          <w:lang w:val="en-GB"/>
        </w:rPr>
      </w:pPr>
    </w:p>
    <w:p w14:paraId="406FABE1" w14:textId="77777777" w:rsidR="00F7236B" w:rsidRPr="002B7A6A" w:rsidRDefault="00F7236B" w:rsidP="002753DB">
      <w:pPr>
        <w:pStyle w:val="NormaleWeb"/>
        <w:spacing w:before="0" w:beforeAutospacing="0" w:after="0" w:afterAutospacing="0"/>
        <w:jc w:val="both"/>
        <w:rPr>
          <w:sz w:val="20"/>
          <w:lang w:val="en-GB"/>
        </w:rPr>
      </w:pPr>
    </w:p>
    <w:sectPr w:rsidR="00F7236B" w:rsidRPr="002B7A6A" w:rsidSect="006A12DA">
      <w:pgSz w:w="11906" w:h="16838"/>
      <w:pgMar w:top="1417" w:right="1701" w:bottom="1417" w:left="1701"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EFF" w:usb1="C000785B" w:usb2="00000009" w:usb3="00000000" w:csb0="000001FF" w:csb1="00000000"/>
  </w:font>
  <w:font w:name="CharisSIL">
    <w:altName w:val="MS Gothic"/>
    <w:panose1 w:val="00000000000000000000"/>
    <w:charset w:val="80"/>
    <w:family w:val="swiss"/>
    <w:notTrueType/>
    <w:pitch w:val="default"/>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mn-ea">
    <w:panose1 w:val="00000000000000000000"/>
    <w:charset w:val="00"/>
    <w:family w:val="roman"/>
    <w:notTrueType/>
    <w:pitch w:val="default"/>
  </w:font>
  <w:font w:name="+mn-cs">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B571D0"/>
    <w:multiLevelType w:val="multilevel"/>
    <w:tmpl w:val="2C82EE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29100393"/>
    <w:multiLevelType w:val="multilevel"/>
    <w:tmpl w:val="77825CA2"/>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653F7453"/>
    <w:multiLevelType w:val="multilevel"/>
    <w:tmpl w:val="E74C16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0582038"/>
    <w:multiLevelType w:val="multilevel"/>
    <w:tmpl w:val="56E4E55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F76369F"/>
    <w:multiLevelType w:val="multilevel"/>
    <w:tmpl w:val="729AE6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543442507">
    <w:abstractNumId w:val="3"/>
  </w:num>
  <w:num w:numId="2" w16cid:durableId="1111391758">
    <w:abstractNumId w:val="2"/>
  </w:num>
  <w:num w:numId="3" w16cid:durableId="1020274943">
    <w:abstractNumId w:val="4"/>
  </w:num>
  <w:num w:numId="4" w16cid:durableId="1429884827">
    <w:abstractNumId w:val="1"/>
  </w:num>
  <w:num w:numId="5" w16cid:durableId="108537234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10"/>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07927"/>
    <w:rsid w:val="0000362D"/>
    <w:rsid w:val="00011EC3"/>
    <w:rsid w:val="00014E98"/>
    <w:rsid w:val="000232F2"/>
    <w:rsid w:val="00023E45"/>
    <w:rsid w:val="000406C5"/>
    <w:rsid w:val="0004247E"/>
    <w:rsid w:val="000524FC"/>
    <w:rsid w:val="00053C09"/>
    <w:rsid w:val="00071CF8"/>
    <w:rsid w:val="000843A8"/>
    <w:rsid w:val="0008628B"/>
    <w:rsid w:val="00095334"/>
    <w:rsid w:val="000A1626"/>
    <w:rsid w:val="000A772D"/>
    <w:rsid w:val="000B588B"/>
    <w:rsid w:val="000B7634"/>
    <w:rsid w:val="000C212B"/>
    <w:rsid w:val="000E17F3"/>
    <w:rsid w:val="000E190C"/>
    <w:rsid w:val="000E1BE9"/>
    <w:rsid w:val="000F5B2A"/>
    <w:rsid w:val="0010289F"/>
    <w:rsid w:val="001039D7"/>
    <w:rsid w:val="001060CE"/>
    <w:rsid w:val="001105B7"/>
    <w:rsid w:val="001160F5"/>
    <w:rsid w:val="00117751"/>
    <w:rsid w:val="00122B0E"/>
    <w:rsid w:val="001406C6"/>
    <w:rsid w:val="001427D4"/>
    <w:rsid w:val="0014412A"/>
    <w:rsid w:val="00147C27"/>
    <w:rsid w:val="0015159C"/>
    <w:rsid w:val="00151AC5"/>
    <w:rsid w:val="001527C0"/>
    <w:rsid w:val="0015681E"/>
    <w:rsid w:val="001645A3"/>
    <w:rsid w:val="00166341"/>
    <w:rsid w:val="00167A3D"/>
    <w:rsid w:val="00181CC4"/>
    <w:rsid w:val="00182A57"/>
    <w:rsid w:val="00187C14"/>
    <w:rsid w:val="0019507F"/>
    <w:rsid w:val="0019610E"/>
    <w:rsid w:val="0019642A"/>
    <w:rsid w:val="001A7593"/>
    <w:rsid w:val="001B1786"/>
    <w:rsid w:val="001B316E"/>
    <w:rsid w:val="001B6F31"/>
    <w:rsid w:val="001C4130"/>
    <w:rsid w:val="001D08CA"/>
    <w:rsid w:val="001D0EFC"/>
    <w:rsid w:val="001E7DB4"/>
    <w:rsid w:val="001F5077"/>
    <w:rsid w:val="00202B5D"/>
    <w:rsid w:val="00205728"/>
    <w:rsid w:val="00227CA6"/>
    <w:rsid w:val="002316AC"/>
    <w:rsid w:val="00233775"/>
    <w:rsid w:val="00234F42"/>
    <w:rsid w:val="00237D3E"/>
    <w:rsid w:val="0024038B"/>
    <w:rsid w:val="0024099E"/>
    <w:rsid w:val="002556E2"/>
    <w:rsid w:val="002608E0"/>
    <w:rsid w:val="00261683"/>
    <w:rsid w:val="00270474"/>
    <w:rsid w:val="0027205B"/>
    <w:rsid w:val="00272DB4"/>
    <w:rsid w:val="002753DB"/>
    <w:rsid w:val="002873BA"/>
    <w:rsid w:val="00291DB5"/>
    <w:rsid w:val="00292CE9"/>
    <w:rsid w:val="00294294"/>
    <w:rsid w:val="002A4E27"/>
    <w:rsid w:val="002B1437"/>
    <w:rsid w:val="002B7A6A"/>
    <w:rsid w:val="002E0914"/>
    <w:rsid w:val="002E7844"/>
    <w:rsid w:val="003029C3"/>
    <w:rsid w:val="00304561"/>
    <w:rsid w:val="003161FF"/>
    <w:rsid w:val="00321BCF"/>
    <w:rsid w:val="00325767"/>
    <w:rsid w:val="003279B9"/>
    <w:rsid w:val="0033533C"/>
    <w:rsid w:val="00341F71"/>
    <w:rsid w:val="00346312"/>
    <w:rsid w:val="003527CB"/>
    <w:rsid w:val="0038384E"/>
    <w:rsid w:val="00391595"/>
    <w:rsid w:val="00393FEE"/>
    <w:rsid w:val="00397D2A"/>
    <w:rsid w:val="003A1DA3"/>
    <w:rsid w:val="003A6CD9"/>
    <w:rsid w:val="003B29E8"/>
    <w:rsid w:val="003B55B0"/>
    <w:rsid w:val="003B72BF"/>
    <w:rsid w:val="003C35A5"/>
    <w:rsid w:val="003D0B79"/>
    <w:rsid w:val="003D5567"/>
    <w:rsid w:val="003D589E"/>
    <w:rsid w:val="003D6247"/>
    <w:rsid w:val="003E1F6E"/>
    <w:rsid w:val="003E5111"/>
    <w:rsid w:val="003E6718"/>
    <w:rsid w:val="003F4C6A"/>
    <w:rsid w:val="00415B99"/>
    <w:rsid w:val="00416BB8"/>
    <w:rsid w:val="00430BF5"/>
    <w:rsid w:val="004349DA"/>
    <w:rsid w:val="004371FA"/>
    <w:rsid w:val="00452B70"/>
    <w:rsid w:val="00453F00"/>
    <w:rsid w:val="0045670F"/>
    <w:rsid w:val="004647D5"/>
    <w:rsid w:val="00476461"/>
    <w:rsid w:val="00477E5A"/>
    <w:rsid w:val="00486272"/>
    <w:rsid w:val="00490314"/>
    <w:rsid w:val="004941B1"/>
    <w:rsid w:val="004B2C68"/>
    <w:rsid w:val="004B2C7F"/>
    <w:rsid w:val="004B6C81"/>
    <w:rsid w:val="004C2D89"/>
    <w:rsid w:val="004C55CF"/>
    <w:rsid w:val="004C7B97"/>
    <w:rsid w:val="004D0418"/>
    <w:rsid w:val="004E158B"/>
    <w:rsid w:val="004E5EAF"/>
    <w:rsid w:val="004F6DFF"/>
    <w:rsid w:val="005070B7"/>
    <w:rsid w:val="00517C8F"/>
    <w:rsid w:val="0054210E"/>
    <w:rsid w:val="00557173"/>
    <w:rsid w:val="005574A5"/>
    <w:rsid w:val="0056520F"/>
    <w:rsid w:val="005816F2"/>
    <w:rsid w:val="005878CF"/>
    <w:rsid w:val="00590A65"/>
    <w:rsid w:val="00596409"/>
    <w:rsid w:val="005A1D93"/>
    <w:rsid w:val="005A1F5D"/>
    <w:rsid w:val="005A4A91"/>
    <w:rsid w:val="005A56B0"/>
    <w:rsid w:val="005C240E"/>
    <w:rsid w:val="005D7834"/>
    <w:rsid w:val="005E3ADD"/>
    <w:rsid w:val="005E41E4"/>
    <w:rsid w:val="005E7C5C"/>
    <w:rsid w:val="005F7A81"/>
    <w:rsid w:val="00606074"/>
    <w:rsid w:val="00624C6E"/>
    <w:rsid w:val="006254F2"/>
    <w:rsid w:val="00626C62"/>
    <w:rsid w:val="00643A71"/>
    <w:rsid w:val="00651746"/>
    <w:rsid w:val="00651E46"/>
    <w:rsid w:val="00666BDE"/>
    <w:rsid w:val="0067047B"/>
    <w:rsid w:val="006808F5"/>
    <w:rsid w:val="00685578"/>
    <w:rsid w:val="00687655"/>
    <w:rsid w:val="00695E6A"/>
    <w:rsid w:val="006960FE"/>
    <w:rsid w:val="006A12DA"/>
    <w:rsid w:val="006A462D"/>
    <w:rsid w:val="006A4EEC"/>
    <w:rsid w:val="006A7A9A"/>
    <w:rsid w:val="006C1FD2"/>
    <w:rsid w:val="006D4D8D"/>
    <w:rsid w:val="006D6749"/>
    <w:rsid w:val="006F0502"/>
    <w:rsid w:val="006F64B1"/>
    <w:rsid w:val="00702241"/>
    <w:rsid w:val="00702357"/>
    <w:rsid w:val="00706AF9"/>
    <w:rsid w:val="00710259"/>
    <w:rsid w:val="00710B1B"/>
    <w:rsid w:val="00711053"/>
    <w:rsid w:val="00711194"/>
    <w:rsid w:val="00714A32"/>
    <w:rsid w:val="00714D31"/>
    <w:rsid w:val="007155B9"/>
    <w:rsid w:val="00727DB4"/>
    <w:rsid w:val="00732BB5"/>
    <w:rsid w:val="00741531"/>
    <w:rsid w:val="00760A3B"/>
    <w:rsid w:val="007610AC"/>
    <w:rsid w:val="00772759"/>
    <w:rsid w:val="00777CDF"/>
    <w:rsid w:val="007817FC"/>
    <w:rsid w:val="00793A40"/>
    <w:rsid w:val="007A083D"/>
    <w:rsid w:val="007A529D"/>
    <w:rsid w:val="007B4C8E"/>
    <w:rsid w:val="007C0FD5"/>
    <w:rsid w:val="007C2DC2"/>
    <w:rsid w:val="007C69D0"/>
    <w:rsid w:val="007C7B03"/>
    <w:rsid w:val="007D2F3D"/>
    <w:rsid w:val="007E161A"/>
    <w:rsid w:val="007E164C"/>
    <w:rsid w:val="007E368D"/>
    <w:rsid w:val="007F1D1B"/>
    <w:rsid w:val="007F4B71"/>
    <w:rsid w:val="007F4FF5"/>
    <w:rsid w:val="008006E1"/>
    <w:rsid w:val="0080414D"/>
    <w:rsid w:val="00811254"/>
    <w:rsid w:val="008164EF"/>
    <w:rsid w:val="00830F3B"/>
    <w:rsid w:val="00833D9B"/>
    <w:rsid w:val="008417C4"/>
    <w:rsid w:val="008424CB"/>
    <w:rsid w:val="0084419C"/>
    <w:rsid w:val="00866592"/>
    <w:rsid w:val="0087279D"/>
    <w:rsid w:val="00875F64"/>
    <w:rsid w:val="00876CC8"/>
    <w:rsid w:val="00881485"/>
    <w:rsid w:val="008852C6"/>
    <w:rsid w:val="008B2C64"/>
    <w:rsid w:val="008B55CD"/>
    <w:rsid w:val="008C6912"/>
    <w:rsid w:val="008E08E8"/>
    <w:rsid w:val="008E353D"/>
    <w:rsid w:val="008F0FDA"/>
    <w:rsid w:val="00904FE4"/>
    <w:rsid w:val="00906DFD"/>
    <w:rsid w:val="009141C8"/>
    <w:rsid w:val="0092157A"/>
    <w:rsid w:val="00940923"/>
    <w:rsid w:val="00940930"/>
    <w:rsid w:val="009423EB"/>
    <w:rsid w:val="009456F6"/>
    <w:rsid w:val="0094706D"/>
    <w:rsid w:val="00955282"/>
    <w:rsid w:val="009668D0"/>
    <w:rsid w:val="00966B21"/>
    <w:rsid w:val="00966F8B"/>
    <w:rsid w:val="00967BBA"/>
    <w:rsid w:val="00974E3F"/>
    <w:rsid w:val="00977BCD"/>
    <w:rsid w:val="00984A65"/>
    <w:rsid w:val="00986A33"/>
    <w:rsid w:val="00990489"/>
    <w:rsid w:val="00992F0A"/>
    <w:rsid w:val="00995839"/>
    <w:rsid w:val="009A10EF"/>
    <w:rsid w:val="009A586D"/>
    <w:rsid w:val="009B2B4A"/>
    <w:rsid w:val="009B4052"/>
    <w:rsid w:val="009C6293"/>
    <w:rsid w:val="009D0491"/>
    <w:rsid w:val="009F6404"/>
    <w:rsid w:val="00A10B87"/>
    <w:rsid w:val="00A16821"/>
    <w:rsid w:val="00A260F0"/>
    <w:rsid w:val="00A370A1"/>
    <w:rsid w:val="00A427DB"/>
    <w:rsid w:val="00A461EE"/>
    <w:rsid w:val="00A46247"/>
    <w:rsid w:val="00A54393"/>
    <w:rsid w:val="00A615D3"/>
    <w:rsid w:val="00A61A7E"/>
    <w:rsid w:val="00A626E8"/>
    <w:rsid w:val="00A71411"/>
    <w:rsid w:val="00A71F38"/>
    <w:rsid w:val="00A94237"/>
    <w:rsid w:val="00A96A9E"/>
    <w:rsid w:val="00AA0388"/>
    <w:rsid w:val="00AA6630"/>
    <w:rsid w:val="00AB00F3"/>
    <w:rsid w:val="00AB4FEF"/>
    <w:rsid w:val="00AC1D4C"/>
    <w:rsid w:val="00AC23E2"/>
    <w:rsid w:val="00AC7402"/>
    <w:rsid w:val="00AF012E"/>
    <w:rsid w:val="00AF1215"/>
    <w:rsid w:val="00AF3D79"/>
    <w:rsid w:val="00AF4AB2"/>
    <w:rsid w:val="00AF733C"/>
    <w:rsid w:val="00B005B2"/>
    <w:rsid w:val="00B02775"/>
    <w:rsid w:val="00B05DE3"/>
    <w:rsid w:val="00B15F4C"/>
    <w:rsid w:val="00B33599"/>
    <w:rsid w:val="00B4042B"/>
    <w:rsid w:val="00B43E37"/>
    <w:rsid w:val="00B5163F"/>
    <w:rsid w:val="00B60D8F"/>
    <w:rsid w:val="00B644CF"/>
    <w:rsid w:val="00B67F98"/>
    <w:rsid w:val="00B70C07"/>
    <w:rsid w:val="00B73D88"/>
    <w:rsid w:val="00B76F03"/>
    <w:rsid w:val="00B85698"/>
    <w:rsid w:val="00B90AE4"/>
    <w:rsid w:val="00B934E2"/>
    <w:rsid w:val="00BB15B0"/>
    <w:rsid w:val="00BC5326"/>
    <w:rsid w:val="00BD7070"/>
    <w:rsid w:val="00BD720A"/>
    <w:rsid w:val="00BE460E"/>
    <w:rsid w:val="00BF3B63"/>
    <w:rsid w:val="00BF5B5C"/>
    <w:rsid w:val="00C0098A"/>
    <w:rsid w:val="00C1467B"/>
    <w:rsid w:val="00C23C58"/>
    <w:rsid w:val="00C30E1C"/>
    <w:rsid w:val="00C41219"/>
    <w:rsid w:val="00C562E9"/>
    <w:rsid w:val="00C67FCE"/>
    <w:rsid w:val="00C734FB"/>
    <w:rsid w:val="00C846DC"/>
    <w:rsid w:val="00C866FE"/>
    <w:rsid w:val="00CA386F"/>
    <w:rsid w:val="00CA7138"/>
    <w:rsid w:val="00CA7B0B"/>
    <w:rsid w:val="00CB7D60"/>
    <w:rsid w:val="00CC0E36"/>
    <w:rsid w:val="00CC7078"/>
    <w:rsid w:val="00CD7D53"/>
    <w:rsid w:val="00CE70FB"/>
    <w:rsid w:val="00D02993"/>
    <w:rsid w:val="00D07927"/>
    <w:rsid w:val="00D10789"/>
    <w:rsid w:val="00D248C7"/>
    <w:rsid w:val="00D27C36"/>
    <w:rsid w:val="00D35E8B"/>
    <w:rsid w:val="00D4264B"/>
    <w:rsid w:val="00D43636"/>
    <w:rsid w:val="00D47F3C"/>
    <w:rsid w:val="00D53E9B"/>
    <w:rsid w:val="00D77903"/>
    <w:rsid w:val="00D8216B"/>
    <w:rsid w:val="00D825A2"/>
    <w:rsid w:val="00DA3474"/>
    <w:rsid w:val="00DA686C"/>
    <w:rsid w:val="00DB2F4C"/>
    <w:rsid w:val="00DD18C6"/>
    <w:rsid w:val="00DD477E"/>
    <w:rsid w:val="00DD62D9"/>
    <w:rsid w:val="00DE11F7"/>
    <w:rsid w:val="00DF75DF"/>
    <w:rsid w:val="00DF780C"/>
    <w:rsid w:val="00DF7FD0"/>
    <w:rsid w:val="00E012DD"/>
    <w:rsid w:val="00E01993"/>
    <w:rsid w:val="00E04D22"/>
    <w:rsid w:val="00E106C8"/>
    <w:rsid w:val="00E10FAC"/>
    <w:rsid w:val="00E13909"/>
    <w:rsid w:val="00E14DB3"/>
    <w:rsid w:val="00E26892"/>
    <w:rsid w:val="00E31A9B"/>
    <w:rsid w:val="00E41F41"/>
    <w:rsid w:val="00E44128"/>
    <w:rsid w:val="00E469AF"/>
    <w:rsid w:val="00E559C2"/>
    <w:rsid w:val="00E61006"/>
    <w:rsid w:val="00E665DD"/>
    <w:rsid w:val="00E6687A"/>
    <w:rsid w:val="00E77D6E"/>
    <w:rsid w:val="00E77F9C"/>
    <w:rsid w:val="00E8709B"/>
    <w:rsid w:val="00E948A8"/>
    <w:rsid w:val="00EA1483"/>
    <w:rsid w:val="00EB48D6"/>
    <w:rsid w:val="00EC585B"/>
    <w:rsid w:val="00ED0648"/>
    <w:rsid w:val="00ED0E2A"/>
    <w:rsid w:val="00EF594D"/>
    <w:rsid w:val="00F00922"/>
    <w:rsid w:val="00F02525"/>
    <w:rsid w:val="00F02B13"/>
    <w:rsid w:val="00F0362C"/>
    <w:rsid w:val="00F07537"/>
    <w:rsid w:val="00F144D4"/>
    <w:rsid w:val="00F14679"/>
    <w:rsid w:val="00F15FB3"/>
    <w:rsid w:val="00F162A7"/>
    <w:rsid w:val="00F258BD"/>
    <w:rsid w:val="00F53F1A"/>
    <w:rsid w:val="00F62193"/>
    <w:rsid w:val="00F64D24"/>
    <w:rsid w:val="00F72368"/>
    <w:rsid w:val="00F7236B"/>
    <w:rsid w:val="00F82065"/>
    <w:rsid w:val="00F83412"/>
    <w:rsid w:val="00F86C47"/>
    <w:rsid w:val="00F9364C"/>
    <w:rsid w:val="00F94407"/>
    <w:rsid w:val="00FB55B0"/>
    <w:rsid w:val="00FC77C0"/>
    <w:rsid w:val="00FD0ADA"/>
    <w:rsid w:val="00FD3963"/>
    <w:rsid w:val="00FD6727"/>
    <w:rsid w:val="00FE25D2"/>
    <w:rsid w:val="00FF36D3"/>
  </w:rsids>
  <m:mathPr>
    <m:mathFont m:val="Cambria Math"/>
    <m:brkBin m:val="before"/>
    <m:brkBinSub m:val="--"/>
    <m:smallFrac m:val="0"/>
    <m:dispDef/>
    <m:lMargin m:val="0"/>
    <m:rMargin m:val="0"/>
    <m:defJc m:val="centerGroup"/>
    <m:wrapIndent m:val="1440"/>
    <m:intLim m:val="subSup"/>
    <m:naryLim m:val="undOvr"/>
  </m:mathPr>
  <w:themeFontLang w:val="es-A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20F0AE"/>
  <w15:docId w15:val="{DB1EE540-A579-4CBF-BA8A-0D80B03898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A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232F2"/>
  </w:style>
  <w:style w:type="paragraph" w:styleId="Titolo3">
    <w:name w:val="heading 3"/>
    <w:basedOn w:val="Normale"/>
    <w:link w:val="Titolo3Carattere"/>
    <w:uiPriority w:val="9"/>
    <w:qFormat/>
    <w:rsid w:val="00D53E9B"/>
    <w:pPr>
      <w:spacing w:before="100" w:beforeAutospacing="1" w:after="100" w:afterAutospacing="1" w:line="240" w:lineRule="auto"/>
      <w:outlineLvl w:val="2"/>
    </w:pPr>
    <w:rPr>
      <w:rFonts w:ascii="Times New Roman" w:eastAsia="Times New Roman" w:hAnsi="Times New Roman" w:cs="Times New Roman"/>
      <w:b/>
      <w:bCs/>
      <w:sz w:val="27"/>
      <w:szCs w:val="27"/>
      <w:lang w:eastAsia="es-AR"/>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NormaleWeb">
    <w:name w:val="Normal (Web)"/>
    <w:basedOn w:val="Normale"/>
    <w:link w:val="NormaleWebCarattere"/>
    <w:uiPriority w:val="99"/>
    <w:unhideWhenUsed/>
    <w:rsid w:val="00F94407"/>
    <w:pPr>
      <w:spacing w:before="100" w:beforeAutospacing="1" w:after="100" w:afterAutospacing="1" w:line="240" w:lineRule="auto"/>
    </w:pPr>
    <w:rPr>
      <w:rFonts w:ascii="Times New Roman" w:eastAsia="Times New Roman" w:hAnsi="Times New Roman" w:cs="Times New Roman"/>
      <w:sz w:val="24"/>
      <w:szCs w:val="24"/>
      <w:lang w:eastAsia="es-AR"/>
    </w:rPr>
  </w:style>
  <w:style w:type="character" w:styleId="Testosegnaposto">
    <w:name w:val="Placeholder Text"/>
    <w:basedOn w:val="Carpredefinitoparagrafo"/>
    <w:uiPriority w:val="99"/>
    <w:semiHidden/>
    <w:rsid w:val="008E08E8"/>
    <w:rPr>
      <w:color w:val="808080"/>
    </w:rPr>
  </w:style>
  <w:style w:type="paragraph" w:styleId="Testofumetto">
    <w:name w:val="Balloon Text"/>
    <w:basedOn w:val="Normale"/>
    <w:link w:val="TestofumettoCarattere"/>
    <w:uiPriority w:val="99"/>
    <w:semiHidden/>
    <w:unhideWhenUsed/>
    <w:rsid w:val="008E08E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E08E8"/>
    <w:rPr>
      <w:rFonts w:ascii="Tahoma" w:hAnsi="Tahoma" w:cs="Tahoma"/>
      <w:sz w:val="16"/>
      <w:szCs w:val="16"/>
    </w:rPr>
  </w:style>
  <w:style w:type="character" w:customStyle="1" w:styleId="Titolo3Carattere">
    <w:name w:val="Titolo 3 Carattere"/>
    <w:basedOn w:val="Carpredefinitoparagrafo"/>
    <w:link w:val="Titolo3"/>
    <w:uiPriority w:val="9"/>
    <w:rsid w:val="00D53E9B"/>
    <w:rPr>
      <w:rFonts w:ascii="Times New Roman" w:eastAsia="Times New Roman" w:hAnsi="Times New Roman" w:cs="Times New Roman"/>
      <w:b/>
      <w:bCs/>
      <w:sz w:val="27"/>
      <w:szCs w:val="27"/>
      <w:lang w:eastAsia="es-AR"/>
    </w:rPr>
  </w:style>
  <w:style w:type="character" w:styleId="Enfasigrassetto">
    <w:name w:val="Strong"/>
    <w:basedOn w:val="Carpredefinitoparagrafo"/>
    <w:uiPriority w:val="22"/>
    <w:qFormat/>
    <w:rsid w:val="00D53E9B"/>
    <w:rPr>
      <w:b/>
      <w:bCs/>
    </w:rPr>
  </w:style>
  <w:style w:type="character" w:customStyle="1" w:styleId="line-clamp-1">
    <w:name w:val="line-clamp-1"/>
    <w:basedOn w:val="Carpredefinitoparagrafo"/>
    <w:rsid w:val="00D53E9B"/>
  </w:style>
  <w:style w:type="character" w:customStyle="1" w:styleId="katex-mathml">
    <w:name w:val="katex-mathml"/>
    <w:basedOn w:val="Carpredefinitoparagrafo"/>
    <w:rsid w:val="00117751"/>
  </w:style>
  <w:style w:type="character" w:customStyle="1" w:styleId="mord">
    <w:name w:val="mord"/>
    <w:basedOn w:val="Carpredefinitoparagrafo"/>
    <w:rsid w:val="00117751"/>
  </w:style>
  <w:style w:type="character" w:customStyle="1" w:styleId="vlist-s">
    <w:name w:val="vlist-s"/>
    <w:basedOn w:val="Carpredefinitoparagrafo"/>
    <w:rsid w:val="00117751"/>
  </w:style>
  <w:style w:type="character" w:customStyle="1" w:styleId="anchor-text">
    <w:name w:val="anchor-text"/>
    <w:basedOn w:val="Carpredefinitoparagrafo"/>
    <w:rsid w:val="00BC5326"/>
  </w:style>
  <w:style w:type="character" w:styleId="Rimandocommento">
    <w:name w:val="annotation reference"/>
    <w:basedOn w:val="Carpredefinitoparagrafo"/>
    <w:uiPriority w:val="99"/>
    <w:semiHidden/>
    <w:unhideWhenUsed/>
    <w:rsid w:val="00F144D4"/>
    <w:rPr>
      <w:sz w:val="16"/>
      <w:szCs w:val="16"/>
    </w:rPr>
  </w:style>
  <w:style w:type="paragraph" w:styleId="Testocommento">
    <w:name w:val="annotation text"/>
    <w:basedOn w:val="Normale"/>
    <w:link w:val="TestocommentoCarattere"/>
    <w:uiPriority w:val="99"/>
    <w:semiHidden/>
    <w:unhideWhenUsed/>
    <w:rsid w:val="00F144D4"/>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F144D4"/>
    <w:rPr>
      <w:sz w:val="20"/>
      <w:szCs w:val="20"/>
    </w:rPr>
  </w:style>
  <w:style w:type="paragraph" w:styleId="Soggettocommento">
    <w:name w:val="annotation subject"/>
    <w:basedOn w:val="Testocommento"/>
    <w:next w:val="Testocommento"/>
    <w:link w:val="SoggettocommentoCarattere"/>
    <w:uiPriority w:val="99"/>
    <w:semiHidden/>
    <w:unhideWhenUsed/>
    <w:rsid w:val="00F144D4"/>
    <w:rPr>
      <w:b/>
      <w:bCs/>
    </w:rPr>
  </w:style>
  <w:style w:type="character" w:customStyle="1" w:styleId="SoggettocommentoCarattere">
    <w:name w:val="Soggetto commento Carattere"/>
    <w:basedOn w:val="TestocommentoCarattere"/>
    <w:link w:val="Soggettocommento"/>
    <w:uiPriority w:val="99"/>
    <w:semiHidden/>
    <w:rsid w:val="00F144D4"/>
    <w:rPr>
      <w:b/>
      <w:bCs/>
      <w:sz w:val="20"/>
      <w:szCs w:val="20"/>
    </w:rPr>
  </w:style>
  <w:style w:type="table" w:styleId="Grigliatabella">
    <w:name w:val="Table Grid"/>
    <w:basedOn w:val="Tabellanormale"/>
    <w:uiPriority w:val="39"/>
    <w:rsid w:val="007A529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Numeroriga">
    <w:name w:val="line number"/>
    <w:basedOn w:val="Carpredefinitoparagrafo"/>
    <w:uiPriority w:val="99"/>
    <w:semiHidden/>
    <w:unhideWhenUsed/>
    <w:rsid w:val="006A12DA"/>
  </w:style>
  <w:style w:type="character" w:customStyle="1" w:styleId="NormaleWebCarattere">
    <w:name w:val="Normale (Web) Carattere"/>
    <w:basedOn w:val="Carpredefinitoparagrafo"/>
    <w:link w:val="NormaleWeb"/>
    <w:uiPriority w:val="99"/>
    <w:rsid w:val="00182A57"/>
    <w:rPr>
      <w:rFonts w:ascii="Times New Roman" w:eastAsia="Times New Roman" w:hAnsi="Times New Roman" w:cs="Times New Roman"/>
      <w:sz w:val="24"/>
      <w:szCs w:val="24"/>
      <w:lang w:eastAsia="es-AR"/>
    </w:rPr>
  </w:style>
  <w:style w:type="character" w:styleId="Collegamentoipertestuale">
    <w:name w:val="Hyperlink"/>
    <w:basedOn w:val="Carpredefinitoparagrafo"/>
    <w:uiPriority w:val="99"/>
    <w:unhideWhenUsed/>
    <w:rsid w:val="00706AF9"/>
    <w:rPr>
      <w:color w:val="0000FF" w:themeColor="hyperlink"/>
      <w:u w:val="single"/>
    </w:rPr>
  </w:style>
  <w:style w:type="character" w:styleId="Menzionenonrisolta">
    <w:name w:val="Unresolved Mention"/>
    <w:basedOn w:val="Carpredefinitoparagrafo"/>
    <w:uiPriority w:val="99"/>
    <w:semiHidden/>
    <w:unhideWhenUsed/>
    <w:rsid w:val="00706AF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8785472">
      <w:bodyDiv w:val="1"/>
      <w:marLeft w:val="0"/>
      <w:marRight w:val="0"/>
      <w:marTop w:val="0"/>
      <w:marBottom w:val="0"/>
      <w:divBdr>
        <w:top w:val="none" w:sz="0" w:space="0" w:color="auto"/>
        <w:left w:val="none" w:sz="0" w:space="0" w:color="auto"/>
        <w:bottom w:val="none" w:sz="0" w:space="0" w:color="auto"/>
        <w:right w:val="none" w:sz="0" w:space="0" w:color="auto"/>
      </w:divBdr>
    </w:div>
    <w:div w:id="371811130">
      <w:bodyDiv w:val="1"/>
      <w:marLeft w:val="0"/>
      <w:marRight w:val="0"/>
      <w:marTop w:val="0"/>
      <w:marBottom w:val="0"/>
      <w:divBdr>
        <w:top w:val="none" w:sz="0" w:space="0" w:color="auto"/>
        <w:left w:val="none" w:sz="0" w:space="0" w:color="auto"/>
        <w:bottom w:val="none" w:sz="0" w:space="0" w:color="auto"/>
        <w:right w:val="none" w:sz="0" w:space="0" w:color="auto"/>
      </w:divBdr>
      <w:divsChild>
        <w:div w:id="1357077029">
          <w:marLeft w:val="0"/>
          <w:marRight w:val="0"/>
          <w:marTop w:val="0"/>
          <w:marBottom w:val="0"/>
          <w:divBdr>
            <w:top w:val="none" w:sz="0" w:space="0" w:color="auto"/>
            <w:left w:val="none" w:sz="0" w:space="0" w:color="auto"/>
            <w:bottom w:val="none" w:sz="0" w:space="0" w:color="auto"/>
            <w:right w:val="none" w:sz="0" w:space="0" w:color="auto"/>
          </w:divBdr>
          <w:divsChild>
            <w:div w:id="279454047">
              <w:marLeft w:val="0"/>
              <w:marRight w:val="0"/>
              <w:marTop w:val="0"/>
              <w:marBottom w:val="0"/>
              <w:divBdr>
                <w:top w:val="none" w:sz="0" w:space="0" w:color="auto"/>
                <w:left w:val="none" w:sz="0" w:space="0" w:color="auto"/>
                <w:bottom w:val="none" w:sz="0" w:space="0" w:color="auto"/>
                <w:right w:val="none" w:sz="0" w:space="0" w:color="auto"/>
              </w:divBdr>
              <w:divsChild>
                <w:div w:id="374695413">
                  <w:marLeft w:val="0"/>
                  <w:marRight w:val="0"/>
                  <w:marTop w:val="0"/>
                  <w:marBottom w:val="0"/>
                  <w:divBdr>
                    <w:top w:val="none" w:sz="0" w:space="0" w:color="auto"/>
                    <w:left w:val="none" w:sz="0" w:space="0" w:color="auto"/>
                    <w:bottom w:val="none" w:sz="0" w:space="0" w:color="auto"/>
                    <w:right w:val="none" w:sz="0" w:space="0" w:color="auto"/>
                  </w:divBdr>
                  <w:divsChild>
                    <w:div w:id="1683897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205765">
          <w:marLeft w:val="0"/>
          <w:marRight w:val="0"/>
          <w:marTop w:val="0"/>
          <w:marBottom w:val="0"/>
          <w:divBdr>
            <w:top w:val="none" w:sz="0" w:space="0" w:color="auto"/>
            <w:left w:val="none" w:sz="0" w:space="0" w:color="auto"/>
            <w:bottom w:val="none" w:sz="0" w:space="0" w:color="auto"/>
            <w:right w:val="none" w:sz="0" w:space="0" w:color="auto"/>
          </w:divBdr>
          <w:divsChild>
            <w:div w:id="2071881689">
              <w:marLeft w:val="0"/>
              <w:marRight w:val="0"/>
              <w:marTop w:val="0"/>
              <w:marBottom w:val="0"/>
              <w:divBdr>
                <w:top w:val="none" w:sz="0" w:space="0" w:color="auto"/>
                <w:left w:val="none" w:sz="0" w:space="0" w:color="auto"/>
                <w:bottom w:val="none" w:sz="0" w:space="0" w:color="auto"/>
                <w:right w:val="none" w:sz="0" w:space="0" w:color="auto"/>
              </w:divBdr>
              <w:divsChild>
                <w:div w:id="1453549191">
                  <w:marLeft w:val="0"/>
                  <w:marRight w:val="0"/>
                  <w:marTop w:val="0"/>
                  <w:marBottom w:val="0"/>
                  <w:divBdr>
                    <w:top w:val="none" w:sz="0" w:space="0" w:color="auto"/>
                    <w:left w:val="none" w:sz="0" w:space="0" w:color="auto"/>
                    <w:bottom w:val="none" w:sz="0" w:space="0" w:color="auto"/>
                    <w:right w:val="none" w:sz="0" w:space="0" w:color="auto"/>
                  </w:divBdr>
                  <w:divsChild>
                    <w:div w:id="1633630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3164863">
      <w:bodyDiv w:val="1"/>
      <w:marLeft w:val="0"/>
      <w:marRight w:val="0"/>
      <w:marTop w:val="0"/>
      <w:marBottom w:val="0"/>
      <w:divBdr>
        <w:top w:val="none" w:sz="0" w:space="0" w:color="auto"/>
        <w:left w:val="none" w:sz="0" w:space="0" w:color="auto"/>
        <w:bottom w:val="none" w:sz="0" w:space="0" w:color="auto"/>
        <w:right w:val="none" w:sz="0" w:space="0" w:color="auto"/>
      </w:divBdr>
    </w:div>
    <w:div w:id="912161743">
      <w:bodyDiv w:val="1"/>
      <w:marLeft w:val="0"/>
      <w:marRight w:val="0"/>
      <w:marTop w:val="0"/>
      <w:marBottom w:val="0"/>
      <w:divBdr>
        <w:top w:val="none" w:sz="0" w:space="0" w:color="auto"/>
        <w:left w:val="none" w:sz="0" w:space="0" w:color="auto"/>
        <w:bottom w:val="none" w:sz="0" w:space="0" w:color="auto"/>
        <w:right w:val="none" w:sz="0" w:space="0" w:color="auto"/>
      </w:divBdr>
    </w:div>
    <w:div w:id="1019625208">
      <w:bodyDiv w:val="1"/>
      <w:marLeft w:val="0"/>
      <w:marRight w:val="0"/>
      <w:marTop w:val="0"/>
      <w:marBottom w:val="0"/>
      <w:divBdr>
        <w:top w:val="none" w:sz="0" w:space="0" w:color="auto"/>
        <w:left w:val="none" w:sz="0" w:space="0" w:color="auto"/>
        <w:bottom w:val="none" w:sz="0" w:space="0" w:color="auto"/>
        <w:right w:val="none" w:sz="0" w:space="0" w:color="auto"/>
      </w:divBdr>
    </w:div>
    <w:div w:id="1252811272">
      <w:bodyDiv w:val="1"/>
      <w:marLeft w:val="0"/>
      <w:marRight w:val="0"/>
      <w:marTop w:val="0"/>
      <w:marBottom w:val="0"/>
      <w:divBdr>
        <w:top w:val="none" w:sz="0" w:space="0" w:color="auto"/>
        <w:left w:val="none" w:sz="0" w:space="0" w:color="auto"/>
        <w:bottom w:val="none" w:sz="0" w:space="0" w:color="auto"/>
        <w:right w:val="none" w:sz="0" w:space="0" w:color="auto"/>
      </w:divBdr>
      <w:divsChild>
        <w:div w:id="2096658234">
          <w:marLeft w:val="0"/>
          <w:marRight w:val="0"/>
          <w:marTop w:val="0"/>
          <w:marBottom w:val="0"/>
          <w:divBdr>
            <w:top w:val="none" w:sz="0" w:space="0" w:color="auto"/>
            <w:left w:val="none" w:sz="0" w:space="0" w:color="auto"/>
            <w:bottom w:val="none" w:sz="0" w:space="0" w:color="auto"/>
            <w:right w:val="none" w:sz="0" w:space="0" w:color="auto"/>
          </w:divBdr>
          <w:divsChild>
            <w:div w:id="181824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605773">
      <w:bodyDiv w:val="1"/>
      <w:marLeft w:val="0"/>
      <w:marRight w:val="0"/>
      <w:marTop w:val="0"/>
      <w:marBottom w:val="0"/>
      <w:divBdr>
        <w:top w:val="none" w:sz="0" w:space="0" w:color="auto"/>
        <w:left w:val="none" w:sz="0" w:space="0" w:color="auto"/>
        <w:bottom w:val="none" w:sz="0" w:space="0" w:color="auto"/>
        <w:right w:val="none" w:sz="0" w:space="0" w:color="auto"/>
      </w:divBdr>
    </w:div>
    <w:div w:id="1494686339">
      <w:bodyDiv w:val="1"/>
      <w:marLeft w:val="0"/>
      <w:marRight w:val="0"/>
      <w:marTop w:val="0"/>
      <w:marBottom w:val="0"/>
      <w:divBdr>
        <w:top w:val="none" w:sz="0" w:space="0" w:color="auto"/>
        <w:left w:val="none" w:sz="0" w:space="0" w:color="auto"/>
        <w:bottom w:val="none" w:sz="0" w:space="0" w:color="auto"/>
        <w:right w:val="none" w:sz="0" w:space="0" w:color="auto"/>
      </w:divBdr>
    </w:div>
    <w:div w:id="1515612693">
      <w:bodyDiv w:val="1"/>
      <w:marLeft w:val="0"/>
      <w:marRight w:val="0"/>
      <w:marTop w:val="0"/>
      <w:marBottom w:val="0"/>
      <w:divBdr>
        <w:top w:val="none" w:sz="0" w:space="0" w:color="auto"/>
        <w:left w:val="none" w:sz="0" w:space="0" w:color="auto"/>
        <w:bottom w:val="none" w:sz="0" w:space="0" w:color="auto"/>
        <w:right w:val="none" w:sz="0" w:space="0" w:color="auto"/>
      </w:divBdr>
    </w:div>
    <w:div w:id="1968657379">
      <w:bodyDiv w:val="1"/>
      <w:marLeft w:val="0"/>
      <w:marRight w:val="0"/>
      <w:marTop w:val="0"/>
      <w:marBottom w:val="0"/>
      <w:divBdr>
        <w:top w:val="none" w:sz="0" w:space="0" w:color="auto"/>
        <w:left w:val="none" w:sz="0" w:space="0" w:color="auto"/>
        <w:bottom w:val="none" w:sz="0" w:space="0" w:color="auto"/>
        <w:right w:val="none" w:sz="0" w:space="0" w:color="auto"/>
      </w:divBdr>
    </w:div>
    <w:div w:id="1977639285">
      <w:bodyDiv w:val="1"/>
      <w:marLeft w:val="0"/>
      <w:marRight w:val="0"/>
      <w:marTop w:val="0"/>
      <w:marBottom w:val="0"/>
      <w:divBdr>
        <w:top w:val="none" w:sz="0" w:space="0" w:color="auto"/>
        <w:left w:val="none" w:sz="0" w:space="0" w:color="auto"/>
        <w:bottom w:val="none" w:sz="0" w:space="0" w:color="auto"/>
        <w:right w:val="none" w:sz="0" w:space="0" w:color="auto"/>
      </w:divBdr>
    </w:div>
    <w:div w:id="2006741252">
      <w:bodyDiv w:val="1"/>
      <w:marLeft w:val="0"/>
      <w:marRight w:val="0"/>
      <w:marTop w:val="0"/>
      <w:marBottom w:val="0"/>
      <w:divBdr>
        <w:top w:val="none" w:sz="0" w:space="0" w:color="auto"/>
        <w:left w:val="none" w:sz="0" w:space="0" w:color="auto"/>
        <w:bottom w:val="none" w:sz="0" w:space="0" w:color="auto"/>
        <w:right w:val="none" w:sz="0" w:space="0" w:color="auto"/>
      </w:divBdr>
      <w:divsChild>
        <w:div w:id="1556502612">
          <w:marLeft w:val="0"/>
          <w:marRight w:val="0"/>
          <w:marTop w:val="0"/>
          <w:marBottom w:val="0"/>
          <w:divBdr>
            <w:top w:val="none" w:sz="0" w:space="0" w:color="auto"/>
            <w:left w:val="none" w:sz="0" w:space="0" w:color="auto"/>
            <w:bottom w:val="none" w:sz="0" w:space="0" w:color="auto"/>
            <w:right w:val="none" w:sz="0" w:space="0" w:color="auto"/>
          </w:divBdr>
          <w:divsChild>
            <w:div w:id="14543266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gaojeda@exa.unne.edu.ar"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C6BE5169-37C8-46DE-980B-2D09DCFF52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20</Pages>
  <Words>42407</Words>
  <Characters>241722</Characters>
  <Application>Microsoft Office Word</Application>
  <DocSecurity>0</DocSecurity>
  <Lines>2014</Lines>
  <Paragraphs>567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283562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GONZALO</dc:creator>
  <cp:lastModifiedBy>Gustavo Filippucci</cp:lastModifiedBy>
  <cp:revision>2</cp:revision>
  <dcterms:created xsi:type="dcterms:W3CDTF">2026-03-30T06:22:00Z</dcterms:created>
  <dcterms:modified xsi:type="dcterms:W3CDTF">2026-03-30T06:22:00Z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http://www.zotero.org/styles/american-sociological-association</vt:lpwstr>
  </property>
  <property fmtid="{D5CDD505-2E9C-101B-9397-08002B2CF9AE}" pid="5" name="Mendeley Recent Style Name 1_1">
    <vt:lpwstr>American Sociological Association 6th/7th edition</vt:lpwstr>
  </property>
  <property fmtid="{D5CDD505-2E9C-101B-9397-08002B2CF9AE}" pid="6" name="Mendeley Recent Style Id 2_1">
    <vt:lpwstr>http://www.zotero.org/styles/harvard-cite-them-right</vt:lpwstr>
  </property>
  <property fmtid="{D5CDD505-2E9C-101B-9397-08002B2CF9AE}" pid="7" name="Mendeley Recent Style Name 2_1">
    <vt:lpwstr>Cite Them Right 12th edition - Harvard</vt:lpwstr>
  </property>
  <property fmtid="{D5CDD505-2E9C-101B-9397-08002B2CF9AE}" pid="8" name="Mendeley Recent Style Id 3_1">
    <vt:lpwstr>http://www.zotero.org/styles/heliyon</vt:lpwstr>
  </property>
  <property fmtid="{D5CDD505-2E9C-101B-9397-08002B2CF9AE}" pid="9" name="Mendeley Recent Style Name 3_1">
    <vt:lpwstr>Heliyon</vt:lpwstr>
  </property>
  <property fmtid="{D5CDD505-2E9C-101B-9397-08002B2CF9AE}" pid="10" name="Mendeley Recent Style Id 4_1">
    <vt:lpwstr>http://www.zotero.org/styles/ieee</vt:lpwstr>
  </property>
  <property fmtid="{D5CDD505-2E9C-101B-9397-08002B2CF9AE}" pid="11" name="Mendeley Recent Style Name 4_1">
    <vt:lpwstr>IEEE</vt:lpwstr>
  </property>
  <property fmtid="{D5CDD505-2E9C-101B-9397-08002B2CF9AE}" pid="12" name="Mendeley Recent Style Id 5_1">
    <vt:lpwstr>http://www.zotero.org/styles/journal-of-molecular-liquids</vt:lpwstr>
  </property>
  <property fmtid="{D5CDD505-2E9C-101B-9397-08002B2CF9AE}" pid="13" name="Mendeley Recent Style Name 5_1">
    <vt:lpwstr>Journal of Molecular Liquids</vt:lpwstr>
  </property>
  <property fmtid="{D5CDD505-2E9C-101B-9397-08002B2CF9AE}" pid="14" name="Mendeley Recent Style Id 6_1">
    <vt:lpwstr>http://www.zotero.org/styles/modern-humanities-research-association</vt:lpwstr>
  </property>
  <property fmtid="{D5CDD505-2E9C-101B-9397-08002B2CF9AE}" pid="15" name="Mendeley Recent Style Name 6_1">
    <vt:lpwstr>Modern Humanities Research Association 4th edition (note with bibliography)</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9th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http://www.zotero.org/styles/springer-basic-author-date</vt:lpwstr>
  </property>
  <property fmtid="{D5CDD505-2E9C-101B-9397-08002B2CF9AE}" pid="21" name="Mendeley Recent Style Name 9_1">
    <vt:lpwstr>Springer - Basic (author-date)</vt:lpwstr>
  </property>
  <property fmtid="{D5CDD505-2E9C-101B-9397-08002B2CF9AE}" pid="22" name="Mendeley Citation Style_1">
    <vt:lpwstr>http://www.zotero.org/styles/journal-of-molecular-liquids</vt:lpwstr>
  </property>
  <property fmtid="{D5CDD505-2E9C-101B-9397-08002B2CF9AE}" pid="23" name="Mendeley Document_1">
    <vt:lpwstr>True</vt:lpwstr>
  </property>
  <property fmtid="{D5CDD505-2E9C-101B-9397-08002B2CF9AE}" pid="24" name="Mendeley Unique User Id_1">
    <vt:lpwstr>3c8c56d2-0be3-3927-884a-ebd1f20165b5</vt:lpwstr>
  </property>
</Properties>
</file>