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A886B" w14:textId="68B7D175" w:rsidR="00C403CA" w:rsidRDefault="00962D55">
      <w:pPr>
        <w:rPr>
          <w:rFonts w:cstheme="minorHAnsi"/>
          <w:b/>
          <w:bCs/>
          <w:sz w:val="24"/>
          <w:szCs w:val="24"/>
        </w:rPr>
      </w:pPr>
      <w:r w:rsidRPr="00962D55">
        <w:rPr>
          <w:rFonts w:cstheme="minorHAnsi"/>
          <w:b/>
          <w:bCs/>
          <w:sz w:val="24"/>
          <w:szCs w:val="24"/>
        </w:rPr>
        <w:t>Identification and management of gastrointestinal manifestations of hereditary transthyretin amyloidosis: recommendations from an Italian group of experts</w:t>
      </w:r>
    </w:p>
    <w:p w14:paraId="592C5CA4" w14:textId="77777777" w:rsidR="00962D55" w:rsidRDefault="00962D55"/>
    <w:p w14:paraId="374A9AB9" w14:textId="36DF1718" w:rsidR="00344FEF" w:rsidRPr="00891EE7" w:rsidRDefault="00891EE7">
      <w:pPr>
        <w:rPr>
          <w:b/>
          <w:bCs/>
        </w:rPr>
      </w:pPr>
      <w:r w:rsidRPr="00891EE7">
        <w:rPr>
          <w:b/>
          <w:bCs/>
        </w:rPr>
        <w:t>SUPPLEMENTARY MATERIAL</w:t>
      </w:r>
    </w:p>
    <w:p w14:paraId="4ECF9E32" w14:textId="21E4B77B" w:rsidR="00891EE7" w:rsidRDefault="00891EE7" w:rsidP="00344FEF">
      <w:pPr>
        <w:jc w:val="both"/>
        <w:rPr>
          <w:b/>
          <w:bCs/>
          <w:sz w:val="24"/>
          <w:szCs w:val="24"/>
        </w:rPr>
      </w:pPr>
      <w:r w:rsidRPr="00085915">
        <w:rPr>
          <w:noProof/>
        </w:rPr>
        <w:drawing>
          <wp:anchor distT="0" distB="0" distL="114300" distR="114300" simplePos="0" relativeHeight="251658240" behindDoc="0" locked="0" layoutInCell="1" allowOverlap="1" wp14:anchorId="642F504D" wp14:editId="0092BD0D">
            <wp:simplePos x="0" y="0"/>
            <wp:positionH relativeFrom="column">
              <wp:posOffset>-26670</wp:posOffset>
            </wp:positionH>
            <wp:positionV relativeFrom="paragraph">
              <wp:posOffset>75565</wp:posOffset>
            </wp:positionV>
            <wp:extent cx="6120130" cy="2458085"/>
            <wp:effectExtent l="0" t="0" r="0" b="0"/>
            <wp:wrapNone/>
            <wp:docPr id="22008570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085705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58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4F30D9" w14:textId="19F211E8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47A0AE4E" w14:textId="1E288E4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44DB3548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6389DB37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69FA0C1E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4AFFC270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50EE36B4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1341A791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45913E61" w14:textId="77777777" w:rsidR="00891EE7" w:rsidRDefault="00891EE7" w:rsidP="00344FEF">
      <w:pPr>
        <w:jc w:val="both"/>
        <w:rPr>
          <w:b/>
          <w:bCs/>
          <w:sz w:val="24"/>
          <w:szCs w:val="24"/>
        </w:rPr>
      </w:pPr>
    </w:p>
    <w:p w14:paraId="61E2EF08" w14:textId="70610FFC" w:rsidR="00344FEF" w:rsidRDefault="00344FEF" w:rsidP="00344FEF">
      <w:pPr>
        <w:jc w:val="both"/>
        <w:rPr>
          <w:rFonts w:cstheme="minorHAnsi"/>
          <w:sz w:val="24"/>
          <w:szCs w:val="24"/>
        </w:rPr>
      </w:pPr>
      <w:r w:rsidRPr="00344FEF">
        <w:rPr>
          <w:b/>
          <w:bCs/>
          <w:sz w:val="24"/>
          <w:szCs w:val="24"/>
        </w:rPr>
        <w:t>Supplementary Figure 1. Strategy for diagnosis of hereditary transthyretin amyloidosis</w:t>
      </w:r>
      <w:r>
        <w:rPr>
          <w:b/>
          <w:bCs/>
          <w:sz w:val="24"/>
          <w:szCs w:val="24"/>
        </w:rPr>
        <w:t xml:space="preserve">. </w:t>
      </w:r>
      <w:r w:rsidR="00962D55">
        <w:rPr>
          <w:rFonts w:cstheme="minorHAnsi"/>
          <w:sz w:val="24"/>
          <w:szCs w:val="24"/>
        </w:rPr>
        <w:t>I</w:t>
      </w:r>
      <w:r w:rsidRPr="00A10FDD">
        <w:rPr>
          <w:rFonts w:cstheme="minorHAnsi"/>
          <w:sz w:val="24"/>
          <w:szCs w:val="24"/>
        </w:rPr>
        <w:t xml:space="preserve">t is recommended to ask for genetic testing in parallel with </w:t>
      </w:r>
      <w:r>
        <w:rPr>
          <w:rFonts w:cstheme="minorHAnsi"/>
          <w:sz w:val="24"/>
          <w:szCs w:val="24"/>
        </w:rPr>
        <w:t xml:space="preserve">the </w:t>
      </w:r>
      <w:r w:rsidRPr="00A10FDD">
        <w:rPr>
          <w:rFonts w:cstheme="minorHAnsi"/>
          <w:sz w:val="24"/>
          <w:szCs w:val="24"/>
        </w:rPr>
        <w:t xml:space="preserve">detection of amyloid in biopsy samples, </w:t>
      </w:r>
      <w:r>
        <w:rPr>
          <w:rFonts w:cstheme="minorHAnsi"/>
          <w:sz w:val="24"/>
          <w:szCs w:val="24"/>
        </w:rPr>
        <w:t>particularly</w:t>
      </w:r>
      <w:r w:rsidRPr="00A10FDD">
        <w:rPr>
          <w:rFonts w:cstheme="minorHAnsi"/>
          <w:sz w:val="24"/>
          <w:szCs w:val="24"/>
        </w:rPr>
        <w:t xml:space="preserve"> in non-endemic areas</w:t>
      </w:r>
      <w:r w:rsidR="00085915">
        <w:rPr>
          <w:rFonts w:cstheme="minorHAnsi"/>
          <w:sz w:val="24"/>
          <w:szCs w:val="24"/>
        </w:rPr>
        <w:t xml:space="preserve">. Adapted from [4] </w:t>
      </w:r>
      <w:r w:rsidR="00085915" w:rsidRPr="00085915">
        <w:rPr>
          <w:rFonts w:cstheme="minorHAnsi"/>
          <w:sz w:val="24"/>
          <w:szCs w:val="24"/>
        </w:rPr>
        <w:t>under a Creative Commons Attribution 4.0 International License.</w:t>
      </w:r>
    </w:p>
    <w:p w14:paraId="576473AE" w14:textId="77777777" w:rsidR="00537C46" w:rsidRDefault="00537C46" w:rsidP="00344FEF">
      <w:pPr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552"/>
        <w:gridCol w:w="2409"/>
        <w:gridCol w:w="2262"/>
      </w:tblGrid>
      <w:tr w:rsidR="00537C46" w14:paraId="08F19FC8" w14:textId="77777777" w:rsidTr="00A6072F">
        <w:tc>
          <w:tcPr>
            <w:tcW w:w="9628" w:type="dxa"/>
            <w:gridSpan w:val="4"/>
          </w:tcPr>
          <w:p w14:paraId="365F8156" w14:textId="784F66F6" w:rsidR="00537C46" w:rsidRPr="00537C46" w:rsidRDefault="00537C46" w:rsidP="00344FEF">
            <w:pPr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Supplementary Table 1. </w:t>
            </w:r>
            <w:r w:rsidRPr="00537C46">
              <w:rPr>
                <w:b/>
                <w:bCs/>
                <w:sz w:val="24"/>
                <w:szCs w:val="24"/>
              </w:rPr>
              <w:t>Diagnostic tools for ATTR-PN.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Adapted from [4] </w:t>
            </w:r>
            <w:r w:rsidRPr="00085915">
              <w:rPr>
                <w:rFonts w:cstheme="minorHAnsi"/>
                <w:sz w:val="24"/>
                <w:szCs w:val="24"/>
              </w:rPr>
              <w:t>under a Creative Commons Attribution 4.0 International License.</w:t>
            </w:r>
          </w:p>
        </w:tc>
      </w:tr>
      <w:tr w:rsidR="00537C46" w14:paraId="5F717CE2" w14:textId="77777777" w:rsidTr="005C3483">
        <w:tc>
          <w:tcPr>
            <w:tcW w:w="4957" w:type="dxa"/>
            <w:gridSpan w:val="2"/>
          </w:tcPr>
          <w:p w14:paraId="55DA780D" w14:textId="37CEB3F2" w:rsidR="00537C46" w:rsidRDefault="00537C46" w:rsidP="00344FEF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671" w:type="dxa"/>
            <w:gridSpan w:val="2"/>
          </w:tcPr>
          <w:p w14:paraId="393C756C" w14:textId="3B969350" w:rsidR="00537C46" w:rsidRDefault="00537C46" w:rsidP="00537C46">
            <w:pPr>
              <w:jc w:val="center"/>
              <w:rPr>
                <w:b/>
                <w:bCs/>
                <w:sz w:val="24"/>
                <w:szCs w:val="24"/>
              </w:rPr>
            </w:pPr>
            <w:r w:rsidRPr="00537C46">
              <w:rPr>
                <w:b/>
                <w:bCs/>
                <w:sz w:val="24"/>
                <w:szCs w:val="24"/>
              </w:rPr>
              <w:t>Amyloid detection</w:t>
            </w:r>
          </w:p>
        </w:tc>
      </w:tr>
      <w:tr w:rsidR="00537C46" w14:paraId="44979616" w14:textId="77777777" w:rsidTr="00537C46">
        <w:tc>
          <w:tcPr>
            <w:tcW w:w="2405" w:type="dxa"/>
          </w:tcPr>
          <w:p w14:paraId="04C92D19" w14:textId="77777777" w:rsidR="00537C46" w:rsidRDefault="00537C46" w:rsidP="00344FEF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52" w:type="dxa"/>
          </w:tcPr>
          <w:p w14:paraId="34D3C411" w14:textId="0FDA0A88" w:rsidR="00537C46" w:rsidRPr="00537C46" w:rsidRDefault="00537C46" w:rsidP="00344FEF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b/>
                <w:bCs/>
                <w:sz w:val="24"/>
                <w:szCs w:val="24"/>
              </w:rPr>
              <w:t>TTR gene analysis</w:t>
            </w:r>
          </w:p>
        </w:tc>
        <w:tc>
          <w:tcPr>
            <w:tcW w:w="2409" w:type="dxa"/>
          </w:tcPr>
          <w:p w14:paraId="13E3B909" w14:textId="46B17628" w:rsidR="00537C46" w:rsidRPr="00537C46" w:rsidRDefault="00537C46" w:rsidP="00344FEF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b/>
                <w:bCs/>
                <w:sz w:val="24"/>
                <w:szCs w:val="24"/>
              </w:rPr>
              <w:t>Biopsy</w:t>
            </w:r>
          </w:p>
        </w:tc>
        <w:tc>
          <w:tcPr>
            <w:tcW w:w="2262" w:type="dxa"/>
          </w:tcPr>
          <w:p w14:paraId="3B158B8E" w14:textId="5DBB0D03" w:rsidR="00537C46" w:rsidRPr="00537C46" w:rsidRDefault="00537C46" w:rsidP="00344FEF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b/>
                <w:bCs/>
                <w:sz w:val="24"/>
                <w:szCs w:val="24"/>
              </w:rPr>
              <w:t>DPD, PYP, HMDP scintigraphy</w:t>
            </w:r>
          </w:p>
        </w:tc>
      </w:tr>
      <w:tr w:rsidR="00537C46" w14:paraId="3BC0DA16" w14:textId="77777777" w:rsidTr="00537C46">
        <w:tc>
          <w:tcPr>
            <w:tcW w:w="2405" w:type="dxa"/>
          </w:tcPr>
          <w:p w14:paraId="35E41445" w14:textId="0CE6E3D6" w:rsid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b/>
                <w:bCs/>
                <w:sz w:val="24"/>
                <w:szCs w:val="24"/>
              </w:rPr>
              <w:t>Advantages</w:t>
            </w:r>
          </w:p>
        </w:tc>
        <w:tc>
          <w:tcPr>
            <w:tcW w:w="2552" w:type="dxa"/>
          </w:tcPr>
          <w:p w14:paraId="076C59C2" w14:textId="7777777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Looking for 1 of the 130 amyloidogenic</w:t>
            </w:r>
          </w:p>
          <w:p w14:paraId="27F94D97" w14:textId="77777777" w:rsidR="00537C46" w:rsidRDefault="00537C46" w:rsidP="00537C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537C46">
              <w:rPr>
                <w:sz w:val="24"/>
                <w:szCs w:val="24"/>
              </w:rPr>
              <w:t>ariants</w:t>
            </w:r>
            <w:r>
              <w:rPr>
                <w:sz w:val="24"/>
                <w:szCs w:val="24"/>
              </w:rPr>
              <w:t xml:space="preserve">; </w:t>
            </w:r>
          </w:p>
          <w:p w14:paraId="04099828" w14:textId="2D8F775E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537C46">
              <w:rPr>
                <w:sz w:val="24"/>
                <w:szCs w:val="24"/>
              </w:rPr>
              <w:t>ossible to rule out ATTRv if gene analysis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is negative for a variant</w:t>
            </w:r>
            <w:r>
              <w:rPr>
                <w:sz w:val="24"/>
                <w:szCs w:val="24"/>
              </w:rPr>
              <w:t>;</w:t>
            </w:r>
          </w:p>
          <w:p w14:paraId="09EA5F68" w14:textId="1996E37B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537C46">
              <w:rPr>
                <w:sz w:val="24"/>
                <w:szCs w:val="24"/>
              </w:rPr>
              <w:t>astest method to confrm ATTRv in case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of neuropathy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2409" w:type="dxa"/>
          </w:tcPr>
          <w:p w14:paraId="7F5ABF11" w14:textId="2A154BAC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Formal proof of amyloidosis in carriers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of TTR variants and sporadic amyloid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neuropathy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2262" w:type="dxa"/>
          </w:tcPr>
          <w:p w14:paraId="5760E869" w14:textId="2C13A996" w:rsidR="00537C46" w:rsidRPr="00537C46" w:rsidRDefault="00962D55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Non</w:t>
            </w:r>
            <w:r>
              <w:rPr>
                <w:sz w:val="24"/>
                <w:szCs w:val="24"/>
              </w:rPr>
              <w:t>-</w:t>
            </w:r>
            <w:r w:rsidRPr="00537C46">
              <w:rPr>
                <w:sz w:val="24"/>
                <w:szCs w:val="24"/>
              </w:rPr>
              <w:t>invasive</w:t>
            </w:r>
            <w:r w:rsidR="00537C46">
              <w:rPr>
                <w:sz w:val="24"/>
                <w:szCs w:val="24"/>
              </w:rPr>
              <w:t xml:space="preserve"> </w:t>
            </w:r>
            <w:r w:rsidR="00537C46" w:rsidRPr="00537C46">
              <w:rPr>
                <w:sz w:val="24"/>
                <w:szCs w:val="24"/>
              </w:rPr>
              <w:t>demonstration of cardiac</w:t>
            </w:r>
            <w:r w:rsidR="00537C46">
              <w:rPr>
                <w:sz w:val="24"/>
                <w:szCs w:val="24"/>
              </w:rPr>
              <w:t xml:space="preserve"> </w:t>
            </w:r>
            <w:r w:rsidR="00537C46" w:rsidRPr="00537C46">
              <w:rPr>
                <w:sz w:val="24"/>
                <w:szCs w:val="24"/>
              </w:rPr>
              <w:t>amyloid with bone scintigraphy</w:t>
            </w:r>
          </w:p>
        </w:tc>
      </w:tr>
      <w:tr w:rsidR="00537C46" w14:paraId="345B9028" w14:textId="77777777" w:rsidTr="00537C46">
        <w:tc>
          <w:tcPr>
            <w:tcW w:w="2405" w:type="dxa"/>
          </w:tcPr>
          <w:p w14:paraId="68B75A0E" w14:textId="10BF4BA8" w:rsid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Rules</w:t>
            </w:r>
          </w:p>
        </w:tc>
        <w:tc>
          <w:tcPr>
            <w:tcW w:w="2552" w:type="dxa"/>
          </w:tcPr>
          <w:p w14:paraId="5D06BE06" w14:textId="40E5D1E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TTR gene sequencing of the 4 exons</w:t>
            </w:r>
          </w:p>
        </w:tc>
        <w:tc>
          <w:tcPr>
            <w:tcW w:w="2409" w:type="dxa"/>
          </w:tcPr>
          <w:p w14:paraId="49F11868" w14:textId="0DCC8C54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Congo red staining</w:t>
            </w:r>
            <w:r>
              <w:rPr>
                <w:sz w:val="24"/>
                <w:szCs w:val="24"/>
              </w:rPr>
              <w:t>;</w:t>
            </w:r>
          </w:p>
          <w:p w14:paraId="66B4DE71" w14:textId="3DBF6804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 w:rsidRPr="00537C46">
              <w:rPr>
                <w:sz w:val="24"/>
                <w:szCs w:val="24"/>
              </w:rPr>
              <w:t>xamination under polarized microscopy</w:t>
            </w:r>
            <w:r>
              <w:rPr>
                <w:sz w:val="24"/>
                <w:szCs w:val="24"/>
              </w:rPr>
              <w:t>; m</w:t>
            </w:r>
            <w:r w:rsidRPr="00537C46">
              <w:rPr>
                <w:sz w:val="24"/>
                <w:szCs w:val="24"/>
              </w:rPr>
              <w:t xml:space="preserve">any sections often </w:t>
            </w:r>
            <w:r w:rsidRPr="00537C46">
              <w:rPr>
                <w:sz w:val="24"/>
                <w:szCs w:val="24"/>
              </w:rPr>
              <w:lastRenderedPageBreak/>
              <w:t>needed to detect a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single deposit</w:t>
            </w:r>
          </w:p>
        </w:tc>
        <w:tc>
          <w:tcPr>
            <w:tcW w:w="2262" w:type="dxa"/>
          </w:tcPr>
          <w:p w14:paraId="43C69554" w14:textId="77777777" w:rsidR="00537C46" w:rsidRP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537C46" w14:paraId="53D4F865" w14:textId="77777777" w:rsidTr="00537C46">
        <w:tc>
          <w:tcPr>
            <w:tcW w:w="2405" w:type="dxa"/>
          </w:tcPr>
          <w:p w14:paraId="75562BBF" w14:textId="15C62761" w:rsid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Limits</w:t>
            </w:r>
          </w:p>
        </w:tc>
        <w:tc>
          <w:tcPr>
            <w:tcW w:w="2552" w:type="dxa"/>
          </w:tcPr>
          <w:p w14:paraId="3AF66589" w14:textId="7777777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13 nonamyloidogenic variants, including</w:t>
            </w:r>
          </w:p>
          <w:p w14:paraId="05D927AA" w14:textId="37A8E7A5" w:rsidR="00537C46" w:rsidRP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Gly6Ser and Thr119Met; possible delay of genetic results</w:t>
            </w:r>
          </w:p>
        </w:tc>
        <w:tc>
          <w:tcPr>
            <w:tcW w:w="2409" w:type="dxa"/>
          </w:tcPr>
          <w:p w14:paraId="10244E7E" w14:textId="2214A6D0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Sensitivity for amyloid detection 60–80%; dependent on experience and expertise of pathologist may be invasive and risky; time-consuming</w:t>
            </w:r>
          </w:p>
          <w:p w14:paraId="76D3602C" w14:textId="020262EE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Several biopsy sites sometimes needed to find a deposit</w:t>
            </w:r>
            <w:r w:rsidRPr="00537C46">
              <w:rPr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262" w:type="dxa"/>
          </w:tcPr>
          <w:p w14:paraId="17FAC4A9" w14:textId="69693BD5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Radiolabeling if no light chain;</w:t>
            </w:r>
          </w:p>
          <w:p w14:paraId="0A5749C9" w14:textId="5E66C35E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sensitivity &lt;100%</w:t>
            </w:r>
            <w:r>
              <w:rPr>
                <w:sz w:val="24"/>
                <w:szCs w:val="24"/>
              </w:rPr>
              <w:t>;</w:t>
            </w:r>
          </w:p>
          <w:p w14:paraId="51B654F2" w14:textId="2761E676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LV wall thickness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&gt;12 mm in combination with abnormal heart/whole-body</w:t>
            </w:r>
          </w:p>
          <w:p w14:paraId="5AE5B934" w14:textId="68F78B33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retention;</w:t>
            </w:r>
          </w:p>
          <w:p w14:paraId="261D79C3" w14:textId="7BA40528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heart/whole-body &gt;7.5 associated with the highest event rate</w:t>
            </w:r>
          </w:p>
        </w:tc>
      </w:tr>
      <w:tr w:rsidR="00537C46" w14:paraId="5B858AA8" w14:textId="77777777" w:rsidTr="00537C46">
        <w:tc>
          <w:tcPr>
            <w:tcW w:w="2405" w:type="dxa"/>
          </w:tcPr>
          <w:p w14:paraId="1FFE882E" w14:textId="6DE16251" w:rsid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Remarks</w:t>
            </w:r>
          </w:p>
        </w:tc>
        <w:tc>
          <w:tcPr>
            <w:tcW w:w="2552" w:type="dxa"/>
          </w:tcPr>
          <w:p w14:paraId="7025C31B" w14:textId="7777777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Some correlation between mutation and</w:t>
            </w:r>
          </w:p>
          <w:p w14:paraId="73BADBF7" w14:textId="7777777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predominant organ involvement (e.g.,</w:t>
            </w:r>
          </w:p>
          <w:p w14:paraId="02BB08BC" w14:textId="629587FE" w:rsidR="00537C46" w:rsidRPr="00537C46" w:rsidRDefault="00537C46" w:rsidP="00537C46">
            <w:pPr>
              <w:jc w:val="both"/>
              <w:rPr>
                <w:b/>
                <w:bCs/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heart, brain, eye)</w:t>
            </w:r>
          </w:p>
        </w:tc>
        <w:tc>
          <w:tcPr>
            <w:tcW w:w="2409" w:type="dxa"/>
          </w:tcPr>
          <w:p w14:paraId="5C4AB45D" w14:textId="41EB4D6A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False negative; amyloid light chain must be excluded</w:t>
            </w:r>
          </w:p>
        </w:tc>
        <w:tc>
          <w:tcPr>
            <w:tcW w:w="2262" w:type="dxa"/>
          </w:tcPr>
          <w:p w14:paraId="38F64A1A" w14:textId="29EC3C61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Complementarity of TTR gene analysis; may avoid cardiac biopsy</w:t>
            </w:r>
          </w:p>
        </w:tc>
      </w:tr>
      <w:tr w:rsidR="00537C46" w14:paraId="52E305FE" w14:textId="77777777" w:rsidTr="00F3691A">
        <w:tc>
          <w:tcPr>
            <w:tcW w:w="9628" w:type="dxa"/>
            <w:gridSpan w:val="4"/>
          </w:tcPr>
          <w:p w14:paraId="2C213824" w14:textId="2BB20644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</w:rPr>
              <w:t>ATTR-PN</w:t>
            </w:r>
            <w:r>
              <w:rPr>
                <w:sz w:val="24"/>
                <w:szCs w:val="24"/>
              </w:rPr>
              <w:t xml:space="preserve">: </w:t>
            </w:r>
            <w:r w:rsidRPr="00537C46">
              <w:rPr>
                <w:sz w:val="24"/>
                <w:szCs w:val="24"/>
              </w:rPr>
              <w:t>amyloid transthyretin polyneuropathy, DPD</w:t>
            </w:r>
            <w:r>
              <w:rPr>
                <w:sz w:val="24"/>
                <w:szCs w:val="24"/>
              </w:rPr>
              <w:t>:</w:t>
            </w:r>
            <w:r w:rsidRPr="00537C46">
              <w:rPr>
                <w:sz w:val="24"/>
                <w:szCs w:val="24"/>
              </w:rPr>
              <w:t xml:space="preserve"> diphosphono-1,2-propanodicarboxylic acid, HMDP</w:t>
            </w:r>
            <w:r>
              <w:rPr>
                <w:sz w:val="24"/>
                <w:szCs w:val="24"/>
              </w:rPr>
              <w:t>:</w:t>
            </w:r>
            <w:r w:rsidRPr="00537C46">
              <w:rPr>
                <w:sz w:val="24"/>
                <w:szCs w:val="24"/>
              </w:rPr>
              <w:t xml:space="preserve"> hydroxymethylene diphosphonate, LV</w:t>
            </w:r>
            <w:r>
              <w:rPr>
                <w:sz w:val="24"/>
                <w:szCs w:val="24"/>
              </w:rPr>
              <w:t xml:space="preserve">: </w:t>
            </w:r>
            <w:r w:rsidRPr="00537C46">
              <w:rPr>
                <w:sz w:val="24"/>
                <w:szCs w:val="24"/>
              </w:rPr>
              <w:t>left ventricular, PYP</w:t>
            </w:r>
            <w:r>
              <w:rPr>
                <w:sz w:val="24"/>
                <w:szCs w:val="24"/>
              </w:rPr>
              <w:t>:</w:t>
            </w:r>
            <w:r w:rsidRPr="00537C46">
              <w:rPr>
                <w:sz w:val="24"/>
                <w:szCs w:val="24"/>
              </w:rPr>
              <w:t xml:space="preserve"> pyrophosphate</w:t>
            </w:r>
          </w:p>
          <w:p w14:paraId="678ACCE3" w14:textId="74227FA7" w:rsidR="00537C46" w:rsidRPr="00537C46" w:rsidRDefault="00537C46" w:rsidP="00537C46">
            <w:pPr>
              <w:jc w:val="both"/>
              <w:rPr>
                <w:sz w:val="24"/>
                <w:szCs w:val="24"/>
              </w:rPr>
            </w:pPr>
            <w:r w:rsidRPr="00537C46">
              <w:rPr>
                <w:sz w:val="24"/>
                <w:szCs w:val="24"/>
                <w:vertAlign w:val="superscript"/>
              </w:rPr>
              <w:t>a</w:t>
            </w:r>
            <w:r>
              <w:rPr>
                <w:sz w:val="24"/>
                <w:szCs w:val="24"/>
              </w:rPr>
              <w:t>: a</w:t>
            </w:r>
            <w:r w:rsidRPr="00537C46">
              <w:rPr>
                <w:sz w:val="24"/>
                <w:szCs w:val="24"/>
              </w:rPr>
              <w:t>t least one tissue biopsy should be performed to identify amyloid deposits and, if negative, another biopsy, preferentially mini-invasive (skin,</w:t>
            </w:r>
            <w:r>
              <w:rPr>
                <w:sz w:val="24"/>
                <w:szCs w:val="24"/>
              </w:rPr>
              <w:t xml:space="preserve"> </w:t>
            </w:r>
            <w:r w:rsidRPr="00537C46">
              <w:rPr>
                <w:sz w:val="24"/>
                <w:szCs w:val="24"/>
              </w:rPr>
              <w:t>labial salivary gland, abdominal fat), should be performed</w:t>
            </w:r>
            <w:r>
              <w:rPr>
                <w:sz w:val="24"/>
                <w:szCs w:val="24"/>
              </w:rPr>
              <w:t>.</w:t>
            </w:r>
          </w:p>
        </w:tc>
      </w:tr>
    </w:tbl>
    <w:p w14:paraId="56A9DFEA" w14:textId="77777777" w:rsidR="00537C46" w:rsidRPr="00344FEF" w:rsidRDefault="00537C46" w:rsidP="00344FEF">
      <w:pPr>
        <w:jc w:val="both"/>
        <w:rPr>
          <w:b/>
          <w:bCs/>
          <w:sz w:val="24"/>
          <w:szCs w:val="24"/>
        </w:rPr>
      </w:pPr>
    </w:p>
    <w:sectPr w:rsidR="00537C46" w:rsidRPr="00344FEF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C7898" w14:textId="77777777" w:rsidR="00891EE7" w:rsidRDefault="00891EE7" w:rsidP="00891EE7">
      <w:pPr>
        <w:spacing w:after="0" w:line="240" w:lineRule="auto"/>
      </w:pPr>
      <w:r>
        <w:separator/>
      </w:r>
    </w:p>
  </w:endnote>
  <w:endnote w:type="continuationSeparator" w:id="0">
    <w:p w14:paraId="2491D2A6" w14:textId="77777777" w:rsidR="00891EE7" w:rsidRDefault="00891EE7" w:rsidP="00891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17749301"/>
      <w:docPartObj>
        <w:docPartGallery w:val="Page Numbers (Bottom of Page)"/>
        <w:docPartUnique/>
      </w:docPartObj>
    </w:sdtPr>
    <w:sdtEndPr/>
    <w:sdtContent>
      <w:p w14:paraId="0587101A" w14:textId="633BA792" w:rsidR="00403861" w:rsidRDefault="0040386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D45EED" w14:textId="77777777" w:rsidR="00403861" w:rsidRDefault="0040386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18F41" w14:textId="77777777" w:rsidR="00891EE7" w:rsidRDefault="00891EE7" w:rsidP="00891EE7">
      <w:pPr>
        <w:spacing w:after="0" w:line="240" w:lineRule="auto"/>
      </w:pPr>
      <w:r>
        <w:separator/>
      </w:r>
    </w:p>
  </w:footnote>
  <w:footnote w:type="continuationSeparator" w:id="0">
    <w:p w14:paraId="1B7A4F22" w14:textId="77777777" w:rsidR="00891EE7" w:rsidRDefault="00891EE7" w:rsidP="00891E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16E80" w14:textId="683C89E0" w:rsidR="00891EE7" w:rsidRPr="00891EE7" w:rsidRDefault="00891EE7" w:rsidP="00891EE7">
    <w:pPr>
      <w:pStyle w:val="Intestazione"/>
      <w:jc w:val="right"/>
      <w:rPr>
        <w:b/>
        <w:bCs/>
        <w:i/>
        <w:iCs/>
        <w:color w:val="808080" w:themeColor="background1" w:themeShade="80"/>
      </w:rPr>
    </w:pPr>
    <w:r w:rsidRPr="00891EE7">
      <w:rPr>
        <w:b/>
        <w:bCs/>
        <w:i/>
        <w:iCs/>
        <w:color w:val="808080" w:themeColor="background1" w:themeShade="80"/>
      </w:rPr>
      <w:t>Supplementary Material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F7F"/>
    <w:rsid w:val="00085915"/>
    <w:rsid w:val="002E4153"/>
    <w:rsid w:val="00344FEF"/>
    <w:rsid w:val="00403861"/>
    <w:rsid w:val="00537C46"/>
    <w:rsid w:val="00891EE7"/>
    <w:rsid w:val="00962D55"/>
    <w:rsid w:val="00AF1F7F"/>
    <w:rsid w:val="00C40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13E27"/>
  <w15:chartTrackingRefBased/>
  <w15:docId w15:val="{0E52C3F8-5BF8-4E70-A50E-F509747D4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91E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91EE7"/>
  </w:style>
  <w:style w:type="paragraph" w:styleId="Pidipagina">
    <w:name w:val="footer"/>
    <w:basedOn w:val="Normale"/>
    <w:link w:val="PidipaginaCarattere"/>
    <w:uiPriority w:val="99"/>
    <w:unhideWhenUsed/>
    <w:rsid w:val="00891E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91EE7"/>
  </w:style>
  <w:style w:type="table" w:styleId="Grigliatabella">
    <w:name w:val="Table Grid"/>
    <w:basedOn w:val="Tabellanormale"/>
    <w:uiPriority w:val="39"/>
    <w:rsid w:val="00537C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344</Words>
  <Characters>1966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Simonetta Papa</dc:creator>
  <cp:keywords/>
  <dc:description/>
  <cp:lastModifiedBy>Simonetta Papa</cp:lastModifiedBy>
  <cp:revision>7</cp:revision>
  <dcterms:created xsi:type="dcterms:W3CDTF">2023-10-17T21:42:00Z</dcterms:created>
  <dcterms:modified xsi:type="dcterms:W3CDTF">2023-10-26T11:16:00Z</dcterms:modified>
</cp:coreProperties>
</file>