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C8369EC" w14:textId="77777777" w:rsidR="00E20050" w:rsidRPr="00944B71" w:rsidRDefault="00E20050" w:rsidP="00924E35">
      <w:pPr>
        <w:pStyle w:val="Heading1"/>
        <w:jc w:val="center"/>
        <w:rPr>
          <w:rFonts w:ascii="Arial" w:hAnsi="Arial" w:cs="Arial"/>
          <w:color w:val="auto"/>
          <w:sz w:val="48"/>
          <w:szCs w:val="48"/>
        </w:rPr>
      </w:pPr>
      <w:bookmarkStart w:id="0" w:name="_Toc183793495"/>
      <w:r w:rsidRPr="00944B71">
        <w:rPr>
          <w:rFonts w:ascii="Arial" w:hAnsi="Arial" w:cs="Arial"/>
          <w:color w:val="auto"/>
          <w:sz w:val="48"/>
          <w:szCs w:val="48"/>
        </w:rPr>
        <w:t>SUPPLEMENTARY MATERIALS</w:t>
      </w:r>
      <w:bookmarkEnd w:id="0"/>
    </w:p>
    <w:p w14:paraId="11154516" w14:textId="77777777" w:rsidR="000B1604" w:rsidRPr="00944B71" w:rsidRDefault="000B1604" w:rsidP="00924E35">
      <w:pPr>
        <w:jc w:val="center"/>
      </w:pPr>
      <w:bookmarkStart w:id="1" w:name="_GoBack"/>
      <w:bookmarkEnd w:id="1"/>
    </w:p>
    <w:p w14:paraId="27EAEAA6" w14:textId="77777777" w:rsidR="000B1604" w:rsidRPr="00944B71" w:rsidRDefault="000B1604" w:rsidP="00924E35">
      <w:pPr>
        <w:jc w:val="center"/>
      </w:pPr>
    </w:p>
    <w:p w14:paraId="0FDB9DDC" w14:textId="77777777" w:rsidR="000B1604" w:rsidRPr="00944B71" w:rsidRDefault="000B1604" w:rsidP="00924E35">
      <w:pPr>
        <w:jc w:val="center"/>
      </w:pPr>
    </w:p>
    <w:p w14:paraId="7D216B11" w14:textId="77777777" w:rsidR="000B1604" w:rsidRPr="00944B71" w:rsidRDefault="000B1604" w:rsidP="00924E35">
      <w:pPr>
        <w:jc w:val="center"/>
      </w:pPr>
    </w:p>
    <w:p w14:paraId="7CD6D03A" w14:textId="77777777" w:rsidR="000B1604" w:rsidRPr="00944B71" w:rsidRDefault="000B1604" w:rsidP="00924E35">
      <w:pPr>
        <w:jc w:val="center"/>
      </w:pPr>
    </w:p>
    <w:p w14:paraId="746FA3A8" w14:textId="77777777" w:rsidR="000B1604" w:rsidRPr="00944B71" w:rsidRDefault="000B1604" w:rsidP="00924E35">
      <w:pPr>
        <w:jc w:val="center"/>
      </w:pPr>
    </w:p>
    <w:p w14:paraId="15725133" w14:textId="77777777" w:rsidR="000B1604" w:rsidRPr="00944B71" w:rsidRDefault="000B1604" w:rsidP="00924E35">
      <w:pPr>
        <w:jc w:val="center"/>
      </w:pPr>
    </w:p>
    <w:p w14:paraId="6C0A339F" w14:textId="6457E0EC" w:rsidR="000B1604" w:rsidRPr="00944B71" w:rsidRDefault="000B1604" w:rsidP="00924E35">
      <w:pPr>
        <w:jc w:val="center"/>
        <w:rPr>
          <w:sz w:val="28"/>
          <w:szCs w:val="28"/>
        </w:rPr>
      </w:pPr>
      <w:r w:rsidRPr="00944B71">
        <w:rPr>
          <w:sz w:val="28"/>
          <w:szCs w:val="28"/>
        </w:rPr>
        <w:t>Appendix to the paper:</w:t>
      </w:r>
    </w:p>
    <w:p w14:paraId="618CEE44" w14:textId="77777777" w:rsidR="009C2776" w:rsidRPr="00944B71" w:rsidRDefault="009C2776" w:rsidP="009C2776">
      <w:pPr>
        <w:pStyle w:val="Authors"/>
        <w:spacing w:before="240"/>
        <w:rPr>
          <w:rFonts w:eastAsiaTheme="majorEastAsia"/>
          <w:b w:val="0"/>
          <w:bCs w:val="0"/>
          <w:noProof w:val="0"/>
          <w:spacing w:val="-10"/>
          <w:kern w:val="28"/>
          <w:sz w:val="56"/>
          <w:szCs w:val="56"/>
          <w14:ligatures w14:val="standardContextual"/>
        </w:rPr>
      </w:pPr>
      <w:r w:rsidRPr="00944B71">
        <w:rPr>
          <w:rFonts w:eastAsiaTheme="majorEastAsia"/>
          <w:b w:val="0"/>
          <w:bCs w:val="0"/>
          <w:noProof w:val="0"/>
          <w:spacing w:val="-10"/>
          <w:kern w:val="28"/>
          <w:sz w:val="56"/>
          <w:szCs w:val="56"/>
          <w14:ligatures w14:val="standardContextual"/>
        </w:rPr>
        <w:t>Effect of Femoral Component Design and Quadriceps Load on Patellofemoral Kinematics After Total Knee Arthroplasty: An In Vitro Cadaveric Study</w:t>
      </w:r>
    </w:p>
    <w:p w14:paraId="4A49F0FA" w14:textId="27C425D5" w:rsidR="005C41F5" w:rsidRPr="00944B71" w:rsidRDefault="005C41F5">
      <w:r w:rsidRPr="00944B71">
        <w:br w:type="page"/>
      </w:r>
    </w:p>
    <w:p w14:paraId="2AEC1B9F" w14:textId="77777777" w:rsidR="00572629" w:rsidRPr="00944B71" w:rsidRDefault="00572629" w:rsidP="00572629"/>
    <w:p w14:paraId="059D2ED9" w14:textId="77777777" w:rsidR="005B4443" w:rsidRPr="00944B71" w:rsidRDefault="005B4443" w:rsidP="005B4443">
      <w:pPr>
        <w:pStyle w:val="Caption"/>
        <w:jc w:val="center"/>
        <w:rPr>
          <w:color w:val="auto"/>
        </w:rPr>
      </w:pPr>
    </w:p>
    <w:p w14:paraId="345FD36B" w14:textId="3D74EF46" w:rsidR="00947DF0" w:rsidRPr="00944B71" w:rsidRDefault="00947DF0" w:rsidP="00947DF0">
      <w:pPr>
        <w:pStyle w:val="Heading2"/>
        <w:jc w:val="center"/>
        <w:rPr>
          <w:rFonts w:ascii="Arial" w:hAnsi="Arial" w:cs="Arial"/>
          <w:b/>
          <w:bCs/>
          <w:color w:val="auto"/>
        </w:rPr>
      </w:pPr>
      <w:r w:rsidRPr="00944B71">
        <w:rPr>
          <w:rFonts w:ascii="Arial" w:hAnsi="Arial" w:cs="Arial"/>
          <w:b/>
          <w:bCs/>
          <w:color w:val="auto"/>
        </w:rPr>
        <w:t>SUPPLEMENTARY MATERIAL #3</w:t>
      </w:r>
    </w:p>
    <w:p w14:paraId="5B3E8C8E" w14:textId="1A877FFA" w:rsidR="00947DF0" w:rsidRPr="00944B71" w:rsidRDefault="009E7EDE" w:rsidP="00947DF0">
      <w:pPr>
        <w:pStyle w:val="Heading3"/>
        <w:jc w:val="center"/>
        <w:rPr>
          <w:b/>
          <w:bCs/>
          <w:color w:val="auto"/>
        </w:rPr>
      </w:pPr>
      <w:r w:rsidRPr="00944B71">
        <w:rPr>
          <w:b/>
          <w:bCs/>
          <w:color w:val="auto"/>
        </w:rPr>
        <w:t>Single specimen kinematic: before and after TKA wit</w:t>
      </w:r>
      <w:r w:rsidR="00E64202" w:rsidRPr="00944B71">
        <w:rPr>
          <w:b/>
          <w:bCs/>
          <w:color w:val="auto"/>
        </w:rPr>
        <w:t>h</w:t>
      </w:r>
      <w:r w:rsidRPr="00944B71">
        <w:rPr>
          <w:b/>
          <w:bCs/>
          <w:color w:val="auto"/>
        </w:rPr>
        <w:t xml:space="preserve"> </w:t>
      </w:r>
      <w:r w:rsidR="00B60ACD" w:rsidRPr="00944B71">
        <w:rPr>
          <w:b/>
          <w:bCs/>
          <w:color w:val="auto"/>
        </w:rPr>
        <w:t>traditional</w:t>
      </w:r>
      <w:r w:rsidRPr="00944B71">
        <w:rPr>
          <w:b/>
          <w:bCs/>
          <w:color w:val="auto"/>
        </w:rPr>
        <w:t xml:space="preserve"> femoral component</w:t>
      </w:r>
    </w:p>
    <w:p w14:paraId="78BAB1D4" w14:textId="42E46DF6" w:rsidR="00B678FC" w:rsidRPr="00944B71" w:rsidRDefault="00B678FC" w:rsidP="00F0180D">
      <w:r w:rsidRPr="00944B71">
        <w:t>To provide an intuitive, detailed illustration of quadriceps-induced kinematic effects</w:t>
      </w:r>
      <w:r w:rsidR="00406175" w:rsidRPr="00944B71">
        <w:t xml:space="preserve"> in native and implanted knees with </w:t>
      </w:r>
      <w:r w:rsidR="00EE4399" w:rsidRPr="00944B71">
        <w:t>traditional design implants</w:t>
      </w:r>
      <w:r w:rsidRPr="00944B71">
        <w:t>, this section focuses on one representative specimen</w:t>
      </w:r>
      <w:r w:rsidR="00850F32" w:rsidRPr="00944B71">
        <w:t xml:space="preserve"> (Specimen #1 with </w:t>
      </w:r>
      <w:r w:rsidR="00B60ACD" w:rsidRPr="00944B71">
        <w:t>traditional femoral</w:t>
      </w:r>
      <w:r w:rsidR="00850F32" w:rsidRPr="00944B71">
        <w:t xml:space="preserve"> component)</w:t>
      </w:r>
      <w:r w:rsidRPr="00944B71">
        <w:t>. For each quadriceps parameter (QV</w:t>
      </w:r>
      <w:r w:rsidRPr="00944B71">
        <w:rPr>
          <w:vertAlign w:val="subscript"/>
        </w:rPr>
        <w:t>ML</w:t>
      </w:r>
      <w:r w:rsidRPr="00944B71">
        <w:t>, QV</w:t>
      </w:r>
      <w:r w:rsidRPr="00944B71">
        <w:rPr>
          <w:vertAlign w:val="subscript"/>
        </w:rPr>
        <w:t>AP</w:t>
      </w:r>
      <w:r w:rsidRPr="00944B71">
        <w:t>, and QV</w:t>
      </w:r>
      <w:r w:rsidRPr="00944B71">
        <w:rPr>
          <w:vertAlign w:val="subscript"/>
        </w:rPr>
        <w:t>load</w:t>
      </w:r>
      <w:r w:rsidRPr="00944B71">
        <w:t>), motion curves are shown for</w:t>
      </w:r>
      <w:r w:rsidR="00F0180D" w:rsidRPr="00944B71">
        <w:t xml:space="preserve"> a</w:t>
      </w:r>
      <w:r w:rsidRPr="00944B71">
        <w:t>ll six patellofemoral kinematic components before and after TKA.</w:t>
      </w:r>
    </w:p>
    <w:p w14:paraId="355AAD7F" w14:textId="78930F49" w:rsidR="00EF75AB" w:rsidRPr="00944B71" w:rsidRDefault="00EF75AB" w:rsidP="00411718"/>
    <w:p w14:paraId="10A39DFC" w14:textId="07133403" w:rsidR="003D05F7" w:rsidRPr="00944B71" w:rsidRDefault="00E07F1A" w:rsidP="005A1E17">
      <w:pPr>
        <w:pStyle w:val="Caption"/>
        <w:jc w:val="center"/>
        <w:rPr>
          <w:color w:val="auto"/>
        </w:rPr>
      </w:pPr>
      <w:r w:rsidRPr="00944B71">
        <w:rPr>
          <w:noProof/>
          <w:color w:val="auto"/>
          <w:lang w:val="en-IN" w:eastAsia="en-IN"/>
        </w:rPr>
        <w:drawing>
          <wp:inline distT="0" distB="0" distL="0" distR="0" wp14:anchorId="4F91C7BB" wp14:editId="101D7D52">
            <wp:extent cx="5943600" cy="4040992"/>
            <wp:effectExtent l="0" t="0" r="0" b="0"/>
            <wp:docPr id="1017891478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04099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FE92B74" w14:textId="2F30770F" w:rsidR="003D05F7" w:rsidRPr="00944B71" w:rsidRDefault="005A1E17" w:rsidP="003D05F7">
      <w:pPr>
        <w:pStyle w:val="Caption"/>
        <w:jc w:val="center"/>
        <w:rPr>
          <w:rFonts w:ascii="Arial" w:hAnsi="Arial" w:cs="Arial"/>
          <w:color w:val="auto"/>
          <w:lang w:eastAsia="zh-CN"/>
        </w:rPr>
      </w:pPr>
      <w:r w:rsidRPr="00944B71">
        <w:rPr>
          <w:color w:val="auto"/>
        </w:rPr>
        <w:t>Figure S3</w:t>
      </w:r>
      <w:r w:rsidR="003D05F7" w:rsidRPr="00944B71">
        <w:rPr>
          <w:color w:val="auto"/>
        </w:rPr>
        <w:t>_</w:t>
      </w:r>
      <w:r w:rsidR="00151908" w:rsidRPr="00944B71">
        <w:rPr>
          <w:color w:val="auto"/>
        </w:rPr>
        <w:t>1</w:t>
      </w:r>
      <w:r w:rsidR="003D05F7" w:rsidRPr="00944B71">
        <w:rPr>
          <w:color w:val="auto"/>
        </w:rPr>
        <w:t xml:space="preserve"> Flexion/Extension </w:t>
      </w:r>
      <w:r w:rsidR="00924E35" w:rsidRPr="00944B71">
        <w:rPr>
          <w:color w:val="auto"/>
        </w:rPr>
        <w:t>rotation</w:t>
      </w:r>
      <w:r w:rsidR="003D05F7" w:rsidRPr="00944B71">
        <w:rPr>
          <w:color w:val="auto"/>
        </w:rPr>
        <w:t xml:space="preserve"> of one specimen (#1) with respect to the knee flexion for all the tests, grouped by QV-ML in the top, QV-load in the middle and QV-AP in the bottom</w:t>
      </w:r>
      <w:r w:rsidR="00151908" w:rsidRPr="00944B71">
        <w:rPr>
          <w:color w:val="auto"/>
        </w:rPr>
        <w:t xml:space="preserve">. On the left, in the black box, the native kinematics; on the right, in the red box, </w:t>
      </w:r>
      <w:r w:rsidR="00A00C4C" w:rsidRPr="00944B71">
        <w:rPr>
          <w:color w:val="auto"/>
        </w:rPr>
        <w:t xml:space="preserve">the implanted kinematics with </w:t>
      </w:r>
      <w:r w:rsidR="00EE4399" w:rsidRPr="00944B71">
        <w:rPr>
          <w:color w:val="auto"/>
        </w:rPr>
        <w:t xml:space="preserve">traditional </w:t>
      </w:r>
      <w:r w:rsidR="00A00C4C" w:rsidRPr="00944B71">
        <w:rPr>
          <w:color w:val="auto"/>
        </w:rPr>
        <w:t xml:space="preserve"> femoral component.</w:t>
      </w:r>
    </w:p>
    <w:p w14:paraId="346BA575" w14:textId="05FE820B" w:rsidR="00A834F6" w:rsidRPr="00944B71" w:rsidRDefault="00E23544" w:rsidP="00E23544">
      <w:pPr>
        <w:pStyle w:val="Caption"/>
        <w:tabs>
          <w:tab w:val="left" w:pos="5388"/>
        </w:tabs>
        <w:rPr>
          <w:noProof/>
          <w:color w:val="auto"/>
        </w:rPr>
      </w:pPr>
      <w:r w:rsidRPr="00944B71">
        <w:rPr>
          <w:noProof/>
          <w:color w:val="auto"/>
        </w:rPr>
        <w:tab/>
      </w:r>
      <w:r w:rsidR="007626F4" w:rsidRPr="00944B71">
        <w:rPr>
          <w:noProof/>
          <w:color w:val="auto"/>
          <w:lang w:val="en-IN" w:eastAsia="en-IN"/>
        </w:rPr>
        <w:drawing>
          <wp:inline distT="0" distB="0" distL="0" distR="0" wp14:anchorId="5A641C99" wp14:editId="01A41DF2">
            <wp:extent cx="5943600" cy="4040992"/>
            <wp:effectExtent l="0" t="0" r="0" b="0"/>
            <wp:docPr id="2673067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04099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07D4DAD" w14:textId="09AD70E6" w:rsidR="00924E35" w:rsidRPr="00944B71" w:rsidRDefault="00924E35" w:rsidP="00924E35">
      <w:pPr>
        <w:pStyle w:val="Caption"/>
        <w:jc w:val="center"/>
        <w:rPr>
          <w:rFonts w:ascii="Arial" w:hAnsi="Arial" w:cs="Arial"/>
          <w:color w:val="auto"/>
          <w:lang w:eastAsia="zh-CN"/>
        </w:rPr>
      </w:pPr>
      <w:r w:rsidRPr="00944B71">
        <w:rPr>
          <w:color w:val="auto"/>
        </w:rPr>
        <w:t xml:space="preserve"> </w:t>
      </w:r>
      <w:bookmarkStart w:id="2" w:name="_Hlk191481644"/>
      <w:r w:rsidR="005A1E17" w:rsidRPr="00944B71">
        <w:rPr>
          <w:color w:val="auto"/>
        </w:rPr>
        <w:t>Figure S3</w:t>
      </w:r>
      <w:r w:rsidRPr="00944B71">
        <w:rPr>
          <w:color w:val="auto"/>
        </w:rPr>
        <w:t>_</w:t>
      </w:r>
      <w:r w:rsidR="00A00C4C" w:rsidRPr="00944B71">
        <w:rPr>
          <w:color w:val="auto"/>
        </w:rPr>
        <w:t>2</w:t>
      </w:r>
      <w:r w:rsidRPr="00944B71">
        <w:rPr>
          <w:color w:val="auto"/>
        </w:rPr>
        <w:t xml:space="preserve"> Valgus/varus rotation of one specimen (#1) with respect to the knee flexion for all the tests, grouped by QV-ML in the top, QV-load in the middle and QV-AP in the bottom</w:t>
      </w:r>
      <w:bookmarkEnd w:id="2"/>
      <w:r w:rsidR="00A00C4C" w:rsidRPr="00944B71">
        <w:rPr>
          <w:color w:val="auto"/>
        </w:rPr>
        <w:t xml:space="preserve">. On the left, in the black box, the native kinematics; on the right, in the red box, the implanted kinematics with </w:t>
      </w:r>
      <w:r w:rsidR="00EE4399" w:rsidRPr="00944B71">
        <w:rPr>
          <w:color w:val="auto"/>
        </w:rPr>
        <w:t xml:space="preserve">traditional </w:t>
      </w:r>
      <w:r w:rsidR="00A00C4C" w:rsidRPr="00944B71">
        <w:rPr>
          <w:color w:val="auto"/>
        </w:rPr>
        <w:t xml:space="preserve"> femoral component.</w:t>
      </w:r>
    </w:p>
    <w:p w14:paraId="28FB5ADB" w14:textId="37DF3348" w:rsidR="00A834F6" w:rsidRPr="00944B71" w:rsidRDefault="007626F4" w:rsidP="00924E35">
      <w:pPr>
        <w:pStyle w:val="Caption"/>
        <w:jc w:val="center"/>
        <w:rPr>
          <w:noProof/>
          <w:color w:val="auto"/>
        </w:rPr>
      </w:pPr>
      <w:r w:rsidRPr="00944B71">
        <w:rPr>
          <w:noProof/>
          <w:color w:val="auto"/>
          <w:lang w:val="en-IN" w:eastAsia="en-IN"/>
        </w:rPr>
        <w:drawing>
          <wp:inline distT="0" distB="0" distL="0" distR="0" wp14:anchorId="4ACF3DE0" wp14:editId="648C9E5C">
            <wp:extent cx="5943600" cy="4040992"/>
            <wp:effectExtent l="0" t="0" r="0" b="0"/>
            <wp:docPr id="694139010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04099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6D3629C" w14:textId="7112044B" w:rsidR="003D05F7" w:rsidRPr="00944B71" w:rsidRDefault="005A1E17" w:rsidP="00924E35">
      <w:pPr>
        <w:pStyle w:val="Caption"/>
        <w:jc w:val="center"/>
        <w:rPr>
          <w:rFonts w:ascii="Arial" w:hAnsi="Arial" w:cs="Arial"/>
          <w:color w:val="auto"/>
          <w:lang w:eastAsia="zh-CN"/>
        </w:rPr>
      </w:pPr>
      <w:r w:rsidRPr="00944B71">
        <w:rPr>
          <w:color w:val="auto"/>
        </w:rPr>
        <w:t>Figure S3</w:t>
      </w:r>
      <w:r w:rsidR="00924E35" w:rsidRPr="00944B71">
        <w:rPr>
          <w:color w:val="auto"/>
        </w:rPr>
        <w:t>_</w:t>
      </w:r>
      <w:r w:rsidR="00A00C4C" w:rsidRPr="00944B71">
        <w:rPr>
          <w:color w:val="auto"/>
        </w:rPr>
        <w:t>3</w:t>
      </w:r>
      <w:r w:rsidR="00924E35" w:rsidRPr="00944B71">
        <w:rPr>
          <w:color w:val="auto"/>
        </w:rPr>
        <w:t xml:space="preserve"> Internal/external tilt of one specimen (#1) with respect to the knee flexion for all the tests, grouped by QV-ML in the top, QV-load in the middle and QV-AP in the bottom</w:t>
      </w:r>
      <w:r w:rsidR="00A00C4C" w:rsidRPr="00944B71">
        <w:rPr>
          <w:color w:val="auto"/>
        </w:rPr>
        <w:t xml:space="preserve">. On the left, in the black box, the native kinematics; on the right, in the red box, the implanted kinematics with </w:t>
      </w:r>
      <w:r w:rsidR="00EE4399" w:rsidRPr="00944B71">
        <w:rPr>
          <w:color w:val="auto"/>
        </w:rPr>
        <w:t xml:space="preserve">traditional </w:t>
      </w:r>
      <w:r w:rsidR="00A00C4C" w:rsidRPr="00944B71">
        <w:rPr>
          <w:color w:val="auto"/>
        </w:rPr>
        <w:t xml:space="preserve"> femoral component.</w:t>
      </w:r>
    </w:p>
    <w:p w14:paraId="13483195" w14:textId="71E83292" w:rsidR="00A834F6" w:rsidRPr="00944B71" w:rsidRDefault="007626F4" w:rsidP="00924E35">
      <w:pPr>
        <w:pStyle w:val="Caption"/>
        <w:jc w:val="center"/>
        <w:rPr>
          <w:noProof/>
          <w:color w:val="auto"/>
        </w:rPr>
      </w:pPr>
      <w:r w:rsidRPr="00944B71">
        <w:rPr>
          <w:noProof/>
          <w:color w:val="auto"/>
          <w:lang w:val="en-IN" w:eastAsia="en-IN"/>
        </w:rPr>
        <w:drawing>
          <wp:inline distT="0" distB="0" distL="0" distR="0" wp14:anchorId="155A6CA4" wp14:editId="5DE63BAF">
            <wp:extent cx="5943600" cy="4040992"/>
            <wp:effectExtent l="0" t="0" r="0" b="0"/>
            <wp:docPr id="54602142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04099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67AD590" w14:textId="49F4B3D3" w:rsidR="003D05F7" w:rsidRPr="00944B71" w:rsidRDefault="005A1E17" w:rsidP="00924E35">
      <w:pPr>
        <w:pStyle w:val="Caption"/>
        <w:jc w:val="center"/>
        <w:rPr>
          <w:rFonts w:ascii="Arial" w:hAnsi="Arial" w:cs="Arial"/>
          <w:color w:val="auto"/>
          <w:lang w:eastAsia="zh-CN"/>
        </w:rPr>
      </w:pPr>
      <w:r w:rsidRPr="00944B71">
        <w:rPr>
          <w:color w:val="auto"/>
        </w:rPr>
        <w:t>Figure S3</w:t>
      </w:r>
      <w:r w:rsidR="00924E35" w:rsidRPr="00944B71">
        <w:rPr>
          <w:color w:val="auto"/>
        </w:rPr>
        <w:t>_</w:t>
      </w:r>
      <w:r w:rsidR="00A00C4C" w:rsidRPr="00944B71">
        <w:rPr>
          <w:color w:val="auto"/>
        </w:rPr>
        <w:t>4</w:t>
      </w:r>
      <w:r w:rsidR="00924E35" w:rsidRPr="00944B71">
        <w:rPr>
          <w:color w:val="auto"/>
        </w:rPr>
        <w:t xml:space="preserve"> Anterior/posterior translation of one specimen (#1) with respect to the knee flexion for all the tests, grouped by QV-ML in the top, QV-load in the middle and QV-AP in the bottom</w:t>
      </w:r>
      <w:r w:rsidR="00A00C4C" w:rsidRPr="00944B71">
        <w:rPr>
          <w:color w:val="auto"/>
        </w:rPr>
        <w:t xml:space="preserve">. On the left, in the black box, the native kinematics; on the right, in the red box, the implanted kinematics with </w:t>
      </w:r>
      <w:r w:rsidR="00EE4399" w:rsidRPr="00944B71">
        <w:rPr>
          <w:color w:val="auto"/>
        </w:rPr>
        <w:t xml:space="preserve">traditional </w:t>
      </w:r>
      <w:r w:rsidR="00A00C4C" w:rsidRPr="00944B71">
        <w:rPr>
          <w:color w:val="auto"/>
        </w:rPr>
        <w:t xml:space="preserve"> femoral component.</w:t>
      </w:r>
    </w:p>
    <w:p w14:paraId="4897FC40" w14:textId="0CB04B08" w:rsidR="00A834F6" w:rsidRPr="00944B71" w:rsidRDefault="007626F4" w:rsidP="00924E35">
      <w:pPr>
        <w:pStyle w:val="Caption"/>
        <w:jc w:val="center"/>
        <w:rPr>
          <w:noProof/>
          <w:color w:val="auto"/>
        </w:rPr>
      </w:pPr>
      <w:r w:rsidRPr="00944B71">
        <w:rPr>
          <w:noProof/>
          <w:color w:val="auto"/>
          <w:lang w:val="en-IN" w:eastAsia="en-IN"/>
        </w:rPr>
        <w:drawing>
          <wp:inline distT="0" distB="0" distL="0" distR="0" wp14:anchorId="48A0A6A4" wp14:editId="5F51BDAB">
            <wp:extent cx="5943600" cy="4040992"/>
            <wp:effectExtent l="0" t="0" r="0" b="0"/>
            <wp:docPr id="829400642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04099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15FB574" w14:textId="4E9EB941" w:rsidR="003D05F7" w:rsidRPr="00944B71" w:rsidRDefault="005A1E17" w:rsidP="00924E35">
      <w:pPr>
        <w:pStyle w:val="Caption"/>
        <w:jc w:val="center"/>
        <w:rPr>
          <w:rFonts w:ascii="Arial" w:hAnsi="Arial" w:cs="Arial"/>
          <w:color w:val="auto"/>
          <w:lang w:eastAsia="zh-CN"/>
        </w:rPr>
      </w:pPr>
      <w:r w:rsidRPr="00944B71">
        <w:rPr>
          <w:color w:val="auto"/>
        </w:rPr>
        <w:t>Figure S3</w:t>
      </w:r>
      <w:r w:rsidR="00924E35" w:rsidRPr="00944B71">
        <w:rPr>
          <w:color w:val="auto"/>
        </w:rPr>
        <w:t>_</w:t>
      </w:r>
      <w:r w:rsidR="00A00C4C" w:rsidRPr="00944B71">
        <w:rPr>
          <w:color w:val="auto"/>
        </w:rPr>
        <w:t>5</w:t>
      </w:r>
      <w:r w:rsidR="00924E35" w:rsidRPr="00944B71">
        <w:rPr>
          <w:color w:val="auto"/>
        </w:rPr>
        <w:t xml:space="preserve"> Proximal/distal translation of one specimen (#1) with respect to the knee flexion for all the tests, grouped by QV-ML in the top, QV-load in the middle and QV-AP in the bottom</w:t>
      </w:r>
      <w:r w:rsidR="00A00C4C" w:rsidRPr="00944B71">
        <w:rPr>
          <w:color w:val="auto"/>
        </w:rPr>
        <w:t xml:space="preserve">. On the left, in the black box, the native kinematics; on the right, in the red box, the implanted kinematics with </w:t>
      </w:r>
      <w:r w:rsidR="00EE4399" w:rsidRPr="00944B71">
        <w:rPr>
          <w:color w:val="auto"/>
        </w:rPr>
        <w:t xml:space="preserve">traditional </w:t>
      </w:r>
      <w:r w:rsidR="00A00C4C" w:rsidRPr="00944B71">
        <w:rPr>
          <w:color w:val="auto"/>
        </w:rPr>
        <w:t xml:space="preserve"> femoral component.</w:t>
      </w:r>
    </w:p>
    <w:p w14:paraId="5CA2503B" w14:textId="2D7620BA" w:rsidR="00A834F6" w:rsidRPr="00944B71" w:rsidRDefault="007626F4" w:rsidP="002F5B92">
      <w:pPr>
        <w:pStyle w:val="Caption"/>
        <w:jc w:val="center"/>
        <w:rPr>
          <w:noProof/>
          <w:color w:val="auto"/>
        </w:rPr>
      </w:pPr>
      <w:r w:rsidRPr="00944B71">
        <w:rPr>
          <w:noProof/>
          <w:color w:val="auto"/>
          <w:lang w:val="en-IN" w:eastAsia="en-IN"/>
        </w:rPr>
        <w:drawing>
          <wp:inline distT="0" distB="0" distL="0" distR="0" wp14:anchorId="3C1F6D16" wp14:editId="14DC37B4">
            <wp:extent cx="5943600" cy="4040992"/>
            <wp:effectExtent l="0" t="0" r="0" b="0"/>
            <wp:docPr id="607272976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04099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7B0DB22" w14:textId="64F059BF" w:rsidR="00A92972" w:rsidRPr="00944B71" w:rsidRDefault="00924E35" w:rsidP="002F5B92">
      <w:pPr>
        <w:pStyle w:val="Caption"/>
        <w:jc w:val="center"/>
        <w:rPr>
          <w:b/>
          <w:bCs/>
          <w:color w:val="auto"/>
        </w:rPr>
      </w:pPr>
      <w:r w:rsidRPr="00944B71">
        <w:rPr>
          <w:color w:val="auto"/>
        </w:rPr>
        <w:t xml:space="preserve"> </w:t>
      </w:r>
      <w:r w:rsidR="005A1E17" w:rsidRPr="00944B71">
        <w:rPr>
          <w:color w:val="auto"/>
        </w:rPr>
        <w:t>Figure S3</w:t>
      </w:r>
      <w:r w:rsidRPr="00944B71">
        <w:rPr>
          <w:color w:val="auto"/>
        </w:rPr>
        <w:t>_</w:t>
      </w:r>
      <w:r w:rsidR="00A00C4C" w:rsidRPr="00944B71">
        <w:rPr>
          <w:color w:val="auto"/>
        </w:rPr>
        <w:t>6</w:t>
      </w:r>
      <w:r w:rsidRPr="00944B71">
        <w:rPr>
          <w:color w:val="auto"/>
        </w:rPr>
        <w:t xml:space="preserve"> Lateral/medial translation of one specimen (#1) with respect to the knee flexion for all the tests, grouped by QV-ML in the top, QV-load in the middle and QV-AP in the bottom</w:t>
      </w:r>
      <w:r w:rsidR="00A00C4C" w:rsidRPr="00944B71">
        <w:rPr>
          <w:color w:val="auto"/>
        </w:rPr>
        <w:t xml:space="preserve">. On the left, in the black box, the native kinematics; on the right, in the red box, the implanted kinematics with </w:t>
      </w:r>
      <w:r w:rsidR="00EE4399" w:rsidRPr="00944B71">
        <w:rPr>
          <w:color w:val="auto"/>
        </w:rPr>
        <w:t xml:space="preserve">traditional </w:t>
      </w:r>
      <w:r w:rsidR="00A00C4C" w:rsidRPr="00944B71">
        <w:rPr>
          <w:color w:val="auto"/>
        </w:rPr>
        <w:t xml:space="preserve"> femoral component.</w:t>
      </w:r>
    </w:p>
    <w:p w14:paraId="09CF3D6F" w14:textId="5F0A23DD" w:rsidR="0019492A" w:rsidRPr="00944B71" w:rsidRDefault="00DC0E7F" w:rsidP="00F816C3">
      <w:pPr>
        <w:pStyle w:val="Heading2"/>
        <w:jc w:val="center"/>
        <w:rPr>
          <w:color w:val="auto"/>
        </w:rPr>
      </w:pPr>
      <w:r w:rsidRPr="00944B71">
        <w:rPr>
          <w:rFonts w:ascii="Arial" w:hAnsi="Arial" w:cs="Arial"/>
          <w:color w:val="auto"/>
          <w:lang w:eastAsia="zh-CN"/>
        </w:rPr>
        <w:br w:type="page"/>
      </w:r>
    </w:p>
    <w:p w14:paraId="3F87F3F6" w14:textId="3D3BAE06" w:rsidR="003A1BC7" w:rsidRPr="00944B71" w:rsidRDefault="003A1BC7" w:rsidP="003A1BC7">
      <w:pPr>
        <w:rPr>
          <w:i/>
          <w:iCs/>
          <w:sz w:val="18"/>
          <w:szCs w:val="18"/>
        </w:rPr>
      </w:pPr>
    </w:p>
    <w:sectPr w:rsidR="003A1BC7" w:rsidRPr="00944B71" w:rsidSect="00944B71">
      <w:headerReference w:type="default" r:id="rId14"/>
      <w:footerReference w:type="default" r:id="rId15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8B5B8D3" w14:textId="77777777" w:rsidR="003C3999" w:rsidRDefault="003C3999" w:rsidP="00B75DF9">
      <w:pPr>
        <w:spacing w:after="0" w:line="240" w:lineRule="auto"/>
      </w:pPr>
      <w:r>
        <w:separator/>
      </w:r>
    </w:p>
  </w:endnote>
  <w:endnote w:type="continuationSeparator" w:id="0">
    <w:p w14:paraId="523417AE" w14:textId="77777777" w:rsidR="003C3999" w:rsidRDefault="003C3999" w:rsidP="00B75DF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Arial"/>
    <w:charset w:val="00"/>
    <w:family w:val="swiss"/>
    <w:pitch w:val="variable"/>
    <w:sig w:usb0="20000287" w:usb1="00000003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ptos Display">
    <w:altName w:val="Arial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117756367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F80DCCB" w14:textId="7724ED4C" w:rsidR="002D784B" w:rsidRDefault="002D784B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725DFEF4" w14:textId="77777777" w:rsidR="002D784B" w:rsidRDefault="002D784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1324FA9" w14:textId="77777777" w:rsidR="003C3999" w:rsidRDefault="003C3999" w:rsidP="00B75DF9">
      <w:pPr>
        <w:spacing w:after="0" w:line="240" w:lineRule="auto"/>
      </w:pPr>
      <w:r>
        <w:separator/>
      </w:r>
    </w:p>
  </w:footnote>
  <w:footnote w:type="continuationSeparator" w:id="0">
    <w:p w14:paraId="7A01DD9E" w14:textId="77777777" w:rsidR="003C3999" w:rsidRDefault="003C3999" w:rsidP="00B75DF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F418457" w14:textId="69B7DF43" w:rsidR="002D7C36" w:rsidRPr="00320D8C" w:rsidRDefault="003F0462">
    <w:pPr>
      <w:pStyle w:val="Header"/>
      <w:rPr>
        <w:sz w:val="20"/>
        <w:szCs w:val="20"/>
      </w:rPr>
    </w:pPr>
    <w:r w:rsidRPr="00320D8C">
      <w:rPr>
        <w:sz w:val="20"/>
        <w:szCs w:val="20"/>
      </w:rPr>
      <w:t>S</w:t>
    </w:r>
    <w:r w:rsidR="002D7C36" w:rsidRPr="00320D8C">
      <w:rPr>
        <w:sz w:val="20"/>
        <w:szCs w:val="20"/>
      </w:rPr>
      <w:t>uppl</w:t>
    </w:r>
    <w:r w:rsidR="00924992" w:rsidRPr="00320D8C">
      <w:rPr>
        <w:sz w:val="20"/>
        <w:szCs w:val="20"/>
      </w:rPr>
      <w:t>eme</w:t>
    </w:r>
    <w:r w:rsidRPr="00320D8C">
      <w:rPr>
        <w:sz w:val="20"/>
        <w:szCs w:val="20"/>
      </w:rPr>
      <w:t xml:space="preserve">ntary material </w:t>
    </w:r>
  </w:p>
  <w:p w14:paraId="65908D5E" w14:textId="3D92C352" w:rsidR="003F0462" w:rsidRPr="00320D8C" w:rsidRDefault="003F0462" w:rsidP="009C2776">
    <w:pPr>
      <w:pStyle w:val="Header"/>
      <w:jc w:val="right"/>
      <w:rPr>
        <w:sz w:val="20"/>
        <w:szCs w:val="20"/>
      </w:rPr>
    </w:pPr>
    <w:r w:rsidRPr="00320D8C">
      <w:rPr>
        <w:sz w:val="20"/>
        <w:szCs w:val="20"/>
      </w:rPr>
      <w:t>Appendix to the paper:</w:t>
    </w:r>
  </w:p>
  <w:p w14:paraId="3838034B" w14:textId="77777777" w:rsidR="009C2776" w:rsidRDefault="009C2776" w:rsidP="009C2776">
    <w:pPr>
      <w:pStyle w:val="Header"/>
      <w:jc w:val="right"/>
      <w:rPr>
        <w:sz w:val="20"/>
        <w:szCs w:val="20"/>
      </w:rPr>
    </w:pPr>
    <w:r w:rsidRPr="009C2776">
      <w:rPr>
        <w:sz w:val="20"/>
        <w:szCs w:val="20"/>
      </w:rPr>
      <w:t xml:space="preserve">Effect of Femoral Component Design and Quadriceps Load </w:t>
    </w:r>
  </w:p>
  <w:p w14:paraId="3E77D5AD" w14:textId="77777777" w:rsidR="009C2776" w:rsidRDefault="009C2776" w:rsidP="009C2776">
    <w:pPr>
      <w:pStyle w:val="Header"/>
      <w:jc w:val="right"/>
      <w:rPr>
        <w:sz w:val="20"/>
        <w:szCs w:val="20"/>
      </w:rPr>
    </w:pPr>
    <w:r w:rsidRPr="009C2776">
      <w:rPr>
        <w:sz w:val="20"/>
        <w:szCs w:val="20"/>
      </w:rPr>
      <w:t xml:space="preserve">on Patellofemoral Kinematics After Total Knee Arthroplasty: </w:t>
    </w:r>
  </w:p>
  <w:p w14:paraId="62EDD542" w14:textId="57E31A61" w:rsidR="009C2776" w:rsidRPr="009C2776" w:rsidRDefault="009C2776" w:rsidP="009C2776">
    <w:pPr>
      <w:pStyle w:val="Header"/>
      <w:jc w:val="right"/>
      <w:rPr>
        <w:sz w:val="20"/>
        <w:szCs w:val="20"/>
      </w:rPr>
    </w:pPr>
    <w:r w:rsidRPr="009C2776">
      <w:rPr>
        <w:sz w:val="20"/>
        <w:szCs w:val="20"/>
      </w:rPr>
      <w:t>An In Vitro Cadaveric Study</w:t>
    </w:r>
  </w:p>
  <w:p w14:paraId="5EDE5652" w14:textId="77777777" w:rsidR="003F0462" w:rsidRPr="003F0462" w:rsidRDefault="003F046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210743"/>
    <w:multiLevelType w:val="multilevel"/>
    <w:tmpl w:val="700A8E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18D1E9A"/>
    <w:multiLevelType w:val="multilevel"/>
    <w:tmpl w:val="78608A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670E55D7"/>
    <w:multiLevelType w:val="hybridMultilevel"/>
    <w:tmpl w:val="BBA2DABC"/>
    <w:lvl w:ilvl="0" w:tplc="78A86A56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F270BF8"/>
    <w:multiLevelType w:val="hybridMultilevel"/>
    <w:tmpl w:val="C7FCBC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web"/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7FD0"/>
    <w:rsid w:val="00001E34"/>
    <w:rsid w:val="00001F35"/>
    <w:rsid w:val="00006DC4"/>
    <w:rsid w:val="0001030C"/>
    <w:rsid w:val="00010D3A"/>
    <w:rsid w:val="00013249"/>
    <w:rsid w:val="00014436"/>
    <w:rsid w:val="00023A12"/>
    <w:rsid w:val="000263B8"/>
    <w:rsid w:val="00031FE9"/>
    <w:rsid w:val="00033D30"/>
    <w:rsid w:val="00035716"/>
    <w:rsid w:val="00041ED2"/>
    <w:rsid w:val="00071BD9"/>
    <w:rsid w:val="00074668"/>
    <w:rsid w:val="000832D0"/>
    <w:rsid w:val="000832E8"/>
    <w:rsid w:val="0009740F"/>
    <w:rsid w:val="000A0988"/>
    <w:rsid w:val="000A2909"/>
    <w:rsid w:val="000A4757"/>
    <w:rsid w:val="000A7F74"/>
    <w:rsid w:val="000B0F13"/>
    <w:rsid w:val="000B1604"/>
    <w:rsid w:val="000C2CC8"/>
    <w:rsid w:val="000C5325"/>
    <w:rsid w:val="000C584D"/>
    <w:rsid w:val="000D7A9A"/>
    <w:rsid w:val="000E4FDD"/>
    <w:rsid w:val="000E6D8B"/>
    <w:rsid w:val="000F3C65"/>
    <w:rsid w:val="0011102B"/>
    <w:rsid w:val="00111342"/>
    <w:rsid w:val="00111B03"/>
    <w:rsid w:val="00113A86"/>
    <w:rsid w:val="00114C7B"/>
    <w:rsid w:val="00122D78"/>
    <w:rsid w:val="001362C6"/>
    <w:rsid w:val="00144246"/>
    <w:rsid w:val="001517B2"/>
    <w:rsid w:val="00151908"/>
    <w:rsid w:val="00152224"/>
    <w:rsid w:val="00153DF9"/>
    <w:rsid w:val="0016478B"/>
    <w:rsid w:val="00165114"/>
    <w:rsid w:val="00170338"/>
    <w:rsid w:val="001717B5"/>
    <w:rsid w:val="001768E7"/>
    <w:rsid w:val="001808B0"/>
    <w:rsid w:val="0019492A"/>
    <w:rsid w:val="00194B91"/>
    <w:rsid w:val="001A3692"/>
    <w:rsid w:val="001B1BA7"/>
    <w:rsid w:val="001C0FBC"/>
    <w:rsid w:val="001D051D"/>
    <w:rsid w:val="001D35EE"/>
    <w:rsid w:val="001D457D"/>
    <w:rsid w:val="001D67C7"/>
    <w:rsid w:val="001F6E4F"/>
    <w:rsid w:val="0021201B"/>
    <w:rsid w:val="00216AEB"/>
    <w:rsid w:val="002210E4"/>
    <w:rsid w:val="00235EB4"/>
    <w:rsid w:val="0025012C"/>
    <w:rsid w:val="0026335E"/>
    <w:rsid w:val="00285DBA"/>
    <w:rsid w:val="00291F27"/>
    <w:rsid w:val="00294885"/>
    <w:rsid w:val="00296C93"/>
    <w:rsid w:val="002B252E"/>
    <w:rsid w:val="002C7307"/>
    <w:rsid w:val="002D0ED4"/>
    <w:rsid w:val="002D784B"/>
    <w:rsid w:val="002D7C36"/>
    <w:rsid w:val="002D7D8E"/>
    <w:rsid w:val="002E3531"/>
    <w:rsid w:val="002E49F2"/>
    <w:rsid w:val="002E7636"/>
    <w:rsid w:val="002F5B92"/>
    <w:rsid w:val="002F6A7D"/>
    <w:rsid w:val="00303771"/>
    <w:rsid w:val="003148FA"/>
    <w:rsid w:val="0031612E"/>
    <w:rsid w:val="00317695"/>
    <w:rsid w:val="00320D8C"/>
    <w:rsid w:val="003244D8"/>
    <w:rsid w:val="003272E6"/>
    <w:rsid w:val="0033759A"/>
    <w:rsid w:val="00341CC8"/>
    <w:rsid w:val="00355321"/>
    <w:rsid w:val="00357955"/>
    <w:rsid w:val="0036190B"/>
    <w:rsid w:val="00371B8E"/>
    <w:rsid w:val="00371BC5"/>
    <w:rsid w:val="00386507"/>
    <w:rsid w:val="0039758D"/>
    <w:rsid w:val="00397893"/>
    <w:rsid w:val="003A1BC7"/>
    <w:rsid w:val="003A305D"/>
    <w:rsid w:val="003A33C2"/>
    <w:rsid w:val="003B0131"/>
    <w:rsid w:val="003B2F5D"/>
    <w:rsid w:val="003C19F0"/>
    <w:rsid w:val="003C3999"/>
    <w:rsid w:val="003C55FB"/>
    <w:rsid w:val="003D05F7"/>
    <w:rsid w:val="003D76B6"/>
    <w:rsid w:val="003E23E5"/>
    <w:rsid w:val="003E4FA4"/>
    <w:rsid w:val="003F0462"/>
    <w:rsid w:val="003F625E"/>
    <w:rsid w:val="00400338"/>
    <w:rsid w:val="00402A3B"/>
    <w:rsid w:val="00406175"/>
    <w:rsid w:val="004111E9"/>
    <w:rsid w:val="00411718"/>
    <w:rsid w:val="004264B6"/>
    <w:rsid w:val="00432E33"/>
    <w:rsid w:val="00443CE7"/>
    <w:rsid w:val="00447C5F"/>
    <w:rsid w:val="00462C7A"/>
    <w:rsid w:val="00467017"/>
    <w:rsid w:val="004B67C7"/>
    <w:rsid w:val="004D0354"/>
    <w:rsid w:val="004D0A37"/>
    <w:rsid w:val="004F29D7"/>
    <w:rsid w:val="0051144B"/>
    <w:rsid w:val="00515059"/>
    <w:rsid w:val="00520A99"/>
    <w:rsid w:val="0052254E"/>
    <w:rsid w:val="00527BA5"/>
    <w:rsid w:val="00533CC9"/>
    <w:rsid w:val="00544752"/>
    <w:rsid w:val="00555BC2"/>
    <w:rsid w:val="00572629"/>
    <w:rsid w:val="005739A0"/>
    <w:rsid w:val="00576452"/>
    <w:rsid w:val="00581557"/>
    <w:rsid w:val="00583268"/>
    <w:rsid w:val="00585E79"/>
    <w:rsid w:val="00590C14"/>
    <w:rsid w:val="0059292A"/>
    <w:rsid w:val="00592FA1"/>
    <w:rsid w:val="005A1E17"/>
    <w:rsid w:val="005B4443"/>
    <w:rsid w:val="005B7026"/>
    <w:rsid w:val="005C023D"/>
    <w:rsid w:val="005C41F5"/>
    <w:rsid w:val="005C58C2"/>
    <w:rsid w:val="005D2F42"/>
    <w:rsid w:val="005D3E17"/>
    <w:rsid w:val="005E7270"/>
    <w:rsid w:val="005F5F6A"/>
    <w:rsid w:val="006017CF"/>
    <w:rsid w:val="0063175A"/>
    <w:rsid w:val="00634676"/>
    <w:rsid w:val="006556F5"/>
    <w:rsid w:val="00662436"/>
    <w:rsid w:val="00665CC3"/>
    <w:rsid w:val="00667485"/>
    <w:rsid w:val="006702AF"/>
    <w:rsid w:val="00670D62"/>
    <w:rsid w:val="006722D1"/>
    <w:rsid w:val="006857BB"/>
    <w:rsid w:val="00694A22"/>
    <w:rsid w:val="006A3CAA"/>
    <w:rsid w:val="006B1DC9"/>
    <w:rsid w:val="006B4A3C"/>
    <w:rsid w:val="006C05F6"/>
    <w:rsid w:val="006D66BA"/>
    <w:rsid w:val="006E1190"/>
    <w:rsid w:val="006F570B"/>
    <w:rsid w:val="007033E2"/>
    <w:rsid w:val="00703BAE"/>
    <w:rsid w:val="00706C04"/>
    <w:rsid w:val="00707D65"/>
    <w:rsid w:val="0071334A"/>
    <w:rsid w:val="00724D8C"/>
    <w:rsid w:val="00733E03"/>
    <w:rsid w:val="00736C2A"/>
    <w:rsid w:val="0074365E"/>
    <w:rsid w:val="007452D9"/>
    <w:rsid w:val="007467D6"/>
    <w:rsid w:val="00746E09"/>
    <w:rsid w:val="007626F4"/>
    <w:rsid w:val="00763AFE"/>
    <w:rsid w:val="0076439B"/>
    <w:rsid w:val="0077633C"/>
    <w:rsid w:val="007830D7"/>
    <w:rsid w:val="00787B43"/>
    <w:rsid w:val="007A4DFA"/>
    <w:rsid w:val="007A5967"/>
    <w:rsid w:val="007B6984"/>
    <w:rsid w:val="007D2208"/>
    <w:rsid w:val="007D51F8"/>
    <w:rsid w:val="007E080A"/>
    <w:rsid w:val="007E191A"/>
    <w:rsid w:val="007E2520"/>
    <w:rsid w:val="00800CEA"/>
    <w:rsid w:val="00801B86"/>
    <w:rsid w:val="00811A3A"/>
    <w:rsid w:val="00820967"/>
    <w:rsid w:val="00840951"/>
    <w:rsid w:val="00840C03"/>
    <w:rsid w:val="00842127"/>
    <w:rsid w:val="00843F3A"/>
    <w:rsid w:val="0084496B"/>
    <w:rsid w:val="008501B0"/>
    <w:rsid w:val="00850F32"/>
    <w:rsid w:val="00860736"/>
    <w:rsid w:val="00862C5A"/>
    <w:rsid w:val="00867C80"/>
    <w:rsid w:val="00882831"/>
    <w:rsid w:val="00890019"/>
    <w:rsid w:val="008B4C8F"/>
    <w:rsid w:val="008C1E4B"/>
    <w:rsid w:val="008D2801"/>
    <w:rsid w:val="008D3F2F"/>
    <w:rsid w:val="008E1AE2"/>
    <w:rsid w:val="008E36FB"/>
    <w:rsid w:val="008E393E"/>
    <w:rsid w:val="008F5299"/>
    <w:rsid w:val="008F77A3"/>
    <w:rsid w:val="009053F5"/>
    <w:rsid w:val="00916330"/>
    <w:rsid w:val="00924992"/>
    <w:rsid w:val="00924993"/>
    <w:rsid w:val="00924E35"/>
    <w:rsid w:val="009332E9"/>
    <w:rsid w:val="00944B71"/>
    <w:rsid w:val="00946ED3"/>
    <w:rsid w:val="00947DF0"/>
    <w:rsid w:val="009530C1"/>
    <w:rsid w:val="00961C27"/>
    <w:rsid w:val="00971286"/>
    <w:rsid w:val="009A0D66"/>
    <w:rsid w:val="009C2776"/>
    <w:rsid w:val="009D5F2E"/>
    <w:rsid w:val="009E0E22"/>
    <w:rsid w:val="009E387E"/>
    <w:rsid w:val="009E3A48"/>
    <w:rsid w:val="009E67B7"/>
    <w:rsid w:val="009E746F"/>
    <w:rsid w:val="009E7EDE"/>
    <w:rsid w:val="009F40D0"/>
    <w:rsid w:val="009F450E"/>
    <w:rsid w:val="00A00C4C"/>
    <w:rsid w:val="00A02D98"/>
    <w:rsid w:val="00A058F6"/>
    <w:rsid w:val="00A13640"/>
    <w:rsid w:val="00A258EA"/>
    <w:rsid w:val="00A40BFB"/>
    <w:rsid w:val="00A416E6"/>
    <w:rsid w:val="00A678A2"/>
    <w:rsid w:val="00A70476"/>
    <w:rsid w:val="00A834F6"/>
    <w:rsid w:val="00A836C4"/>
    <w:rsid w:val="00A87F22"/>
    <w:rsid w:val="00A92972"/>
    <w:rsid w:val="00A93662"/>
    <w:rsid w:val="00A93EFD"/>
    <w:rsid w:val="00A94431"/>
    <w:rsid w:val="00A94B6C"/>
    <w:rsid w:val="00AA4A26"/>
    <w:rsid w:val="00AB000F"/>
    <w:rsid w:val="00AB0D96"/>
    <w:rsid w:val="00AB1626"/>
    <w:rsid w:val="00AB1A70"/>
    <w:rsid w:val="00AE1A65"/>
    <w:rsid w:val="00AE1AD7"/>
    <w:rsid w:val="00AE1B8D"/>
    <w:rsid w:val="00AE2B10"/>
    <w:rsid w:val="00AE2FCB"/>
    <w:rsid w:val="00AF0FB6"/>
    <w:rsid w:val="00AF7BD6"/>
    <w:rsid w:val="00B00595"/>
    <w:rsid w:val="00B07ED7"/>
    <w:rsid w:val="00B350ED"/>
    <w:rsid w:val="00B40CF8"/>
    <w:rsid w:val="00B51644"/>
    <w:rsid w:val="00B57806"/>
    <w:rsid w:val="00B60ACD"/>
    <w:rsid w:val="00B642A8"/>
    <w:rsid w:val="00B678FC"/>
    <w:rsid w:val="00B740D2"/>
    <w:rsid w:val="00B75DF9"/>
    <w:rsid w:val="00B84ADC"/>
    <w:rsid w:val="00B84C42"/>
    <w:rsid w:val="00B87474"/>
    <w:rsid w:val="00B87FD9"/>
    <w:rsid w:val="00B936C1"/>
    <w:rsid w:val="00B9764B"/>
    <w:rsid w:val="00BA3C74"/>
    <w:rsid w:val="00BA6522"/>
    <w:rsid w:val="00BA7408"/>
    <w:rsid w:val="00BB0BBF"/>
    <w:rsid w:val="00BB541F"/>
    <w:rsid w:val="00BC5BA9"/>
    <w:rsid w:val="00BE5C3D"/>
    <w:rsid w:val="00BF14E8"/>
    <w:rsid w:val="00BF4523"/>
    <w:rsid w:val="00C10363"/>
    <w:rsid w:val="00C210C0"/>
    <w:rsid w:val="00C22854"/>
    <w:rsid w:val="00C27331"/>
    <w:rsid w:val="00C42724"/>
    <w:rsid w:val="00C43E0C"/>
    <w:rsid w:val="00C51EF4"/>
    <w:rsid w:val="00C547B5"/>
    <w:rsid w:val="00C60706"/>
    <w:rsid w:val="00C67CC2"/>
    <w:rsid w:val="00C720D3"/>
    <w:rsid w:val="00C80E4C"/>
    <w:rsid w:val="00C81063"/>
    <w:rsid w:val="00C81082"/>
    <w:rsid w:val="00C9524C"/>
    <w:rsid w:val="00C9605B"/>
    <w:rsid w:val="00C96D25"/>
    <w:rsid w:val="00CB454C"/>
    <w:rsid w:val="00CC6517"/>
    <w:rsid w:val="00CD251D"/>
    <w:rsid w:val="00CD4E4D"/>
    <w:rsid w:val="00CD69CB"/>
    <w:rsid w:val="00CF40E9"/>
    <w:rsid w:val="00CF5041"/>
    <w:rsid w:val="00D02D78"/>
    <w:rsid w:val="00D05166"/>
    <w:rsid w:val="00D1569F"/>
    <w:rsid w:val="00D31446"/>
    <w:rsid w:val="00D3453F"/>
    <w:rsid w:val="00D43CE7"/>
    <w:rsid w:val="00D4693D"/>
    <w:rsid w:val="00D5468C"/>
    <w:rsid w:val="00D7262A"/>
    <w:rsid w:val="00D74054"/>
    <w:rsid w:val="00D815B6"/>
    <w:rsid w:val="00D93C44"/>
    <w:rsid w:val="00D950D3"/>
    <w:rsid w:val="00D97D65"/>
    <w:rsid w:val="00DC0E7F"/>
    <w:rsid w:val="00DC4B9E"/>
    <w:rsid w:val="00DD1BB5"/>
    <w:rsid w:val="00DF50CC"/>
    <w:rsid w:val="00E00D9D"/>
    <w:rsid w:val="00E040DC"/>
    <w:rsid w:val="00E07F1A"/>
    <w:rsid w:val="00E133BF"/>
    <w:rsid w:val="00E178F3"/>
    <w:rsid w:val="00E20050"/>
    <w:rsid w:val="00E23544"/>
    <w:rsid w:val="00E32496"/>
    <w:rsid w:val="00E34DCB"/>
    <w:rsid w:val="00E51EFB"/>
    <w:rsid w:val="00E54DDB"/>
    <w:rsid w:val="00E563BE"/>
    <w:rsid w:val="00E64202"/>
    <w:rsid w:val="00E65FFC"/>
    <w:rsid w:val="00E663C8"/>
    <w:rsid w:val="00E67C31"/>
    <w:rsid w:val="00E728DE"/>
    <w:rsid w:val="00E728F5"/>
    <w:rsid w:val="00E72B32"/>
    <w:rsid w:val="00E75509"/>
    <w:rsid w:val="00E80EF6"/>
    <w:rsid w:val="00E8778B"/>
    <w:rsid w:val="00E90025"/>
    <w:rsid w:val="00EA5119"/>
    <w:rsid w:val="00EB00F4"/>
    <w:rsid w:val="00EB64D0"/>
    <w:rsid w:val="00EC4E3E"/>
    <w:rsid w:val="00EC4F9E"/>
    <w:rsid w:val="00EC6628"/>
    <w:rsid w:val="00EC6CBC"/>
    <w:rsid w:val="00ED4AD5"/>
    <w:rsid w:val="00ED7FD0"/>
    <w:rsid w:val="00EE4399"/>
    <w:rsid w:val="00EE7E4C"/>
    <w:rsid w:val="00EF75AB"/>
    <w:rsid w:val="00F0180D"/>
    <w:rsid w:val="00F03814"/>
    <w:rsid w:val="00F11C29"/>
    <w:rsid w:val="00F123C2"/>
    <w:rsid w:val="00F1270D"/>
    <w:rsid w:val="00F1530F"/>
    <w:rsid w:val="00F21502"/>
    <w:rsid w:val="00F27B14"/>
    <w:rsid w:val="00F31C79"/>
    <w:rsid w:val="00F33F8B"/>
    <w:rsid w:val="00F4597C"/>
    <w:rsid w:val="00F5153A"/>
    <w:rsid w:val="00F643C6"/>
    <w:rsid w:val="00F7385D"/>
    <w:rsid w:val="00F74B77"/>
    <w:rsid w:val="00F80232"/>
    <w:rsid w:val="00F816C3"/>
    <w:rsid w:val="00F926FE"/>
    <w:rsid w:val="00FA4502"/>
    <w:rsid w:val="00FB0BD5"/>
    <w:rsid w:val="00FB115D"/>
    <w:rsid w:val="00FB62FD"/>
    <w:rsid w:val="00FC4E46"/>
    <w:rsid w:val="00FC7F7D"/>
    <w:rsid w:val="00FE7C68"/>
    <w:rsid w:val="00FF7B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BDA024"/>
  <w15:chartTrackingRefBased/>
  <w15:docId w15:val="{928D307E-BB54-4790-AAB6-5087AF5066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SimSun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D7FD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D7FD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D7FD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ED7FD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ED7FD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D7FD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D7FD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D7FD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D7FD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D7FD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ED7FD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ED7FD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rsid w:val="00ED7FD0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rsid w:val="00ED7FD0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D7FD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D7FD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D7FD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D7FD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D7FD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D7FD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D7FD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D7FD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D7FD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D7FD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D7FD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D7FD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D7FD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D7FD0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D7FD0"/>
    <w:rPr>
      <w:b/>
      <w:bCs/>
      <w:smallCaps/>
      <w:color w:val="0F4761" w:themeColor="accent1" w:themeShade="BF"/>
      <w:spacing w:val="5"/>
    </w:rPr>
  </w:style>
  <w:style w:type="paragraph" w:styleId="TOCHeading">
    <w:name w:val="TOC Heading"/>
    <w:basedOn w:val="Heading1"/>
    <w:next w:val="Normal"/>
    <w:uiPriority w:val="39"/>
    <w:unhideWhenUsed/>
    <w:qFormat/>
    <w:rsid w:val="00EC6CBC"/>
    <w:pPr>
      <w:spacing w:before="240" w:after="0" w:line="259" w:lineRule="auto"/>
      <w:outlineLvl w:val="9"/>
    </w:pPr>
    <w:rPr>
      <w:kern w:val="0"/>
      <w:sz w:val="32"/>
      <w:szCs w:val="32"/>
      <w14:ligatures w14:val="none"/>
    </w:rPr>
  </w:style>
  <w:style w:type="paragraph" w:styleId="TOC1">
    <w:name w:val="toc 1"/>
    <w:basedOn w:val="Normal"/>
    <w:next w:val="Normal"/>
    <w:autoRedefine/>
    <w:uiPriority w:val="39"/>
    <w:unhideWhenUsed/>
    <w:rsid w:val="00EC6CBC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EC6CBC"/>
    <w:pPr>
      <w:spacing w:after="100"/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C6CBC"/>
    <w:pPr>
      <w:spacing w:after="100"/>
      <w:ind w:left="480"/>
    </w:pPr>
  </w:style>
  <w:style w:type="character" w:styleId="Hyperlink">
    <w:name w:val="Hyperlink"/>
    <w:basedOn w:val="DefaultParagraphFont"/>
    <w:uiPriority w:val="99"/>
    <w:unhideWhenUsed/>
    <w:rsid w:val="00EC6CBC"/>
    <w:rPr>
      <w:color w:val="467886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B75DF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75DF9"/>
  </w:style>
  <w:style w:type="paragraph" w:styleId="Footer">
    <w:name w:val="footer"/>
    <w:basedOn w:val="Normal"/>
    <w:link w:val="FooterChar"/>
    <w:uiPriority w:val="99"/>
    <w:unhideWhenUsed/>
    <w:rsid w:val="00B75DF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75DF9"/>
  </w:style>
  <w:style w:type="paragraph" w:styleId="Caption">
    <w:name w:val="caption"/>
    <w:basedOn w:val="Normal"/>
    <w:next w:val="Normal"/>
    <w:uiPriority w:val="35"/>
    <w:unhideWhenUsed/>
    <w:qFormat/>
    <w:rsid w:val="00E728F5"/>
    <w:pPr>
      <w:spacing w:after="200" w:line="240" w:lineRule="auto"/>
    </w:pPr>
    <w:rPr>
      <w:i/>
      <w:iCs/>
      <w:color w:val="0E2841" w:themeColor="text2"/>
      <w:sz w:val="18"/>
      <w:szCs w:val="18"/>
    </w:rPr>
  </w:style>
  <w:style w:type="paragraph" w:styleId="NormalWeb">
    <w:name w:val="Normal (Web)"/>
    <w:basedOn w:val="Normal"/>
    <w:uiPriority w:val="99"/>
    <w:semiHidden/>
    <w:unhideWhenUsed/>
    <w:rsid w:val="00AB1626"/>
    <w:rPr>
      <w:rFonts w:ascii="Times New Roman" w:hAnsi="Times New Roman" w:cs="Times New Roman"/>
    </w:rPr>
  </w:style>
  <w:style w:type="paragraph" w:styleId="Bibliography">
    <w:name w:val="Bibliography"/>
    <w:basedOn w:val="Normal"/>
    <w:next w:val="Normal"/>
    <w:uiPriority w:val="37"/>
    <w:unhideWhenUsed/>
    <w:rsid w:val="003A1BC7"/>
    <w:pPr>
      <w:tabs>
        <w:tab w:val="left" w:pos="384"/>
      </w:tabs>
      <w:spacing w:after="0" w:line="240" w:lineRule="auto"/>
      <w:ind w:left="384" w:hanging="384"/>
    </w:pPr>
  </w:style>
  <w:style w:type="table" w:styleId="PlainTable5">
    <w:name w:val="Plain Table 5"/>
    <w:basedOn w:val="TableNormal"/>
    <w:uiPriority w:val="45"/>
    <w:rsid w:val="00C81082"/>
    <w:pPr>
      <w:spacing w:after="0" w:line="240" w:lineRule="auto"/>
    </w:pPr>
    <w:rPr>
      <w:rFonts w:eastAsiaTheme="minorHAnsi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character" w:styleId="CommentReference">
    <w:name w:val="annotation reference"/>
    <w:basedOn w:val="DefaultParagraphFont"/>
    <w:uiPriority w:val="99"/>
    <w:semiHidden/>
    <w:unhideWhenUsed/>
    <w:rsid w:val="00C8108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C81082"/>
    <w:pPr>
      <w:spacing w:line="240" w:lineRule="auto"/>
    </w:pPr>
    <w:rPr>
      <w:rFonts w:eastAsiaTheme="minorHAnsi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C81082"/>
    <w:rPr>
      <w:rFonts w:eastAsiaTheme="minorHAnsi"/>
      <w:sz w:val="20"/>
      <w:szCs w:val="20"/>
    </w:rPr>
  </w:style>
  <w:style w:type="paragraph" w:customStyle="1" w:styleId="Authors">
    <w:name w:val="Authors"/>
    <w:basedOn w:val="Heading3"/>
    <w:qFormat/>
    <w:rsid w:val="009C2776"/>
    <w:pPr>
      <w:keepLines w:val="0"/>
      <w:spacing w:before="0" w:after="0" w:line="240" w:lineRule="auto"/>
      <w:jc w:val="center"/>
    </w:pPr>
    <w:rPr>
      <w:rFonts w:ascii="Arial" w:eastAsia="Times New Roman" w:hAnsi="Arial" w:cs="Arial"/>
      <w:b/>
      <w:bCs/>
      <w:noProof/>
      <w:color w:val="auto"/>
      <w:kern w:val="0"/>
      <w:sz w:val="20"/>
      <w:szCs w:val="20"/>
      <w14:ligatures w14:val="non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87B43"/>
    <w:rPr>
      <w:rFonts w:eastAsia="SimSun"/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87B43"/>
    <w:rPr>
      <w:rFonts w:eastAsiaTheme="minorHAnsi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4103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11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952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1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9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44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03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59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5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77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71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62C5B34-C6AF-4ABA-A7BD-5F8243A676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1581</TotalTime>
  <Pages>1</Pages>
  <Words>407</Words>
  <Characters>2325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Vera Maioli</dc:creator>
  <cp:keywords/>
  <dc:description/>
  <cp:lastModifiedBy>Revathi   Thangaraj</cp:lastModifiedBy>
  <cp:revision>282</cp:revision>
  <cp:lastPrinted>2025-07-18T09:49:00Z</cp:lastPrinted>
  <dcterms:created xsi:type="dcterms:W3CDTF">2025-02-26T15:25:00Z</dcterms:created>
  <dcterms:modified xsi:type="dcterms:W3CDTF">2026-01-23T10:12:00Z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ZOTERO_PREF_1">
    <vt:lpwstr>&lt;data data-version="3" zotero-version="6.0.36"&gt;&lt;session id="J8d76Z97"/&gt;&lt;style id="http://www.zotero.org/styles/ieee" locale="en-US" hasBibliography="1" bibliographyStyleHasBeenSet="1"/&gt;&lt;prefs&gt;&lt;pref name="fieldType" value="Field"/&gt;&lt;pref name="automaticJour</vt:lpwstr>
  </property>
  <property fmtid="{D5CDD505-2E9C-101B-9397-08002B2CF9AE}" pid="3" name="ZOTERO_PREF_2">
    <vt:lpwstr>nalAbbreviations" value="true"/&gt;&lt;/prefs&gt;&lt;/data&gt;</vt:lpwstr>
  </property>
</Properties>
</file>