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9B8B" w14:textId="47F74131" w:rsidR="007527D8" w:rsidRPr="00503BA5" w:rsidRDefault="00503BA5" w:rsidP="007C70B7">
      <w:pPr>
        <w:spacing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503BA5">
        <w:rPr>
          <w:rFonts w:asciiTheme="majorBidi" w:hAnsiTheme="majorBidi" w:cstheme="majorBidi"/>
          <w:b/>
          <w:bCs/>
          <w:lang w:val="en-US"/>
        </w:rPr>
        <w:t xml:space="preserve">Supplementary S1 </w:t>
      </w:r>
      <w:r w:rsidR="003E1391" w:rsidRPr="003E1391">
        <w:rPr>
          <w:rFonts w:asciiTheme="majorBidi" w:hAnsiTheme="majorBidi" w:cstheme="majorBidi"/>
          <w:b/>
          <w:bCs/>
          <w:lang w:val="en-US"/>
        </w:rPr>
        <w:t>|</w:t>
      </w:r>
      <w:r w:rsidR="003E1391">
        <w:rPr>
          <w:rFonts w:asciiTheme="majorBidi" w:hAnsiTheme="majorBidi" w:cstheme="majorBidi"/>
          <w:b/>
          <w:bCs/>
          <w:lang w:val="en-US"/>
        </w:rPr>
        <w:t xml:space="preserve"> </w:t>
      </w:r>
      <w:r w:rsidRPr="00503BA5">
        <w:rPr>
          <w:rFonts w:asciiTheme="majorBidi" w:hAnsiTheme="majorBidi" w:cstheme="majorBidi"/>
          <w:b/>
          <w:bCs/>
          <w:lang w:val="en-US"/>
        </w:rPr>
        <w:t>Sensitivity of state trajectories across governance regimes</w:t>
      </w:r>
    </w:p>
    <w:p w14:paraId="52044C90" w14:textId="2066C70D" w:rsidR="00503BA5" w:rsidRDefault="00F60BDF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F60BDF">
        <w:rPr>
          <w:rFonts w:asciiTheme="majorBidi" w:hAnsiTheme="majorBidi" w:cstheme="majorBidi"/>
          <w:lang w:val="en-US"/>
        </w:rPr>
        <w:t>This section reports a local first-order sensitivity analysis for the biomass and biodiversity trajectories generated by the deterministic finite-horizon systems in the main text. Let</w:t>
      </w:r>
    </w:p>
    <w:p w14:paraId="3527795F" w14:textId="5A1166D4" w:rsidR="007C70B7" w:rsidRDefault="00D63C3B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m:oMathPara>
        <m:oMath>
          <m:r>
            <w:rPr>
              <w:rFonts w:ascii="Cambria Math" w:hAnsi="Cambria Math" w:cstheme="majorBidi"/>
              <w:lang w:val="en-US"/>
            </w:rPr>
            <m:t>y</m:t>
          </m:r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t</m:t>
              </m:r>
            </m:e>
          </m:d>
          <m:r>
            <w:rPr>
              <w:rFonts w:ascii="Cambria Math" w:hAnsi="Cambria Math" w:cstheme="majorBidi"/>
              <w:lang w:val="en-US"/>
            </w:rPr>
            <m:t>∈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 w:cstheme="majorBidi"/>
                  <w:lang w:val="en-US"/>
                </w:rPr>
                <m:t>,B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t</m:t>
                  </m:r>
                </m:e>
              </m:d>
            </m:e>
          </m:d>
          <m:r>
            <w:rPr>
              <w:rFonts w:ascii="Cambria Math" w:eastAsiaTheme="minorEastAsia" w:hAnsi="Cambria Math" w:cstheme="majorBidi"/>
              <w:lang w:val="en-US"/>
            </w:rPr>
            <m:t xml:space="preserve">   </m:t>
          </m:r>
          <m:r>
            <w:rPr>
              <w:rFonts w:ascii="Cambria Math" w:hAnsi="Cambria Math" w:cstheme="majorBidi"/>
              <w:lang w:val="en-US"/>
            </w:rPr>
            <m:t>(S1.1)</m:t>
          </m:r>
        </m:oMath>
      </m:oMathPara>
    </w:p>
    <w:p w14:paraId="2065CEEC" w14:textId="4ADE64FB" w:rsidR="007C70B7" w:rsidRDefault="00E90E6C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E90E6C">
        <w:rPr>
          <w:rFonts w:asciiTheme="majorBidi" w:hAnsiTheme="majorBidi" w:cstheme="majorBidi"/>
          <w:lang w:val="en-US"/>
        </w:rPr>
        <w:t xml:space="preserve">denote a state </w:t>
      </w:r>
      <w:proofErr w:type="gramStart"/>
      <w:r w:rsidRPr="00E90E6C">
        <w:rPr>
          <w:rFonts w:asciiTheme="majorBidi" w:hAnsiTheme="majorBidi" w:cstheme="majorBidi"/>
          <w:lang w:val="en-US"/>
        </w:rPr>
        <w:t>variable, and</w:t>
      </w:r>
      <w:proofErr w:type="gramEnd"/>
      <w:r w:rsidRPr="00E90E6C">
        <w:rPr>
          <w:rFonts w:asciiTheme="majorBidi" w:hAnsiTheme="majorBidi" w:cstheme="majorBidi"/>
          <w:lang w:val="en-US"/>
        </w:rPr>
        <w:t xml:space="preserve"> let</w:t>
      </w:r>
      <w:r w:rsidR="004F47FB" w:rsidRPr="004F47FB">
        <w:rPr>
          <w:rFonts w:asciiTheme="majorBidi" w:hAnsiTheme="majorBidi" w:cstheme="majorBidi"/>
          <w:lang w:val="en-US"/>
        </w:rPr>
        <w:t xml:space="preserve"> </w:t>
      </w:r>
      <m:oMath>
        <m:r>
          <w:rPr>
            <w:rFonts w:ascii="Cambria Math" w:hAnsi="Cambria Math" w:cstheme="majorBidi"/>
            <w:lang w:val="en-US"/>
          </w:rPr>
          <m:t>θ</m:t>
        </m:r>
      </m:oMath>
      <w:r w:rsidR="004F47FB" w:rsidRPr="004F47FB">
        <w:rPr>
          <w:rFonts w:asciiTheme="majorBidi" w:hAnsiTheme="majorBidi" w:cstheme="majorBidi"/>
          <w:lang w:val="en-US"/>
        </w:rPr>
        <w:t xml:space="preserve"> </w:t>
      </w:r>
      <w:r w:rsidRPr="00E90E6C">
        <w:rPr>
          <w:rFonts w:asciiTheme="majorBidi" w:hAnsiTheme="majorBidi" w:cstheme="majorBidi"/>
          <w:lang w:val="en-US"/>
        </w:rPr>
        <w:t>denote a scalar ecological or economic parameter. Along the baseline solution path, the time-varying sensitivity of</w:t>
      </w:r>
      <w:r w:rsidR="004F47FB" w:rsidRPr="004F47FB">
        <w:rPr>
          <w:rFonts w:asciiTheme="majorBidi" w:hAnsiTheme="majorBidi" w:cstheme="majorBidi"/>
          <w:lang w:val="en-US"/>
        </w:rPr>
        <w:t xml:space="preserve"> </w:t>
      </w:r>
      <m:oMath>
        <m:r>
          <w:rPr>
            <w:rFonts w:ascii="Cambria Math" w:hAnsi="Cambria Math" w:cstheme="majorBidi"/>
            <w:lang w:val="en-US"/>
          </w:rPr>
          <m:t>y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t</m:t>
            </m:r>
          </m:e>
        </m:d>
      </m:oMath>
      <w:r w:rsidR="004F47FB" w:rsidRPr="004F47FB">
        <w:rPr>
          <w:rFonts w:asciiTheme="majorBidi" w:hAnsiTheme="majorBidi" w:cstheme="majorBidi"/>
          <w:lang w:val="en-US"/>
        </w:rPr>
        <w:t xml:space="preserve"> </w:t>
      </w:r>
      <w:r w:rsidR="00401AC7" w:rsidRPr="00401AC7">
        <w:rPr>
          <w:rFonts w:asciiTheme="majorBidi" w:hAnsiTheme="majorBidi" w:cstheme="majorBidi"/>
          <w:lang w:val="en-US"/>
        </w:rPr>
        <w:t>with respect to</w:t>
      </w:r>
      <w:r w:rsidR="004F47FB" w:rsidRPr="004F47FB">
        <w:rPr>
          <w:rFonts w:asciiTheme="majorBidi" w:hAnsiTheme="majorBidi" w:cstheme="majorBidi"/>
          <w:lang w:val="en-US"/>
        </w:rPr>
        <w:t xml:space="preserve"> </w:t>
      </w:r>
      <m:oMath>
        <m:r>
          <w:rPr>
            <w:rFonts w:ascii="Cambria Math" w:hAnsi="Cambria Math" w:cstheme="majorBidi"/>
            <w:lang w:val="en-US"/>
          </w:rPr>
          <m:t>θ</m:t>
        </m:r>
      </m:oMath>
      <w:r w:rsidR="004F47FB" w:rsidRPr="004F47FB">
        <w:rPr>
          <w:rFonts w:asciiTheme="majorBidi" w:hAnsiTheme="majorBidi" w:cstheme="majorBidi"/>
          <w:lang w:val="en-US"/>
        </w:rPr>
        <w:t xml:space="preserve"> </w:t>
      </w:r>
      <w:r w:rsidR="00401AC7" w:rsidRPr="00401AC7">
        <w:rPr>
          <w:rFonts w:asciiTheme="majorBidi" w:hAnsiTheme="majorBidi" w:cstheme="majorBidi"/>
          <w:lang w:val="en-US"/>
        </w:rPr>
        <w:t>is approximated by the centered finite-difference derivative</w:t>
      </w:r>
    </w:p>
    <w:p w14:paraId="6F2D74E3" w14:textId="45802BB4" w:rsidR="007C70B7" w:rsidRDefault="000F4423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theme="majorBidi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y</m:t>
              </m:r>
            </m:sub>
            <m:sup>
              <m:r>
                <w:rPr>
                  <w:rFonts w:ascii="Cambria Math" w:hAnsi="Cambria Math" w:cstheme="majorBidi"/>
                  <w:lang w:val="en-US"/>
                </w:rPr>
                <m:t>θ</m:t>
              </m:r>
            </m:sup>
          </m:sSubSup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t</m:t>
              </m:r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theme="majorBidi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t</m:t>
                  </m:r>
                  <m:r>
                    <w:rPr>
                      <w:rFonts w:ascii="Cambria Math" w:hAnsi="Cambria Math" w:cstheme="majorBidi"/>
                      <w:lang w:val="en-US"/>
                    </w:rPr>
                    <m:t>;</m:t>
                  </m:r>
                  <m:r>
                    <w:rPr>
                      <w:rFonts w:ascii="Cambria Math" w:hAnsi="Cambria Math" w:cstheme="majorBidi"/>
                      <w:lang w:val="en-US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1+</m:t>
                      </m:r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h</m:t>
                      </m:r>
                    </m:e>
                  </m:d>
                </m:e>
              </m:d>
              <m:r>
                <w:rPr>
                  <w:rFonts w:ascii="Cambria Math" w:hAnsi="Cambria Math" w:cstheme="majorBidi"/>
                  <w:lang w:val="en-US"/>
                </w:rPr>
                <m:t>-</m:t>
              </m:r>
              <m:r>
                <w:rPr>
                  <w:rFonts w:ascii="Cambria Math" w:hAnsi="Cambria Math" w:cstheme="majorBidi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lang w:val="en-US"/>
                    </w:rPr>
                    <m:t>t</m:t>
                  </m:r>
                  <m:r>
                    <w:rPr>
                      <w:rFonts w:ascii="Cambria Math" w:hAnsi="Cambria Math" w:cstheme="majorBidi"/>
                      <w:lang w:val="en-US"/>
                    </w:rPr>
                    <m:t>;</m:t>
                  </m:r>
                  <m:r>
                    <w:rPr>
                      <w:rFonts w:ascii="Cambria Math" w:hAnsi="Cambria Math" w:cstheme="majorBidi"/>
                      <w:lang w:val="en-US"/>
                    </w:rPr>
                    <m:t>θ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1-</m:t>
                      </m:r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h</m:t>
                      </m:r>
                    </m:e>
                  </m:d>
                </m:e>
              </m:d>
            </m:num>
            <m:den>
              <m:r>
                <w:rPr>
                  <w:rFonts w:ascii="Cambria Math" w:hAnsi="Cambria Math" w:cstheme="majorBidi"/>
                  <w:lang w:val="en-US"/>
                </w:rPr>
                <m:t>2</m:t>
              </m:r>
              <m:r>
                <w:rPr>
                  <w:rFonts w:ascii="Cambria Math" w:hAnsi="Cambria Math" w:cstheme="majorBidi"/>
                  <w:lang w:val="en-US"/>
                </w:rPr>
                <m:t>h</m:t>
              </m:r>
              <m:r>
                <w:rPr>
                  <w:rFonts w:ascii="Cambria Math" w:hAnsi="Cambria Math" w:cstheme="majorBidi"/>
                  <w:lang w:val="en-US"/>
                </w:rPr>
                <m:t>θ</m:t>
              </m:r>
            </m:den>
          </m:f>
          <m:r>
            <w:rPr>
              <w:rFonts w:ascii="Cambria Math" w:hAnsi="Cambria Math" w:cstheme="majorBidi"/>
              <w:lang w:val="en-US"/>
            </w:rPr>
            <m:t>, h=</m:t>
          </m:r>
          <m:sSup>
            <m:sSup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theme="majorBidi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lang w:val="en-US"/>
                </w:rPr>
                <m:t>-</m:t>
              </m:r>
              <m:r>
                <w:rPr>
                  <w:rFonts w:ascii="Cambria Math" w:hAnsi="Cambria Math" w:cstheme="majorBidi"/>
                  <w:lang w:val="en-US"/>
                </w:rPr>
                <m:t>4</m:t>
              </m:r>
            </m:sup>
          </m:sSup>
          <m:r>
            <w:rPr>
              <w:rFonts w:ascii="Cambria Math" w:hAnsi="Cambria Math" w:cstheme="majorBidi"/>
              <w:lang w:val="en-US"/>
            </w:rPr>
            <m:t xml:space="preserve">    (</m:t>
          </m:r>
          <m:r>
            <w:rPr>
              <w:rFonts w:ascii="Cambria Math" w:hAnsi="Cambria Math" w:cstheme="majorBidi"/>
              <w:lang w:val="en-US"/>
            </w:rPr>
            <m:t>S</m:t>
          </m:r>
          <m:r>
            <w:rPr>
              <w:rFonts w:ascii="Cambria Math" w:hAnsi="Cambria Math" w:cstheme="majorBidi"/>
              <w:lang w:val="en-US"/>
            </w:rPr>
            <m:t>1.2)</m:t>
          </m:r>
        </m:oMath>
      </m:oMathPara>
    </w:p>
    <w:p w14:paraId="73C2BA08" w14:textId="2D6D9D99" w:rsidR="00986BC2" w:rsidRDefault="0074280C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74280C">
        <w:rPr>
          <w:rFonts w:asciiTheme="majorBidi" w:hAnsiTheme="majorBidi" w:cstheme="majorBidi"/>
          <w:lang w:val="en-US"/>
        </w:rPr>
        <w:t>For each perturbation, the corresponding forward–backward boundary-value problem is re-solved while all other parameters and the initial conditions are held fixed. The endpoint structure is preserved across baseline and perturbed runs: fixed-endpoint regimes impose the same terminal state targets, whereas free-endpoint regimes impose the same transversality conditions. Thus, the reported sensitivities are local, regime-consistent comparative statics rather than global robustness measures</w:t>
      </w:r>
      <w:r w:rsidR="00061DD4" w:rsidRPr="00061DD4">
        <w:rPr>
          <w:rFonts w:asciiTheme="majorBidi" w:hAnsiTheme="majorBidi" w:cstheme="majorBidi"/>
          <w:lang w:val="en-US"/>
        </w:rPr>
        <w:t>.</w:t>
      </w:r>
    </w:p>
    <w:p w14:paraId="7B6FED90" w14:textId="014A8695" w:rsidR="00061DD4" w:rsidRDefault="00115B1F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115B1F">
        <w:rPr>
          <w:rFonts w:asciiTheme="majorBidi" w:hAnsiTheme="majorBidi" w:cstheme="majorBidi"/>
          <w:lang w:val="en-US"/>
        </w:rPr>
        <w:t>To summarize the sensitivity paths, we compute two scalar indices. The first is the peak absolute sensitivity</w:t>
      </w:r>
      <w:r w:rsidR="00832F1E" w:rsidRPr="00832F1E">
        <w:rPr>
          <w:rFonts w:asciiTheme="majorBidi" w:hAnsiTheme="majorBidi" w:cstheme="majorBidi"/>
          <w:lang w:val="en-US"/>
        </w:rPr>
        <w:t>,</w:t>
      </w:r>
    </w:p>
    <w:p w14:paraId="5B06AF3F" w14:textId="26EA027F" w:rsidR="00832F1E" w:rsidRDefault="000F4423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ajorBidi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∞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y</m:t>
              </m:r>
              <m:r>
                <w:rPr>
                  <w:rFonts w:ascii="Cambria Math" w:hAnsi="Cambria Math" w:cstheme="majorBidi"/>
                  <w:lang w:val="en-US"/>
                </w:rPr>
                <m:t>,</m:t>
              </m:r>
              <m:r>
                <w:rPr>
                  <w:rFonts w:ascii="Cambria Math" w:hAnsi="Cambria Math" w:cstheme="majorBidi"/>
                  <w:lang w:val="en-US"/>
                </w:rPr>
                <m:t>θ</m:t>
              </m:r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val="en-US"/>
                    </w:rPr>
                    <m:t>max</m:t>
                  </m:r>
                </m:e>
                <m:lim>
                  <m:r>
                    <w:rPr>
                      <w:rFonts w:ascii="Cambria Math" w:hAnsi="Cambria Math" w:cstheme="majorBidi"/>
                      <w:lang w:val="en-US"/>
                    </w:rPr>
                    <m:t>t</m:t>
                  </m:r>
                  <m:r>
                    <w:rPr>
                      <w:rFonts w:ascii="Cambria Math" w:hAnsi="Cambria Math" w:cstheme="majorBidi"/>
                      <w:lang w:val="en-US"/>
                    </w:rPr>
                    <m:t>∈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0,</m:t>
                      </m:r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T</m:t>
                      </m:r>
                    </m:e>
                  </m:d>
                </m:lim>
              </m:limLow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θ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t</m:t>
                      </m:r>
                    </m:e>
                  </m:d>
                </m:e>
              </m:d>
            </m:e>
          </m:func>
          <m:r>
            <w:rPr>
              <w:rFonts w:ascii="Cambria Math" w:hAnsi="Cambria Math" w:cstheme="majorBidi"/>
              <w:lang w:val="en-US"/>
            </w:rPr>
            <m:t>,     (</m:t>
          </m:r>
          <m:r>
            <w:rPr>
              <w:rFonts w:ascii="Cambria Math" w:hAnsi="Cambria Math" w:cstheme="majorBidi"/>
              <w:lang w:val="en-US"/>
            </w:rPr>
            <m:t>S</m:t>
          </m:r>
          <m:r>
            <w:rPr>
              <w:rFonts w:ascii="Cambria Math" w:hAnsi="Cambria Math" w:cstheme="majorBidi"/>
              <w:lang w:val="en-US"/>
            </w:rPr>
            <m:t>1.3)</m:t>
          </m:r>
        </m:oMath>
      </m:oMathPara>
    </w:p>
    <w:p w14:paraId="3C9598E0" w14:textId="59AA1CEB" w:rsidR="00832F1E" w:rsidRDefault="00F00862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F00862">
        <w:rPr>
          <w:rFonts w:asciiTheme="majorBidi" w:hAnsiTheme="majorBidi" w:cstheme="majorBidi"/>
          <w:lang w:val="en-US"/>
        </w:rPr>
        <w:t>and the second is the time-integrated absolute sensitivity</w:t>
      </w:r>
      <w:r w:rsidR="00D437AD" w:rsidRPr="00D437AD">
        <w:rPr>
          <w:rFonts w:asciiTheme="majorBidi" w:hAnsiTheme="majorBidi" w:cstheme="majorBidi"/>
          <w:lang w:val="en-US"/>
        </w:rPr>
        <w:t>,</w:t>
      </w:r>
    </w:p>
    <w:p w14:paraId="1A3E8150" w14:textId="7F12469F" w:rsidR="00137F84" w:rsidRDefault="000F4423" w:rsidP="00137F84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ajorBidi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lang w:val="en-US"/>
                </w:rPr>
                <m:t>y</m:t>
              </m:r>
              <m:r>
                <w:rPr>
                  <w:rFonts w:ascii="Cambria Math" w:hAnsi="Cambria Math" w:cstheme="majorBidi"/>
                  <w:lang w:val="en-US"/>
                </w:rPr>
                <m:t>,</m:t>
              </m:r>
              <m:r>
                <w:rPr>
                  <w:rFonts w:ascii="Cambria Math" w:hAnsi="Cambria Math" w:cstheme="majorBidi"/>
                  <w:lang w:val="en-US"/>
                </w:rPr>
                <m:t>θ</m:t>
              </m:r>
            </m:e>
          </m:d>
          <m:r>
            <w:rPr>
              <w:rFonts w:ascii="Cambria Math" w:hAnsi="Cambria Math" w:cstheme="majorBidi"/>
              <w:lang w:val="en-US"/>
            </w:rPr>
            <m:t>=</m:t>
          </m:r>
          <m:nary>
            <m:naryPr>
              <m:limLoc m:val="subSup"/>
              <m:ctrlPr>
                <w:rPr>
                  <w:rFonts w:ascii="Cambria Math" w:hAnsi="Cambria Math" w:cstheme="majorBidi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theme="majorBidi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theme="majorBidi"/>
                  <w:lang w:val="en-US"/>
                </w:rPr>
                <m:t>T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θ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lang w:val="en-US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 w:cstheme="majorBidi"/>
                  <w:lang w:val="en-US"/>
                </w:rPr>
                <m:t>dt</m:t>
              </m:r>
            </m:e>
          </m:nary>
          <m:r>
            <w:rPr>
              <w:rFonts w:ascii="Cambria Math" w:hAnsi="Cambria Math" w:cstheme="majorBidi"/>
              <w:lang w:val="en-US"/>
            </w:rPr>
            <m:t>,     (</m:t>
          </m:r>
          <m:r>
            <w:rPr>
              <w:rFonts w:ascii="Cambria Math" w:hAnsi="Cambria Math" w:cstheme="majorBidi"/>
              <w:lang w:val="en-US"/>
            </w:rPr>
            <m:t>S</m:t>
          </m:r>
          <m:r>
            <w:rPr>
              <w:rFonts w:ascii="Cambria Math" w:hAnsi="Cambria Math" w:cstheme="majorBidi"/>
              <w:lang w:val="en-US"/>
            </w:rPr>
            <m:t>1.4)</m:t>
          </m:r>
        </m:oMath>
      </m:oMathPara>
    </w:p>
    <w:p w14:paraId="4B12B48C" w14:textId="2CBE043D" w:rsidR="00832F1E" w:rsidRDefault="00CA4DE5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CA4DE5">
        <w:rPr>
          <w:rFonts w:asciiTheme="majorBidi" w:hAnsiTheme="majorBidi" w:cstheme="majorBidi"/>
          <w:lang w:val="en-US"/>
        </w:rPr>
        <w:t>The quantity</w:t>
      </w:r>
      <w:r>
        <w:rPr>
          <w:rFonts w:asciiTheme="majorBidi" w:hAnsiTheme="majorBidi" w:cstheme="majorBidi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lang w:val="en-US"/>
              </w:rPr>
              <m:t>M</m:t>
            </m:r>
          </m:e>
          <m:sub>
            <m:r>
              <w:rPr>
                <w:rFonts w:ascii="Cambria Math" w:hAnsi="Cambria Math" w:cstheme="majorBidi"/>
                <w:lang w:val="en-US"/>
              </w:rPr>
              <m:t>∞</m:t>
            </m:r>
          </m:sub>
        </m:sSub>
      </m:oMath>
      <w:r>
        <w:rPr>
          <w:rFonts w:asciiTheme="majorBidi" w:eastAsiaTheme="minorEastAsia" w:hAnsiTheme="majorBidi" w:cstheme="majorBidi"/>
          <w:lang w:val="en-US"/>
        </w:rPr>
        <w:t xml:space="preserve"> </w:t>
      </w:r>
      <w:r w:rsidR="00BF37F3" w:rsidRPr="00BF37F3">
        <w:rPr>
          <w:rFonts w:asciiTheme="majorBidi" w:eastAsiaTheme="minorEastAsia" w:hAnsiTheme="majorBidi" w:cstheme="majorBidi"/>
          <w:lang w:val="en-US"/>
        </w:rPr>
        <w:t>measures the largest local response over the horizon, while</w:t>
      </w:r>
      <w:r w:rsidR="004A7888">
        <w:rPr>
          <w:rFonts w:asciiTheme="majorBidi" w:eastAsiaTheme="minorEastAsia" w:hAnsiTheme="majorBidi" w:cstheme="majorBidi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lang w:val="en-US"/>
              </w:rPr>
              <m:t>M</m:t>
            </m:r>
          </m:e>
          <m:sub>
            <m:r>
              <w:rPr>
                <w:rFonts w:ascii="Cambria Math" w:hAnsi="Cambria Math" w:cstheme="majorBidi"/>
                <w:lang w:val="en-US"/>
              </w:rPr>
              <m:t>1</m:t>
            </m:r>
          </m:sub>
        </m:sSub>
      </m:oMath>
      <w:r w:rsidR="004A7888">
        <w:rPr>
          <w:rFonts w:asciiTheme="majorBidi" w:eastAsiaTheme="minorEastAsia" w:hAnsiTheme="majorBidi" w:cstheme="majorBidi"/>
          <w:lang w:val="en-US"/>
        </w:rPr>
        <w:t xml:space="preserve"> </w:t>
      </w:r>
      <w:r w:rsidR="00D73458" w:rsidRPr="00D73458">
        <w:rPr>
          <w:rFonts w:asciiTheme="majorBidi" w:eastAsiaTheme="minorEastAsia" w:hAnsiTheme="majorBidi" w:cstheme="majorBidi"/>
          <w:lang w:val="en-US"/>
        </w:rPr>
        <w:t>measures cumulative responsiveness. In the numerical implementation,</w:t>
      </w:r>
      <w:r w:rsidR="00D73458">
        <w:rPr>
          <w:rFonts w:asciiTheme="majorBidi" w:eastAsiaTheme="minorEastAsia" w:hAnsiTheme="majorBidi" w:cstheme="majorBidi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lang w:val="en-US"/>
              </w:rPr>
            </m:ctrlPr>
          </m:sSubPr>
          <m:e>
            <m:r>
              <w:rPr>
                <w:rFonts w:ascii="Cambria Math" w:hAnsi="Cambria Math" w:cstheme="majorBidi"/>
                <w:lang w:val="en-US"/>
              </w:rPr>
              <m:t>M</m:t>
            </m:r>
          </m:e>
          <m:sub>
            <m:r>
              <w:rPr>
                <w:rFonts w:ascii="Cambria Math" w:hAnsi="Cambria Math" w:cstheme="majorBidi"/>
                <w:lang w:val="en-US"/>
              </w:rPr>
              <m:t>1</m:t>
            </m:r>
          </m:sub>
        </m:sSub>
      </m:oMath>
      <w:r w:rsidR="00D73458">
        <w:rPr>
          <w:rFonts w:asciiTheme="majorBidi" w:eastAsiaTheme="minorEastAsia" w:hAnsiTheme="majorBidi" w:cstheme="majorBidi"/>
          <w:lang w:val="en-US"/>
        </w:rPr>
        <w:t xml:space="preserve"> </w:t>
      </w:r>
      <w:r w:rsidR="00D73458" w:rsidRPr="00D73458">
        <w:rPr>
          <w:rFonts w:asciiTheme="majorBidi" w:eastAsiaTheme="minorEastAsia" w:hAnsiTheme="majorBidi" w:cstheme="majorBidi"/>
          <w:lang w:val="en-US"/>
        </w:rPr>
        <w:t>is approximated by quadrature on the solver mesh.</w:t>
      </w:r>
    </w:p>
    <w:p w14:paraId="08324011" w14:textId="57BC2DB6" w:rsidR="00832F1E" w:rsidRDefault="004D2F25" w:rsidP="004D2F25">
      <w:pPr>
        <w:spacing w:line="240" w:lineRule="auto"/>
        <w:jc w:val="center"/>
        <w:rPr>
          <w:rFonts w:asciiTheme="majorBidi" w:hAnsiTheme="majorBidi" w:cstheme="majorBidi"/>
          <w:lang w:val="en-US"/>
        </w:rPr>
      </w:pPr>
      <w:r w:rsidRPr="00D97BA1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9328C96" wp14:editId="53483ECB">
            <wp:extent cx="5460727" cy="4590288"/>
            <wp:effectExtent l="0" t="0" r="6985" b="1270"/>
            <wp:docPr id="5" name="Graphic 4">
              <a:extLst xmlns:a="http://schemas.openxmlformats.org/drawingml/2006/main">
                <a:ext uri="{FF2B5EF4-FFF2-40B4-BE49-F238E27FC236}">
                  <a16:creationId xmlns:a16="http://schemas.microsoft.com/office/drawing/2014/main" id="{9720262D-F797-3E3D-61C6-8E9040CA87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4">
                      <a:extLst>
                        <a:ext uri="{FF2B5EF4-FFF2-40B4-BE49-F238E27FC236}">
                          <a16:creationId xmlns:a16="http://schemas.microsoft.com/office/drawing/2014/main" id="{9720262D-F797-3E3D-61C6-8E9040CA87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727" cy="459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89E43" w14:textId="7CC452FE" w:rsidR="00061DD4" w:rsidRDefault="00790E21" w:rsidP="00C81FBD">
      <w:pPr>
        <w:spacing w:line="240" w:lineRule="auto"/>
        <w:jc w:val="both"/>
        <w:rPr>
          <w:rFonts w:asciiTheme="majorBidi" w:eastAsiaTheme="minorEastAsia" w:hAnsiTheme="majorBidi" w:cstheme="majorBidi"/>
          <w:lang w:val="en-US"/>
        </w:rPr>
      </w:pPr>
      <w:r w:rsidRPr="00790E21">
        <w:rPr>
          <w:rFonts w:asciiTheme="majorBidi" w:hAnsiTheme="majorBidi" w:cstheme="majorBidi"/>
          <w:b/>
          <w:bCs/>
          <w:lang w:val="en-US"/>
        </w:rPr>
        <w:t>Supplementary Figure S1. Local sensitivity of biomass and biodiversity trajectories across governance regimes.</w:t>
      </w:r>
      <w:r w:rsidR="00C81FBD">
        <w:rPr>
          <w:rFonts w:asciiTheme="majorBidi" w:hAnsiTheme="majorBidi" w:cstheme="majorBidi"/>
          <w:lang w:val="en-US"/>
        </w:rPr>
        <w:t xml:space="preserve"> </w:t>
      </w:r>
      <w:r w:rsidR="00C81FBD" w:rsidRPr="00C81FBD">
        <w:rPr>
          <w:rFonts w:asciiTheme="majorBidi" w:hAnsiTheme="majorBidi" w:cstheme="majorBidi"/>
          <w:lang w:val="en-US"/>
        </w:rPr>
        <w:t>The figure reports</w:t>
      </w:r>
      <w:r w:rsidR="00C81FBD">
        <w:rPr>
          <w:rFonts w:asciiTheme="majorBidi" w:hAnsiTheme="majorBidi" w:cstheme="majorBidi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theme="majorBidi"/>
                <w:i/>
                <w:lang w:val="en-US"/>
              </w:rPr>
            </m:ctrlPr>
          </m:sSubSupPr>
          <m:e>
            <m:r>
              <w:rPr>
                <w:rFonts w:ascii="Cambria Math" w:hAnsi="Cambria Math" w:cstheme="majorBidi"/>
                <w:lang w:val="en-US"/>
              </w:rPr>
              <m:t>S</m:t>
            </m:r>
          </m:e>
          <m:sub>
            <m:r>
              <w:rPr>
                <w:rFonts w:ascii="Cambria Math" w:hAnsi="Cambria Math" w:cstheme="majorBidi"/>
                <w:lang w:val="en-US"/>
              </w:rPr>
              <m:t>y</m:t>
            </m:r>
          </m:sub>
          <m:sup>
            <m:r>
              <w:rPr>
                <w:rFonts w:ascii="Cambria Math" w:hAnsi="Cambria Math" w:cstheme="majorBidi"/>
                <w:lang w:val="en-US"/>
              </w:rPr>
              <m:t>θ</m:t>
            </m:r>
          </m:sup>
        </m:sSubSup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t</m:t>
            </m:r>
          </m:e>
        </m:d>
      </m:oMath>
      <w:r w:rsidR="00C81FBD">
        <w:rPr>
          <w:rFonts w:asciiTheme="majorBidi" w:eastAsiaTheme="minorEastAsia" w:hAnsiTheme="majorBidi" w:cstheme="majorBidi"/>
          <w:lang w:val="en-US"/>
        </w:rPr>
        <w:t xml:space="preserve"> </w:t>
      </w:r>
      <w:r w:rsidR="0025209A" w:rsidRPr="0025209A">
        <w:rPr>
          <w:rFonts w:asciiTheme="majorBidi" w:eastAsiaTheme="minorEastAsia" w:hAnsiTheme="majorBidi" w:cstheme="majorBidi"/>
          <w:lang w:val="en-US"/>
        </w:rPr>
        <w:t>for biomass</w:t>
      </w:r>
      <w:r w:rsidR="0025209A">
        <w:rPr>
          <w:rFonts w:asciiTheme="majorBidi" w:eastAsiaTheme="minorEastAsia" w:hAnsiTheme="majorBidi" w:cstheme="majorBidi"/>
          <w:lang w:val="en-US"/>
        </w:rPr>
        <w:t xml:space="preserve"> </w:t>
      </w:r>
      <m:oMath>
        <m:r>
          <w:rPr>
            <w:rFonts w:ascii="Cambria Math" w:eastAsiaTheme="minorEastAsia" w:hAnsi="Cambria Math" w:cstheme="majorBidi"/>
            <w:lang w:val="en-US"/>
          </w:rPr>
          <m:t>x</m:t>
        </m:r>
        <m:d>
          <m:dPr>
            <m:ctrlPr>
              <w:rPr>
                <w:rFonts w:ascii="Cambria Math" w:eastAsiaTheme="minorEastAsia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ajorBidi"/>
                <w:lang w:val="en-US"/>
              </w:rPr>
              <m:t>t</m:t>
            </m:r>
          </m:e>
        </m:d>
      </m:oMath>
      <w:r w:rsidR="0025209A">
        <w:rPr>
          <w:rFonts w:asciiTheme="majorBidi" w:eastAsiaTheme="minorEastAsia" w:hAnsiTheme="majorBidi" w:cstheme="majorBidi"/>
          <w:lang w:val="en-US"/>
        </w:rPr>
        <w:t xml:space="preserve"> </w:t>
      </w:r>
      <w:r w:rsidR="009B7405" w:rsidRPr="009B7405">
        <w:rPr>
          <w:rFonts w:asciiTheme="majorBidi" w:eastAsiaTheme="minorEastAsia" w:hAnsiTheme="majorBidi" w:cstheme="majorBidi"/>
          <w:lang w:val="en-US"/>
        </w:rPr>
        <w:t>and biodiversity</w:t>
      </w:r>
      <w:r w:rsidR="009B7405">
        <w:rPr>
          <w:rFonts w:asciiTheme="majorBidi" w:eastAsiaTheme="minorEastAsia" w:hAnsiTheme="majorBidi" w:cstheme="majorBidi"/>
          <w:lang w:val="en-US"/>
        </w:rPr>
        <w:t xml:space="preserve"> </w:t>
      </w:r>
      <m:oMath>
        <m:r>
          <w:rPr>
            <w:rFonts w:ascii="Cambria Math" w:eastAsiaTheme="minorEastAsia" w:hAnsi="Cambria Math" w:cstheme="majorBidi"/>
            <w:lang w:val="en-US"/>
          </w:rPr>
          <m:t>B</m:t>
        </m:r>
        <m:d>
          <m:dPr>
            <m:ctrlPr>
              <w:rPr>
                <w:rFonts w:ascii="Cambria Math" w:eastAsiaTheme="minorEastAsia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ajorBidi"/>
                <w:lang w:val="en-US"/>
              </w:rPr>
              <m:t>t</m:t>
            </m:r>
          </m:e>
        </m:d>
      </m:oMath>
      <w:r w:rsidR="009B7405">
        <w:rPr>
          <w:rFonts w:asciiTheme="majorBidi" w:eastAsiaTheme="minorEastAsia" w:hAnsiTheme="majorBidi" w:cstheme="majorBidi"/>
          <w:lang w:val="en-US"/>
        </w:rPr>
        <w:t xml:space="preserve"> </w:t>
      </w:r>
      <w:r w:rsidR="003257BF" w:rsidRPr="003257BF">
        <w:rPr>
          <w:rFonts w:asciiTheme="majorBidi" w:eastAsiaTheme="minorEastAsia" w:hAnsiTheme="majorBidi" w:cstheme="majorBidi"/>
          <w:lang w:val="en-US"/>
        </w:rPr>
        <w:t xml:space="preserve">under the OLNE-Free, Regulator-Fixed, and Regulator-Free regimes. The left column shows biomass </w:t>
      </w:r>
      <w:proofErr w:type="gramStart"/>
      <w:r w:rsidR="003257BF" w:rsidRPr="003257BF">
        <w:rPr>
          <w:rFonts w:asciiTheme="majorBidi" w:eastAsiaTheme="minorEastAsia" w:hAnsiTheme="majorBidi" w:cstheme="majorBidi"/>
          <w:lang w:val="en-US"/>
        </w:rPr>
        <w:t>sensitivities</w:t>
      </w:r>
      <w:proofErr w:type="gramEnd"/>
      <w:r w:rsidR="003257BF" w:rsidRPr="003257BF">
        <w:rPr>
          <w:rFonts w:asciiTheme="majorBidi" w:eastAsiaTheme="minorEastAsia" w:hAnsiTheme="majorBidi" w:cstheme="majorBidi"/>
          <w:lang w:val="en-US"/>
        </w:rPr>
        <w:t xml:space="preserve"> and the right column shows biodiversity sensitivities; rows correspond, respectively, to OLNE-Free, Regulator-Fixed, and Regulator-Free. In the reported calibration, the profiles indicate that sensitivity patterns differ across both governance regime and endpoint design: the OLNE-Free case displays largely monotone responses, the Regulator-Fixed case exhibits non-monotone paths with visible terminal adjustment, and the Regulator-Free case produces smoother free-endpoint responses without convergence to prescribed terminal states. These profiles should be interpreted as local comparative-static responses around the calibrated baseline, not as global robustness results</w:t>
      </w:r>
      <w:r w:rsidR="00F62FFD" w:rsidRPr="00F62FFD">
        <w:rPr>
          <w:rFonts w:asciiTheme="majorBidi" w:eastAsiaTheme="minorEastAsia" w:hAnsiTheme="majorBidi" w:cstheme="majorBidi"/>
          <w:lang w:val="en-US"/>
        </w:rPr>
        <w:t>.</w:t>
      </w:r>
    </w:p>
    <w:p w14:paraId="7B240E02" w14:textId="77777777" w:rsidR="00C27031" w:rsidRPr="00C81FBD" w:rsidRDefault="00C27031" w:rsidP="00C81FBD">
      <w:pPr>
        <w:spacing w:line="24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527DFC23" w14:textId="41502965" w:rsidR="00771010" w:rsidRPr="00771010" w:rsidRDefault="00771010" w:rsidP="00C27031">
      <w:pPr>
        <w:spacing w:before="240" w:line="24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771010">
        <w:rPr>
          <w:rFonts w:asciiTheme="majorBidi" w:hAnsiTheme="majorBidi" w:cstheme="majorBidi"/>
          <w:b/>
          <w:bCs/>
          <w:lang w:val="en-US"/>
        </w:rPr>
        <w:t xml:space="preserve">Supplementary S2 </w:t>
      </w:r>
      <w:r w:rsidR="003E1391" w:rsidRPr="003E1391">
        <w:rPr>
          <w:rFonts w:asciiTheme="majorBidi" w:hAnsiTheme="majorBidi" w:cstheme="majorBidi"/>
          <w:b/>
          <w:bCs/>
          <w:lang w:val="en-US"/>
        </w:rPr>
        <w:t>|</w:t>
      </w:r>
      <w:r w:rsidRPr="00771010">
        <w:rPr>
          <w:rFonts w:asciiTheme="majorBidi" w:hAnsiTheme="majorBidi" w:cstheme="majorBidi"/>
          <w:b/>
          <w:bCs/>
          <w:lang w:val="en-US"/>
        </w:rPr>
        <w:t xml:space="preserve"> Calibration and numerical reproducibility</w:t>
      </w:r>
    </w:p>
    <w:p w14:paraId="6F550990" w14:textId="3A50B541" w:rsidR="00771010" w:rsidRDefault="008F65A2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8F65A2">
        <w:rPr>
          <w:rFonts w:asciiTheme="majorBidi" w:hAnsiTheme="majorBidi" w:cstheme="majorBidi"/>
          <w:lang w:val="en-US"/>
        </w:rPr>
        <w:t>This section reports the baseline calibration and numerical settings used for the simulations in the main text and the sensitivity analysis</w:t>
      </w:r>
      <w:r>
        <w:rPr>
          <w:rFonts w:asciiTheme="majorBidi" w:hAnsiTheme="majorBidi" w:cstheme="majorBidi"/>
          <w:lang w:val="en-US"/>
        </w:rPr>
        <w:t xml:space="preserve"> in</w:t>
      </w:r>
      <w:r w:rsidR="00E53FC3" w:rsidRPr="00E53FC3">
        <w:rPr>
          <w:rFonts w:asciiTheme="majorBidi" w:hAnsiTheme="majorBidi" w:cstheme="majorBidi"/>
          <w:lang w:val="en-US"/>
        </w:rPr>
        <w:t xml:space="preserve"> </w:t>
      </w:r>
      <w:r w:rsidR="00E53FC3" w:rsidRPr="00F4759C">
        <w:rPr>
          <w:rFonts w:asciiTheme="majorBidi" w:hAnsiTheme="majorBidi" w:cstheme="majorBidi"/>
          <w:b/>
          <w:bCs/>
          <w:lang w:val="en-US"/>
        </w:rPr>
        <w:t>Supplementary S1</w:t>
      </w:r>
      <w:r w:rsidR="00E53FC3" w:rsidRPr="00E53FC3">
        <w:rPr>
          <w:rFonts w:asciiTheme="majorBidi" w:hAnsiTheme="majorBidi" w:cstheme="majorBidi"/>
          <w:lang w:val="en-US"/>
        </w:rPr>
        <w:t>. The model is solved on the finite horizon</w:t>
      </w:r>
      <w:r w:rsidR="00BD3F10">
        <w:rPr>
          <w:rFonts w:asciiTheme="majorBidi" w:hAnsiTheme="majorBidi" w:cstheme="majorBidi"/>
          <w:lang w:val="en-US"/>
        </w:rPr>
        <w:t xml:space="preserve"> </w:t>
      </w:r>
      <m:oMath>
        <m:r>
          <w:rPr>
            <w:rFonts w:ascii="Cambria Math" w:hAnsi="Cambria Math" w:cstheme="majorBidi"/>
            <w:lang w:val="en-US"/>
          </w:rPr>
          <m:t>T=20</m:t>
        </m:r>
      </m:oMath>
      <w:r w:rsidR="00BD3F10">
        <w:rPr>
          <w:rFonts w:asciiTheme="majorBidi" w:eastAsiaTheme="minorEastAsia" w:hAnsiTheme="majorBidi" w:cstheme="majorBidi"/>
          <w:lang w:val="en-US"/>
        </w:rPr>
        <w:t xml:space="preserve"> </w:t>
      </w:r>
      <w:r w:rsidR="00BD3F10" w:rsidRPr="00BD3F10">
        <w:rPr>
          <w:rFonts w:asciiTheme="majorBidi" w:eastAsiaTheme="minorEastAsia" w:hAnsiTheme="majorBidi" w:cstheme="majorBidi"/>
          <w:lang w:val="en-US"/>
        </w:rPr>
        <w:t>with common initial conditions</w:t>
      </w:r>
      <w:r w:rsidR="00BD3F10">
        <w:rPr>
          <w:rFonts w:asciiTheme="majorBidi" w:eastAsiaTheme="minorEastAsia" w:hAnsiTheme="majorBidi" w:cstheme="majorBidi"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ajorBidi"/>
                    <w:lang w:val="en-US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theme="majorBidi"/>
                    <w:lang w:val="en-US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ajorBidi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theme="majorBidi"/>
                    <w:lang w:val="en-US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theme="majorBidi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ajorBidi"/>
                <w:lang w:val="en-US"/>
              </w:rPr>
              <m:t>500,10,0.1</m:t>
            </m:r>
          </m:e>
        </m:d>
      </m:oMath>
      <w:r w:rsidR="00BD3F10">
        <w:rPr>
          <w:rFonts w:asciiTheme="majorBidi" w:eastAsiaTheme="minorEastAsia" w:hAnsiTheme="majorBidi" w:cstheme="majorBidi"/>
          <w:lang w:val="en-US"/>
        </w:rPr>
        <w:t>.</w:t>
      </w:r>
    </w:p>
    <w:p w14:paraId="7D45DA69" w14:textId="39559A0E" w:rsidR="00771010" w:rsidRDefault="00885A29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885A29">
        <w:rPr>
          <w:rFonts w:asciiTheme="majorBidi" w:hAnsiTheme="majorBidi" w:cstheme="majorBidi"/>
          <w:lang w:val="en-US"/>
        </w:rPr>
        <w:t>Biomass is measured in normalized stock units, biodiversity is represented by a dimensionless ecological index, and cumulative harvesting pressure is a stock variable that records past extraction effects subject to decay. The disturbance-loss component enters only through the deterministic expected-drift term</w:t>
      </w:r>
      <w:r w:rsidR="00B956D4">
        <w:rPr>
          <w:rFonts w:asciiTheme="majorBidi" w:hAnsiTheme="majorBidi" w:cstheme="majorBidi"/>
          <w:lang w:val="en-US"/>
        </w:rPr>
        <w:t xml:space="preserve"> </w:t>
      </w:r>
      <m:oMath>
        <m:r>
          <w:rPr>
            <w:rFonts w:ascii="Cambria Math" w:hAnsi="Cambria Math" w:cstheme="majorBidi"/>
            <w:lang w:val="en-US"/>
          </w:rPr>
          <m:t>ϖκ</m:t>
        </m:r>
      </m:oMath>
      <w:r w:rsidRPr="00885A29">
        <w:rPr>
          <w:rFonts w:asciiTheme="majorBidi" w:hAnsiTheme="majorBidi" w:cstheme="majorBidi"/>
          <w:lang w:val="en-US"/>
        </w:rPr>
        <w:t>, as specified in the main text.</w:t>
      </w:r>
    </w:p>
    <w:p w14:paraId="21B4C8A7" w14:textId="5888C060" w:rsidR="005512DB" w:rsidRPr="006D4349" w:rsidRDefault="006D4349" w:rsidP="00B956D4">
      <w:pPr>
        <w:spacing w:before="240" w:line="240" w:lineRule="auto"/>
        <w:rPr>
          <w:rFonts w:asciiTheme="majorBidi" w:hAnsiTheme="majorBidi" w:cstheme="majorBidi"/>
          <w:b/>
          <w:bCs/>
          <w:lang w:val="en-US"/>
        </w:rPr>
      </w:pPr>
      <w:r w:rsidRPr="006D4349">
        <w:rPr>
          <w:rFonts w:asciiTheme="majorBidi" w:hAnsiTheme="majorBidi" w:cstheme="majorBidi"/>
          <w:b/>
          <w:bCs/>
          <w:lang w:val="en-US"/>
        </w:rPr>
        <w:lastRenderedPageBreak/>
        <w:t>Table S</w:t>
      </w:r>
      <w:r w:rsidR="009D78EA">
        <w:rPr>
          <w:rFonts w:asciiTheme="majorBidi" w:hAnsiTheme="majorBidi" w:cstheme="majorBidi"/>
          <w:b/>
          <w:bCs/>
          <w:lang w:val="en-US"/>
        </w:rPr>
        <w:t>2.</w:t>
      </w:r>
      <w:r w:rsidRPr="006D4349">
        <w:rPr>
          <w:rFonts w:asciiTheme="majorBidi" w:hAnsiTheme="majorBidi" w:cstheme="majorBidi"/>
          <w:b/>
          <w:bCs/>
          <w:lang w:val="en-US"/>
        </w:rPr>
        <w:t>1. Baseline calibration and numerical settings.</w:t>
      </w:r>
      <w:r>
        <w:rPr>
          <w:rFonts w:asciiTheme="majorBidi" w:hAnsiTheme="majorBidi" w:cstheme="majorBidi"/>
          <w:lang w:val="en-US"/>
        </w:rPr>
        <w:t xml:space="preserve"> </w:t>
      </w:r>
      <w:r w:rsidRPr="006D4349">
        <w:rPr>
          <w:rFonts w:asciiTheme="majorBidi" w:hAnsiTheme="majorBidi" w:cstheme="majorBidi"/>
          <w:lang w:val="en-US"/>
        </w:rPr>
        <w:t>Parameter values, initial conditions, endpoint targets, and numerical settings are held common across regimes except for objective structure and endpoint conditions.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069"/>
        <w:gridCol w:w="3893"/>
        <w:gridCol w:w="1767"/>
        <w:gridCol w:w="2438"/>
      </w:tblGrid>
      <w:tr w:rsidR="006477EB" w:rsidRPr="007D43B4" w14:paraId="5B1B04F0" w14:textId="77777777" w:rsidTr="00EB5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03DBC923" w14:textId="0F03E593" w:rsidR="006477EB" w:rsidRPr="007D43B4" w:rsidRDefault="0031200D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  <w:t>Symbol</w:t>
            </w:r>
          </w:p>
        </w:tc>
        <w:tc>
          <w:tcPr>
            <w:tcW w:w="3893" w:type="dxa"/>
          </w:tcPr>
          <w:p w14:paraId="21BFFC23" w14:textId="54F5322E" w:rsidR="006477EB" w:rsidRPr="007D43B4" w:rsidRDefault="00697A5C" w:rsidP="007D43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1767" w:type="dxa"/>
          </w:tcPr>
          <w:p w14:paraId="5D389BF0" w14:textId="4E90563B" w:rsidR="006477EB" w:rsidRPr="007D43B4" w:rsidRDefault="00697A5C" w:rsidP="007D43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  <w:t>Baseline value</w:t>
            </w:r>
          </w:p>
        </w:tc>
        <w:tc>
          <w:tcPr>
            <w:tcW w:w="2438" w:type="dxa"/>
          </w:tcPr>
          <w:p w14:paraId="5FC31C21" w14:textId="0E5568C3" w:rsidR="006477EB" w:rsidRPr="007D43B4" w:rsidRDefault="00697A5C" w:rsidP="007D43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  <w:t>Units / scale</w:t>
            </w:r>
          </w:p>
        </w:tc>
      </w:tr>
      <w:tr w:rsidR="007A7E48" w:rsidRPr="007D43B4" w14:paraId="4752D0E6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36995B0E" w14:textId="48F6E60E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n</m:t>
                </m:r>
              </m:oMath>
            </m:oMathPara>
          </w:p>
        </w:tc>
        <w:tc>
          <w:tcPr>
            <w:tcW w:w="3893" w:type="dxa"/>
          </w:tcPr>
          <w:p w14:paraId="34470932" w14:textId="3837AB51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Number of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harvesters</w:t>
            </w:r>
            <w:proofErr w:type="spellEnd"/>
          </w:p>
        </w:tc>
        <w:tc>
          <w:tcPr>
            <w:tcW w:w="1767" w:type="dxa"/>
          </w:tcPr>
          <w:p w14:paraId="2438863A" w14:textId="18085D8E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2438" w:type="dxa"/>
          </w:tcPr>
          <w:p w14:paraId="2782285A" w14:textId="3C4FC3BE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count</w:t>
            </w:r>
            <w:proofErr w:type="spellEnd"/>
          </w:p>
        </w:tc>
      </w:tr>
      <w:tr w:rsidR="007A7E48" w:rsidRPr="007D43B4" w14:paraId="51EB04F0" w14:textId="77777777" w:rsidTr="00EB5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4F24D6FA" w14:textId="55C7F806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T</m:t>
                </m:r>
              </m:oMath>
            </m:oMathPara>
          </w:p>
        </w:tc>
        <w:tc>
          <w:tcPr>
            <w:tcW w:w="3893" w:type="dxa"/>
          </w:tcPr>
          <w:p w14:paraId="53582357" w14:textId="4AB40303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Planning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horizon</w:t>
            </w:r>
            <w:proofErr w:type="spellEnd"/>
          </w:p>
        </w:tc>
        <w:tc>
          <w:tcPr>
            <w:tcW w:w="1767" w:type="dxa"/>
          </w:tcPr>
          <w:p w14:paraId="7750975F" w14:textId="7059462E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2438" w:type="dxa"/>
          </w:tcPr>
          <w:p w14:paraId="69CBFE63" w14:textId="5B15339A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time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units</w:t>
            </w:r>
            <w:proofErr w:type="spellEnd"/>
          </w:p>
        </w:tc>
      </w:tr>
      <w:tr w:rsidR="007A7E48" w:rsidRPr="007D43B4" w14:paraId="411997D1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40295762" w14:textId="7F43F6DD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</w:rPr>
                  <m:t>K</m:t>
                </m:r>
              </m:oMath>
            </m:oMathPara>
          </w:p>
        </w:tc>
        <w:tc>
          <w:tcPr>
            <w:tcW w:w="3893" w:type="dxa"/>
          </w:tcPr>
          <w:p w14:paraId="0D0A2F89" w14:textId="76E479F4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Biomass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carrying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capacity</w:t>
            </w:r>
            <w:proofErr w:type="spellEnd"/>
          </w:p>
        </w:tc>
        <w:tc>
          <w:tcPr>
            <w:tcW w:w="1767" w:type="dxa"/>
          </w:tcPr>
          <w:p w14:paraId="5ACE4195" w14:textId="3BA36860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1000</w:t>
            </w:r>
          </w:p>
        </w:tc>
        <w:tc>
          <w:tcPr>
            <w:tcW w:w="2438" w:type="dxa"/>
          </w:tcPr>
          <w:p w14:paraId="35B6CE6A" w14:textId="57698425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biomass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units</w:t>
            </w:r>
            <w:proofErr w:type="spellEnd"/>
          </w:p>
        </w:tc>
      </w:tr>
      <w:tr w:rsidR="007A7E48" w:rsidRPr="007D43B4" w14:paraId="2028E192" w14:textId="77777777" w:rsidTr="00EB5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0DE20891" w14:textId="739138B6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</w:rPr>
                  <m:t>A</m:t>
                </m:r>
              </m:oMath>
            </m:oMathPara>
          </w:p>
        </w:tc>
        <w:tc>
          <w:tcPr>
            <w:tcW w:w="3893" w:type="dxa"/>
          </w:tcPr>
          <w:p w14:paraId="336F5BC6" w14:textId="6F7CE1D7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Productivity scale in </w:t>
            </w:r>
            <m:oMath>
              <m:r>
                <w:rPr>
                  <w:rFonts w:ascii="Cambria Math" w:eastAsiaTheme="minorEastAsia" w:hAnsi="Cambria Math" w:cstheme="majorBidi"/>
                  <w:sz w:val="16"/>
                  <w:szCs w:val="16"/>
                  <w:lang w:val="en-US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16"/>
                      <w:szCs w:val="16"/>
                      <w:lang w:val="en-US"/>
                    </w:rPr>
                    <m:t>B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16"/>
                          <w:szCs w:val="16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16"/>
                          <w:szCs w:val="16"/>
                          <w:lang w:val="en-US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theme="majorBidi"/>
                  <w:sz w:val="16"/>
                  <w:szCs w:val="16"/>
                  <w:lang w:val="en-US"/>
                </w:rPr>
                <m:t>=A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16"/>
                      <w:szCs w:val="1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16"/>
                          <w:szCs w:val="16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16"/>
                          <w:szCs w:val="16"/>
                          <w:lang w:val="en-US"/>
                        </w:rPr>
                        <m:t>B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16"/>
                              <w:szCs w:val="16"/>
                              <w:lang w:val="en-US"/>
                            </w:rPr>
                            <m:t>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theme="majorBidi"/>
                      <w:sz w:val="16"/>
                      <w:szCs w:val="16"/>
                      <w:lang w:val="en-US"/>
                    </w:rPr>
                    <m:t>ξ</m:t>
                  </m:r>
                </m:sup>
              </m:sSup>
            </m:oMath>
          </w:p>
        </w:tc>
        <w:tc>
          <w:tcPr>
            <w:tcW w:w="1767" w:type="dxa"/>
          </w:tcPr>
          <w:p w14:paraId="52207E24" w14:textId="0F5FC2C4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0.00002</w:t>
            </w:r>
          </w:p>
        </w:tc>
        <w:tc>
          <w:tcPr>
            <w:tcW w:w="2438" w:type="dxa"/>
          </w:tcPr>
          <w:p w14:paraId="4394024B" w14:textId="05FF5A2F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scaled</w:t>
            </w:r>
            <w:proofErr w:type="spellEnd"/>
          </w:p>
        </w:tc>
      </w:tr>
      <w:tr w:rsidR="007A7E48" w:rsidRPr="007D43B4" w14:paraId="07872DCB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5B626E36" w14:textId="46C9B9DE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16"/>
                    <w:szCs w:val="16"/>
                    <w:lang w:val="en-US"/>
                  </w:rPr>
                  <m:t>ξ</m:t>
                </m:r>
              </m:oMath>
            </m:oMathPara>
          </w:p>
        </w:tc>
        <w:tc>
          <w:tcPr>
            <w:tcW w:w="3893" w:type="dxa"/>
          </w:tcPr>
          <w:p w14:paraId="6A2AF517" w14:textId="265D5499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Biodiversity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>–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productivity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elasticity</w:t>
            </w:r>
            <w:proofErr w:type="spellEnd"/>
          </w:p>
        </w:tc>
        <w:tc>
          <w:tcPr>
            <w:tcW w:w="1767" w:type="dxa"/>
          </w:tcPr>
          <w:p w14:paraId="0D096DA4" w14:textId="3BB2934E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2438" w:type="dxa"/>
          </w:tcPr>
          <w:p w14:paraId="3DBFF0D7" w14:textId="30336F47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dimensionless</w:t>
            </w:r>
            <w:proofErr w:type="spellEnd"/>
          </w:p>
        </w:tc>
      </w:tr>
      <w:tr w:rsidR="007A7E48" w:rsidRPr="007D43B4" w14:paraId="188C3649" w14:textId="77777777" w:rsidTr="00FB01CC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29415BF5" w14:textId="417B113A" w:rsidR="007A7E48" w:rsidRPr="000B39B3" w:rsidRDefault="000F442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 w:val="0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3893" w:type="dxa"/>
          </w:tcPr>
          <w:p w14:paraId="4B718684" w14:textId="65833ADC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Harvest-cost curvature under symmetry</w:t>
            </w:r>
          </w:p>
        </w:tc>
        <w:tc>
          <w:tcPr>
            <w:tcW w:w="1767" w:type="dxa"/>
          </w:tcPr>
          <w:p w14:paraId="5D425EDA" w14:textId="7889D049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2438" w:type="dxa"/>
          </w:tcPr>
          <w:p w14:paraId="563DB66C" w14:textId="3832DDDB" w:rsidR="007A7E48" w:rsidRPr="007D43B4" w:rsidRDefault="000F4423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cost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16"/>
                            <w:szCs w:val="1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h</m:t>
                        </m:r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arvest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7A7E48" w:rsidRPr="007D43B4" w14:paraId="4ECF239A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560B5B52" w14:textId="66FADEBF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g</m:t>
                </m:r>
              </m:oMath>
            </m:oMathPara>
          </w:p>
        </w:tc>
        <w:tc>
          <w:tcPr>
            <w:tcW w:w="3893" w:type="dxa"/>
          </w:tcPr>
          <w:p w14:paraId="0CBB399A" w14:textId="7675FC7C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Biodiversity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regeneration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parameter</w:t>
            </w:r>
            <w:proofErr w:type="spellEnd"/>
          </w:p>
        </w:tc>
        <w:tc>
          <w:tcPr>
            <w:tcW w:w="1767" w:type="dxa"/>
          </w:tcPr>
          <w:p w14:paraId="059D7023" w14:textId="13366B45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2438" w:type="dxa"/>
          </w:tcPr>
          <w:p w14:paraId="03E3A21F" w14:textId="30E02F83" w:rsidR="007A7E48" w:rsidRPr="007D43B4" w:rsidRDefault="000F4423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time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1</m:t>
                    </m:r>
                  </m:sup>
                </m:sSup>
              </m:oMath>
            </m:oMathPara>
          </w:p>
        </w:tc>
      </w:tr>
      <w:tr w:rsidR="007A7E48" w:rsidRPr="007D43B4" w14:paraId="437C58C4" w14:textId="77777777" w:rsidTr="00FB01CC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7B95A874" w14:textId="3C00A257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δ</m:t>
                </m:r>
              </m:oMath>
            </m:oMathPara>
          </w:p>
        </w:tc>
        <w:tc>
          <w:tcPr>
            <w:tcW w:w="3893" w:type="dxa"/>
          </w:tcPr>
          <w:p w14:paraId="376C5E5B" w14:textId="54CB25F1" w:rsidR="007A7E48" w:rsidRPr="007D43B4" w:rsidRDefault="00EB5A25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B5A25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Effect of cumulative harvesting pressure on biodiversity</w:t>
            </w:r>
          </w:p>
        </w:tc>
        <w:tc>
          <w:tcPr>
            <w:tcW w:w="1767" w:type="dxa"/>
          </w:tcPr>
          <w:p w14:paraId="536C9868" w14:textId="777E569A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2438" w:type="dxa"/>
          </w:tcPr>
          <w:p w14:paraId="081FB556" w14:textId="376EB45C" w:rsidR="007A7E48" w:rsidRPr="007D43B4" w:rsidRDefault="000F4423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biodiversity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pressure</m:t>
                    </m:r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×</m:t>
                    </m:r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time</m:t>
                    </m:r>
                  </m:den>
                </m:f>
              </m:oMath>
            </m:oMathPara>
          </w:p>
        </w:tc>
      </w:tr>
      <w:tr w:rsidR="007A7E48" w:rsidRPr="007D43B4" w14:paraId="748BF309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14663DB5" w14:textId="5894BA44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γ</m:t>
                </m:r>
              </m:oMath>
            </m:oMathPara>
          </w:p>
        </w:tc>
        <w:tc>
          <w:tcPr>
            <w:tcW w:w="3893" w:type="dxa"/>
          </w:tcPr>
          <w:p w14:paraId="315A0ED0" w14:textId="03163BDB" w:rsidR="007A7E48" w:rsidRPr="007D43B4" w:rsidRDefault="00C44436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C44436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Decay rate of cumulative harvesting pressure</w:t>
            </w:r>
          </w:p>
        </w:tc>
        <w:tc>
          <w:tcPr>
            <w:tcW w:w="1767" w:type="dxa"/>
          </w:tcPr>
          <w:p w14:paraId="66F71508" w14:textId="134E338F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2438" w:type="dxa"/>
          </w:tcPr>
          <w:p w14:paraId="2FEEBB15" w14:textId="30E84CB6" w:rsidR="007A7E48" w:rsidRPr="007D43B4" w:rsidRDefault="000F4423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time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1</m:t>
                    </m:r>
                  </m:sup>
                </m:sSup>
              </m:oMath>
            </m:oMathPara>
          </w:p>
        </w:tc>
      </w:tr>
      <w:tr w:rsidR="007A7E48" w:rsidRPr="007D43B4" w14:paraId="57421B98" w14:textId="77777777" w:rsidTr="00EB5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37F79B61" w14:textId="07C498D8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ρ</m:t>
                </m:r>
              </m:oMath>
            </m:oMathPara>
          </w:p>
        </w:tc>
        <w:tc>
          <w:tcPr>
            <w:tcW w:w="3893" w:type="dxa"/>
          </w:tcPr>
          <w:p w14:paraId="31109C80" w14:textId="5E836952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>Discount rate</w:t>
            </w:r>
          </w:p>
        </w:tc>
        <w:tc>
          <w:tcPr>
            <w:tcW w:w="1767" w:type="dxa"/>
          </w:tcPr>
          <w:p w14:paraId="6550A02E" w14:textId="78ACCCCF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0.01</w:t>
            </w:r>
          </w:p>
        </w:tc>
        <w:tc>
          <w:tcPr>
            <w:tcW w:w="2438" w:type="dxa"/>
          </w:tcPr>
          <w:p w14:paraId="611E0210" w14:textId="38421F32" w:rsidR="007A7E48" w:rsidRPr="007D43B4" w:rsidRDefault="000F4423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time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1</m:t>
                    </m:r>
                  </m:sup>
                </m:sSup>
              </m:oMath>
            </m:oMathPara>
          </w:p>
        </w:tc>
      </w:tr>
      <w:tr w:rsidR="007A7E48" w:rsidRPr="007D43B4" w14:paraId="4C3D1D3A" w14:textId="77777777" w:rsidTr="00F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1E2972C2" w14:textId="14A76307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p</m:t>
                </m:r>
              </m:oMath>
            </m:oMathPara>
          </w:p>
        </w:tc>
        <w:tc>
          <w:tcPr>
            <w:tcW w:w="3893" w:type="dxa"/>
          </w:tcPr>
          <w:p w14:paraId="37243C77" w14:textId="726C55AA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Biomass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price</w:t>
            </w:r>
          </w:p>
        </w:tc>
        <w:tc>
          <w:tcPr>
            <w:tcW w:w="1767" w:type="dxa"/>
          </w:tcPr>
          <w:p w14:paraId="04307FB8" w14:textId="08D2A196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2438" w:type="dxa"/>
          </w:tcPr>
          <w:p w14:paraId="53A06B31" w14:textId="4DE1BC5E" w:rsidR="007A7E48" w:rsidRPr="007D43B4" w:rsidRDefault="000F4423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price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biomass</m:t>
                    </m:r>
                  </m:den>
                </m:f>
              </m:oMath>
            </m:oMathPara>
          </w:p>
        </w:tc>
      </w:tr>
      <w:tr w:rsidR="007A7E48" w:rsidRPr="007D43B4" w14:paraId="681B049F" w14:textId="77777777" w:rsidTr="00FB01CC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40B0B51D" w14:textId="1033744F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ϖκ</m:t>
                </m:r>
              </m:oMath>
            </m:oMathPara>
          </w:p>
        </w:tc>
        <w:tc>
          <w:tcPr>
            <w:tcW w:w="3893" w:type="dxa"/>
          </w:tcPr>
          <w:p w14:paraId="56210235" w14:textId="411F43A8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Expected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disturbance-loss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drift</w:t>
            </w:r>
          </w:p>
        </w:tc>
        <w:tc>
          <w:tcPr>
            <w:tcW w:w="1767" w:type="dxa"/>
          </w:tcPr>
          <w:p w14:paraId="4B5EA1F1" w14:textId="3C40E523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0.0001</w:t>
            </w:r>
          </w:p>
        </w:tc>
        <w:tc>
          <w:tcPr>
            <w:tcW w:w="2438" w:type="dxa"/>
          </w:tcPr>
          <w:p w14:paraId="0877699B" w14:textId="3B1B0BC0" w:rsidR="007A7E48" w:rsidRPr="007D43B4" w:rsidRDefault="000F4423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biodiversity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16"/>
                        <w:szCs w:val="16"/>
                      </w:rPr>
                      <m:t>time</m:t>
                    </m:r>
                  </m:den>
                </m:f>
              </m:oMath>
            </m:oMathPara>
          </w:p>
        </w:tc>
      </w:tr>
      <w:tr w:rsidR="007A7E48" w:rsidRPr="007D43B4" w14:paraId="7A568FEA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6F8D3322" w14:textId="78787C90" w:rsidR="007A7E48" w:rsidRPr="000B39B3" w:rsidRDefault="000F442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 w:val="0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3893" w:type="dxa"/>
          </w:tcPr>
          <w:p w14:paraId="16EF845C" w14:textId="67736942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Initial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biomass</w:t>
            </w:r>
            <w:proofErr w:type="spellEnd"/>
          </w:p>
        </w:tc>
        <w:tc>
          <w:tcPr>
            <w:tcW w:w="1767" w:type="dxa"/>
          </w:tcPr>
          <w:p w14:paraId="7DB56B33" w14:textId="33ED76E3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500</w:t>
            </w:r>
          </w:p>
        </w:tc>
        <w:tc>
          <w:tcPr>
            <w:tcW w:w="2438" w:type="dxa"/>
          </w:tcPr>
          <w:p w14:paraId="33DE830E" w14:textId="3B35428A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biomass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units</w:t>
            </w:r>
            <w:proofErr w:type="spellEnd"/>
          </w:p>
        </w:tc>
      </w:tr>
      <w:tr w:rsidR="007A7E48" w:rsidRPr="007D43B4" w14:paraId="3F673A56" w14:textId="77777777" w:rsidTr="00EB5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65DC106C" w14:textId="53AAE194" w:rsidR="007A7E48" w:rsidRPr="000B39B3" w:rsidRDefault="000F442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 w:val="0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3893" w:type="dxa"/>
          </w:tcPr>
          <w:p w14:paraId="466EE85C" w14:textId="5199F206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Initial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biodiversity</w:t>
            </w:r>
            <w:proofErr w:type="spellEnd"/>
          </w:p>
        </w:tc>
        <w:tc>
          <w:tcPr>
            <w:tcW w:w="1767" w:type="dxa"/>
          </w:tcPr>
          <w:p w14:paraId="27D4E532" w14:textId="0EDC76EF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2438" w:type="dxa"/>
          </w:tcPr>
          <w:p w14:paraId="2D69657D" w14:textId="05466D72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>index</w:t>
            </w:r>
          </w:p>
        </w:tc>
      </w:tr>
      <w:tr w:rsidR="007A7E48" w:rsidRPr="007D43B4" w14:paraId="4C1843E9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7635CB7B" w14:textId="4A6C870D" w:rsidR="007A7E48" w:rsidRPr="000B39B3" w:rsidRDefault="000F442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 w:val="0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3893" w:type="dxa"/>
          </w:tcPr>
          <w:p w14:paraId="08CC3083" w14:textId="55263D75" w:rsidR="007A7E48" w:rsidRPr="007D43B4" w:rsidRDefault="00AB32ED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B32ED">
              <w:rPr>
                <w:rFonts w:asciiTheme="majorBidi" w:hAnsiTheme="majorBidi" w:cstheme="majorBidi"/>
                <w:sz w:val="16"/>
                <w:szCs w:val="16"/>
              </w:rPr>
              <w:t xml:space="preserve">Initial cumulative </w:t>
            </w:r>
            <w:proofErr w:type="spellStart"/>
            <w:r w:rsidRPr="00AB32ED">
              <w:rPr>
                <w:rFonts w:asciiTheme="majorBidi" w:hAnsiTheme="majorBidi" w:cstheme="majorBidi"/>
                <w:sz w:val="16"/>
                <w:szCs w:val="16"/>
              </w:rPr>
              <w:t>harvesting</w:t>
            </w:r>
            <w:proofErr w:type="spellEnd"/>
            <w:r w:rsidRPr="00AB32ED">
              <w:rPr>
                <w:rFonts w:asciiTheme="majorBidi" w:hAnsiTheme="majorBidi" w:cstheme="majorBidi"/>
                <w:sz w:val="16"/>
                <w:szCs w:val="16"/>
              </w:rPr>
              <w:t xml:space="preserve"> pressure</w:t>
            </w:r>
          </w:p>
        </w:tc>
        <w:tc>
          <w:tcPr>
            <w:tcW w:w="1767" w:type="dxa"/>
          </w:tcPr>
          <w:p w14:paraId="1C6DCAC3" w14:textId="29D43B22" w:rsidR="007A7E48" w:rsidRPr="007D43B4" w:rsidRDefault="009E0A42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2438" w:type="dxa"/>
          </w:tcPr>
          <w:p w14:paraId="3B086505" w14:textId="79E16290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pressure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units</w:t>
            </w:r>
            <w:proofErr w:type="spellEnd"/>
          </w:p>
        </w:tc>
      </w:tr>
      <w:tr w:rsidR="007A7E48" w:rsidRPr="007D43B4" w14:paraId="18E8ECF5" w14:textId="77777777" w:rsidTr="00EB5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59F22C57" w14:textId="6B8F6DA9" w:rsidR="007A7E48" w:rsidRPr="000B39B3" w:rsidRDefault="000F442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ajorBidi"/>
                        <w:b w:val="0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b w:val="0"/>
                            <w:bCs w:val="0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 w:val="0"/>
                            <w:bCs w:val="0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6"/>
                        <w:szCs w:val="16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 w:val="0"/>
                            <w:bCs w:val="0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893" w:type="dxa"/>
          </w:tcPr>
          <w:p w14:paraId="3A9BF89F" w14:textId="44E0E7C7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Fixed terminal targets, fixed-endpoint regime only</w:t>
            </w:r>
          </w:p>
        </w:tc>
        <w:tc>
          <w:tcPr>
            <w:tcW w:w="1767" w:type="dxa"/>
          </w:tcPr>
          <w:p w14:paraId="0C9DBEA3" w14:textId="268588AC" w:rsidR="007A7E48" w:rsidRPr="007D43B4" w:rsidRDefault="009E0A42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E0A42">
              <w:rPr>
                <w:rFonts w:asciiTheme="majorBidi" w:eastAsiaTheme="minorEastAsia" w:hAnsiTheme="majorBidi" w:cstheme="majorBidi"/>
                <w:sz w:val="16"/>
                <w:szCs w:val="16"/>
              </w:rPr>
              <w:t>(400,150,10)</w:t>
            </w:r>
          </w:p>
        </w:tc>
        <w:tc>
          <w:tcPr>
            <w:tcW w:w="2438" w:type="dxa"/>
          </w:tcPr>
          <w:p w14:paraId="1AA722A6" w14:textId="568F1856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state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units</w:t>
            </w:r>
            <w:proofErr w:type="spellEnd"/>
          </w:p>
        </w:tc>
      </w:tr>
      <w:tr w:rsidR="007A7E48" w:rsidRPr="007D43B4" w14:paraId="452CF710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3AD744C0" w14:textId="51FBE0D0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  <w:lang w:val="en-US"/>
                  </w:rPr>
                  <m:t>h</m:t>
                </m:r>
              </m:oMath>
            </m:oMathPara>
          </w:p>
        </w:tc>
        <w:tc>
          <w:tcPr>
            <w:tcW w:w="3893" w:type="dxa"/>
          </w:tcPr>
          <w:p w14:paraId="6F755A1B" w14:textId="03288AD9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Relative perturbation step for sensitivity analysis</w:t>
            </w:r>
          </w:p>
        </w:tc>
        <w:tc>
          <w:tcPr>
            <w:tcW w:w="1767" w:type="dxa"/>
          </w:tcPr>
          <w:p w14:paraId="040EAE48" w14:textId="70FBDDC2" w:rsidR="007A7E48" w:rsidRPr="007D43B4" w:rsidRDefault="000F4423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16"/>
                        <w:szCs w:val="1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16"/>
                        <w:szCs w:val="16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16"/>
                        <w:szCs w:val="16"/>
                        <w:lang w:val="en-US"/>
                      </w:rPr>
                      <m:t>(-4)</m:t>
                    </m:r>
                  </m:sup>
                </m:sSup>
              </m:oMath>
            </m:oMathPara>
          </w:p>
        </w:tc>
        <w:tc>
          <w:tcPr>
            <w:tcW w:w="2438" w:type="dxa"/>
          </w:tcPr>
          <w:p w14:paraId="4240A5FF" w14:textId="1303D4BC" w:rsidR="007A7E48" w:rsidRPr="007D43B4" w:rsidRDefault="00550376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550376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dimensionless</w:t>
            </w:r>
          </w:p>
        </w:tc>
      </w:tr>
      <w:tr w:rsidR="007A7E48" w:rsidRPr="007D43B4" w14:paraId="2344278A" w14:textId="77777777" w:rsidTr="00EB5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4B7F5904" w14:textId="797BC9BD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</w:rPr>
                  <m:t>Solver</m:t>
                </m:r>
              </m:oMath>
            </m:oMathPara>
          </w:p>
        </w:tc>
        <w:tc>
          <w:tcPr>
            <w:tcW w:w="3893" w:type="dxa"/>
          </w:tcPr>
          <w:p w14:paraId="6F86DDF2" w14:textId="45635A3C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Numerical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implementation</w:t>
            </w:r>
            <w:proofErr w:type="spellEnd"/>
          </w:p>
        </w:tc>
        <w:tc>
          <w:tcPr>
            <w:tcW w:w="1767" w:type="dxa"/>
          </w:tcPr>
          <w:p w14:paraId="23FD718B" w14:textId="35E1C747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Mathematica</w:t>
            </w:r>
            <w:proofErr w:type="spellEnd"/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NDSolve</w:t>
            </w:r>
            <w:proofErr w:type="spellEnd"/>
          </w:p>
        </w:tc>
        <w:tc>
          <w:tcPr>
            <w:tcW w:w="2438" w:type="dxa"/>
          </w:tcPr>
          <w:p w14:paraId="4CF9B93D" w14:textId="48ABF6C0" w:rsidR="007A7E48" w:rsidRPr="007D43B4" w:rsidRDefault="007A7E48" w:rsidP="007D43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stiffness-adaptive</w:t>
            </w:r>
            <w:proofErr w:type="spellEnd"/>
          </w:p>
        </w:tc>
      </w:tr>
      <w:tr w:rsidR="007A7E48" w:rsidRPr="007D43B4" w14:paraId="7DD52F51" w14:textId="77777777" w:rsidTr="00EB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</w:tcPr>
          <w:p w14:paraId="08AD8C76" w14:textId="54EA6DF3" w:rsidR="007A7E48" w:rsidRPr="000B39B3" w:rsidRDefault="000B39B3" w:rsidP="007D43B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6"/>
                    <w:szCs w:val="16"/>
                  </w:rPr>
                  <m:t>Precision</m:t>
                </m:r>
              </m:oMath>
            </m:oMathPara>
          </w:p>
        </w:tc>
        <w:tc>
          <w:tcPr>
            <w:tcW w:w="3893" w:type="dxa"/>
          </w:tcPr>
          <w:p w14:paraId="04F24E9B" w14:textId="0F897A82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Working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precision</w:t>
            </w:r>
            <w:proofErr w:type="spellEnd"/>
          </w:p>
        </w:tc>
        <w:tc>
          <w:tcPr>
            <w:tcW w:w="1767" w:type="dxa"/>
          </w:tcPr>
          <w:p w14:paraId="5EBE4B93" w14:textId="5705C971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D43B4">
              <w:rPr>
                <w:rFonts w:asciiTheme="majorBidi" w:hAnsiTheme="majorBidi" w:cstheme="majorBidi"/>
                <w:sz w:val="16"/>
                <w:szCs w:val="16"/>
              </w:rPr>
              <w:t xml:space="preserve">14 </w:t>
            </w: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digits</w:t>
            </w:r>
            <w:proofErr w:type="spellEnd"/>
          </w:p>
        </w:tc>
        <w:tc>
          <w:tcPr>
            <w:tcW w:w="2438" w:type="dxa"/>
          </w:tcPr>
          <w:p w14:paraId="45663A3E" w14:textId="0825F20E" w:rsidR="007A7E48" w:rsidRPr="007D43B4" w:rsidRDefault="007A7E48" w:rsidP="007D43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proofErr w:type="spellStart"/>
            <w:r w:rsidRPr="007D43B4">
              <w:rPr>
                <w:rFonts w:asciiTheme="majorBidi" w:hAnsiTheme="majorBidi" w:cstheme="majorBidi"/>
                <w:sz w:val="16"/>
                <w:szCs w:val="16"/>
              </w:rPr>
              <w:t>numerical</w:t>
            </w:r>
            <w:proofErr w:type="spellEnd"/>
          </w:p>
        </w:tc>
      </w:tr>
    </w:tbl>
    <w:p w14:paraId="493D2089" w14:textId="77777777" w:rsidR="00771010" w:rsidRDefault="00771010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</w:p>
    <w:p w14:paraId="6A65A511" w14:textId="2C62E98A" w:rsidR="00771010" w:rsidRDefault="00851462" w:rsidP="003479A4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851462">
        <w:rPr>
          <w:rFonts w:asciiTheme="majorBidi" w:hAnsiTheme="majorBidi" w:cstheme="majorBidi"/>
          <w:lang w:val="en-US"/>
        </w:rPr>
        <w:t>The same baseline parameter values are used across governance regimes to preserve comparability. Regimes differ by their objective structure and endpoint conditions: free-endpoint cases impose</w:t>
      </w:r>
      <w:r w:rsidR="003479A4">
        <w:rPr>
          <w:rFonts w:asciiTheme="majorBidi" w:hAnsiTheme="majorBidi" w:cstheme="majorBidi"/>
          <w:lang w:val="en-US"/>
        </w:rPr>
        <w:t xml:space="preserve"> </w:t>
      </w:r>
      <m:oMath>
        <m:r>
          <w:rPr>
            <w:rFonts w:ascii="Cambria Math" w:hAnsi="Cambria Math" w:cstheme="majorBidi"/>
            <w:lang w:val="en-US"/>
          </w:rPr>
          <m:t>λ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T</m:t>
            </m:r>
          </m:e>
        </m:d>
        <m:r>
          <w:rPr>
            <w:rFonts w:ascii="Cambria Math" w:hAnsi="Cambria Math" w:cstheme="majorBidi"/>
            <w:lang w:val="en-US"/>
          </w:rPr>
          <m:t>=μ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T</m:t>
            </m:r>
          </m:e>
        </m:d>
        <m:r>
          <w:rPr>
            <w:rFonts w:ascii="Cambria Math" w:hAnsi="Cambria Math" w:cstheme="majorBidi"/>
            <w:lang w:val="en-US"/>
          </w:rPr>
          <m:t>=ν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T</m:t>
            </m:r>
          </m:e>
        </m:d>
        <m:r>
          <w:rPr>
            <w:rFonts w:ascii="Cambria Math" w:hAnsi="Cambria Math" w:cstheme="majorBidi"/>
            <w:lang w:val="en-US"/>
          </w:rPr>
          <m:t>=0</m:t>
        </m:r>
        <m:r>
          <w:rPr>
            <w:rFonts w:ascii="Cambria Math" w:eastAsiaTheme="minorEastAsia" w:hAnsi="Cambria Math" w:cstheme="majorBidi"/>
            <w:lang w:val="en-US"/>
          </w:rPr>
          <m:t>,</m:t>
        </m:r>
      </m:oMath>
      <w:r w:rsidR="003479A4">
        <w:rPr>
          <w:rFonts w:asciiTheme="majorBidi" w:hAnsiTheme="majorBidi" w:cstheme="majorBidi"/>
          <w:lang w:val="en-US"/>
        </w:rPr>
        <w:t xml:space="preserve"> </w:t>
      </w:r>
      <w:r w:rsidR="00996AEA" w:rsidRPr="00996AEA">
        <w:rPr>
          <w:rFonts w:asciiTheme="majorBidi" w:hAnsiTheme="majorBidi" w:cstheme="majorBidi"/>
          <w:lang w:val="en-US"/>
        </w:rPr>
        <w:t>whereas the fixed-endpoint case imposes</w:t>
      </w:r>
      <w:r w:rsidR="003479A4">
        <w:rPr>
          <w:rFonts w:asciiTheme="majorBidi" w:hAnsiTheme="majorBidi" w:cstheme="majorBidi"/>
          <w:lang w:val="en-US"/>
        </w:rPr>
        <w:t xml:space="preserve"> </w:t>
      </w:r>
      <m:oMath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lang w:val="en-US"/>
              </w:rPr>
              <m:t>x</m:t>
            </m:r>
            <m:d>
              <m:d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theme="majorBidi"/>
                <w:lang w:val="en-US"/>
              </w:rPr>
              <m:t>, B</m:t>
            </m:r>
            <m:d>
              <m:d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theme="majorBidi"/>
                <w:lang w:val="en-US"/>
              </w:rPr>
              <m:t>, Z</m:t>
            </m:r>
            <m:d>
              <m:d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val="en-US"/>
                  </w:rPr>
                  <m:t>T</m:t>
                </m:r>
              </m:e>
            </m:d>
          </m:e>
        </m:d>
        <m:r>
          <w:rPr>
            <w:rFonts w:ascii="Cambria Math" w:hAnsi="Cambria Math" w:cstheme="majorBidi"/>
            <w:lang w:val="en-US"/>
          </w:rPr>
          <m:t>=</m:t>
        </m:r>
        <m:d>
          <m:dPr>
            <m:ctrlPr>
              <w:rPr>
                <w:rFonts w:ascii="Cambria Math" w:hAnsi="Cambria Math" w:cstheme="majorBidi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ajorBidi"/>
                <w:lang w:val="en-US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ajorBidi"/>
                <w:lang w:val="en-US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lang w:val="en-US"/>
                  </w:rPr>
                  <m:t>T</m:t>
                </m:r>
              </m:sub>
            </m:sSub>
          </m:e>
        </m:d>
        <m:r>
          <w:rPr>
            <w:rFonts w:ascii="Cambria Math" w:hAnsi="Cambria Math" w:cstheme="majorBidi"/>
            <w:lang w:val="en-US"/>
          </w:rPr>
          <m:t>.</m:t>
        </m:r>
      </m:oMath>
    </w:p>
    <w:p w14:paraId="6E5C8194" w14:textId="02E9D87E" w:rsidR="00771010" w:rsidRDefault="002527D6" w:rsidP="007C70B7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2527D6">
        <w:rPr>
          <w:rFonts w:asciiTheme="majorBidi" w:hAnsiTheme="majorBidi" w:cstheme="majorBidi"/>
          <w:lang w:val="en-US"/>
        </w:rPr>
        <w:t xml:space="preserve">The forward–backward systems are solved by a shooting procedure. Initial states are fixed, and the unknown initial </w:t>
      </w:r>
      <w:proofErr w:type="spellStart"/>
      <w:r w:rsidRPr="002527D6">
        <w:rPr>
          <w:rFonts w:asciiTheme="majorBidi" w:hAnsiTheme="majorBidi" w:cstheme="majorBidi"/>
          <w:lang w:val="en-US"/>
        </w:rPr>
        <w:t>costates</w:t>
      </w:r>
      <w:proofErr w:type="spellEnd"/>
      <w:r w:rsidRPr="002527D6">
        <w:rPr>
          <w:rFonts w:asciiTheme="majorBidi" w:hAnsiTheme="majorBidi" w:cstheme="majorBidi"/>
          <w:lang w:val="en-US"/>
        </w:rPr>
        <w:t xml:space="preserve"> are adjusted until the relevant terminal conditions are satisfied. The coupled systems are integrated using stiffness-adaptive methods with high working precision. Numerical reliability is assessed through mesh refinement, boundary-residual diagnostics, and stability of the solution path under tighter solver tolerances.</w:t>
      </w:r>
    </w:p>
    <w:p w14:paraId="6AAE01EC" w14:textId="643A6029" w:rsidR="007C70B7" w:rsidRPr="00503BA5" w:rsidRDefault="007077AA" w:rsidP="00CE1DDD">
      <w:pPr>
        <w:spacing w:line="240" w:lineRule="auto"/>
        <w:jc w:val="both"/>
        <w:rPr>
          <w:rFonts w:asciiTheme="majorBidi" w:hAnsiTheme="majorBidi" w:cstheme="majorBidi"/>
          <w:lang w:val="en-US"/>
        </w:rPr>
      </w:pPr>
      <w:r w:rsidRPr="007077AA">
        <w:rPr>
          <w:rFonts w:asciiTheme="majorBidi" w:hAnsiTheme="majorBidi" w:cstheme="majorBidi"/>
          <w:lang w:val="en-US"/>
        </w:rPr>
        <w:t>We assess local responses around the baseline calibration while preserving the same governance regime and endpoint conditions. Accordingly, the results provide evidence on the stability of the reported trajectories in a neighborhood of the calibrated parameter values, but they should not be interpreted as establishing global robustness over the entire parameter space</w:t>
      </w:r>
      <w:r w:rsidR="00200074" w:rsidRPr="00200074">
        <w:rPr>
          <w:rFonts w:asciiTheme="majorBidi" w:hAnsiTheme="majorBidi" w:cstheme="majorBidi"/>
          <w:lang w:val="en-US"/>
        </w:rPr>
        <w:t>.</w:t>
      </w:r>
    </w:p>
    <w:sectPr w:rsidR="007C70B7" w:rsidRPr="00503BA5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D8"/>
    <w:rsid w:val="00024067"/>
    <w:rsid w:val="00061DD4"/>
    <w:rsid w:val="0006506C"/>
    <w:rsid w:val="0009609C"/>
    <w:rsid w:val="000B0D93"/>
    <w:rsid w:val="000B39B3"/>
    <w:rsid w:val="000E5FA6"/>
    <w:rsid w:val="00114402"/>
    <w:rsid w:val="00115B1F"/>
    <w:rsid w:val="00137F84"/>
    <w:rsid w:val="00150783"/>
    <w:rsid w:val="001C5638"/>
    <w:rsid w:val="001F0907"/>
    <w:rsid w:val="00200074"/>
    <w:rsid w:val="002050A3"/>
    <w:rsid w:val="0025209A"/>
    <w:rsid w:val="002527D6"/>
    <w:rsid w:val="0031200D"/>
    <w:rsid w:val="00317A9B"/>
    <w:rsid w:val="003257BF"/>
    <w:rsid w:val="003366E1"/>
    <w:rsid w:val="00342812"/>
    <w:rsid w:val="003479A4"/>
    <w:rsid w:val="00352D2A"/>
    <w:rsid w:val="00353CC0"/>
    <w:rsid w:val="00384752"/>
    <w:rsid w:val="003A00E1"/>
    <w:rsid w:val="003A1B87"/>
    <w:rsid w:val="003B0268"/>
    <w:rsid w:val="003D3F60"/>
    <w:rsid w:val="003E1391"/>
    <w:rsid w:val="00401AC7"/>
    <w:rsid w:val="00412E47"/>
    <w:rsid w:val="00417086"/>
    <w:rsid w:val="004207F1"/>
    <w:rsid w:val="004616DC"/>
    <w:rsid w:val="00491BFF"/>
    <w:rsid w:val="004A7888"/>
    <w:rsid w:val="004A7D55"/>
    <w:rsid w:val="004D2F25"/>
    <w:rsid w:val="004F47FB"/>
    <w:rsid w:val="00503BA5"/>
    <w:rsid w:val="00537160"/>
    <w:rsid w:val="0054613F"/>
    <w:rsid w:val="00550376"/>
    <w:rsid w:val="005512DB"/>
    <w:rsid w:val="00560C68"/>
    <w:rsid w:val="005641FB"/>
    <w:rsid w:val="005661A6"/>
    <w:rsid w:val="005E05A0"/>
    <w:rsid w:val="0062269C"/>
    <w:rsid w:val="0063302F"/>
    <w:rsid w:val="00637288"/>
    <w:rsid w:val="006477EB"/>
    <w:rsid w:val="006747C5"/>
    <w:rsid w:val="00697A5C"/>
    <w:rsid w:val="006D4349"/>
    <w:rsid w:val="006E0B2A"/>
    <w:rsid w:val="007077AA"/>
    <w:rsid w:val="00735DD1"/>
    <w:rsid w:val="0074280C"/>
    <w:rsid w:val="007527D8"/>
    <w:rsid w:val="00771010"/>
    <w:rsid w:val="00786760"/>
    <w:rsid w:val="00790E21"/>
    <w:rsid w:val="007A7E48"/>
    <w:rsid w:val="007C70B7"/>
    <w:rsid w:val="007D43B4"/>
    <w:rsid w:val="007F201D"/>
    <w:rsid w:val="007F3C31"/>
    <w:rsid w:val="00806DE9"/>
    <w:rsid w:val="00832F1E"/>
    <w:rsid w:val="00847696"/>
    <w:rsid w:val="00851462"/>
    <w:rsid w:val="008625BA"/>
    <w:rsid w:val="00885A29"/>
    <w:rsid w:val="008A39CD"/>
    <w:rsid w:val="008F65A2"/>
    <w:rsid w:val="00914152"/>
    <w:rsid w:val="00916BA6"/>
    <w:rsid w:val="00922AE8"/>
    <w:rsid w:val="00986BC2"/>
    <w:rsid w:val="00996AEA"/>
    <w:rsid w:val="009B7405"/>
    <w:rsid w:val="009D78EA"/>
    <w:rsid w:val="009E0A42"/>
    <w:rsid w:val="00AA21B6"/>
    <w:rsid w:val="00AA3896"/>
    <w:rsid w:val="00AB32ED"/>
    <w:rsid w:val="00AB39A2"/>
    <w:rsid w:val="00AF17DC"/>
    <w:rsid w:val="00B843F1"/>
    <w:rsid w:val="00B9097F"/>
    <w:rsid w:val="00B956D4"/>
    <w:rsid w:val="00BC2840"/>
    <w:rsid w:val="00BD3F10"/>
    <w:rsid w:val="00BF0BE5"/>
    <w:rsid w:val="00BF37F3"/>
    <w:rsid w:val="00C20E48"/>
    <w:rsid w:val="00C27031"/>
    <w:rsid w:val="00C44436"/>
    <w:rsid w:val="00C61905"/>
    <w:rsid w:val="00C81FBD"/>
    <w:rsid w:val="00CA4DE5"/>
    <w:rsid w:val="00CB6B58"/>
    <w:rsid w:val="00CE1DDD"/>
    <w:rsid w:val="00D437AD"/>
    <w:rsid w:val="00D63C3B"/>
    <w:rsid w:val="00D73458"/>
    <w:rsid w:val="00DE4B2B"/>
    <w:rsid w:val="00E51900"/>
    <w:rsid w:val="00E53FC3"/>
    <w:rsid w:val="00E90E6C"/>
    <w:rsid w:val="00E9603A"/>
    <w:rsid w:val="00EA4535"/>
    <w:rsid w:val="00EA681A"/>
    <w:rsid w:val="00EB5A25"/>
    <w:rsid w:val="00EC44A6"/>
    <w:rsid w:val="00F00862"/>
    <w:rsid w:val="00F4759C"/>
    <w:rsid w:val="00F60BDF"/>
    <w:rsid w:val="00F62FFD"/>
    <w:rsid w:val="00FB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6670"/>
  <w15:chartTrackingRefBased/>
  <w15:docId w15:val="{B1C21305-7439-4EE1-83F4-16A7F60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7D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63C3B"/>
    <w:rPr>
      <w:color w:val="666666"/>
    </w:rPr>
  </w:style>
  <w:style w:type="table" w:styleId="TableGrid">
    <w:name w:val="Table Grid"/>
    <w:basedOn w:val="TableNormal"/>
    <w:uiPriority w:val="39"/>
    <w:rsid w:val="00647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E5F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769</Words>
  <Characters>5099</Characters>
  <Application>Microsoft Office Word</Application>
  <DocSecurity>0</DocSecurity>
  <Lines>149</Lines>
  <Paragraphs>122</Paragraphs>
  <ScaleCrop>false</ScaleCrop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Se</dc:creator>
  <cp:keywords/>
  <dc:description/>
  <cp:lastModifiedBy>Alireza Se</cp:lastModifiedBy>
  <cp:revision>20</cp:revision>
  <dcterms:created xsi:type="dcterms:W3CDTF">2026-05-19T13:04:00Z</dcterms:created>
  <dcterms:modified xsi:type="dcterms:W3CDTF">2026-05-25T09:20:00Z</dcterms:modified>
</cp:coreProperties>
</file>