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10B5BD" w14:textId="53584C3E" w:rsidR="00021DAE" w:rsidRPr="00021DAE" w:rsidRDefault="00B824CF" w:rsidP="00021DAE">
      <w:pPr>
        <w:rPr>
          <w:b/>
          <w:bCs/>
          <w:sz w:val="24"/>
          <w:szCs w:val="24"/>
          <w:u w:val="single"/>
          <w:shd w:val="clear" w:color="auto" w:fill="FFFFFF"/>
        </w:rPr>
      </w:pPr>
      <w:r>
        <w:rPr>
          <w:b/>
          <w:bCs/>
          <w:sz w:val="24"/>
          <w:szCs w:val="24"/>
          <w:u w:val="single"/>
          <w:shd w:val="clear" w:color="auto" w:fill="FFFFFF"/>
        </w:rPr>
        <w:t>Additional File 1</w:t>
      </w:r>
    </w:p>
    <w:p w14:paraId="674EA107" w14:textId="77777777" w:rsidR="00B824CF" w:rsidRDefault="00B824CF" w:rsidP="00B824CF">
      <w:pPr>
        <w:pStyle w:val="Title"/>
        <w:spacing w:after="240" w:line="276" w:lineRule="auto"/>
        <w:rPr>
          <w:shd w:val="clear" w:color="auto" w:fill="FFFFFF"/>
        </w:rPr>
      </w:pPr>
      <w:r>
        <w:rPr>
          <w:shd w:val="clear" w:color="auto" w:fill="FFFFFF"/>
        </w:rPr>
        <w:t>Supporting Treatment Decision-Making for Patients with Multiple Myeloma post-</w:t>
      </w:r>
      <w:proofErr w:type="spellStart"/>
      <w:r>
        <w:rPr>
          <w:shd w:val="clear" w:color="auto" w:fill="FFFFFF"/>
        </w:rPr>
        <w:t>DRd</w:t>
      </w:r>
      <w:proofErr w:type="spellEnd"/>
      <w:r>
        <w:rPr>
          <w:shd w:val="clear" w:color="auto" w:fill="FFFFFF"/>
        </w:rPr>
        <w:t xml:space="preserve"> in Italy: A Multi-Criteria Decision Framework</w:t>
      </w:r>
    </w:p>
    <w:p w14:paraId="4938A903" w14:textId="77777777" w:rsidR="00B824CF" w:rsidRDefault="00B824CF" w:rsidP="00B824CF"/>
    <w:p w14:paraId="09BCDC7C" w14:textId="4AB70E4C" w:rsidR="00B824CF" w:rsidRPr="00B824CF" w:rsidRDefault="00B824CF" w:rsidP="00B824CF">
      <w:pPr>
        <w:rPr>
          <w:b/>
          <w:bCs/>
          <w:u w:val="single"/>
        </w:rPr>
      </w:pPr>
      <w:r w:rsidRPr="00B824CF">
        <w:rPr>
          <w:b/>
          <w:bCs/>
          <w:u w:val="single"/>
        </w:rPr>
        <w:t>Contents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850"/>
      </w:tblGrid>
      <w:tr w:rsidR="00B824CF" w:rsidRPr="00B824CF" w14:paraId="119818BE" w14:textId="77777777" w:rsidTr="00B824CF">
        <w:tc>
          <w:tcPr>
            <w:tcW w:w="8784" w:type="dxa"/>
            <w:vAlign w:val="center"/>
          </w:tcPr>
          <w:p w14:paraId="4D241A8A" w14:textId="7EB2A889" w:rsidR="00B824CF" w:rsidRDefault="00B824CF" w:rsidP="00B824CF">
            <w:pPr>
              <w:jc w:val="left"/>
            </w:pPr>
            <w:r w:rsidRPr="00B824CF">
              <w:rPr>
                <w:b/>
                <w:bCs/>
              </w:rPr>
              <w:t>Figure S.1</w:t>
            </w:r>
            <w:r>
              <w:t xml:space="preserve"> – Criteria selection process ……………………………………………………….</w:t>
            </w:r>
          </w:p>
        </w:tc>
        <w:tc>
          <w:tcPr>
            <w:tcW w:w="850" w:type="dxa"/>
            <w:vAlign w:val="center"/>
          </w:tcPr>
          <w:p w14:paraId="7D1B0B94" w14:textId="6DA1EA36" w:rsidR="00B824CF" w:rsidRPr="00B824CF" w:rsidRDefault="00B824CF" w:rsidP="00B824CF">
            <w:pPr>
              <w:jc w:val="right"/>
              <w:rPr>
                <w:b/>
                <w:bCs/>
              </w:rPr>
            </w:pPr>
            <w:r w:rsidRPr="00B824CF">
              <w:rPr>
                <w:b/>
                <w:bCs/>
              </w:rPr>
              <w:t>2</w:t>
            </w:r>
          </w:p>
        </w:tc>
      </w:tr>
      <w:tr w:rsidR="00B824CF" w:rsidRPr="00B824CF" w14:paraId="3579AF97" w14:textId="77777777" w:rsidTr="00B824CF">
        <w:tc>
          <w:tcPr>
            <w:tcW w:w="8784" w:type="dxa"/>
            <w:vAlign w:val="center"/>
          </w:tcPr>
          <w:p w14:paraId="12F9DAC3" w14:textId="76B0CEF8" w:rsidR="00B824CF" w:rsidRDefault="00B824CF" w:rsidP="00B824CF">
            <w:pPr>
              <w:jc w:val="left"/>
            </w:pPr>
            <w:r w:rsidRPr="00B824CF">
              <w:rPr>
                <w:b/>
                <w:bCs/>
              </w:rPr>
              <w:t xml:space="preserve">Appendix 1 </w:t>
            </w:r>
            <w:r>
              <w:t>– Pragmatic literature review …………………………………………………….</w:t>
            </w:r>
          </w:p>
        </w:tc>
        <w:tc>
          <w:tcPr>
            <w:tcW w:w="850" w:type="dxa"/>
            <w:vAlign w:val="center"/>
          </w:tcPr>
          <w:p w14:paraId="164A24FD" w14:textId="77A3000B" w:rsidR="00B824CF" w:rsidRPr="00B824CF" w:rsidRDefault="00B824CF" w:rsidP="00B824CF">
            <w:pPr>
              <w:jc w:val="right"/>
              <w:rPr>
                <w:b/>
                <w:bCs/>
              </w:rPr>
            </w:pPr>
            <w:r w:rsidRPr="00B824CF">
              <w:rPr>
                <w:b/>
                <w:bCs/>
              </w:rPr>
              <w:t>3</w:t>
            </w:r>
          </w:p>
        </w:tc>
      </w:tr>
      <w:tr w:rsidR="00B824CF" w:rsidRPr="00B824CF" w14:paraId="7D9485AA" w14:textId="77777777" w:rsidTr="00B824CF">
        <w:tc>
          <w:tcPr>
            <w:tcW w:w="8784" w:type="dxa"/>
            <w:vAlign w:val="center"/>
          </w:tcPr>
          <w:p w14:paraId="1851F7BE" w14:textId="5A7DEB69" w:rsidR="00B824CF" w:rsidRDefault="00B824CF" w:rsidP="00B824CF">
            <w:r w:rsidRPr="00B824CF">
              <w:rPr>
                <w:b/>
                <w:bCs/>
              </w:rPr>
              <w:t>Figure S.2</w:t>
            </w:r>
            <w:r>
              <w:t xml:space="preserve"> – </w:t>
            </w:r>
            <w:r w:rsidRPr="00F4022E">
              <w:t>PRISMA Flow D</w:t>
            </w:r>
            <w:r>
              <w:t>iagram for Kd-related queries</w:t>
            </w:r>
            <w:r>
              <w:t xml:space="preserve"> …………………………………</w:t>
            </w:r>
          </w:p>
        </w:tc>
        <w:tc>
          <w:tcPr>
            <w:tcW w:w="850" w:type="dxa"/>
            <w:vAlign w:val="center"/>
          </w:tcPr>
          <w:p w14:paraId="1B99FD3B" w14:textId="43458B86" w:rsidR="00B824CF" w:rsidRPr="00B824CF" w:rsidRDefault="00B824CF" w:rsidP="00B824CF">
            <w:pPr>
              <w:jc w:val="right"/>
              <w:rPr>
                <w:b/>
                <w:bCs/>
              </w:rPr>
            </w:pPr>
            <w:r w:rsidRPr="00B824CF">
              <w:rPr>
                <w:b/>
                <w:bCs/>
              </w:rPr>
              <w:t>5</w:t>
            </w:r>
          </w:p>
        </w:tc>
      </w:tr>
      <w:tr w:rsidR="00B824CF" w:rsidRPr="00B824CF" w14:paraId="4755A714" w14:textId="77777777" w:rsidTr="00B824CF">
        <w:tc>
          <w:tcPr>
            <w:tcW w:w="8784" w:type="dxa"/>
            <w:vAlign w:val="center"/>
          </w:tcPr>
          <w:p w14:paraId="45D8C4AB" w14:textId="28D6A8F3" w:rsidR="00B824CF" w:rsidRDefault="00B824CF" w:rsidP="00B824CF">
            <w:pPr>
              <w:jc w:val="left"/>
            </w:pPr>
            <w:r w:rsidRPr="00B824CF">
              <w:rPr>
                <w:b/>
                <w:bCs/>
              </w:rPr>
              <w:t>Figure S.</w:t>
            </w:r>
            <w:r w:rsidRPr="00B824CF">
              <w:rPr>
                <w:b/>
                <w:bCs/>
              </w:rPr>
              <w:t>3</w:t>
            </w:r>
            <w:r>
              <w:t xml:space="preserve"> – </w:t>
            </w:r>
            <w:r w:rsidRPr="00F4022E">
              <w:t>PRISMA Flow D</w:t>
            </w:r>
            <w:r>
              <w:t xml:space="preserve">iagram for </w:t>
            </w:r>
            <w:r>
              <w:t>PV</w:t>
            </w:r>
            <w:r>
              <w:t>d-related queries</w:t>
            </w:r>
            <w:r>
              <w:t xml:space="preserve"> ……………………………...</w:t>
            </w:r>
          </w:p>
        </w:tc>
        <w:tc>
          <w:tcPr>
            <w:tcW w:w="850" w:type="dxa"/>
            <w:vAlign w:val="center"/>
          </w:tcPr>
          <w:p w14:paraId="27FD9BFB" w14:textId="5E067250" w:rsidR="00B824CF" w:rsidRPr="00B824CF" w:rsidRDefault="00B824CF" w:rsidP="00B824CF">
            <w:pPr>
              <w:jc w:val="right"/>
              <w:rPr>
                <w:b/>
                <w:bCs/>
              </w:rPr>
            </w:pPr>
            <w:r w:rsidRPr="00B824CF">
              <w:rPr>
                <w:b/>
                <w:bCs/>
              </w:rPr>
              <w:t>6</w:t>
            </w:r>
          </w:p>
        </w:tc>
      </w:tr>
      <w:tr w:rsidR="00B824CF" w:rsidRPr="00B824CF" w14:paraId="6A6365F9" w14:textId="77777777" w:rsidTr="00B824CF">
        <w:tc>
          <w:tcPr>
            <w:tcW w:w="8784" w:type="dxa"/>
            <w:vAlign w:val="center"/>
          </w:tcPr>
          <w:p w14:paraId="3BF77B44" w14:textId="1C771D0F" w:rsidR="00B824CF" w:rsidRDefault="00B824CF" w:rsidP="00B824CF">
            <w:pPr>
              <w:jc w:val="left"/>
            </w:pPr>
            <w:r w:rsidRPr="00B824CF">
              <w:rPr>
                <w:b/>
                <w:bCs/>
              </w:rPr>
              <w:t>Figure S.</w:t>
            </w:r>
            <w:r w:rsidRPr="00B824CF">
              <w:rPr>
                <w:b/>
                <w:bCs/>
              </w:rPr>
              <w:t>4</w:t>
            </w:r>
            <w:r>
              <w:t xml:space="preserve"> – </w:t>
            </w:r>
            <w:r w:rsidRPr="00F4022E">
              <w:t>PRISMA Flow D</w:t>
            </w:r>
            <w:r>
              <w:t xml:space="preserve">iagram for </w:t>
            </w:r>
            <w:r>
              <w:t>SV</w:t>
            </w:r>
            <w:r>
              <w:t>d-related queries</w:t>
            </w:r>
            <w:r>
              <w:t xml:space="preserve"> ……………………………...</w:t>
            </w:r>
          </w:p>
        </w:tc>
        <w:tc>
          <w:tcPr>
            <w:tcW w:w="850" w:type="dxa"/>
            <w:vAlign w:val="center"/>
          </w:tcPr>
          <w:p w14:paraId="2040A0BE" w14:textId="385C50B6" w:rsidR="00B824CF" w:rsidRPr="00B824CF" w:rsidRDefault="00B824CF" w:rsidP="00B824CF">
            <w:pPr>
              <w:jc w:val="right"/>
              <w:rPr>
                <w:b/>
                <w:bCs/>
              </w:rPr>
            </w:pPr>
            <w:r w:rsidRPr="00B824CF">
              <w:rPr>
                <w:b/>
                <w:bCs/>
              </w:rPr>
              <w:t>7</w:t>
            </w:r>
          </w:p>
        </w:tc>
      </w:tr>
      <w:tr w:rsidR="00B824CF" w:rsidRPr="00B824CF" w14:paraId="6CBC3F0A" w14:textId="77777777" w:rsidTr="00B824CF">
        <w:tc>
          <w:tcPr>
            <w:tcW w:w="8784" w:type="dxa"/>
            <w:vAlign w:val="center"/>
          </w:tcPr>
          <w:p w14:paraId="024BF035" w14:textId="37C45896" w:rsidR="00B824CF" w:rsidRDefault="00B824CF" w:rsidP="00B824CF">
            <w:pPr>
              <w:jc w:val="left"/>
            </w:pPr>
            <w:r w:rsidRPr="00B824CF">
              <w:rPr>
                <w:b/>
                <w:bCs/>
              </w:rPr>
              <w:t xml:space="preserve">Appendix </w:t>
            </w:r>
            <w:r w:rsidRPr="00B824CF">
              <w:rPr>
                <w:b/>
                <w:bCs/>
              </w:rPr>
              <w:t>2</w:t>
            </w:r>
            <w:r>
              <w:t xml:space="preserve"> – </w:t>
            </w:r>
            <w:r>
              <w:t>Questionnaire structure ……………………………………………………</w:t>
            </w:r>
            <w:proofErr w:type="gramStart"/>
            <w:r>
              <w:t>…..</w:t>
            </w:r>
            <w:proofErr w:type="gramEnd"/>
          </w:p>
        </w:tc>
        <w:tc>
          <w:tcPr>
            <w:tcW w:w="850" w:type="dxa"/>
            <w:vAlign w:val="center"/>
          </w:tcPr>
          <w:p w14:paraId="364AC033" w14:textId="4891344D" w:rsidR="00B824CF" w:rsidRPr="00B824CF" w:rsidRDefault="00B824CF" w:rsidP="00B824CF">
            <w:pPr>
              <w:jc w:val="right"/>
              <w:rPr>
                <w:b/>
                <w:bCs/>
              </w:rPr>
            </w:pPr>
            <w:r w:rsidRPr="00B824CF">
              <w:rPr>
                <w:b/>
                <w:bCs/>
              </w:rPr>
              <w:t>8</w:t>
            </w:r>
          </w:p>
        </w:tc>
      </w:tr>
      <w:tr w:rsidR="00B824CF" w:rsidRPr="00B824CF" w14:paraId="32337170" w14:textId="77777777" w:rsidTr="00B824CF">
        <w:tc>
          <w:tcPr>
            <w:tcW w:w="8784" w:type="dxa"/>
            <w:vAlign w:val="center"/>
          </w:tcPr>
          <w:p w14:paraId="0CCB63AA" w14:textId="3B8A1125" w:rsidR="00B824CF" w:rsidRDefault="00B824CF" w:rsidP="00B824CF">
            <w:pPr>
              <w:jc w:val="left"/>
            </w:pPr>
            <w:r w:rsidRPr="00B824CF">
              <w:rPr>
                <w:b/>
                <w:bCs/>
              </w:rPr>
              <w:t>Appendix 3</w:t>
            </w:r>
            <w:r>
              <w:t xml:space="preserve"> – Aggregation model …………………………………………………………</w:t>
            </w:r>
            <w:proofErr w:type="gramStart"/>
            <w:r>
              <w:t>…..</w:t>
            </w:r>
            <w:proofErr w:type="gramEnd"/>
          </w:p>
        </w:tc>
        <w:tc>
          <w:tcPr>
            <w:tcW w:w="850" w:type="dxa"/>
            <w:vAlign w:val="center"/>
          </w:tcPr>
          <w:p w14:paraId="71BB1C23" w14:textId="0CFA12E6" w:rsidR="00B824CF" w:rsidRPr="00B824CF" w:rsidRDefault="00B824CF" w:rsidP="00B824CF">
            <w:pPr>
              <w:jc w:val="right"/>
              <w:rPr>
                <w:b/>
                <w:bCs/>
              </w:rPr>
            </w:pPr>
            <w:r w:rsidRPr="00B824CF">
              <w:rPr>
                <w:b/>
                <w:bCs/>
              </w:rPr>
              <w:t>10</w:t>
            </w:r>
          </w:p>
        </w:tc>
      </w:tr>
      <w:tr w:rsidR="00B824CF" w:rsidRPr="00B824CF" w14:paraId="1BE2FFC4" w14:textId="77777777" w:rsidTr="00B824CF">
        <w:tc>
          <w:tcPr>
            <w:tcW w:w="8784" w:type="dxa"/>
            <w:vAlign w:val="center"/>
          </w:tcPr>
          <w:p w14:paraId="7A939FF0" w14:textId="2FF2C811" w:rsidR="00B824CF" w:rsidRPr="00B824CF" w:rsidRDefault="00B824CF" w:rsidP="00B824CF">
            <w:pPr>
              <w:jc w:val="left"/>
            </w:pPr>
            <w:r w:rsidRPr="00B824CF">
              <w:rPr>
                <w:b/>
                <w:bCs/>
              </w:rPr>
              <w:t>Bibliography</w:t>
            </w:r>
            <w:r w:rsidRPr="00B824CF">
              <w:t xml:space="preserve"> …………………………………………………………………………………</w:t>
            </w:r>
            <w:proofErr w:type="gramStart"/>
            <w:r w:rsidRPr="00B824CF">
              <w:t>…..</w:t>
            </w:r>
            <w:proofErr w:type="gramEnd"/>
          </w:p>
        </w:tc>
        <w:tc>
          <w:tcPr>
            <w:tcW w:w="850" w:type="dxa"/>
            <w:vAlign w:val="center"/>
          </w:tcPr>
          <w:p w14:paraId="0C6BBA9E" w14:textId="53A31B23" w:rsidR="00B824CF" w:rsidRPr="00B824CF" w:rsidRDefault="00B824CF" w:rsidP="00B824CF">
            <w:pPr>
              <w:jc w:val="right"/>
              <w:rPr>
                <w:b/>
                <w:bCs/>
              </w:rPr>
            </w:pPr>
            <w:r w:rsidRPr="00B824CF">
              <w:rPr>
                <w:b/>
                <w:bCs/>
              </w:rPr>
              <w:t>11</w:t>
            </w:r>
          </w:p>
        </w:tc>
      </w:tr>
    </w:tbl>
    <w:p w14:paraId="051202DE" w14:textId="109EC3C2" w:rsidR="00B824CF" w:rsidRPr="00B824CF" w:rsidRDefault="00B824CF" w:rsidP="00B824CF">
      <w:pPr>
        <w:sectPr w:rsidR="00B824CF" w:rsidRPr="00B824CF" w:rsidSect="00B824CF">
          <w:footerReference w:type="default" r:id="rId11"/>
          <w:pgSz w:w="12240" w:h="15840"/>
          <w:pgMar w:top="1418" w:right="1134" w:bottom="1134" w:left="1134" w:header="709" w:footer="709" w:gutter="0"/>
          <w:cols w:space="708"/>
          <w:titlePg/>
          <w:docGrid w:linePitch="360"/>
        </w:sectPr>
      </w:pPr>
    </w:p>
    <w:p w14:paraId="7AA6B4C2" w14:textId="070BB297" w:rsidR="009B2EDC" w:rsidRPr="00B4139E" w:rsidRDefault="009C54FC" w:rsidP="00B4139E">
      <w:pPr>
        <w:pStyle w:val="Heading1"/>
        <w:spacing w:after="120"/>
        <w:rPr>
          <w:rFonts w:ascii="Arial" w:hAnsi="Arial" w:cs="Arial"/>
          <w:b/>
          <w:bCs/>
          <w:color w:val="auto"/>
          <w:sz w:val="24"/>
          <w:szCs w:val="24"/>
        </w:rPr>
        <w:sectPr w:rsidR="009B2EDC" w:rsidRPr="00B4139E" w:rsidSect="00B62A0E">
          <w:pgSz w:w="15840" w:h="12240" w:orient="landscape"/>
          <w:pgMar w:top="1134" w:right="1418" w:bottom="1134" w:left="1134" w:header="709" w:footer="709" w:gutter="0"/>
          <w:cols w:space="708"/>
          <w:docGrid w:linePitch="360"/>
        </w:sectPr>
      </w:pPr>
      <w:r>
        <w:rPr>
          <w:b/>
          <w:bCs/>
          <w:noProof/>
        </w:rPr>
        <w:lastRenderedPageBreak/>
        <w:drawing>
          <wp:anchor distT="0" distB="252095" distL="114300" distR="114300" simplePos="0" relativeHeight="251658240" behindDoc="0" locked="0" layoutInCell="1" allowOverlap="1" wp14:anchorId="635A1DFB" wp14:editId="1C2C2AE7">
            <wp:simplePos x="0" y="0"/>
            <wp:positionH relativeFrom="margin">
              <wp:align>center</wp:align>
            </wp:positionH>
            <wp:positionV relativeFrom="paragraph">
              <wp:posOffset>289560</wp:posOffset>
            </wp:positionV>
            <wp:extent cx="7793990" cy="4324350"/>
            <wp:effectExtent l="0" t="0" r="0" b="0"/>
            <wp:wrapTopAndBottom/>
            <wp:docPr id="3465197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51971" name="Picture 2"/>
                    <pic:cNvPicPr>
                      <a:picLocks noChangeAspect="1" noChangeArrowheads="1"/>
                    </pic:cNvPicPr>
                  </pic:nvPicPr>
                  <pic:blipFill>
                    <a:blip r:embed="rId12">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bwMode="auto">
                    <a:xfrm>
                      <a:off x="0" y="0"/>
                      <a:ext cx="7793990" cy="432435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8241" behindDoc="0" locked="0" layoutInCell="1" allowOverlap="1" wp14:anchorId="56C995A6" wp14:editId="3963758B">
                <wp:simplePos x="0" y="0"/>
                <wp:positionH relativeFrom="margin">
                  <wp:align>left</wp:align>
                </wp:positionH>
                <wp:positionV relativeFrom="paragraph">
                  <wp:posOffset>4652010</wp:posOffset>
                </wp:positionV>
                <wp:extent cx="8439785" cy="1673225"/>
                <wp:effectExtent l="0" t="0" r="0" b="3175"/>
                <wp:wrapTopAndBottom/>
                <wp:docPr id="2144586142" name="Text Box 1"/>
                <wp:cNvGraphicFramePr/>
                <a:graphic xmlns:a="http://schemas.openxmlformats.org/drawingml/2006/main">
                  <a:graphicData uri="http://schemas.microsoft.com/office/word/2010/wordprocessingShape">
                    <wps:wsp>
                      <wps:cNvSpPr txBox="1"/>
                      <wps:spPr>
                        <a:xfrm>
                          <a:off x="0" y="0"/>
                          <a:ext cx="8439785" cy="1673225"/>
                        </a:xfrm>
                        <a:prstGeom prst="rect">
                          <a:avLst/>
                        </a:prstGeom>
                        <a:solidFill>
                          <a:prstClr val="white"/>
                        </a:solidFill>
                        <a:ln>
                          <a:noFill/>
                        </a:ln>
                      </wps:spPr>
                      <wps:txbx>
                        <w:txbxContent>
                          <w:p w14:paraId="361EA7BF" w14:textId="4C0E31C5" w:rsidR="00B4139E" w:rsidRDefault="00B4139E" w:rsidP="009C54FC">
                            <w:pPr>
                              <w:pStyle w:val="Caption"/>
                              <w:spacing w:after="120"/>
                              <w:jc w:val="both"/>
                              <w:rPr>
                                <w:rFonts w:cs="Arial"/>
                                <w:b w:val="0"/>
                                <w:bCs/>
                                <w:sz w:val="22"/>
                                <w:szCs w:val="22"/>
                              </w:rPr>
                            </w:pPr>
                            <w:r w:rsidRPr="006D030D">
                              <w:rPr>
                                <w:rFonts w:cs="Arial"/>
                                <w:b w:val="0"/>
                                <w:bCs/>
                                <w:sz w:val="22"/>
                                <w:szCs w:val="22"/>
                              </w:rPr>
                              <w:t>The graph illustrates the process underwent by the preliminary list of</w:t>
                            </w:r>
                            <w:r w:rsidR="006D030D" w:rsidRPr="006D030D">
                              <w:rPr>
                                <w:rFonts w:cs="Arial"/>
                                <w:b w:val="0"/>
                                <w:bCs/>
                                <w:sz w:val="22"/>
                                <w:szCs w:val="22"/>
                              </w:rPr>
                              <w:t xml:space="preserve"> main</w:t>
                            </w:r>
                            <w:r w:rsidRPr="006D030D">
                              <w:rPr>
                                <w:rFonts w:cs="Arial"/>
                                <w:b w:val="0"/>
                                <w:bCs/>
                                <w:sz w:val="22"/>
                                <w:szCs w:val="22"/>
                              </w:rPr>
                              <w:t xml:space="preserve"> criteria identified through an initial focused literature review through PubMed, cross-references, and targeted research and composed by criteria mentioned in at least 20% of found studies as well as all other criteria mentioned in found MCDA studies related to hematological tumors. The preliminary list of 18 criteria was initially scrutinized in light of the properties required for an MCDA set of criteria, compliant ones were discussed in a multi-stakeholder workshop to validate their real-world relevance, and validates ones were considered for inclusion in the final list of criteria by means of a pragmatic literature review (PLR) to assess data availability for Kd, PVd, and SVd.</w:t>
                            </w:r>
                          </w:p>
                          <w:p w14:paraId="5684A1E0" w14:textId="45C07A7F" w:rsidR="009C54FC" w:rsidRPr="009C54FC" w:rsidRDefault="009C54FC" w:rsidP="009C54FC">
                            <w:pPr>
                              <w:spacing w:line="240" w:lineRule="auto"/>
                              <w:rPr>
                                <w:rFonts w:cs="Arial"/>
                                <w:bCs/>
                                <w:iCs/>
                              </w:rPr>
                            </w:pPr>
                            <w:r w:rsidRPr="009C54FC">
                              <w:rPr>
                                <w:rFonts w:cs="Arial"/>
                                <w:bCs/>
                                <w:iCs/>
                              </w:rPr>
                              <w:t xml:space="preserve">During the </w:t>
                            </w:r>
                            <w:r>
                              <w:rPr>
                                <w:rFonts w:cs="Arial"/>
                                <w:bCs/>
                                <w:iCs/>
                              </w:rPr>
                              <w:t xml:space="preserve">first </w:t>
                            </w:r>
                            <w:r w:rsidRPr="009C54FC">
                              <w:rPr>
                                <w:rFonts w:cs="Arial"/>
                                <w:bCs/>
                                <w:iCs/>
                              </w:rPr>
                              <w:t>workshop, the “quality of evidence” criterion (e.g. preference of randomized controlled trials over non-randomized studies)</w:t>
                            </w:r>
                            <w:r>
                              <w:rPr>
                                <w:rFonts w:cs="Arial"/>
                                <w:bCs/>
                                <w:iCs/>
                              </w:rPr>
                              <w:t xml:space="preserve"> </w:t>
                            </w:r>
                            <w:r w:rsidRPr="00B824CF">
                              <w:rPr>
                                <w:rFonts w:cs="Arial"/>
                                <w:bCs/>
                                <w:iCs/>
                                <w:color w:val="ED7D31" w:themeColor="accent2"/>
                              </w:rPr>
                              <w:t>(</w:t>
                            </w:r>
                            <w:proofErr w:type="spellStart"/>
                            <w:r w:rsidRPr="00B824CF">
                              <w:rPr>
                                <w:rFonts w:cs="Arial"/>
                                <w:bCs/>
                                <w:iCs/>
                                <w:color w:val="ED7D31" w:themeColor="accent2"/>
                              </w:rPr>
                              <w:t>Jommi</w:t>
                            </w:r>
                            <w:proofErr w:type="spellEnd"/>
                            <w:r w:rsidRPr="00B824CF">
                              <w:rPr>
                                <w:rFonts w:cs="Arial"/>
                                <w:bCs/>
                                <w:iCs/>
                                <w:color w:val="ED7D31" w:themeColor="accent2"/>
                              </w:rPr>
                              <w:t xml:space="preserve"> and Ravasio, 2019) </w:t>
                            </w:r>
                            <w:r w:rsidRPr="009C54FC">
                              <w:rPr>
                                <w:rFonts w:cs="Arial"/>
                                <w:bCs/>
                                <w:iCs/>
                              </w:rPr>
                              <w:t xml:space="preserve">was </w:t>
                            </w:r>
                            <w:r>
                              <w:rPr>
                                <w:rFonts w:cs="Arial"/>
                                <w:bCs/>
                                <w:iCs/>
                              </w:rPr>
                              <w:t>reinstated</w:t>
                            </w:r>
                            <w:r w:rsidRPr="009C54FC">
                              <w:rPr>
                                <w:rFonts w:cs="Arial"/>
                                <w:bCs/>
                                <w:iCs/>
                              </w:rPr>
                              <w:t xml:space="preserve"> to the list of compliant criteria, despite its initial exclusion due to its perceived redundancy. This addition was based on the feedback from workshop attendees who highlighted that the “quality of evidence” is one of the three criteria assessed by Italian Medicine Agency in the evaluation of a drug innovation status</w:t>
                            </w:r>
                            <w:r>
                              <w:rPr>
                                <w:rFonts w:cs="Arial"/>
                                <w:bCs/>
                                <w:iCs/>
                              </w:rPr>
                              <w:t xml:space="preserve"> </w:t>
                            </w:r>
                            <w:r w:rsidRPr="00B824CF">
                              <w:rPr>
                                <w:rFonts w:cs="Arial"/>
                                <w:bCs/>
                                <w:iCs/>
                                <w:color w:val="ED7D31" w:themeColor="accent2"/>
                              </w:rPr>
                              <w:t>(AIFA, 2017)</w:t>
                            </w:r>
                            <w:r>
                              <w:rPr>
                                <w:rFonts w:cs="Arial"/>
                                <w:bCs/>
                                <w:iCs/>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6C995A6" id="_x0000_t202" coordsize="21600,21600" o:spt="202" path="m,l,21600r21600,l21600,xe">
                <v:stroke joinstyle="miter"/>
                <v:path gradientshapeok="t" o:connecttype="rect"/>
              </v:shapetype>
              <v:shape id="Text Box 1" o:spid="_x0000_s1026" type="#_x0000_t202" style="position:absolute;left:0;text-align:left;margin-left:0;margin-top:366.3pt;width:664.55pt;height:131.75pt;z-index:251658241;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" stroked="f">
                <v:textbox inset="0,0,0,0">
                  <w:txbxContent>
                    <w:p w14:paraId="361EA7BF" w14:textId="4C0E31C5" w:rsidR="00B4139E" w:rsidRDefault="00B4139E" w:rsidP="009C54FC">
                      <w:pPr>
                        <w:pStyle w:val="Caption"/>
                        <w:spacing w:after="120"/>
                        <w:jc w:val="both"/>
                        <w:rPr>
                          <w:rFonts w:cs="Arial"/>
                          <w:b w:val="0"/>
                          <w:bCs/>
                          <w:sz w:val="22"/>
                          <w:szCs w:val="22"/>
                        </w:rPr>
                      </w:pPr>
                      <w:r w:rsidRPr="006D030D">
                        <w:rPr>
                          <w:rFonts w:cs="Arial"/>
                          <w:b w:val="0"/>
                          <w:bCs/>
                          <w:sz w:val="22"/>
                          <w:szCs w:val="22"/>
                        </w:rPr>
                        <w:t>The graph illustrates the process underwent by the preliminary list of</w:t>
                      </w:r>
                      <w:r w:rsidR="006D030D" w:rsidRPr="006D030D">
                        <w:rPr>
                          <w:rFonts w:cs="Arial"/>
                          <w:b w:val="0"/>
                          <w:bCs/>
                          <w:sz w:val="22"/>
                          <w:szCs w:val="22"/>
                        </w:rPr>
                        <w:t xml:space="preserve"> main</w:t>
                      </w:r>
                      <w:r w:rsidRPr="006D030D">
                        <w:rPr>
                          <w:rFonts w:cs="Arial"/>
                          <w:b w:val="0"/>
                          <w:bCs/>
                          <w:sz w:val="22"/>
                          <w:szCs w:val="22"/>
                        </w:rPr>
                        <w:t xml:space="preserve"> criteria identified through an initial focused literature review through PubMed, cross-references, and targeted research and composed by criteria mentioned in at least 20% of found studies as well as all other criteria mentioned in found MCDA studies related to hematological tumors. The preliminary list of 18 criteria was initially scrutinized in light of the properties required for an MCDA set of criteria, compliant ones were discussed in a multi-stakeholder workshop to validate their real-world relevance, and validates ones were considered for inclusion in the final list of criteria by means of a pragmatic literature review (PLR) to assess data availability for Kd, PVd, and SVd.</w:t>
                      </w:r>
                    </w:p>
                    <w:p w14:paraId="5684A1E0" w14:textId="45C07A7F" w:rsidR="009C54FC" w:rsidRPr="009C54FC" w:rsidRDefault="009C54FC" w:rsidP="009C54FC">
                      <w:pPr>
                        <w:spacing w:line="240" w:lineRule="auto"/>
                        <w:rPr>
                          <w:rFonts w:cs="Arial"/>
                          <w:bCs/>
                          <w:iCs/>
                        </w:rPr>
                      </w:pPr>
                      <w:r w:rsidRPr="009C54FC">
                        <w:rPr>
                          <w:rFonts w:cs="Arial"/>
                          <w:bCs/>
                          <w:iCs/>
                        </w:rPr>
                        <w:t xml:space="preserve">During the </w:t>
                      </w:r>
                      <w:r>
                        <w:rPr>
                          <w:rFonts w:cs="Arial"/>
                          <w:bCs/>
                          <w:iCs/>
                        </w:rPr>
                        <w:t xml:space="preserve">first </w:t>
                      </w:r>
                      <w:r w:rsidRPr="009C54FC">
                        <w:rPr>
                          <w:rFonts w:cs="Arial"/>
                          <w:bCs/>
                          <w:iCs/>
                        </w:rPr>
                        <w:t>workshop, the “quality of evidence” criterion (e.g. preference of randomized controlled trials over non-randomized studies)</w:t>
                      </w:r>
                      <w:r>
                        <w:rPr>
                          <w:rFonts w:cs="Arial"/>
                          <w:bCs/>
                          <w:iCs/>
                        </w:rPr>
                        <w:t xml:space="preserve"> </w:t>
                      </w:r>
                      <w:r w:rsidRPr="00B824CF">
                        <w:rPr>
                          <w:rFonts w:cs="Arial"/>
                          <w:bCs/>
                          <w:iCs/>
                          <w:color w:val="ED7D31" w:themeColor="accent2"/>
                        </w:rPr>
                        <w:t>(</w:t>
                      </w:r>
                      <w:proofErr w:type="spellStart"/>
                      <w:r w:rsidRPr="00B824CF">
                        <w:rPr>
                          <w:rFonts w:cs="Arial"/>
                          <w:bCs/>
                          <w:iCs/>
                          <w:color w:val="ED7D31" w:themeColor="accent2"/>
                        </w:rPr>
                        <w:t>Jommi</w:t>
                      </w:r>
                      <w:proofErr w:type="spellEnd"/>
                      <w:r w:rsidRPr="00B824CF">
                        <w:rPr>
                          <w:rFonts w:cs="Arial"/>
                          <w:bCs/>
                          <w:iCs/>
                          <w:color w:val="ED7D31" w:themeColor="accent2"/>
                        </w:rPr>
                        <w:t xml:space="preserve"> and Ravasio, 2019) </w:t>
                      </w:r>
                      <w:r w:rsidRPr="009C54FC">
                        <w:rPr>
                          <w:rFonts w:cs="Arial"/>
                          <w:bCs/>
                          <w:iCs/>
                        </w:rPr>
                        <w:t xml:space="preserve">was </w:t>
                      </w:r>
                      <w:r>
                        <w:rPr>
                          <w:rFonts w:cs="Arial"/>
                          <w:bCs/>
                          <w:iCs/>
                        </w:rPr>
                        <w:t>reinstated</w:t>
                      </w:r>
                      <w:r w:rsidRPr="009C54FC">
                        <w:rPr>
                          <w:rFonts w:cs="Arial"/>
                          <w:bCs/>
                          <w:iCs/>
                        </w:rPr>
                        <w:t xml:space="preserve"> to the list of compliant criteria, despite its initial exclusion due to its perceived redundancy. This addition was based on the feedback from workshop attendees who highlighted that the “quality of evidence” is one of the three criteria assessed by Italian Medicine Agency in the evaluation of a drug innovation status</w:t>
                      </w:r>
                      <w:r>
                        <w:rPr>
                          <w:rFonts w:cs="Arial"/>
                          <w:bCs/>
                          <w:iCs/>
                        </w:rPr>
                        <w:t xml:space="preserve"> </w:t>
                      </w:r>
                      <w:r w:rsidRPr="00B824CF">
                        <w:rPr>
                          <w:rFonts w:cs="Arial"/>
                          <w:bCs/>
                          <w:iCs/>
                          <w:color w:val="ED7D31" w:themeColor="accent2"/>
                        </w:rPr>
                        <w:t>(AIFA, 2017)</w:t>
                      </w:r>
                      <w:r>
                        <w:rPr>
                          <w:rFonts w:cs="Arial"/>
                          <w:bCs/>
                          <w:iCs/>
                        </w:rPr>
                        <w:t>.</w:t>
                      </w:r>
                    </w:p>
                  </w:txbxContent>
                </v:textbox>
                <w10:wrap type="topAndBottom" anchorx="margin"/>
              </v:shape>
            </w:pict>
          </mc:Fallback>
        </mc:AlternateContent>
      </w:r>
      <w:r w:rsidR="009B2EDC">
        <w:rPr>
          <w:rFonts w:ascii="Arial" w:hAnsi="Arial" w:cs="Arial"/>
          <w:b/>
          <w:bCs/>
          <w:color w:val="auto"/>
          <w:sz w:val="24"/>
          <w:szCs w:val="24"/>
        </w:rPr>
        <w:t>Figure S.</w:t>
      </w:r>
      <w:r w:rsidR="001B5890">
        <w:rPr>
          <w:rFonts w:ascii="Arial" w:hAnsi="Arial" w:cs="Arial"/>
          <w:b/>
          <w:bCs/>
          <w:color w:val="auto"/>
          <w:sz w:val="24"/>
          <w:szCs w:val="24"/>
        </w:rPr>
        <w:t>1</w:t>
      </w:r>
    </w:p>
    <w:p w14:paraId="1D351D31" w14:textId="6BBD7A42" w:rsidR="005F17BB" w:rsidRDefault="005F17BB" w:rsidP="00B62A0E">
      <w:pPr>
        <w:rPr>
          <w:rFonts w:cs="Arial"/>
          <w:b/>
          <w:bCs/>
          <w:sz w:val="24"/>
          <w:szCs w:val="24"/>
        </w:rPr>
      </w:pPr>
      <w:r>
        <w:rPr>
          <w:rFonts w:cs="Arial"/>
          <w:b/>
          <w:bCs/>
          <w:sz w:val="24"/>
          <w:szCs w:val="24"/>
        </w:rPr>
        <w:lastRenderedPageBreak/>
        <w:t>Appendix 1</w:t>
      </w:r>
    </w:p>
    <w:p w14:paraId="20156150" w14:textId="1C2AA5D3" w:rsidR="00F100AE" w:rsidRDefault="000A2508" w:rsidP="005F17BB">
      <w:r>
        <w:t xml:space="preserve">A pragmatic literature review (PLR) was conducted to identify data sources to populate the performance matrix in cases where their selection was not implicitly dictated by criteria definitions as validated during the first workshop. </w:t>
      </w:r>
      <w:r w:rsidR="007102D1">
        <w:t>For instance</w:t>
      </w:r>
      <w:r>
        <w:t xml:space="preserve">, no PLR was needed for the </w:t>
      </w:r>
      <w:r w:rsidRPr="007102D1">
        <w:rPr>
          <w:i/>
          <w:iCs/>
        </w:rPr>
        <w:t>“organizational impact,” “route of administration,”</w:t>
      </w:r>
      <w:r>
        <w:t xml:space="preserve"> and </w:t>
      </w:r>
      <w:r w:rsidRPr="007102D1">
        <w:rPr>
          <w:i/>
          <w:iCs/>
        </w:rPr>
        <w:t>“safety”</w:t>
      </w:r>
      <w:r>
        <w:t xml:space="preserve"> criteria as measurements </w:t>
      </w:r>
      <w:r w:rsidR="007102D1">
        <w:t>of</w:t>
      </w:r>
      <w:r>
        <w:t xml:space="preserve"> alternatives’ performance</w:t>
      </w:r>
      <w:r w:rsidR="007102D1">
        <w:t>s</w:t>
      </w:r>
      <w:r>
        <w:t xml:space="preserve"> were directly retrieved from their randomized clinical trials</w:t>
      </w:r>
      <w:r w:rsidR="00F100AE">
        <w:t xml:space="preserve"> (RCTs)</w:t>
      </w:r>
      <w:r>
        <w:t xml:space="preserve"> </w:t>
      </w:r>
      <w:r w:rsidR="007102D1" w:rsidRPr="002C5FC1">
        <w:rPr>
          <w:rFonts w:cs="Arial"/>
          <w:color w:val="ED7D31" w:themeColor="accent2"/>
          <w:szCs w:val="24"/>
        </w:rPr>
        <w:t>(</w:t>
      </w:r>
      <w:proofErr w:type="spellStart"/>
      <w:r w:rsidR="007102D1" w:rsidRPr="002C5FC1">
        <w:rPr>
          <w:rFonts w:cs="Arial"/>
          <w:color w:val="ED7D31" w:themeColor="accent2"/>
          <w:szCs w:val="24"/>
        </w:rPr>
        <w:t>Dimopoulos</w:t>
      </w:r>
      <w:proofErr w:type="spellEnd"/>
      <w:r w:rsidR="007102D1" w:rsidRPr="002C5FC1">
        <w:rPr>
          <w:rFonts w:cs="Arial"/>
          <w:color w:val="ED7D31" w:themeColor="accent2"/>
          <w:szCs w:val="24"/>
        </w:rPr>
        <w:t xml:space="preserve"> </w:t>
      </w:r>
      <w:r w:rsidR="007102D1" w:rsidRPr="002C5FC1">
        <w:rPr>
          <w:rFonts w:cs="Arial"/>
          <w:i/>
          <w:iCs/>
          <w:color w:val="ED7D31" w:themeColor="accent2"/>
          <w:szCs w:val="24"/>
        </w:rPr>
        <w:t>et al.</w:t>
      </w:r>
      <w:r w:rsidR="007102D1" w:rsidRPr="002C5FC1">
        <w:rPr>
          <w:rFonts w:cs="Arial"/>
          <w:color w:val="ED7D31" w:themeColor="accent2"/>
          <w:szCs w:val="24"/>
        </w:rPr>
        <w:t xml:space="preserve">, 2016; Richardson </w:t>
      </w:r>
      <w:r w:rsidR="007102D1" w:rsidRPr="002C5FC1">
        <w:rPr>
          <w:rFonts w:cs="Arial"/>
          <w:i/>
          <w:iCs/>
          <w:color w:val="ED7D31" w:themeColor="accent2"/>
          <w:szCs w:val="24"/>
        </w:rPr>
        <w:t>et al.</w:t>
      </w:r>
      <w:r w:rsidR="007102D1" w:rsidRPr="002C5FC1">
        <w:rPr>
          <w:rFonts w:cs="Arial"/>
          <w:color w:val="ED7D31" w:themeColor="accent2"/>
          <w:szCs w:val="24"/>
        </w:rPr>
        <w:t xml:space="preserve">, 2019; Grosicki </w:t>
      </w:r>
      <w:r w:rsidR="007102D1" w:rsidRPr="002C5FC1">
        <w:rPr>
          <w:rFonts w:cs="Arial"/>
          <w:i/>
          <w:iCs/>
          <w:color w:val="ED7D31" w:themeColor="accent2"/>
          <w:szCs w:val="24"/>
        </w:rPr>
        <w:t>et al.</w:t>
      </w:r>
      <w:r w:rsidR="007102D1" w:rsidRPr="002C5FC1">
        <w:rPr>
          <w:rFonts w:cs="Arial"/>
          <w:color w:val="ED7D31" w:themeColor="accent2"/>
          <w:szCs w:val="24"/>
        </w:rPr>
        <w:t>, 2020)</w:t>
      </w:r>
      <w:r>
        <w:t xml:space="preserve"> and European Medicines Agency’s Summaries of Product Characteristics</w:t>
      </w:r>
      <w:r w:rsidR="007102D1">
        <w:t xml:space="preserve"> </w:t>
      </w:r>
      <w:r w:rsidR="007102D1" w:rsidRPr="002C5FC1">
        <w:rPr>
          <w:rFonts w:cs="Arial"/>
          <w:color w:val="ED7D31" w:themeColor="accent2"/>
        </w:rPr>
        <w:t>(EMA, 2022, 2023b, 2023a)</w:t>
      </w:r>
      <w:r w:rsidR="007102D1">
        <w:t>.</w:t>
      </w:r>
    </w:p>
    <w:p w14:paraId="6B032E3F" w14:textId="36CF31A8" w:rsidR="00D42FCE" w:rsidRDefault="00F100AE" w:rsidP="005F17BB">
      <w:r>
        <w:t>Instead, i</w:t>
      </w:r>
      <w:r w:rsidR="007102D1">
        <w:t xml:space="preserve">n cases where data source selection was not implicit – </w:t>
      </w:r>
      <w:r w:rsidR="005F17BB">
        <w:t xml:space="preserve">specifically for the criteria of </w:t>
      </w:r>
      <w:r w:rsidR="005F17BB" w:rsidRPr="0FC09A6F">
        <w:rPr>
          <w:i/>
          <w:iCs/>
        </w:rPr>
        <w:t>“efficacy,” “quality of life,” “other medical costs,”</w:t>
      </w:r>
      <w:r w:rsidR="005F17BB">
        <w:t xml:space="preserve"> and </w:t>
      </w:r>
      <w:r w:rsidR="005F17BB" w:rsidRPr="0FC09A6F">
        <w:rPr>
          <w:i/>
          <w:iCs/>
        </w:rPr>
        <w:t>“non-medical costs”</w:t>
      </w:r>
      <w:r w:rsidR="005F17BB">
        <w:t xml:space="preserve"> – a pragmatic literature review was performed according to PRISMA guidelines</w:t>
      </w:r>
      <w:r w:rsidR="00D42FCE">
        <w:t>. E</w:t>
      </w:r>
      <w:r w:rsidR="005F17BB">
        <w:t xml:space="preserve">ach </w:t>
      </w:r>
      <w:r w:rsidR="004A3AA6">
        <w:t>alternative was associated to a unique research string</w:t>
      </w:r>
      <w:r w:rsidR="00D42FCE">
        <w:t xml:space="preserve"> (</w:t>
      </w:r>
      <w:r w:rsidR="004A3AA6">
        <w:t>0-A for Kd, 0-B for PVd, and 0-C for SVd</w:t>
      </w:r>
      <w:r w:rsidR="00D42FCE">
        <w:t>) and the search included studies published between 1 January 2015 and 1 November 2023.</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9116"/>
      </w:tblGrid>
      <w:tr w:rsidR="00D42FCE" w14:paraId="2ECB18F8" w14:textId="77777777" w:rsidTr="006A38B4">
        <w:trPr>
          <w:trHeight w:val="567"/>
        </w:trPr>
        <w:tc>
          <w:tcPr>
            <w:tcW w:w="846" w:type="dxa"/>
            <w:tcBorders>
              <w:top w:val="single" w:sz="8" w:space="0" w:color="auto"/>
              <w:bottom w:val="single" w:sz="8" w:space="0" w:color="auto"/>
            </w:tcBorders>
            <w:vAlign w:val="center"/>
          </w:tcPr>
          <w:p w14:paraId="374951D9" w14:textId="7318D68A" w:rsidR="00D42FCE" w:rsidRPr="006A38B4" w:rsidRDefault="00D42FCE" w:rsidP="006A38B4">
            <w:pPr>
              <w:spacing w:line="240" w:lineRule="auto"/>
              <w:jc w:val="left"/>
              <w:rPr>
                <w:b/>
                <w:bCs/>
              </w:rPr>
            </w:pPr>
            <w:r w:rsidRPr="006A38B4">
              <w:rPr>
                <w:b/>
                <w:bCs/>
              </w:rPr>
              <w:t>No.</w:t>
            </w:r>
          </w:p>
        </w:tc>
        <w:tc>
          <w:tcPr>
            <w:tcW w:w="9116" w:type="dxa"/>
            <w:tcBorders>
              <w:top w:val="single" w:sz="8" w:space="0" w:color="auto"/>
              <w:bottom w:val="single" w:sz="8" w:space="0" w:color="auto"/>
            </w:tcBorders>
            <w:vAlign w:val="center"/>
          </w:tcPr>
          <w:p w14:paraId="12D5CAA0" w14:textId="5924775C" w:rsidR="00D42FCE" w:rsidRPr="006A38B4" w:rsidRDefault="00D42FCE" w:rsidP="006A38B4">
            <w:pPr>
              <w:spacing w:line="240" w:lineRule="auto"/>
              <w:jc w:val="left"/>
              <w:rPr>
                <w:b/>
                <w:bCs/>
              </w:rPr>
            </w:pPr>
            <w:r w:rsidRPr="006A38B4">
              <w:rPr>
                <w:b/>
                <w:bCs/>
              </w:rPr>
              <w:t>String Definition</w:t>
            </w:r>
          </w:p>
        </w:tc>
      </w:tr>
      <w:tr w:rsidR="00D42FCE" w14:paraId="148602F5" w14:textId="77777777" w:rsidTr="006A38B4">
        <w:trPr>
          <w:trHeight w:val="567"/>
        </w:trPr>
        <w:tc>
          <w:tcPr>
            <w:tcW w:w="846" w:type="dxa"/>
            <w:tcBorders>
              <w:top w:val="single" w:sz="8" w:space="0" w:color="auto"/>
            </w:tcBorders>
            <w:shd w:val="clear" w:color="auto" w:fill="E7E6E6" w:themeFill="background2"/>
            <w:vAlign w:val="center"/>
          </w:tcPr>
          <w:p w14:paraId="4089A874" w14:textId="795F868E" w:rsidR="00D42FCE" w:rsidRDefault="00D42FCE" w:rsidP="006A38B4">
            <w:pPr>
              <w:spacing w:line="240" w:lineRule="auto"/>
              <w:jc w:val="left"/>
            </w:pPr>
            <w:r>
              <w:t>0-A</w:t>
            </w:r>
          </w:p>
        </w:tc>
        <w:tc>
          <w:tcPr>
            <w:tcW w:w="9116" w:type="dxa"/>
            <w:tcBorders>
              <w:top w:val="single" w:sz="8" w:space="0" w:color="auto"/>
            </w:tcBorders>
            <w:shd w:val="clear" w:color="auto" w:fill="E7E6E6" w:themeFill="background2"/>
            <w:vAlign w:val="center"/>
          </w:tcPr>
          <w:p w14:paraId="7C10331E" w14:textId="2DF3F182" w:rsidR="00D42FCE" w:rsidRDefault="006A38B4" w:rsidP="006A38B4">
            <w:pPr>
              <w:spacing w:line="240" w:lineRule="auto"/>
              <w:jc w:val="left"/>
            </w:pPr>
            <w:r w:rsidRPr="006A38B4">
              <w:t>“</w:t>
            </w:r>
            <w:r>
              <w:t>Carfilzomib</w:t>
            </w:r>
            <w:r w:rsidRPr="006A38B4">
              <w:t xml:space="preserve"> AND Dexamethasone"[Title/</w:t>
            </w:r>
            <w:proofErr w:type="gramStart"/>
            <w:r w:rsidRPr="006A38B4">
              <w:t>Abstract:~</w:t>
            </w:r>
            <w:proofErr w:type="gramEnd"/>
            <w:r w:rsidRPr="006A38B4">
              <w:t>0]</w:t>
            </w:r>
          </w:p>
        </w:tc>
      </w:tr>
      <w:tr w:rsidR="006A38B4" w14:paraId="14BEEB7C" w14:textId="77777777" w:rsidTr="006A38B4">
        <w:trPr>
          <w:trHeight w:val="567"/>
        </w:trPr>
        <w:tc>
          <w:tcPr>
            <w:tcW w:w="846" w:type="dxa"/>
            <w:vAlign w:val="center"/>
          </w:tcPr>
          <w:p w14:paraId="742C2A9F" w14:textId="32687FA6" w:rsidR="006A38B4" w:rsidRDefault="006A38B4" w:rsidP="006A38B4">
            <w:pPr>
              <w:spacing w:line="240" w:lineRule="auto"/>
              <w:jc w:val="left"/>
            </w:pPr>
            <w:r>
              <w:t>0-B</w:t>
            </w:r>
          </w:p>
        </w:tc>
        <w:tc>
          <w:tcPr>
            <w:tcW w:w="9116" w:type="dxa"/>
            <w:vAlign w:val="center"/>
          </w:tcPr>
          <w:p w14:paraId="5D6C09C0" w14:textId="5A605D1D" w:rsidR="006A38B4" w:rsidRDefault="006A38B4" w:rsidP="006A38B4">
            <w:pPr>
              <w:spacing w:line="240" w:lineRule="auto"/>
              <w:jc w:val="left"/>
            </w:pPr>
            <w:r w:rsidRPr="006A38B4">
              <w:t>“</w:t>
            </w:r>
            <w:r>
              <w:t>Pomalidomide</w:t>
            </w:r>
            <w:r w:rsidRPr="006A38B4">
              <w:t xml:space="preserve"> AND Dexamethasone AND Bortezomib"[Title/</w:t>
            </w:r>
            <w:proofErr w:type="gramStart"/>
            <w:r w:rsidRPr="006A38B4">
              <w:t>Abstract:~</w:t>
            </w:r>
            <w:proofErr w:type="gramEnd"/>
            <w:r w:rsidRPr="006A38B4">
              <w:t>0]</w:t>
            </w:r>
          </w:p>
        </w:tc>
      </w:tr>
      <w:tr w:rsidR="006A38B4" w14:paraId="0C5F7D48" w14:textId="77777777" w:rsidTr="006A38B4">
        <w:trPr>
          <w:trHeight w:val="567"/>
        </w:trPr>
        <w:tc>
          <w:tcPr>
            <w:tcW w:w="846" w:type="dxa"/>
            <w:shd w:val="clear" w:color="auto" w:fill="E7E6E6" w:themeFill="background2"/>
            <w:vAlign w:val="center"/>
          </w:tcPr>
          <w:p w14:paraId="7B5CBAA0" w14:textId="79623D85" w:rsidR="006A38B4" w:rsidRDefault="006A38B4" w:rsidP="006A38B4">
            <w:pPr>
              <w:spacing w:line="240" w:lineRule="auto"/>
              <w:jc w:val="left"/>
            </w:pPr>
            <w:r>
              <w:t>0-C</w:t>
            </w:r>
          </w:p>
        </w:tc>
        <w:tc>
          <w:tcPr>
            <w:tcW w:w="9116" w:type="dxa"/>
            <w:shd w:val="clear" w:color="auto" w:fill="E7E6E6" w:themeFill="background2"/>
            <w:vAlign w:val="center"/>
          </w:tcPr>
          <w:p w14:paraId="2F709060" w14:textId="3F582E7E" w:rsidR="006A38B4" w:rsidRDefault="006A38B4" w:rsidP="006A38B4">
            <w:pPr>
              <w:spacing w:line="240" w:lineRule="auto"/>
              <w:jc w:val="left"/>
            </w:pPr>
            <w:r w:rsidRPr="006A38B4">
              <w:t>“</w:t>
            </w:r>
            <w:r>
              <w:t>S</w:t>
            </w:r>
            <w:r w:rsidRPr="006A38B4">
              <w:t>elinexor AND Dexamethasone AND Bortezomib"[Title/</w:t>
            </w:r>
            <w:proofErr w:type="gramStart"/>
            <w:r w:rsidRPr="006A38B4">
              <w:t>Abstract:~</w:t>
            </w:r>
            <w:proofErr w:type="gramEnd"/>
            <w:r w:rsidRPr="006A38B4">
              <w:t>0]</w:t>
            </w:r>
          </w:p>
        </w:tc>
      </w:tr>
    </w:tbl>
    <w:p w14:paraId="756466B1" w14:textId="77777777" w:rsidR="00D42FCE" w:rsidRDefault="00D42FCE" w:rsidP="005F17BB"/>
    <w:p w14:paraId="1A9AAF69" w14:textId="67C30AF1" w:rsidR="00F100AE" w:rsidRDefault="006A38B4" w:rsidP="005F17BB">
      <w:r>
        <w:t>R</w:t>
      </w:r>
      <w:r w:rsidR="00D42FCE">
        <w:t xml:space="preserve">ecords identified through </w:t>
      </w:r>
      <w:r>
        <w:t xml:space="preserve">database search were screened based on titles and abstracts containing keywords related to multiple myeloma; </w:t>
      </w:r>
      <w:r w:rsidR="005F17BB">
        <w:t>P</w:t>
      </w:r>
      <w:r>
        <w:t>rogression-Free Survival</w:t>
      </w:r>
      <w:r w:rsidR="005F17BB">
        <w:t>; fertility, sexual, social, and psychological aspects; costs of adverse events, visits, and exams; and indirect costs sustained due to the time waited for administration.</w:t>
      </w:r>
    </w:p>
    <w:p w14:paraId="532731B7" w14:textId="2BACFB47" w:rsidR="005F17BB" w:rsidRDefault="00F100AE" w:rsidP="005F17BB">
      <w:r>
        <w:t>T</w:t>
      </w:r>
      <w:r w:rsidR="005F17BB">
        <w:t>he</w:t>
      </w:r>
      <w:r>
        <w:t xml:space="preserve"> PLR</w:t>
      </w:r>
      <w:r w:rsidR="005F17BB">
        <w:t xml:space="preserve"> provided multiple sources for </w:t>
      </w:r>
      <w:r w:rsidR="005F17BB" w:rsidRPr="0FC09A6F">
        <w:rPr>
          <w:i/>
          <w:iCs/>
        </w:rPr>
        <w:t>“efficacy”</w:t>
      </w:r>
      <w:r w:rsidR="005F17BB">
        <w:t xml:space="preserve"> for all alternatives, including a </w:t>
      </w:r>
      <w:r w:rsidR="006A38B4">
        <w:t>network meta-analysis</w:t>
      </w:r>
      <w:r w:rsidR="005F17BB">
        <w:t xml:space="preserve"> evaluating all of them and focused on lenalidomide-refractory patients </w:t>
      </w:r>
      <w:r w:rsidR="005F17BB" w:rsidRPr="002C5FC1">
        <w:rPr>
          <w:rFonts w:cs="Arial"/>
          <w:color w:val="ED7D31" w:themeColor="accent2"/>
        </w:rPr>
        <w:t>(</w:t>
      </w:r>
      <w:proofErr w:type="spellStart"/>
      <w:r w:rsidR="005F17BB" w:rsidRPr="002C5FC1">
        <w:rPr>
          <w:rFonts w:cs="Arial"/>
          <w:color w:val="ED7D31" w:themeColor="accent2"/>
        </w:rPr>
        <w:t>Kastritis</w:t>
      </w:r>
      <w:proofErr w:type="spellEnd"/>
      <w:r w:rsidR="005F17BB" w:rsidRPr="002C5FC1">
        <w:rPr>
          <w:rFonts w:cs="Arial"/>
          <w:color w:val="ED7D31" w:themeColor="accent2"/>
        </w:rPr>
        <w:t xml:space="preserve"> </w:t>
      </w:r>
      <w:r w:rsidR="005F17BB" w:rsidRPr="002C5FC1">
        <w:rPr>
          <w:rFonts w:cs="Arial"/>
          <w:i/>
          <w:iCs/>
          <w:color w:val="ED7D31" w:themeColor="accent2"/>
        </w:rPr>
        <w:t>et al.</w:t>
      </w:r>
      <w:r w:rsidR="005F17BB" w:rsidRPr="002C5FC1">
        <w:rPr>
          <w:rFonts w:cs="Arial"/>
          <w:color w:val="ED7D31" w:themeColor="accent2"/>
        </w:rPr>
        <w:t>, 2023)</w:t>
      </w:r>
      <w:r>
        <w:t>. This</w:t>
      </w:r>
      <w:r w:rsidR="005F17BB">
        <w:t xml:space="preserve"> also </w:t>
      </w:r>
      <w:r w:rsidR="005F17BB">
        <w:lastRenderedPageBreak/>
        <w:t xml:space="preserve">led to the </w:t>
      </w:r>
      <w:r w:rsidR="005F17BB" w:rsidRPr="0FC09A6F">
        <w:rPr>
          <w:i/>
          <w:iCs/>
        </w:rPr>
        <w:t>“disease severity”</w:t>
      </w:r>
      <w:r w:rsidR="005F17BB">
        <w:t xml:space="preserve"> criterion being dropped</w:t>
      </w:r>
      <w:r>
        <w:t xml:space="preserve">, as during the first workshop participants had validated its definition as alternatives’ RCTs’ representativeness of the population under the decision problem and they had agreed on it being dropped had efficacy data for lenalidomide-refractory patients been found. </w:t>
      </w:r>
      <w:r w:rsidR="005F17BB">
        <w:t xml:space="preserve">Instead, no evidence for </w:t>
      </w:r>
      <w:r w:rsidR="005F17BB" w:rsidRPr="0FC09A6F">
        <w:rPr>
          <w:i/>
          <w:iCs/>
        </w:rPr>
        <w:t>“quality of life,” “other medical costs,”</w:t>
      </w:r>
      <w:r w:rsidR="005F17BB">
        <w:t xml:space="preserve"> and </w:t>
      </w:r>
      <w:r w:rsidR="005F17BB" w:rsidRPr="0FC09A6F">
        <w:rPr>
          <w:i/>
          <w:iCs/>
        </w:rPr>
        <w:t>“non-medical costs”</w:t>
      </w:r>
      <w:r w:rsidR="005F17BB">
        <w:t xml:space="preserve"> was provided stratified by treatment, leading to the exclusion of these criteria from the final list. </w:t>
      </w:r>
      <w:r w:rsidR="00326E9F">
        <w:t xml:space="preserve">Specifically, the search for </w:t>
      </w:r>
      <w:r w:rsidR="00326E9F" w:rsidRPr="00326E9F">
        <w:rPr>
          <w:i/>
          <w:iCs/>
        </w:rPr>
        <w:t>“quality of life”</w:t>
      </w:r>
      <w:r w:rsidR="00326E9F">
        <w:t xml:space="preserve"> data resulted in two potential sources for Kd </w:t>
      </w:r>
      <w:r w:rsidR="00326E9F" w:rsidRPr="002C5FC1">
        <w:rPr>
          <w:rFonts w:cs="Arial"/>
          <w:color w:val="ED7D31" w:themeColor="accent2"/>
          <w:szCs w:val="24"/>
        </w:rPr>
        <w:t xml:space="preserve">(Ludwig </w:t>
      </w:r>
      <w:r w:rsidR="00326E9F" w:rsidRPr="002C5FC1">
        <w:rPr>
          <w:rFonts w:cs="Arial"/>
          <w:i/>
          <w:iCs/>
          <w:color w:val="ED7D31" w:themeColor="accent2"/>
          <w:szCs w:val="24"/>
        </w:rPr>
        <w:t>et al.</w:t>
      </w:r>
      <w:r w:rsidR="00326E9F" w:rsidRPr="002C5FC1">
        <w:rPr>
          <w:rFonts w:cs="Arial"/>
          <w:color w:val="ED7D31" w:themeColor="accent2"/>
          <w:szCs w:val="24"/>
        </w:rPr>
        <w:t xml:space="preserve">, 2019; Siegel </w:t>
      </w:r>
      <w:r w:rsidR="00326E9F" w:rsidRPr="002C5FC1">
        <w:rPr>
          <w:rFonts w:cs="Arial"/>
          <w:i/>
          <w:iCs/>
          <w:color w:val="ED7D31" w:themeColor="accent2"/>
          <w:szCs w:val="24"/>
        </w:rPr>
        <w:t>et al.</w:t>
      </w:r>
      <w:r w:rsidR="00326E9F" w:rsidRPr="002C5FC1">
        <w:rPr>
          <w:rFonts w:cs="Arial"/>
          <w:color w:val="ED7D31" w:themeColor="accent2"/>
          <w:szCs w:val="24"/>
        </w:rPr>
        <w:t>, 2020)</w:t>
      </w:r>
      <w:r w:rsidR="00326E9F">
        <w:t xml:space="preserve">, one for SVd </w:t>
      </w:r>
      <w:r w:rsidR="00326E9F" w:rsidRPr="002C5FC1">
        <w:rPr>
          <w:rFonts w:cs="Arial"/>
          <w:color w:val="ED7D31" w:themeColor="accent2"/>
          <w:szCs w:val="24"/>
        </w:rPr>
        <w:t xml:space="preserve">(Sanchez </w:t>
      </w:r>
      <w:r w:rsidR="00326E9F" w:rsidRPr="002C5FC1">
        <w:rPr>
          <w:rFonts w:cs="Arial"/>
          <w:i/>
          <w:iCs/>
          <w:color w:val="ED7D31" w:themeColor="accent2"/>
          <w:szCs w:val="24"/>
        </w:rPr>
        <w:t>et al.</w:t>
      </w:r>
      <w:r w:rsidR="00326E9F" w:rsidRPr="002C5FC1">
        <w:rPr>
          <w:rFonts w:cs="Arial"/>
          <w:color w:val="ED7D31" w:themeColor="accent2"/>
          <w:szCs w:val="24"/>
        </w:rPr>
        <w:t>, 2021)</w:t>
      </w:r>
      <w:r w:rsidR="00326E9F">
        <w:t xml:space="preserve">, and none for PVd. Besides the unavailability of a data source for PVd, retrieved sources for Kd and SVd did not provide comparable measurements. In fact, for SVd only the impact of peripheral neuropathy symptoms was analyzed, while for Kd more general quality of life measures were reported. </w:t>
      </w:r>
      <w:r w:rsidR="005F17BB">
        <w:t>Detailed information on the PRISMA flow diagram by alternative is provided in Figure S.2, S.3, and S.4.</w:t>
      </w:r>
    </w:p>
    <w:p w14:paraId="5958515A" w14:textId="77777777" w:rsidR="005F17BB" w:rsidRDefault="005F17BB" w:rsidP="00B62A0E">
      <w:pPr>
        <w:rPr>
          <w:rFonts w:cs="Arial"/>
          <w:b/>
          <w:bCs/>
          <w:sz w:val="24"/>
          <w:szCs w:val="24"/>
        </w:rPr>
      </w:pPr>
    </w:p>
    <w:p w14:paraId="26B99617" w14:textId="77777777" w:rsidR="00F100AE" w:rsidRDefault="00F100AE" w:rsidP="00B62A0E">
      <w:pPr>
        <w:rPr>
          <w:rFonts w:cs="Arial"/>
          <w:b/>
          <w:bCs/>
          <w:sz w:val="24"/>
          <w:szCs w:val="24"/>
        </w:rPr>
      </w:pPr>
    </w:p>
    <w:p w14:paraId="3018D935" w14:textId="77777777" w:rsidR="00F100AE" w:rsidRDefault="00F100AE" w:rsidP="00B62A0E">
      <w:pPr>
        <w:rPr>
          <w:rFonts w:cs="Arial"/>
          <w:b/>
          <w:bCs/>
          <w:sz w:val="24"/>
          <w:szCs w:val="24"/>
        </w:rPr>
      </w:pPr>
    </w:p>
    <w:p w14:paraId="0B1B6306" w14:textId="77777777" w:rsidR="00F100AE" w:rsidRDefault="00F100AE" w:rsidP="00B62A0E">
      <w:pPr>
        <w:rPr>
          <w:rFonts w:cs="Arial"/>
          <w:b/>
          <w:bCs/>
          <w:sz w:val="24"/>
          <w:szCs w:val="24"/>
        </w:rPr>
      </w:pPr>
    </w:p>
    <w:p w14:paraId="409DF7A0" w14:textId="77777777" w:rsidR="00F100AE" w:rsidRDefault="00F100AE" w:rsidP="00B62A0E">
      <w:pPr>
        <w:rPr>
          <w:rFonts w:cs="Arial"/>
          <w:b/>
          <w:bCs/>
          <w:sz w:val="24"/>
          <w:szCs w:val="24"/>
        </w:rPr>
      </w:pPr>
    </w:p>
    <w:p w14:paraId="1593B0E5" w14:textId="77777777" w:rsidR="00F100AE" w:rsidRDefault="00F100AE" w:rsidP="00B62A0E">
      <w:pPr>
        <w:rPr>
          <w:rFonts w:cs="Arial"/>
          <w:b/>
          <w:bCs/>
          <w:sz w:val="24"/>
          <w:szCs w:val="24"/>
        </w:rPr>
      </w:pPr>
    </w:p>
    <w:p w14:paraId="3F8737FE" w14:textId="77777777" w:rsidR="00F100AE" w:rsidRDefault="00F100AE" w:rsidP="00B62A0E">
      <w:pPr>
        <w:rPr>
          <w:rFonts w:cs="Arial"/>
          <w:b/>
          <w:bCs/>
          <w:sz w:val="24"/>
          <w:szCs w:val="24"/>
        </w:rPr>
      </w:pPr>
    </w:p>
    <w:p w14:paraId="4800477E" w14:textId="77777777" w:rsidR="00F100AE" w:rsidRDefault="00F100AE" w:rsidP="00B62A0E">
      <w:pPr>
        <w:rPr>
          <w:rFonts w:cs="Arial"/>
          <w:b/>
          <w:bCs/>
          <w:sz w:val="24"/>
          <w:szCs w:val="24"/>
        </w:rPr>
      </w:pPr>
    </w:p>
    <w:p w14:paraId="50035A67" w14:textId="77777777" w:rsidR="00F100AE" w:rsidRDefault="00F100AE" w:rsidP="00B62A0E">
      <w:pPr>
        <w:rPr>
          <w:rFonts w:cs="Arial"/>
          <w:b/>
          <w:bCs/>
          <w:sz w:val="24"/>
          <w:szCs w:val="24"/>
        </w:rPr>
      </w:pPr>
    </w:p>
    <w:p w14:paraId="125CC1AD" w14:textId="77777777" w:rsidR="006A38B4" w:rsidRDefault="006A38B4" w:rsidP="00B62A0E">
      <w:pPr>
        <w:rPr>
          <w:rFonts w:cs="Arial"/>
          <w:b/>
          <w:bCs/>
          <w:sz w:val="24"/>
          <w:szCs w:val="24"/>
        </w:rPr>
      </w:pPr>
    </w:p>
    <w:p w14:paraId="182A5174" w14:textId="77777777" w:rsidR="00F100AE" w:rsidRDefault="00F100AE" w:rsidP="00B62A0E">
      <w:pPr>
        <w:rPr>
          <w:rFonts w:cs="Arial"/>
          <w:b/>
          <w:bCs/>
          <w:sz w:val="24"/>
          <w:szCs w:val="24"/>
        </w:rPr>
      </w:pPr>
    </w:p>
    <w:p w14:paraId="5BC17939" w14:textId="24F319E5" w:rsidR="00B62A0E" w:rsidRDefault="00236B65" w:rsidP="00B62A0E">
      <w:pPr>
        <w:rPr>
          <w:rFonts w:cs="Arial"/>
          <w:b/>
          <w:bCs/>
          <w:sz w:val="24"/>
          <w:szCs w:val="24"/>
        </w:rPr>
      </w:pPr>
      <w:r>
        <w:rPr>
          <w:rFonts w:cs="Arial"/>
          <w:b/>
          <w:bCs/>
          <w:sz w:val="24"/>
          <w:szCs w:val="24"/>
        </w:rPr>
        <w:lastRenderedPageBreak/>
        <w:t>Figure S.2</w:t>
      </w:r>
    </w:p>
    <w:p w14:paraId="470F10F2" w14:textId="4B9AFF20" w:rsidR="00236B65" w:rsidRDefault="00A350C6" w:rsidP="00B62A0E">
      <w:pPr>
        <w:rPr>
          <w:lang w:val="it-IT"/>
        </w:rPr>
      </w:pPr>
      <w:r>
        <w:rPr>
          <w:noProof/>
          <w:lang w:val="it-IT"/>
        </w:rPr>
        <w:drawing>
          <wp:inline distT="0" distB="0" distL="0" distR="0" wp14:anchorId="649B49D2" wp14:editId="27D83BEF">
            <wp:extent cx="6301234" cy="3976778"/>
            <wp:effectExtent l="0" t="0" r="4445" b="5080"/>
            <wp:docPr id="143902052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11336" cy="3983154"/>
                    </a:xfrm>
                    <a:prstGeom prst="rect">
                      <a:avLst/>
                    </a:prstGeom>
                    <a:noFill/>
                  </pic:spPr>
                </pic:pic>
              </a:graphicData>
            </a:graphic>
          </wp:inline>
        </w:drawing>
      </w:r>
    </w:p>
    <w:p w14:paraId="4BB36B37" w14:textId="0BCCA184" w:rsidR="00B62A0E" w:rsidRPr="00F4022E" w:rsidRDefault="00F4022E" w:rsidP="00B62A0E">
      <w:r w:rsidRPr="00F4022E">
        <w:t>PRISMA Flow D</w:t>
      </w:r>
      <w:r>
        <w:t>iagram for Kd-related queries</w:t>
      </w:r>
    </w:p>
    <w:p w14:paraId="0263D470" w14:textId="77777777" w:rsidR="00A350C6" w:rsidRPr="00F4022E" w:rsidRDefault="00A350C6" w:rsidP="00B62A0E"/>
    <w:p w14:paraId="14C6208E" w14:textId="77777777" w:rsidR="00A350C6" w:rsidRPr="00F4022E" w:rsidRDefault="00A350C6" w:rsidP="00B62A0E"/>
    <w:p w14:paraId="2EE47B08" w14:textId="1D2A3A6E" w:rsidR="00B4139E" w:rsidRPr="00F4022E" w:rsidRDefault="00B4139E" w:rsidP="00B62A0E"/>
    <w:p w14:paraId="33F6ECEB" w14:textId="78105344" w:rsidR="00B4139E" w:rsidRPr="00F4022E" w:rsidRDefault="00B4139E" w:rsidP="00B62A0E"/>
    <w:p w14:paraId="7A453F09" w14:textId="77777777" w:rsidR="00A350C6" w:rsidRPr="00F4022E" w:rsidRDefault="00A350C6" w:rsidP="00B62A0E"/>
    <w:p w14:paraId="32B750E8" w14:textId="77777777" w:rsidR="00A350C6" w:rsidRPr="00F4022E" w:rsidRDefault="00A350C6" w:rsidP="00B62A0E"/>
    <w:p w14:paraId="64CCCD10" w14:textId="77777777" w:rsidR="00A350C6" w:rsidRPr="00F4022E" w:rsidRDefault="00A350C6" w:rsidP="00B62A0E"/>
    <w:p w14:paraId="7EBC8A00" w14:textId="77777777" w:rsidR="00A350C6" w:rsidRPr="00F4022E" w:rsidRDefault="00A350C6" w:rsidP="00B62A0E"/>
    <w:p w14:paraId="1DB838DD" w14:textId="676C2887" w:rsidR="00A350C6" w:rsidRDefault="00A350C6" w:rsidP="00A350C6">
      <w:pPr>
        <w:rPr>
          <w:rFonts w:cs="Arial"/>
          <w:b/>
          <w:bCs/>
          <w:sz w:val="24"/>
          <w:szCs w:val="24"/>
        </w:rPr>
      </w:pPr>
      <w:r>
        <w:rPr>
          <w:rFonts w:cs="Arial"/>
          <w:b/>
          <w:bCs/>
          <w:sz w:val="24"/>
          <w:szCs w:val="24"/>
        </w:rPr>
        <w:lastRenderedPageBreak/>
        <w:t>Figure S.3</w:t>
      </w:r>
    </w:p>
    <w:p w14:paraId="0522A8F4" w14:textId="2824FC5E" w:rsidR="00A350C6" w:rsidRDefault="00A350C6" w:rsidP="00B62A0E">
      <w:pPr>
        <w:rPr>
          <w:lang w:val="it-IT"/>
        </w:rPr>
      </w:pPr>
      <w:r>
        <w:rPr>
          <w:noProof/>
          <w:lang w:val="it-IT"/>
        </w:rPr>
        <w:drawing>
          <wp:inline distT="0" distB="0" distL="0" distR="0" wp14:anchorId="2D788969" wp14:editId="499FB530">
            <wp:extent cx="6303600" cy="3978000"/>
            <wp:effectExtent l="0" t="0" r="2540" b="3810"/>
            <wp:docPr id="11846965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03600" cy="3978000"/>
                    </a:xfrm>
                    <a:prstGeom prst="rect">
                      <a:avLst/>
                    </a:prstGeom>
                    <a:noFill/>
                  </pic:spPr>
                </pic:pic>
              </a:graphicData>
            </a:graphic>
          </wp:inline>
        </w:drawing>
      </w:r>
    </w:p>
    <w:p w14:paraId="2BDC9EEB" w14:textId="0722ED93" w:rsidR="00A350C6" w:rsidRPr="00F4022E" w:rsidRDefault="00F4022E" w:rsidP="00B62A0E">
      <w:r w:rsidRPr="00F4022E">
        <w:t>PRISMA Flow D</w:t>
      </w:r>
      <w:r>
        <w:t>iagram for PVd-related queries</w:t>
      </w:r>
    </w:p>
    <w:p w14:paraId="6B920877" w14:textId="77777777" w:rsidR="00A350C6" w:rsidRPr="00F4022E" w:rsidRDefault="00A350C6" w:rsidP="00B62A0E"/>
    <w:p w14:paraId="415A984D" w14:textId="77777777" w:rsidR="00A350C6" w:rsidRPr="00F4022E" w:rsidRDefault="00A350C6" w:rsidP="00B62A0E"/>
    <w:p w14:paraId="2E3293CB" w14:textId="77777777" w:rsidR="00A350C6" w:rsidRPr="00F4022E" w:rsidRDefault="00A350C6" w:rsidP="00B62A0E"/>
    <w:p w14:paraId="2D86FCFD" w14:textId="77777777" w:rsidR="00A350C6" w:rsidRPr="00F4022E" w:rsidRDefault="00A350C6" w:rsidP="00B62A0E"/>
    <w:p w14:paraId="6C7559E2" w14:textId="77777777" w:rsidR="00A350C6" w:rsidRPr="00F4022E" w:rsidRDefault="00A350C6" w:rsidP="00B62A0E"/>
    <w:p w14:paraId="1E89D016" w14:textId="77777777" w:rsidR="00A350C6" w:rsidRPr="00F4022E" w:rsidRDefault="00A350C6" w:rsidP="00B62A0E"/>
    <w:p w14:paraId="3C8092BE" w14:textId="77777777" w:rsidR="00A350C6" w:rsidRPr="00F4022E" w:rsidRDefault="00A350C6" w:rsidP="00B62A0E"/>
    <w:p w14:paraId="771C1051" w14:textId="77777777" w:rsidR="00A350C6" w:rsidRPr="00F4022E" w:rsidRDefault="00A350C6" w:rsidP="00B62A0E"/>
    <w:p w14:paraId="5768E63D" w14:textId="467EF753" w:rsidR="00A350C6" w:rsidRDefault="00A350C6" w:rsidP="00B62A0E">
      <w:pPr>
        <w:rPr>
          <w:rFonts w:cs="Arial"/>
          <w:b/>
          <w:bCs/>
          <w:sz w:val="24"/>
          <w:szCs w:val="24"/>
        </w:rPr>
      </w:pPr>
      <w:r>
        <w:rPr>
          <w:rFonts w:cs="Arial"/>
          <w:b/>
          <w:bCs/>
          <w:sz w:val="24"/>
          <w:szCs w:val="24"/>
        </w:rPr>
        <w:lastRenderedPageBreak/>
        <w:t>Figure S.4</w:t>
      </w:r>
    </w:p>
    <w:p w14:paraId="15BE995E" w14:textId="5534DA50" w:rsidR="00A350C6" w:rsidRDefault="00A350C6" w:rsidP="00B62A0E">
      <w:pPr>
        <w:rPr>
          <w:lang w:val="it-IT"/>
        </w:rPr>
      </w:pPr>
      <w:r>
        <w:rPr>
          <w:noProof/>
          <w:lang w:val="it-IT"/>
        </w:rPr>
        <w:drawing>
          <wp:inline distT="0" distB="0" distL="0" distR="0" wp14:anchorId="3E0EF93D" wp14:editId="35674C36">
            <wp:extent cx="6303600" cy="3978000"/>
            <wp:effectExtent l="0" t="0" r="2540" b="3810"/>
            <wp:docPr id="121342316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303600" cy="3978000"/>
                    </a:xfrm>
                    <a:prstGeom prst="rect">
                      <a:avLst/>
                    </a:prstGeom>
                    <a:noFill/>
                  </pic:spPr>
                </pic:pic>
              </a:graphicData>
            </a:graphic>
          </wp:inline>
        </w:drawing>
      </w:r>
    </w:p>
    <w:p w14:paraId="302D1C65" w14:textId="4DA7156C" w:rsidR="002C5FC1" w:rsidRDefault="00F4022E" w:rsidP="00B62A0E">
      <w:r w:rsidRPr="00F4022E">
        <w:t>PRIMA Flow Diagram for SVd-</w:t>
      </w:r>
      <w:r>
        <w:t>related queries</w:t>
      </w:r>
    </w:p>
    <w:p w14:paraId="6F873E18" w14:textId="77777777" w:rsidR="00E21B32" w:rsidRDefault="00E21B32" w:rsidP="00B62A0E"/>
    <w:p w14:paraId="23F62D92" w14:textId="77777777" w:rsidR="00E21B32" w:rsidRDefault="00E21B32" w:rsidP="00B62A0E"/>
    <w:p w14:paraId="299D566F" w14:textId="77777777" w:rsidR="00E21B32" w:rsidRDefault="00E21B32" w:rsidP="00B62A0E"/>
    <w:p w14:paraId="51BF4B61" w14:textId="77777777" w:rsidR="00E21B32" w:rsidRDefault="00E21B32" w:rsidP="00B62A0E"/>
    <w:p w14:paraId="66D7C1CF" w14:textId="77777777" w:rsidR="00E21B32" w:rsidRDefault="00E21B32" w:rsidP="00B62A0E"/>
    <w:p w14:paraId="09BEA679" w14:textId="77777777" w:rsidR="00E21B32" w:rsidRDefault="00E21B32" w:rsidP="00B62A0E"/>
    <w:p w14:paraId="4CBC8D82" w14:textId="77777777" w:rsidR="00E21B32" w:rsidRDefault="00E21B32" w:rsidP="00B62A0E"/>
    <w:p w14:paraId="6C6FD2BD" w14:textId="77777777" w:rsidR="00E21B32" w:rsidRDefault="00E21B32" w:rsidP="00B62A0E"/>
    <w:p w14:paraId="601533B1" w14:textId="318B3114" w:rsidR="00E21B32" w:rsidRDefault="00E21B32" w:rsidP="00E21B32">
      <w:pPr>
        <w:rPr>
          <w:rFonts w:cs="Arial"/>
          <w:b/>
          <w:bCs/>
          <w:sz w:val="24"/>
          <w:szCs w:val="24"/>
        </w:rPr>
      </w:pPr>
      <w:r>
        <w:rPr>
          <w:rFonts w:cs="Arial"/>
          <w:b/>
          <w:bCs/>
          <w:sz w:val="24"/>
          <w:szCs w:val="24"/>
        </w:rPr>
        <w:lastRenderedPageBreak/>
        <w:t>Appendix 2</w:t>
      </w:r>
    </w:p>
    <w:p w14:paraId="33C6F8E3" w14:textId="06EBB70A" w:rsidR="00E21B32" w:rsidRDefault="00E21B32" w:rsidP="00E21B32">
      <w:pPr>
        <w:pStyle w:val="ListParagraph"/>
        <w:numPr>
          <w:ilvl w:val="0"/>
          <w:numId w:val="14"/>
        </w:numPr>
        <w:ind w:left="426"/>
      </w:pPr>
      <w:r>
        <w:t xml:space="preserve">‘Section 1: Weighting of sub-criteria’ aimed at defining the relative importance among sub-criteria. Participants were presented with improvements in each sub-criterion and asked to select the most important improvement, by indicating a perceived strength of importance among six levels: </w:t>
      </w:r>
      <w:r w:rsidRPr="00792586">
        <w:rPr>
          <w:i/>
          <w:iCs/>
        </w:rPr>
        <w:t xml:space="preserve">“extremely,” “very strongly,” “strongly,” “moderately,” “weakly,” </w:t>
      </w:r>
      <w:r>
        <w:t xml:space="preserve">and </w:t>
      </w:r>
      <w:r w:rsidRPr="00792586">
        <w:rPr>
          <w:i/>
          <w:iCs/>
        </w:rPr>
        <w:t>“very weakly important</w:t>
      </w:r>
      <w:r w:rsidRPr="0CC9E412">
        <w:rPr>
          <w:i/>
          <w:iCs/>
        </w:rPr>
        <w:t>,”.</w:t>
      </w:r>
      <w:r>
        <w:rPr>
          <w:i/>
          <w:iCs/>
        </w:rPr>
        <w:t xml:space="preserve"> </w:t>
      </w:r>
      <w:r w:rsidRPr="008E2510">
        <w:t>Subsequently, they had to identify</w:t>
      </w:r>
      <w:r w:rsidRPr="00B114AA">
        <w:t xml:space="preserve"> </w:t>
      </w:r>
      <w:r>
        <w:t>the second-most important improvement and compare it with the most important one. This exercise was repeated as long as participants found the gaps presented relevant, with the option of skipping them if they were deemed unimportant at all. By iterating this exercise until no relevant improvements were left, participants implicitly assigned a weight</w:t>
      </w:r>
      <w:r w:rsidRPr="005E3BF5">
        <w:t xml:space="preserve"> </w:t>
      </w:r>
      <w:r>
        <w:t xml:space="preserve">to all sub-criteria, which can be considered a measure of relative importance. In other words, considering 100% as a </w:t>
      </w:r>
      <w:r w:rsidRPr="003A7B91">
        <w:rPr>
          <w:i/>
          <w:iCs/>
        </w:rPr>
        <w:t>total value spectrum of importance</w:t>
      </w:r>
      <w:r w:rsidRPr="00D3506C">
        <w:t xml:space="preserve">, </w:t>
      </w:r>
      <w:r>
        <w:t>each stakeholder allocated his/her 100% among criteria with larger shares associated with improvements perceived as the most important. Skipped sub-criteria, instead, were implicitly assigned a 0% weight.</w:t>
      </w:r>
    </w:p>
    <w:p w14:paraId="7346F04F" w14:textId="09BF90ED" w:rsidR="00E21B32" w:rsidRDefault="00E21B32" w:rsidP="00E21B32">
      <w:pPr>
        <w:pStyle w:val="ListParagraph"/>
        <w:numPr>
          <w:ilvl w:val="0"/>
          <w:numId w:val="14"/>
        </w:numPr>
        <w:ind w:left="426"/>
      </w:pPr>
      <w:r>
        <w:t xml:space="preserve">‘Section 2: Scoring of sub-criteria’ aimed at defining the relative importance within each sub-criterion. For each sub-criterion participants were asked to assign a measure of preference for the following three pairwise comparisons of the treatment options: 1) comparison between the best and the worst performance level, 2) comparison between the intermediate and the worst performance level, and 3) comparison between the best and the intermediate performance level. Preference options were </w:t>
      </w:r>
      <w:r w:rsidRPr="27499664">
        <w:rPr>
          <w:i/>
          <w:iCs/>
        </w:rPr>
        <w:t>“very weakly,” “weakly,” “moderately,” “strongly,” “very strongly,”</w:t>
      </w:r>
      <w:r>
        <w:t xml:space="preserve"> and </w:t>
      </w:r>
      <w:r w:rsidRPr="27499664">
        <w:rPr>
          <w:i/>
          <w:iCs/>
        </w:rPr>
        <w:t>“extremely preferable,”</w:t>
      </w:r>
      <w:r>
        <w:t>. The exercise was repeated for each sub-criterion not skipped in the previous section. The assigned scores to each sub-criterion resulted in individual value functions for each sub-criterion. These functions could be convex, concave, or linear depending on whether the preference in the comparison between the best and the intermediate performance levels was stronger, weaker, or equal to the preference in the comparison between the intermediate and the worst performance levels.</w:t>
      </w:r>
    </w:p>
    <w:p w14:paraId="037DF8BE" w14:textId="77777777" w:rsidR="00E21B32" w:rsidRDefault="00E21B32" w:rsidP="00E21B32">
      <w:pPr>
        <w:pStyle w:val="ListParagraph"/>
        <w:numPr>
          <w:ilvl w:val="0"/>
          <w:numId w:val="14"/>
        </w:numPr>
        <w:ind w:left="426"/>
      </w:pPr>
      <w:r>
        <w:lastRenderedPageBreak/>
        <w:t>‘Section 3: Weighting of main criteria’ and ‘Section 4; Scoring of main criteria’ replicated the same exercises of Sections 1 and 2 for the main criteria respectively. Unlike the weighting exercise for the sub-criteria, in Section 3 stakeholders could not skip any main criterion and thus no weight of 0% could be assigned.</w:t>
      </w:r>
    </w:p>
    <w:p w14:paraId="4BB771DE" w14:textId="77777777" w:rsidR="003B72F4" w:rsidRDefault="003B72F4" w:rsidP="00B62A0E"/>
    <w:p w14:paraId="06ABF650" w14:textId="77777777" w:rsidR="003B72F4" w:rsidRDefault="003B72F4" w:rsidP="00B62A0E"/>
    <w:p w14:paraId="59D88A6C" w14:textId="77777777" w:rsidR="003B72F4" w:rsidRDefault="003B72F4" w:rsidP="00B62A0E"/>
    <w:p w14:paraId="25EBE624" w14:textId="77777777" w:rsidR="003B72F4" w:rsidRDefault="003B72F4" w:rsidP="00B62A0E"/>
    <w:p w14:paraId="2C7AC288" w14:textId="77777777" w:rsidR="003B72F4" w:rsidRDefault="003B72F4" w:rsidP="00B62A0E"/>
    <w:p w14:paraId="2D8A65F6" w14:textId="77777777" w:rsidR="003B72F4" w:rsidRDefault="003B72F4" w:rsidP="00B62A0E"/>
    <w:p w14:paraId="2404A7E6" w14:textId="77777777" w:rsidR="003B72F4" w:rsidRDefault="003B72F4" w:rsidP="00B62A0E"/>
    <w:p w14:paraId="4BCF7F37" w14:textId="77777777" w:rsidR="003B72F4" w:rsidRDefault="003B72F4" w:rsidP="00B62A0E"/>
    <w:p w14:paraId="0C0CCF08" w14:textId="77777777" w:rsidR="003B72F4" w:rsidRDefault="003B72F4" w:rsidP="00B62A0E"/>
    <w:p w14:paraId="5C9D85B8" w14:textId="77777777" w:rsidR="003B72F4" w:rsidRDefault="003B72F4" w:rsidP="00B62A0E"/>
    <w:p w14:paraId="381B6478" w14:textId="77777777" w:rsidR="003B72F4" w:rsidRDefault="003B72F4" w:rsidP="00B62A0E"/>
    <w:p w14:paraId="6A97E0C1" w14:textId="77777777" w:rsidR="003B72F4" w:rsidRDefault="003B72F4" w:rsidP="00B62A0E"/>
    <w:p w14:paraId="20B8F69B" w14:textId="77777777" w:rsidR="003B72F4" w:rsidRDefault="003B72F4" w:rsidP="00B62A0E"/>
    <w:p w14:paraId="160C2662" w14:textId="77777777" w:rsidR="003B72F4" w:rsidRDefault="003B72F4" w:rsidP="00B62A0E"/>
    <w:p w14:paraId="27C80CDE" w14:textId="77777777" w:rsidR="003B72F4" w:rsidRDefault="003B72F4" w:rsidP="00B62A0E"/>
    <w:p w14:paraId="332DEB80" w14:textId="77777777" w:rsidR="003B72F4" w:rsidRDefault="003B72F4" w:rsidP="00B62A0E"/>
    <w:p w14:paraId="1D743494" w14:textId="77777777" w:rsidR="003B72F4" w:rsidRDefault="003B72F4" w:rsidP="00B62A0E"/>
    <w:p w14:paraId="165F7FA1" w14:textId="39E0AE12" w:rsidR="003B72F4" w:rsidRDefault="003B72F4" w:rsidP="003B72F4">
      <w:pPr>
        <w:rPr>
          <w:rFonts w:cs="Arial"/>
          <w:b/>
          <w:bCs/>
          <w:sz w:val="24"/>
          <w:szCs w:val="24"/>
        </w:rPr>
      </w:pPr>
      <w:r>
        <w:rPr>
          <w:rFonts w:cs="Arial"/>
          <w:b/>
          <w:bCs/>
          <w:sz w:val="24"/>
          <w:szCs w:val="24"/>
        </w:rPr>
        <w:lastRenderedPageBreak/>
        <w:t>Appendix 3</w:t>
      </w:r>
    </w:p>
    <w:p w14:paraId="4801D8AC" w14:textId="77777777" w:rsidR="003B72F4" w:rsidRDefault="003B72F4" w:rsidP="003B72F4">
      <w:r>
        <w:t xml:space="preserve">Aggregate scores of the three alternatives (Kd, PVd, and SVd) were computed for each participant by implementing an additive aggregation model. Based on previous studies </w:t>
      </w:r>
      <w:r w:rsidRPr="004A728C">
        <w:rPr>
          <w:rFonts w:cs="Arial"/>
          <w:color w:val="ED7D31" w:themeColor="accent2"/>
        </w:rPr>
        <w:t xml:space="preserve">(Angelis and Kanavos, 2017; Angelis </w:t>
      </w:r>
      <w:r w:rsidRPr="004A728C">
        <w:rPr>
          <w:rFonts w:cs="Arial"/>
          <w:i/>
          <w:iCs/>
          <w:color w:val="ED7D31" w:themeColor="accent2"/>
        </w:rPr>
        <w:t>et al.</w:t>
      </w:r>
      <w:r w:rsidRPr="004A728C">
        <w:rPr>
          <w:rFonts w:cs="Arial"/>
          <w:color w:val="ED7D31" w:themeColor="accent2"/>
        </w:rPr>
        <w:t>, 2020)</w:t>
      </w:r>
      <w:r>
        <w:t xml:space="preserve">, the overall score </w:t>
      </w:r>
      <w:proofErr w:type="spellStart"/>
      <w:r w:rsidRPr="0FC09A6F">
        <w:rPr>
          <w:i/>
          <w:iCs/>
        </w:rPr>
        <w:t>S</w:t>
      </w:r>
      <w:r w:rsidRPr="0FC09A6F">
        <w:rPr>
          <w:i/>
          <w:iCs/>
          <w:vertAlign w:val="subscript"/>
        </w:rPr>
        <w:t>j</w:t>
      </w:r>
      <w:proofErr w:type="spellEnd"/>
      <w:r w:rsidRPr="0FC09A6F">
        <w:rPr>
          <w:i/>
          <w:iCs/>
          <w:vertAlign w:val="subscript"/>
        </w:rPr>
        <w:t xml:space="preserve"> </w:t>
      </w:r>
      <w:r>
        <w:t>(</w:t>
      </w:r>
      <w:r w:rsidRPr="0FC09A6F">
        <w:rPr>
          <w:i/>
          <w:iCs/>
        </w:rPr>
        <w:t>a</w:t>
      </w:r>
      <w:r>
        <w:t xml:space="preserve">) of an alternative </w:t>
      </w:r>
      <w:proofErr w:type="spellStart"/>
      <w:proofErr w:type="gramStart"/>
      <w:r w:rsidRPr="0FC09A6F">
        <w:rPr>
          <w:i/>
          <w:iCs/>
        </w:rPr>
        <w:t>a</w:t>
      </w:r>
      <w:proofErr w:type="spellEnd"/>
      <w:r>
        <w:t xml:space="preserve"> for</w:t>
      </w:r>
      <w:proofErr w:type="gramEnd"/>
      <w:r>
        <w:t xml:space="preserve"> the participant </w:t>
      </w:r>
      <w:r w:rsidRPr="0FC09A6F">
        <w:rPr>
          <w:i/>
          <w:iCs/>
        </w:rPr>
        <w:t>j</w:t>
      </w:r>
      <w:r>
        <w:t xml:space="preserve"> was given by:</w:t>
      </w:r>
    </w:p>
    <w:p w14:paraId="09E20A8A" w14:textId="77777777" w:rsidR="003B72F4" w:rsidRPr="005F2893" w:rsidRDefault="00B824CF" w:rsidP="003B72F4">
      <w:pPr>
        <w:jc w:val="center"/>
        <w:rPr>
          <w:rFonts w:eastAsiaTheme="minorEastAsia"/>
        </w:rPr>
      </w:pPr>
      <m:oMathPara>
        <m:oMath>
          <m:sSub>
            <m:sSubPr>
              <m:ctrlPr>
                <w:rPr>
                  <w:rFonts w:ascii="Cambria Math" w:hAnsi="Cambria Math"/>
                  <w:i/>
                </w:rPr>
              </m:ctrlPr>
            </m:sSubPr>
            <m:e>
              <m:r>
                <w:rPr>
                  <w:rFonts w:ascii="Cambria Math" w:hAnsi="Cambria Math"/>
                </w:rPr>
                <m:t>S</m:t>
              </m:r>
            </m:e>
            <m:sub>
              <m:r>
                <w:rPr>
                  <w:rFonts w:ascii="Cambria Math" w:hAnsi="Cambria Math"/>
                </w:rPr>
                <m:t>j</m:t>
              </m:r>
            </m:sub>
          </m:sSub>
          <m:d>
            <m:dPr>
              <m:ctrlPr>
                <w:rPr>
                  <w:rFonts w:ascii="Cambria Math" w:hAnsi="Cambria Math"/>
                  <w:i/>
                </w:rPr>
              </m:ctrlPr>
            </m:dPr>
            <m:e>
              <m:r>
                <w:rPr>
                  <w:rFonts w:ascii="Cambria Math" w:hAnsi="Cambria Math"/>
                </w:rPr>
                <m:t>a</m:t>
              </m:r>
            </m:e>
          </m:d>
          <m:r>
            <w:rPr>
              <w:rFonts w:ascii="Cambria Math" w:hAnsi="Cambria Math"/>
            </w:rPr>
            <m:t xml:space="preserve">= </m:t>
          </m:r>
          <m:nary>
            <m:naryPr>
              <m:chr m:val="∑"/>
              <m:limLoc m:val="undOvr"/>
              <m:ctrlPr>
                <w:rPr>
                  <w:rFonts w:ascii="Cambria Math" w:hAnsi="Cambria Math"/>
                  <w:i/>
                </w:rPr>
              </m:ctrlPr>
            </m:naryPr>
            <m:sub>
              <m:r>
                <w:rPr>
                  <w:rFonts w:ascii="Cambria Math" w:hAnsi="Cambria Math"/>
                </w:rPr>
                <m:t>i=1</m:t>
              </m:r>
            </m:sub>
            <m:sup>
              <m:r>
                <w:rPr>
                  <w:rFonts w:ascii="Cambria Math" w:hAnsi="Cambria Math"/>
                </w:rPr>
                <m:t>m</m:t>
              </m:r>
            </m:sup>
            <m:e>
              <m:sSub>
                <m:sSubPr>
                  <m:ctrlPr>
                    <w:rPr>
                      <w:rFonts w:ascii="Cambria Math" w:hAnsi="Cambria Math"/>
                      <w:i/>
                    </w:rPr>
                  </m:ctrlPr>
                </m:sSubPr>
                <m:e>
                  <m:r>
                    <w:rPr>
                      <w:rFonts w:ascii="Cambria Math" w:hAnsi="Cambria Math"/>
                    </w:rPr>
                    <m:t>w</m:t>
                  </m:r>
                </m:e>
                <m:sub>
                  <m:r>
                    <w:rPr>
                      <w:rFonts w:ascii="Cambria Math" w:hAnsi="Cambria Math"/>
                    </w:rPr>
                    <m:t>j,  i</m:t>
                  </m:r>
                </m:sub>
              </m:sSub>
              <m:sSub>
                <m:sSubPr>
                  <m:ctrlPr>
                    <w:rPr>
                      <w:rFonts w:ascii="Cambria Math" w:hAnsi="Cambria Math"/>
                      <w:i/>
                    </w:rPr>
                  </m:ctrlPr>
                </m:sSubPr>
                <m:e>
                  <m:r>
                    <w:rPr>
                      <w:rFonts w:ascii="Cambria Math" w:hAnsi="Cambria Math"/>
                    </w:rPr>
                    <m:t>v</m:t>
                  </m:r>
                </m:e>
                <m:sub>
                  <m:r>
                    <w:rPr>
                      <w:rFonts w:ascii="Cambria Math" w:hAnsi="Cambria Math"/>
                    </w:rPr>
                    <m:t>j, i</m:t>
                  </m:r>
                </m:sub>
              </m:sSub>
              <m:r>
                <w:rPr>
                  <w:rFonts w:ascii="Cambria Math" w:hAnsi="Cambria Math"/>
                </w:rPr>
                <m:t>(a)</m:t>
              </m:r>
            </m:e>
          </m:nary>
        </m:oMath>
      </m:oMathPara>
    </w:p>
    <w:p w14:paraId="3FBB119F" w14:textId="77777777" w:rsidR="003B72F4" w:rsidRDefault="003B72F4" w:rsidP="003B72F4">
      <w:pPr>
        <w:rPr>
          <w:rFonts w:eastAsiaTheme="minorEastAsia"/>
        </w:rPr>
      </w:pPr>
      <w:r>
        <w:rPr>
          <w:rFonts w:eastAsiaTheme="minorEastAsia"/>
        </w:rPr>
        <w:t xml:space="preserve">where </w:t>
      </w:r>
      <w:proofErr w:type="spellStart"/>
      <w:proofErr w:type="gramStart"/>
      <w:r w:rsidRPr="005F2893">
        <w:rPr>
          <w:rFonts w:eastAsiaTheme="minorEastAsia"/>
          <w:i/>
          <w:iCs/>
        </w:rPr>
        <w:t>v</w:t>
      </w:r>
      <w:r>
        <w:rPr>
          <w:rFonts w:eastAsiaTheme="minorEastAsia"/>
          <w:i/>
          <w:iCs/>
          <w:vertAlign w:val="subscript"/>
        </w:rPr>
        <w:t>j,i</w:t>
      </w:r>
      <w:proofErr w:type="spellEnd"/>
      <w:proofErr w:type="gramEnd"/>
      <w:r>
        <w:rPr>
          <w:rFonts w:eastAsiaTheme="minorEastAsia"/>
          <w:i/>
          <w:iCs/>
          <w:vertAlign w:val="subscript"/>
        </w:rPr>
        <w:t xml:space="preserve"> </w:t>
      </w:r>
      <w:r>
        <w:rPr>
          <w:rFonts w:eastAsiaTheme="minorEastAsia"/>
        </w:rPr>
        <w:t>(</w:t>
      </w:r>
      <w:r w:rsidRPr="005F2893">
        <w:rPr>
          <w:rFonts w:eastAsiaTheme="minorEastAsia"/>
          <w:i/>
          <w:iCs/>
        </w:rPr>
        <w:t>a</w:t>
      </w:r>
      <w:r>
        <w:rPr>
          <w:rFonts w:eastAsiaTheme="minorEastAsia"/>
        </w:rPr>
        <w:t xml:space="preserve">) is the value score of alternative </w:t>
      </w:r>
      <w:r w:rsidRPr="005F2893">
        <w:rPr>
          <w:rFonts w:eastAsiaTheme="minorEastAsia"/>
          <w:i/>
          <w:iCs/>
        </w:rPr>
        <w:t>a</w:t>
      </w:r>
      <w:r>
        <w:rPr>
          <w:rFonts w:eastAsiaTheme="minorEastAsia"/>
        </w:rPr>
        <w:t xml:space="preserve"> obtained by applying participant </w:t>
      </w:r>
      <w:r>
        <w:rPr>
          <w:rFonts w:eastAsiaTheme="minorEastAsia"/>
          <w:i/>
          <w:iCs/>
        </w:rPr>
        <w:t>j</w:t>
      </w:r>
      <w:r w:rsidRPr="00870837">
        <w:rPr>
          <w:rFonts w:eastAsiaTheme="minorEastAsia"/>
          <w:i/>
          <w:iCs/>
        </w:rPr>
        <w:t>’</w:t>
      </w:r>
      <w:r>
        <w:rPr>
          <w:rFonts w:eastAsiaTheme="minorEastAsia"/>
        </w:rPr>
        <w:t xml:space="preserve">s value function for criterion </w:t>
      </w:r>
      <w:proofErr w:type="spellStart"/>
      <w:r w:rsidRPr="005F2893">
        <w:rPr>
          <w:rFonts w:eastAsiaTheme="minorEastAsia"/>
          <w:i/>
          <w:iCs/>
        </w:rPr>
        <w:t>i</w:t>
      </w:r>
      <w:proofErr w:type="spellEnd"/>
      <w:r>
        <w:rPr>
          <w:rFonts w:eastAsiaTheme="minorEastAsia"/>
        </w:rPr>
        <w:t xml:space="preserve"> to the performance of </w:t>
      </w:r>
      <w:r w:rsidRPr="005F2893">
        <w:rPr>
          <w:rFonts w:eastAsiaTheme="minorEastAsia"/>
          <w:i/>
          <w:iCs/>
        </w:rPr>
        <w:t>a</w:t>
      </w:r>
      <w:r>
        <w:rPr>
          <w:rFonts w:eastAsiaTheme="minorEastAsia"/>
        </w:rPr>
        <w:t xml:space="preserve"> in that criterion, </w:t>
      </w:r>
      <w:proofErr w:type="spellStart"/>
      <w:r w:rsidRPr="005F2893">
        <w:rPr>
          <w:rFonts w:eastAsiaTheme="minorEastAsia"/>
          <w:i/>
          <w:iCs/>
        </w:rPr>
        <w:t>w</w:t>
      </w:r>
      <w:r>
        <w:rPr>
          <w:rFonts w:eastAsiaTheme="minorEastAsia"/>
          <w:i/>
          <w:iCs/>
          <w:vertAlign w:val="subscript"/>
        </w:rPr>
        <w:t>j,i</w:t>
      </w:r>
      <w:proofErr w:type="spellEnd"/>
      <w:r>
        <w:rPr>
          <w:rFonts w:eastAsiaTheme="minorEastAsia"/>
        </w:rPr>
        <w:t xml:space="preserve"> is participant </w:t>
      </w:r>
      <w:r>
        <w:rPr>
          <w:rFonts w:eastAsiaTheme="minorEastAsia"/>
          <w:i/>
          <w:iCs/>
        </w:rPr>
        <w:t>j’</w:t>
      </w:r>
      <w:r>
        <w:rPr>
          <w:rFonts w:eastAsiaTheme="minorEastAsia"/>
        </w:rPr>
        <w:t xml:space="preserve">s weight for criterion </w:t>
      </w:r>
      <w:proofErr w:type="spellStart"/>
      <w:r w:rsidRPr="005F2893">
        <w:rPr>
          <w:rFonts w:eastAsiaTheme="minorEastAsia"/>
          <w:i/>
          <w:iCs/>
        </w:rPr>
        <w:t>i</w:t>
      </w:r>
      <w:proofErr w:type="spellEnd"/>
      <w:r>
        <w:rPr>
          <w:rFonts w:eastAsiaTheme="minorEastAsia"/>
        </w:rPr>
        <w:t xml:space="preserve">, and </w:t>
      </w:r>
      <w:r w:rsidRPr="005F2893">
        <w:rPr>
          <w:rFonts w:eastAsiaTheme="minorEastAsia"/>
          <w:i/>
          <w:iCs/>
        </w:rPr>
        <w:t>m</w:t>
      </w:r>
      <w:r>
        <w:rPr>
          <w:rFonts w:eastAsiaTheme="minorEastAsia"/>
        </w:rPr>
        <w:t xml:space="preserve"> is the total number of main criteria. For the criterion composed by sub-</w:t>
      </w:r>
      <w:proofErr w:type="spellStart"/>
      <w:r>
        <w:rPr>
          <w:rFonts w:eastAsiaTheme="minorEastAsia"/>
        </w:rPr>
        <w:t>crtieria</w:t>
      </w:r>
      <w:proofErr w:type="spellEnd"/>
      <w:r>
        <w:rPr>
          <w:rFonts w:eastAsiaTheme="minorEastAsia"/>
        </w:rPr>
        <w:t xml:space="preserve">, </w:t>
      </w:r>
      <w:proofErr w:type="spellStart"/>
      <w:r w:rsidRPr="00870837">
        <w:rPr>
          <w:rFonts w:eastAsiaTheme="minorEastAsia"/>
          <w:i/>
          <w:iCs/>
        </w:rPr>
        <w:t>v</w:t>
      </w:r>
      <w:r w:rsidRPr="00870837">
        <w:rPr>
          <w:rFonts w:eastAsiaTheme="minorEastAsia"/>
          <w:i/>
          <w:iCs/>
          <w:vertAlign w:val="subscript"/>
        </w:rPr>
        <w:t>j</w:t>
      </w:r>
      <w:proofErr w:type="spellEnd"/>
      <w:r>
        <w:rPr>
          <w:rFonts w:eastAsiaTheme="minorEastAsia"/>
          <w:i/>
          <w:iCs/>
          <w:vertAlign w:val="subscript"/>
        </w:rPr>
        <w:t xml:space="preserve"> </w:t>
      </w:r>
      <w:r>
        <w:rPr>
          <w:rFonts w:eastAsiaTheme="minorEastAsia"/>
        </w:rPr>
        <w:t>(</w:t>
      </w:r>
      <w:r w:rsidRPr="005F2893">
        <w:rPr>
          <w:rFonts w:eastAsiaTheme="minorEastAsia"/>
          <w:i/>
          <w:iCs/>
        </w:rPr>
        <w:t>a</w:t>
      </w:r>
      <w:r>
        <w:rPr>
          <w:rFonts w:eastAsiaTheme="minorEastAsia"/>
        </w:rPr>
        <w:t>) was computed using the same formula as above employing weights related to sub-criteria.</w:t>
      </w:r>
    </w:p>
    <w:p w14:paraId="069FD12A" w14:textId="77777777" w:rsidR="003B72F4" w:rsidRDefault="003B72F4" w:rsidP="003B72F4">
      <w:pPr>
        <w:rPr>
          <w:rFonts w:eastAsiaTheme="minorEastAsia"/>
        </w:rPr>
      </w:pPr>
      <w:r>
        <w:rPr>
          <w:rFonts w:eastAsiaTheme="minorEastAsia"/>
        </w:rPr>
        <w:t>The global aggregate score for each therapeutic option corresponded to the median value of the aggregate scores from all participants. These global aggregate scores led then to an overall ranking of Kd, PVd, and SVd. Using the rankings method, we also assessed, the proportion of participants whose aggregate scores were consistent with the given rankings of Kd, PVd, and SVd.</w:t>
      </w:r>
    </w:p>
    <w:p w14:paraId="44544D89" w14:textId="3C27E7EA" w:rsidR="002C5FC1" w:rsidRDefault="003B72F4" w:rsidP="003B72F4">
      <w:r>
        <w:t xml:space="preserve"> </w:t>
      </w:r>
      <w:r w:rsidR="002C5FC1">
        <w:br w:type="page"/>
      </w:r>
    </w:p>
    <w:p w14:paraId="7973B5C4" w14:textId="01C5F784" w:rsidR="002C5FC1" w:rsidRPr="009C54FC" w:rsidRDefault="002C5FC1" w:rsidP="00B62A0E">
      <w:pPr>
        <w:rPr>
          <w:b/>
          <w:bCs/>
          <w:sz w:val="24"/>
          <w:szCs w:val="24"/>
        </w:rPr>
      </w:pPr>
      <w:r w:rsidRPr="009C54FC">
        <w:rPr>
          <w:b/>
          <w:bCs/>
          <w:sz w:val="24"/>
          <w:szCs w:val="24"/>
        </w:rPr>
        <w:lastRenderedPageBreak/>
        <w:t>Bibliography</w:t>
      </w:r>
    </w:p>
    <w:p w14:paraId="4E150526" w14:textId="4B8FE43C" w:rsidR="009C54FC" w:rsidRDefault="009C54FC" w:rsidP="003B72F4">
      <w:pPr>
        <w:pStyle w:val="Bibliography"/>
        <w:rPr>
          <w:rFonts w:cs="Arial"/>
        </w:rPr>
      </w:pPr>
      <w:r w:rsidRPr="002E474A">
        <w:rPr>
          <w:rFonts w:cs="Arial"/>
        </w:rPr>
        <w:t>AIFA (2017) Resolution No. 1535/2017 - Criteria for the classification of innovative medicinal products and innovative oncological medicinal products. Available at: https://www.aifa.gov.it/documents/20142/516919/Determina_criteri_classificazione_farmaci_innovativi.pdf (Accessed: 4 September 2024).</w:t>
      </w:r>
    </w:p>
    <w:p w14:paraId="56F3003A" w14:textId="13160045" w:rsidR="003B72F4" w:rsidRPr="002E474A" w:rsidRDefault="003B72F4" w:rsidP="003B72F4">
      <w:pPr>
        <w:pStyle w:val="Bibliography"/>
        <w:rPr>
          <w:rFonts w:cs="Arial"/>
        </w:rPr>
      </w:pPr>
      <w:r w:rsidRPr="002E474A">
        <w:rPr>
          <w:rFonts w:cs="Arial"/>
        </w:rPr>
        <w:t>Angelis, A. et al. (2020) ‘Multiple Criteria Decision Analysis for HTA across four EU Member States: Piloting the Advance Value Framework’, Social Science &amp; Medicine, 246, p. 112595. Available at: https://doi.org/10.1016/j.socscimed.2019.112595.</w:t>
      </w:r>
    </w:p>
    <w:p w14:paraId="435CA31C" w14:textId="77777777" w:rsidR="003B72F4" w:rsidRPr="002E474A" w:rsidRDefault="003B72F4" w:rsidP="003B72F4">
      <w:pPr>
        <w:pStyle w:val="Bibliography"/>
        <w:rPr>
          <w:rFonts w:cs="Arial"/>
        </w:rPr>
      </w:pPr>
      <w:r w:rsidRPr="002E474A">
        <w:rPr>
          <w:rFonts w:cs="Arial"/>
        </w:rPr>
        <w:t>Angelis, A. and Kanavos, P. (2017) ‘Multiple Criteria Decision Analysis (MCDA) for evaluating new medicines in Health Technology Assessment and beyond: The Advance Value Framework’, Social Science &amp; Medicine, 188, pp. 137–156. Available at: https://doi.org/10.1016/j.socscimed.2017.06.024.</w:t>
      </w:r>
    </w:p>
    <w:p w14:paraId="68BEE49F" w14:textId="50C1A04F" w:rsidR="002C5FC1" w:rsidRPr="002C5FC1" w:rsidRDefault="002C5FC1" w:rsidP="002C5FC1">
      <w:pPr>
        <w:pStyle w:val="Bibliography"/>
        <w:rPr>
          <w:rFonts w:cs="Arial"/>
        </w:rPr>
      </w:pPr>
      <w:proofErr w:type="spellStart"/>
      <w:r w:rsidRPr="009C54FC">
        <w:rPr>
          <w:rFonts w:cs="Arial"/>
        </w:rPr>
        <w:t>Dimopoulos</w:t>
      </w:r>
      <w:proofErr w:type="spellEnd"/>
      <w:r w:rsidRPr="009C54FC">
        <w:rPr>
          <w:rFonts w:cs="Arial"/>
        </w:rPr>
        <w:t xml:space="preserve">, M.A. </w:t>
      </w:r>
      <w:r w:rsidRPr="009C54FC">
        <w:rPr>
          <w:rFonts w:cs="Arial"/>
          <w:i/>
          <w:iCs/>
        </w:rPr>
        <w:t>et al.</w:t>
      </w:r>
      <w:r w:rsidRPr="009C54FC">
        <w:rPr>
          <w:rFonts w:cs="Arial"/>
        </w:rPr>
        <w:t xml:space="preserve"> </w:t>
      </w:r>
      <w:r w:rsidRPr="002C5FC1">
        <w:rPr>
          <w:rFonts w:cs="Arial"/>
        </w:rPr>
        <w:t xml:space="preserve">(2016) ‘Carfilzomib and dexamethasone versus bortezomib and dexamethasone for patients with relapsed or refractory multiple myeloma (ENDEAVOR): a </w:t>
      </w:r>
      <w:proofErr w:type="spellStart"/>
      <w:r w:rsidRPr="002C5FC1">
        <w:rPr>
          <w:rFonts w:cs="Arial"/>
        </w:rPr>
        <w:t>randomised</w:t>
      </w:r>
      <w:proofErr w:type="spellEnd"/>
      <w:r w:rsidRPr="002C5FC1">
        <w:rPr>
          <w:rFonts w:cs="Arial"/>
        </w:rPr>
        <w:t xml:space="preserve">, phase 3, open-label, </w:t>
      </w:r>
      <w:proofErr w:type="spellStart"/>
      <w:r w:rsidRPr="002C5FC1">
        <w:rPr>
          <w:rFonts w:cs="Arial"/>
        </w:rPr>
        <w:t>multicentre</w:t>
      </w:r>
      <w:proofErr w:type="spellEnd"/>
      <w:r w:rsidRPr="002C5FC1">
        <w:rPr>
          <w:rFonts w:cs="Arial"/>
        </w:rPr>
        <w:t xml:space="preserve"> study’, </w:t>
      </w:r>
      <w:r w:rsidRPr="002C5FC1">
        <w:rPr>
          <w:rFonts w:cs="Arial"/>
          <w:i/>
          <w:iCs/>
        </w:rPr>
        <w:t>The Lancet Oncology</w:t>
      </w:r>
      <w:r w:rsidRPr="002C5FC1">
        <w:rPr>
          <w:rFonts w:cs="Arial"/>
        </w:rPr>
        <w:t>, 17(1), pp. 27–38. Available at: https://doi.org/10.1016/S1470-2045(15)00464-7.</w:t>
      </w:r>
    </w:p>
    <w:p w14:paraId="7E558C63" w14:textId="77777777" w:rsidR="002C5FC1" w:rsidRPr="002C5FC1" w:rsidRDefault="002C5FC1" w:rsidP="002C5FC1">
      <w:pPr>
        <w:pStyle w:val="Bibliography"/>
        <w:rPr>
          <w:rFonts w:cs="Arial"/>
        </w:rPr>
      </w:pPr>
      <w:r w:rsidRPr="002C5FC1">
        <w:rPr>
          <w:rFonts w:cs="Arial"/>
        </w:rPr>
        <w:t xml:space="preserve">EMA (2022) </w:t>
      </w:r>
      <w:proofErr w:type="spellStart"/>
      <w:r w:rsidRPr="002C5FC1">
        <w:rPr>
          <w:rFonts w:cs="Arial"/>
          <w:i/>
          <w:iCs/>
        </w:rPr>
        <w:t>Kyprolis</w:t>
      </w:r>
      <w:proofErr w:type="spellEnd"/>
      <w:r w:rsidRPr="002C5FC1">
        <w:rPr>
          <w:rFonts w:cs="Arial"/>
          <w:i/>
          <w:iCs/>
        </w:rPr>
        <w:t xml:space="preserve"> - Summary of Product Characteristics</w:t>
      </w:r>
      <w:r w:rsidRPr="002C5FC1">
        <w:rPr>
          <w:rFonts w:cs="Arial"/>
        </w:rPr>
        <w:t>.</w:t>
      </w:r>
    </w:p>
    <w:p w14:paraId="32F7AFFF" w14:textId="77777777" w:rsidR="002C5FC1" w:rsidRPr="002C5FC1" w:rsidRDefault="002C5FC1" w:rsidP="002C5FC1">
      <w:pPr>
        <w:pStyle w:val="Bibliography"/>
        <w:rPr>
          <w:rFonts w:cs="Arial"/>
        </w:rPr>
      </w:pPr>
      <w:r w:rsidRPr="002C5FC1">
        <w:rPr>
          <w:rFonts w:cs="Arial"/>
        </w:rPr>
        <w:t xml:space="preserve">EMA (2023a) </w:t>
      </w:r>
      <w:proofErr w:type="spellStart"/>
      <w:r w:rsidRPr="002C5FC1">
        <w:rPr>
          <w:rFonts w:cs="Arial"/>
          <w:i/>
          <w:iCs/>
        </w:rPr>
        <w:t>Imnovid</w:t>
      </w:r>
      <w:proofErr w:type="spellEnd"/>
      <w:r w:rsidRPr="002C5FC1">
        <w:rPr>
          <w:rFonts w:cs="Arial"/>
          <w:i/>
          <w:iCs/>
        </w:rPr>
        <w:t xml:space="preserve"> - Summary of Product Characteristics</w:t>
      </w:r>
      <w:r w:rsidRPr="002C5FC1">
        <w:rPr>
          <w:rFonts w:cs="Arial"/>
        </w:rPr>
        <w:t>.</w:t>
      </w:r>
    </w:p>
    <w:p w14:paraId="63279131" w14:textId="77777777" w:rsidR="002C5FC1" w:rsidRPr="002C5FC1" w:rsidRDefault="002C5FC1" w:rsidP="002C5FC1">
      <w:pPr>
        <w:pStyle w:val="Bibliography"/>
        <w:rPr>
          <w:rFonts w:cs="Arial"/>
        </w:rPr>
      </w:pPr>
      <w:r w:rsidRPr="002C5FC1">
        <w:rPr>
          <w:rFonts w:cs="Arial"/>
        </w:rPr>
        <w:t xml:space="preserve">EMA (2023b) </w:t>
      </w:r>
      <w:proofErr w:type="spellStart"/>
      <w:r w:rsidRPr="002C5FC1">
        <w:rPr>
          <w:rFonts w:cs="Arial"/>
          <w:i/>
          <w:iCs/>
        </w:rPr>
        <w:t>Nexpovio</w:t>
      </w:r>
      <w:proofErr w:type="spellEnd"/>
      <w:r w:rsidRPr="002C5FC1">
        <w:rPr>
          <w:rFonts w:cs="Arial"/>
          <w:i/>
          <w:iCs/>
        </w:rPr>
        <w:t xml:space="preserve"> - Summary of Product Characteristics</w:t>
      </w:r>
      <w:r w:rsidRPr="002C5FC1">
        <w:rPr>
          <w:rFonts w:cs="Arial"/>
        </w:rPr>
        <w:t>.</w:t>
      </w:r>
    </w:p>
    <w:p w14:paraId="7FF9F08B" w14:textId="327E731F" w:rsidR="002C5FC1" w:rsidRPr="009C54FC" w:rsidRDefault="002C5FC1" w:rsidP="002C5FC1">
      <w:pPr>
        <w:pStyle w:val="Bibliography"/>
        <w:rPr>
          <w:rFonts w:cs="Arial"/>
          <w:lang w:val="it-IT"/>
        </w:rPr>
      </w:pPr>
      <w:proofErr w:type="spellStart"/>
      <w:r w:rsidRPr="002C5FC1">
        <w:rPr>
          <w:rFonts w:cs="Arial"/>
        </w:rPr>
        <w:t>Grosicki</w:t>
      </w:r>
      <w:proofErr w:type="spellEnd"/>
      <w:r w:rsidRPr="002C5FC1">
        <w:rPr>
          <w:rFonts w:cs="Arial"/>
        </w:rPr>
        <w:t xml:space="preserve">, S. </w:t>
      </w:r>
      <w:r w:rsidRPr="002C5FC1">
        <w:rPr>
          <w:rFonts w:cs="Arial"/>
          <w:i/>
          <w:iCs/>
        </w:rPr>
        <w:t>et al.</w:t>
      </w:r>
      <w:r w:rsidRPr="002C5FC1">
        <w:rPr>
          <w:rFonts w:cs="Arial"/>
        </w:rPr>
        <w:t xml:space="preserve"> (2020) ‘Once-per-week </w:t>
      </w:r>
      <w:proofErr w:type="spellStart"/>
      <w:r w:rsidRPr="002C5FC1">
        <w:rPr>
          <w:rFonts w:cs="Arial"/>
        </w:rPr>
        <w:t>selinexor</w:t>
      </w:r>
      <w:proofErr w:type="spellEnd"/>
      <w:r w:rsidRPr="002C5FC1">
        <w:rPr>
          <w:rFonts w:cs="Arial"/>
        </w:rPr>
        <w:t xml:space="preserve">, bortezomib, and dexamethasone versus twice-per-week bortezomib and dexamethasone in patients with multiple myeloma (BOSTON): a </w:t>
      </w:r>
      <w:proofErr w:type="spellStart"/>
      <w:r w:rsidRPr="002C5FC1">
        <w:rPr>
          <w:rFonts w:cs="Arial"/>
        </w:rPr>
        <w:t>randomised</w:t>
      </w:r>
      <w:proofErr w:type="spellEnd"/>
      <w:r w:rsidRPr="002C5FC1">
        <w:rPr>
          <w:rFonts w:cs="Arial"/>
        </w:rPr>
        <w:t xml:space="preserve">, open-label, phase 3 trial’, </w:t>
      </w:r>
      <w:r w:rsidRPr="002C5FC1">
        <w:rPr>
          <w:rFonts w:cs="Arial"/>
          <w:i/>
          <w:iCs/>
        </w:rPr>
        <w:t>The Lancet</w:t>
      </w:r>
      <w:r w:rsidRPr="002C5FC1">
        <w:rPr>
          <w:rFonts w:cs="Arial"/>
        </w:rPr>
        <w:t xml:space="preserve">, 396(10262), pp. 1563–1573. </w:t>
      </w:r>
      <w:proofErr w:type="spellStart"/>
      <w:r w:rsidRPr="009C54FC">
        <w:rPr>
          <w:rFonts w:cs="Arial"/>
          <w:lang w:val="it-IT"/>
        </w:rPr>
        <w:t>Available</w:t>
      </w:r>
      <w:proofErr w:type="spellEnd"/>
      <w:r w:rsidRPr="009C54FC">
        <w:rPr>
          <w:rFonts w:cs="Arial"/>
          <w:lang w:val="it-IT"/>
        </w:rPr>
        <w:t xml:space="preserve"> </w:t>
      </w:r>
      <w:proofErr w:type="spellStart"/>
      <w:r w:rsidRPr="009C54FC">
        <w:rPr>
          <w:rFonts w:cs="Arial"/>
          <w:lang w:val="it-IT"/>
        </w:rPr>
        <w:t>at</w:t>
      </w:r>
      <w:proofErr w:type="spellEnd"/>
      <w:r w:rsidRPr="009C54FC">
        <w:rPr>
          <w:rFonts w:cs="Arial"/>
          <w:lang w:val="it-IT"/>
        </w:rPr>
        <w:t xml:space="preserve">: </w:t>
      </w:r>
      <w:r w:rsidR="009C54FC" w:rsidRPr="009C54FC">
        <w:rPr>
          <w:rFonts w:cs="Arial"/>
          <w:lang w:val="it-IT"/>
        </w:rPr>
        <w:t>https://doi.org/10.1016/S0140-6736(20)32292-3</w:t>
      </w:r>
      <w:r w:rsidRPr="009C54FC">
        <w:rPr>
          <w:rFonts w:cs="Arial"/>
          <w:lang w:val="it-IT"/>
        </w:rPr>
        <w:t>.</w:t>
      </w:r>
    </w:p>
    <w:p w14:paraId="750269D9" w14:textId="4FAE2F75" w:rsidR="009C54FC" w:rsidRPr="009C54FC" w:rsidRDefault="009C54FC" w:rsidP="009C54FC">
      <w:pPr>
        <w:pStyle w:val="Bibliography"/>
        <w:rPr>
          <w:rFonts w:cs="Arial"/>
        </w:rPr>
      </w:pPr>
      <w:proofErr w:type="spellStart"/>
      <w:r w:rsidRPr="002E474A">
        <w:rPr>
          <w:rFonts w:cs="Arial"/>
          <w:lang w:val="it-IT"/>
        </w:rPr>
        <w:t>Jommi</w:t>
      </w:r>
      <w:proofErr w:type="spellEnd"/>
      <w:r w:rsidRPr="002E474A">
        <w:rPr>
          <w:rFonts w:cs="Arial"/>
          <w:lang w:val="it-IT"/>
        </w:rPr>
        <w:t xml:space="preserve">, C. and </w:t>
      </w:r>
      <w:proofErr w:type="spellStart"/>
      <w:r w:rsidRPr="002E474A">
        <w:rPr>
          <w:rFonts w:cs="Arial"/>
          <w:lang w:val="it-IT"/>
        </w:rPr>
        <w:t>Ravasio</w:t>
      </w:r>
      <w:proofErr w:type="spellEnd"/>
      <w:r w:rsidRPr="002E474A">
        <w:rPr>
          <w:rFonts w:cs="Arial"/>
          <w:lang w:val="it-IT"/>
        </w:rPr>
        <w:t xml:space="preserve">, R. (2019) ‘Il valore di </w:t>
      </w:r>
      <w:proofErr w:type="spellStart"/>
      <w:r w:rsidRPr="002E474A">
        <w:rPr>
          <w:rFonts w:cs="Arial"/>
          <w:lang w:val="it-IT"/>
        </w:rPr>
        <w:t>obinutuzumab</w:t>
      </w:r>
      <w:proofErr w:type="spellEnd"/>
      <w:r w:rsidRPr="002E474A">
        <w:rPr>
          <w:rFonts w:cs="Arial"/>
          <w:lang w:val="it-IT"/>
        </w:rPr>
        <w:t xml:space="preserve"> per il trattamento in prima linea del Linfoma Follicolare: un’analisi basata su approccio Multicriteria </w:t>
      </w:r>
      <w:proofErr w:type="spellStart"/>
      <w:r w:rsidRPr="002E474A">
        <w:rPr>
          <w:rFonts w:cs="Arial"/>
          <w:lang w:val="it-IT"/>
        </w:rPr>
        <w:t>Decision</w:t>
      </w:r>
      <w:proofErr w:type="spellEnd"/>
      <w:r w:rsidRPr="002E474A">
        <w:rPr>
          <w:rFonts w:cs="Arial"/>
          <w:lang w:val="it-IT"/>
        </w:rPr>
        <w:t xml:space="preserve"> Analysis (MCDA)’, </w:t>
      </w:r>
      <w:proofErr w:type="spellStart"/>
      <w:r w:rsidRPr="002E474A">
        <w:rPr>
          <w:rFonts w:cs="Arial"/>
          <w:lang w:val="it-IT"/>
        </w:rPr>
        <w:t>AboutOpen</w:t>
      </w:r>
      <w:proofErr w:type="spellEnd"/>
      <w:r w:rsidRPr="002E474A">
        <w:rPr>
          <w:rFonts w:cs="Arial"/>
          <w:lang w:val="it-IT"/>
        </w:rPr>
        <w:t xml:space="preserve">, 6(1), pp. 78–85. </w:t>
      </w:r>
      <w:r w:rsidRPr="002E474A">
        <w:rPr>
          <w:rFonts w:cs="Arial"/>
        </w:rPr>
        <w:t>Available at: https://doi.org/10.33393.abtpn.2019.302.</w:t>
      </w:r>
    </w:p>
    <w:p w14:paraId="328E0C58" w14:textId="77777777" w:rsidR="002C5FC1" w:rsidRPr="002C5FC1" w:rsidRDefault="002C5FC1" w:rsidP="002C5FC1">
      <w:pPr>
        <w:pStyle w:val="Bibliography"/>
        <w:rPr>
          <w:rFonts w:cs="Arial"/>
        </w:rPr>
      </w:pPr>
      <w:proofErr w:type="spellStart"/>
      <w:r w:rsidRPr="002C5FC1">
        <w:rPr>
          <w:rFonts w:cs="Arial"/>
        </w:rPr>
        <w:t>Kastritis</w:t>
      </w:r>
      <w:proofErr w:type="spellEnd"/>
      <w:r w:rsidRPr="002C5FC1">
        <w:rPr>
          <w:rFonts w:cs="Arial"/>
        </w:rPr>
        <w:t xml:space="preserve">, E. </w:t>
      </w:r>
      <w:r w:rsidRPr="002C5FC1">
        <w:rPr>
          <w:rFonts w:cs="Arial"/>
          <w:i/>
          <w:iCs/>
        </w:rPr>
        <w:t>et al.</w:t>
      </w:r>
      <w:r w:rsidRPr="002C5FC1">
        <w:rPr>
          <w:rFonts w:cs="Arial"/>
        </w:rPr>
        <w:t xml:space="preserve"> (2023) ‘Network Meta-Analysis of Randomized Trials in Relapsed/Refractory Multiple Myeloma: Relative Efficacy for Patients Who Are Lenalidomide-Refractory’, </w:t>
      </w:r>
      <w:r w:rsidRPr="002C5FC1">
        <w:rPr>
          <w:rFonts w:cs="Arial"/>
          <w:i/>
          <w:iCs/>
        </w:rPr>
        <w:t>65th ASH Annual Meeting Abstracts</w:t>
      </w:r>
      <w:r w:rsidRPr="002C5FC1">
        <w:rPr>
          <w:rFonts w:cs="Arial"/>
        </w:rPr>
        <w:t>, 142, p. 7424. Available at: https://doi.org/10.1182/blood-2023-180947.</w:t>
      </w:r>
    </w:p>
    <w:p w14:paraId="0E7C4B96" w14:textId="77777777" w:rsidR="002C5FC1" w:rsidRPr="002C5FC1" w:rsidRDefault="002C5FC1" w:rsidP="002C5FC1">
      <w:pPr>
        <w:pStyle w:val="Bibliography"/>
        <w:rPr>
          <w:rFonts w:cs="Arial"/>
        </w:rPr>
      </w:pPr>
      <w:r w:rsidRPr="002C5FC1">
        <w:rPr>
          <w:rFonts w:cs="Arial"/>
        </w:rPr>
        <w:t xml:space="preserve">Ludwig, H. </w:t>
      </w:r>
      <w:r w:rsidRPr="002C5FC1">
        <w:rPr>
          <w:rFonts w:cs="Arial"/>
          <w:i/>
          <w:iCs/>
        </w:rPr>
        <w:t>et al.</w:t>
      </w:r>
      <w:r w:rsidRPr="002C5FC1">
        <w:rPr>
          <w:rFonts w:cs="Arial"/>
        </w:rPr>
        <w:t xml:space="preserve"> (2019) ‘Health-related quality of life in the ENDEAVOR study: carfilzomib-dexamethasone vs bortezomib-dexamethasone in relapsed/refractory multiple myeloma’, </w:t>
      </w:r>
      <w:r w:rsidRPr="002C5FC1">
        <w:rPr>
          <w:rFonts w:cs="Arial"/>
          <w:i/>
          <w:iCs/>
        </w:rPr>
        <w:t>Blood Cancer Journal</w:t>
      </w:r>
      <w:r w:rsidRPr="002C5FC1">
        <w:rPr>
          <w:rFonts w:cs="Arial"/>
        </w:rPr>
        <w:t>, 9(3), p. 23. Available at: https://doi.org/10.1038/s41408-019-0181-0.</w:t>
      </w:r>
    </w:p>
    <w:p w14:paraId="516C7522" w14:textId="77777777" w:rsidR="002C5FC1" w:rsidRPr="002C5FC1" w:rsidRDefault="002C5FC1" w:rsidP="002C5FC1">
      <w:pPr>
        <w:pStyle w:val="Bibliography"/>
        <w:rPr>
          <w:rFonts w:cs="Arial"/>
        </w:rPr>
      </w:pPr>
      <w:r w:rsidRPr="002C5FC1">
        <w:rPr>
          <w:rFonts w:cs="Arial"/>
        </w:rPr>
        <w:t xml:space="preserve">Richardson, P.G. </w:t>
      </w:r>
      <w:r w:rsidRPr="002C5FC1">
        <w:rPr>
          <w:rFonts w:cs="Arial"/>
          <w:i/>
          <w:iCs/>
        </w:rPr>
        <w:t>et al.</w:t>
      </w:r>
      <w:r w:rsidRPr="002C5FC1">
        <w:rPr>
          <w:rFonts w:cs="Arial"/>
        </w:rPr>
        <w:t xml:space="preserve"> (2019) ‘Pomalidomide, bortezomib, and dexamethasone for patients with relapsed or refractory multiple myeloma previously treated with lenalidomide (OPTIMISMM): a </w:t>
      </w:r>
      <w:proofErr w:type="spellStart"/>
      <w:r w:rsidRPr="002C5FC1">
        <w:rPr>
          <w:rFonts w:cs="Arial"/>
        </w:rPr>
        <w:t>randomised</w:t>
      </w:r>
      <w:proofErr w:type="spellEnd"/>
      <w:r w:rsidRPr="002C5FC1">
        <w:rPr>
          <w:rFonts w:cs="Arial"/>
        </w:rPr>
        <w:t xml:space="preserve">, open-label, phase 3 trial’, </w:t>
      </w:r>
      <w:r w:rsidRPr="002C5FC1">
        <w:rPr>
          <w:rFonts w:cs="Arial"/>
          <w:i/>
          <w:iCs/>
        </w:rPr>
        <w:t>The Lancet Oncology</w:t>
      </w:r>
      <w:r w:rsidRPr="002C5FC1">
        <w:rPr>
          <w:rFonts w:cs="Arial"/>
        </w:rPr>
        <w:t>, 20(6), pp. 781–794. Available at: https://doi.org/10.1016/S1470-2045(19)30152-4.</w:t>
      </w:r>
    </w:p>
    <w:p w14:paraId="48D689AB" w14:textId="77777777" w:rsidR="002C5FC1" w:rsidRPr="002C5FC1" w:rsidRDefault="002C5FC1" w:rsidP="002C5FC1">
      <w:pPr>
        <w:pStyle w:val="Bibliography"/>
        <w:rPr>
          <w:rFonts w:cs="Arial"/>
        </w:rPr>
      </w:pPr>
      <w:r w:rsidRPr="002C5FC1">
        <w:rPr>
          <w:rFonts w:cs="Arial"/>
        </w:rPr>
        <w:t xml:space="preserve">Sanchez, L. </w:t>
      </w:r>
      <w:r w:rsidRPr="002C5FC1">
        <w:rPr>
          <w:rFonts w:cs="Arial"/>
          <w:i/>
          <w:iCs/>
        </w:rPr>
        <w:t>et al.</w:t>
      </w:r>
      <w:r w:rsidRPr="002C5FC1">
        <w:rPr>
          <w:rFonts w:cs="Arial"/>
        </w:rPr>
        <w:t xml:space="preserve"> (2021) ‘Peripheral neuropathy symptoms, pain, and functioning in previously treated multiple myeloma patients treated with </w:t>
      </w:r>
      <w:proofErr w:type="spellStart"/>
      <w:r w:rsidRPr="002C5FC1">
        <w:rPr>
          <w:rFonts w:cs="Arial"/>
        </w:rPr>
        <w:t>selinexor</w:t>
      </w:r>
      <w:proofErr w:type="spellEnd"/>
      <w:r w:rsidRPr="002C5FC1">
        <w:rPr>
          <w:rFonts w:cs="Arial"/>
        </w:rPr>
        <w:t xml:space="preserve">, bortezomib, and dexamethasone’, </w:t>
      </w:r>
      <w:r w:rsidRPr="002C5FC1">
        <w:rPr>
          <w:rFonts w:cs="Arial"/>
          <w:i/>
          <w:iCs/>
        </w:rPr>
        <w:t>American Journal of Hematology</w:t>
      </w:r>
      <w:r w:rsidRPr="002C5FC1">
        <w:rPr>
          <w:rFonts w:cs="Arial"/>
        </w:rPr>
        <w:t>, 96(10). Available at: https://doi.org/10.1002/ajh.26282.</w:t>
      </w:r>
    </w:p>
    <w:p w14:paraId="696C49AC" w14:textId="77777777" w:rsidR="002C5FC1" w:rsidRPr="002C5FC1" w:rsidRDefault="002C5FC1" w:rsidP="002C5FC1">
      <w:pPr>
        <w:pStyle w:val="Bibliography"/>
        <w:rPr>
          <w:rFonts w:cs="Arial"/>
        </w:rPr>
      </w:pPr>
      <w:r w:rsidRPr="002C5FC1">
        <w:rPr>
          <w:rFonts w:cs="Arial"/>
        </w:rPr>
        <w:lastRenderedPageBreak/>
        <w:t xml:space="preserve">Siegel, D.S.D. </w:t>
      </w:r>
      <w:r w:rsidRPr="002C5FC1">
        <w:rPr>
          <w:rFonts w:cs="Arial"/>
          <w:i/>
          <w:iCs/>
        </w:rPr>
        <w:t>et al.</w:t>
      </w:r>
      <w:r w:rsidRPr="002C5FC1">
        <w:rPr>
          <w:rFonts w:cs="Arial"/>
        </w:rPr>
        <w:t xml:space="preserve"> (2020) ‘Health related quality of life (</w:t>
      </w:r>
      <w:proofErr w:type="spellStart"/>
      <w:r w:rsidRPr="002C5FC1">
        <w:rPr>
          <w:rFonts w:cs="Arial"/>
        </w:rPr>
        <w:t>HRQoL</w:t>
      </w:r>
      <w:proofErr w:type="spellEnd"/>
      <w:r w:rsidRPr="002C5FC1">
        <w:rPr>
          <w:rFonts w:cs="Arial"/>
        </w:rPr>
        <w:t>) outcomes from the phase III CANDOR study comparing carfilzomib, dexamethasone, and daratumumab (</w:t>
      </w:r>
      <w:proofErr w:type="spellStart"/>
      <w:r w:rsidRPr="002C5FC1">
        <w:rPr>
          <w:rFonts w:cs="Arial"/>
        </w:rPr>
        <w:t>KdD</w:t>
      </w:r>
      <w:proofErr w:type="spellEnd"/>
      <w:r w:rsidRPr="002C5FC1">
        <w:rPr>
          <w:rFonts w:cs="Arial"/>
        </w:rPr>
        <w:t xml:space="preserve">) to carfilzomib and dexamethasone (Kd) in patients (Pts) with relapsed or refractory multiple myeloma.’, </w:t>
      </w:r>
      <w:r w:rsidRPr="002C5FC1">
        <w:rPr>
          <w:rFonts w:cs="Arial"/>
          <w:i/>
          <w:iCs/>
        </w:rPr>
        <w:t>Journal of Clinical Oncology</w:t>
      </w:r>
      <w:r w:rsidRPr="002C5FC1">
        <w:rPr>
          <w:rFonts w:cs="Arial"/>
        </w:rPr>
        <w:t>, 38(15_suppl), pp. e20563–e20563. Available at: https://doi.org/10.1200/JCO.2020.38.15_suppl.e20563.</w:t>
      </w:r>
    </w:p>
    <w:p w14:paraId="1D3248EC" w14:textId="5CA0FD4C" w:rsidR="002C5FC1" w:rsidRPr="002C5FC1" w:rsidRDefault="002C5FC1" w:rsidP="00B62A0E"/>
    <w:sectPr w:rsidR="002C5FC1" w:rsidRPr="002C5FC1" w:rsidSect="001B5890">
      <w:pgSz w:w="12240" w:h="15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ADCC45" w14:textId="77777777" w:rsidR="002539B2" w:rsidRDefault="002539B2" w:rsidP="000438DF">
      <w:pPr>
        <w:spacing w:after="0" w:line="240" w:lineRule="auto"/>
      </w:pPr>
      <w:r>
        <w:separator/>
      </w:r>
    </w:p>
  </w:endnote>
  <w:endnote w:type="continuationSeparator" w:id="0">
    <w:p w14:paraId="3035B25C" w14:textId="77777777" w:rsidR="002539B2" w:rsidRDefault="002539B2" w:rsidP="000438DF">
      <w:pPr>
        <w:spacing w:after="0" w:line="240" w:lineRule="auto"/>
      </w:pPr>
      <w:r>
        <w:continuationSeparator/>
      </w:r>
    </w:p>
  </w:endnote>
  <w:endnote w:type="continuationNotice" w:id="1">
    <w:p w14:paraId="3191F728" w14:textId="77777777" w:rsidR="002539B2" w:rsidRDefault="002539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479502"/>
      <w:docPartObj>
        <w:docPartGallery w:val="Page Numbers (Bottom of Page)"/>
        <w:docPartUnique/>
      </w:docPartObj>
    </w:sdtPr>
    <w:sdtEndPr>
      <w:rPr>
        <w:noProof/>
      </w:rPr>
    </w:sdtEndPr>
    <w:sdtContent>
      <w:p w14:paraId="5FC4337C" w14:textId="34AE441D" w:rsidR="00B824CF" w:rsidRDefault="00B824C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6A1D5F2" w14:textId="77777777" w:rsidR="00B824CF" w:rsidRDefault="00B824C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2A533B" w14:textId="77777777" w:rsidR="002539B2" w:rsidRDefault="002539B2" w:rsidP="000438DF">
      <w:pPr>
        <w:spacing w:after="0" w:line="240" w:lineRule="auto"/>
      </w:pPr>
      <w:r>
        <w:separator/>
      </w:r>
    </w:p>
  </w:footnote>
  <w:footnote w:type="continuationSeparator" w:id="0">
    <w:p w14:paraId="01AD8190" w14:textId="77777777" w:rsidR="002539B2" w:rsidRDefault="002539B2" w:rsidP="000438DF">
      <w:pPr>
        <w:spacing w:after="0" w:line="240" w:lineRule="auto"/>
      </w:pPr>
      <w:r>
        <w:continuationSeparator/>
      </w:r>
    </w:p>
  </w:footnote>
  <w:footnote w:type="continuationNotice" w:id="1">
    <w:p w14:paraId="32FF8952" w14:textId="77777777" w:rsidR="002539B2" w:rsidRDefault="002539B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8C3048"/>
    <w:multiLevelType w:val="hybridMultilevel"/>
    <w:tmpl w:val="FEC4642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F915CE8"/>
    <w:multiLevelType w:val="multilevel"/>
    <w:tmpl w:val="1A78AC0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15:restartNumberingAfterBreak="0">
    <w:nsid w:val="1C2D30F5"/>
    <w:multiLevelType w:val="hybridMultilevel"/>
    <w:tmpl w:val="B80080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49A6AB8"/>
    <w:multiLevelType w:val="hybridMultilevel"/>
    <w:tmpl w:val="CBBA1ABE"/>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4D776F8"/>
    <w:multiLevelType w:val="hybridMultilevel"/>
    <w:tmpl w:val="C3DEC1A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BA049A0"/>
    <w:multiLevelType w:val="hybridMultilevel"/>
    <w:tmpl w:val="91F28C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30E6F34"/>
    <w:multiLevelType w:val="hybridMultilevel"/>
    <w:tmpl w:val="D816787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4282FF7"/>
    <w:multiLevelType w:val="hybridMultilevel"/>
    <w:tmpl w:val="8BD4CC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3F7E60"/>
    <w:multiLevelType w:val="hybridMultilevel"/>
    <w:tmpl w:val="08C4A4E6"/>
    <w:lvl w:ilvl="0" w:tplc="77486664">
      <w:start w:val="1"/>
      <w:numFmt w:val="bullet"/>
      <w:lvlText w:val=""/>
      <w:lvlJc w:val="left"/>
      <w:pPr>
        <w:ind w:left="720" w:hanging="360"/>
      </w:pPr>
      <w:rPr>
        <w:rFonts w:ascii="Symbol" w:hAnsi="Symbol"/>
      </w:rPr>
    </w:lvl>
    <w:lvl w:ilvl="1" w:tplc="6986A6E0">
      <w:start w:val="1"/>
      <w:numFmt w:val="bullet"/>
      <w:lvlText w:val=""/>
      <w:lvlJc w:val="left"/>
      <w:pPr>
        <w:ind w:left="720" w:hanging="360"/>
      </w:pPr>
      <w:rPr>
        <w:rFonts w:ascii="Symbol" w:hAnsi="Symbol"/>
      </w:rPr>
    </w:lvl>
    <w:lvl w:ilvl="2" w:tplc="898C585E">
      <w:start w:val="1"/>
      <w:numFmt w:val="bullet"/>
      <w:lvlText w:val=""/>
      <w:lvlJc w:val="left"/>
      <w:pPr>
        <w:ind w:left="720" w:hanging="360"/>
      </w:pPr>
      <w:rPr>
        <w:rFonts w:ascii="Symbol" w:hAnsi="Symbol"/>
      </w:rPr>
    </w:lvl>
    <w:lvl w:ilvl="3" w:tplc="8A30E1F4">
      <w:start w:val="1"/>
      <w:numFmt w:val="bullet"/>
      <w:lvlText w:val=""/>
      <w:lvlJc w:val="left"/>
      <w:pPr>
        <w:ind w:left="720" w:hanging="360"/>
      </w:pPr>
      <w:rPr>
        <w:rFonts w:ascii="Symbol" w:hAnsi="Symbol"/>
      </w:rPr>
    </w:lvl>
    <w:lvl w:ilvl="4" w:tplc="C7EC5126">
      <w:start w:val="1"/>
      <w:numFmt w:val="bullet"/>
      <w:lvlText w:val=""/>
      <w:lvlJc w:val="left"/>
      <w:pPr>
        <w:ind w:left="720" w:hanging="360"/>
      </w:pPr>
      <w:rPr>
        <w:rFonts w:ascii="Symbol" w:hAnsi="Symbol"/>
      </w:rPr>
    </w:lvl>
    <w:lvl w:ilvl="5" w:tplc="7408E528">
      <w:start w:val="1"/>
      <w:numFmt w:val="bullet"/>
      <w:lvlText w:val=""/>
      <w:lvlJc w:val="left"/>
      <w:pPr>
        <w:ind w:left="720" w:hanging="360"/>
      </w:pPr>
      <w:rPr>
        <w:rFonts w:ascii="Symbol" w:hAnsi="Symbol"/>
      </w:rPr>
    </w:lvl>
    <w:lvl w:ilvl="6" w:tplc="F694440E">
      <w:start w:val="1"/>
      <w:numFmt w:val="bullet"/>
      <w:lvlText w:val=""/>
      <w:lvlJc w:val="left"/>
      <w:pPr>
        <w:ind w:left="720" w:hanging="360"/>
      </w:pPr>
      <w:rPr>
        <w:rFonts w:ascii="Symbol" w:hAnsi="Symbol"/>
      </w:rPr>
    </w:lvl>
    <w:lvl w:ilvl="7" w:tplc="3670E786">
      <w:start w:val="1"/>
      <w:numFmt w:val="bullet"/>
      <w:lvlText w:val=""/>
      <w:lvlJc w:val="left"/>
      <w:pPr>
        <w:ind w:left="720" w:hanging="360"/>
      </w:pPr>
      <w:rPr>
        <w:rFonts w:ascii="Symbol" w:hAnsi="Symbol"/>
      </w:rPr>
    </w:lvl>
    <w:lvl w:ilvl="8" w:tplc="A15CC524">
      <w:start w:val="1"/>
      <w:numFmt w:val="bullet"/>
      <w:lvlText w:val=""/>
      <w:lvlJc w:val="left"/>
      <w:pPr>
        <w:ind w:left="720" w:hanging="360"/>
      </w:pPr>
      <w:rPr>
        <w:rFonts w:ascii="Symbol" w:hAnsi="Symbol"/>
      </w:rPr>
    </w:lvl>
  </w:abstractNum>
  <w:abstractNum w:abstractNumId="9" w15:restartNumberingAfterBreak="0">
    <w:nsid w:val="3EF85F4B"/>
    <w:multiLevelType w:val="hybridMultilevel"/>
    <w:tmpl w:val="0428DD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F76496A"/>
    <w:multiLevelType w:val="hybridMultilevel"/>
    <w:tmpl w:val="7D7C659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400E2BBF"/>
    <w:multiLevelType w:val="hybridMultilevel"/>
    <w:tmpl w:val="F4B0AC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5157AB4"/>
    <w:multiLevelType w:val="hybridMultilevel"/>
    <w:tmpl w:val="52C84B1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0310005"/>
    <w:multiLevelType w:val="hybridMultilevel"/>
    <w:tmpl w:val="5714FE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3DA6521"/>
    <w:multiLevelType w:val="hybridMultilevel"/>
    <w:tmpl w:val="F65859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6AD830AA"/>
    <w:multiLevelType w:val="hybridMultilevel"/>
    <w:tmpl w:val="71F2BEA6"/>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num w:numId="1" w16cid:durableId="1303198684">
    <w:abstractNumId w:val="2"/>
  </w:num>
  <w:num w:numId="2" w16cid:durableId="487408541">
    <w:abstractNumId w:val="1"/>
  </w:num>
  <w:num w:numId="3" w16cid:durableId="25690177">
    <w:abstractNumId w:val="3"/>
  </w:num>
  <w:num w:numId="4" w16cid:durableId="1601253863">
    <w:abstractNumId w:val="6"/>
  </w:num>
  <w:num w:numId="5" w16cid:durableId="384187507">
    <w:abstractNumId w:val="9"/>
  </w:num>
  <w:num w:numId="6" w16cid:durableId="528566026">
    <w:abstractNumId w:val="0"/>
  </w:num>
  <w:num w:numId="7" w16cid:durableId="478884134">
    <w:abstractNumId w:val="5"/>
  </w:num>
  <w:num w:numId="8" w16cid:durableId="1015839901">
    <w:abstractNumId w:val="14"/>
  </w:num>
  <w:num w:numId="9" w16cid:durableId="1791045330">
    <w:abstractNumId w:val="15"/>
  </w:num>
  <w:num w:numId="10" w16cid:durableId="1361126413">
    <w:abstractNumId w:val="12"/>
  </w:num>
  <w:num w:numId="11" w16cid:durableId="464196913">
    <w:abstractNumId w:val="10"/>
  </w:num>
  <w:num w:numId="12" w16cid:durableId="335576563">
    <w:abstractNumId w:val="4"/>
  </w:num>
  <w:num w:numId="13" w16cid:durableId="1970697024">
    <w:abstractNumId w:val="7"/>
  </w:num>
  <w:num w:numId="14" w16cid:durableId="30037976">
    <w:abstractNumId w:val="11"/>
  </w:num>
  <w:num w:numId="15" w16cid:durableId="868690450">
    <w:abstractNumId w:val="8"/>
  </w:num>
  <w:num w:numId="16" w16cid:durableId="14708993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768F"/>
    <w:rsid w:val="0000360C"/>
    <w:rsid w:val="000041F9"/>
    <w:rsid w:val="00006D00"/>
    <w:rsid w:val="000111C3"/>
    <w:rsid w:val="00011272"/>
    <w:rsid w:val="000131C8"/>
    <w:rsid w:val="000136E8"/>
    <w:rsid w:val="000141CE"/>
    <w:rsid w:val="00015630"/>
    <w:rsid w:val="00015EE3"/>
    <w:rsid w:val="00016440"/>
    <w:rsid w:val="00020C45"/>
    <w:rsid w:val="00021DAE"/>
    <w:rsid w:val="00026099"/>
    <w:rsid w:val="00027E38"/>
    <w:rsid w:val="00030BE1"/>
    <w:rsid w:val="00030D3B"/>
    <w:rsid w:val="00031AB4"/>
    <w:rsid w:val="00032AAF"/>
    <w:rsid w:val="00032CA8"/>
    <w:rsid w:val="00032E2B"/>
    <w:rsid w:val="000339F0"/>
    <w:rsid w:val="00034E06"/>
    <w:rsid w:val="000352B0"/>
    <w:rsid w:val="00035BA8"/>
    <w:rsid w:val="00036D68"/>
    <w:rsid w:val="000377E9"/>
    <w:rsid w:val="00037C1F"/>
    <w:rsid w:val="00040138"/>
    <w:rsid w:val="0004064C"/>
    <w:rsid w:val="00040A64"/>
    <w:rsid w:val="00040CC6"/>
    <w:rsid w:val="00043383"/>
    <w:rsid w:val="00043755"/>
    <w:rsid w:val="000438DF"/>
    <w:rsid w:val="0004476B"/>
    <w:rsid w:val="00045D50"/>
    <w:rsid w:val="00047A96"/>
    <w:rsid w:val="000502AA"/>
    <w:rsid w:val="00051802"/>
    <w:rsid w:val="00051B13"/>
    <w:rsid w:val="00052D56"/>
    <w:rsid w:val="00053ED5"/>
    <w:rsid w:val="000548F9"/>
    <w:rsid w:val="00054A81"/>
    <w:rsid w:val="00055831"/>
    <w:rsid w:val="00055A1E"/>
    <w:rsid w:val="00056336"/>
    <w:rsid w:val="00056801"/>
    <w:rsid w:val="00056AD1"/>
    <w:rsid w:val="00062102"/>
    <w:rsid w:val="000649E7"/>
    <w:rsid w:val="00064FEE"/>
    <w:rsid w:val="00065132"/>
    <w:rsid w:val="00065CF8"/>
    <w:rsid w:val="00067B78"/>
    <w:rsid w:val="00071812"/>
    <w:rsid w:val="00075C1D"/>
    <w:rsid w:val="000773A7"/>
    <w:rsid w:val="000779FF"/>
    <w:rsid w:val="00082E8E"/>
    <w:rsid w:val="000836EA"/>
    <w:rsid w:val="000837AA"/>
    <w:rsid w:val="00083BD3"/>
    <w:rsid w:val="00083C51"/>
    <w:rsid w:val="00083DD1"/>
    <w:rsid w:val="0008437C"/>
    <w:rsid w:val="00084673"/>
    <w:rsid w:val="0008621D"/>
    <w:rsid w:val="00086407"/>
    <w:rsid w:val="000913F2"/>
    <w:rsid w:val="00091A98"/>
    <w:rsid w:val="00091B0A"/>
    <w:rsid w:val="0009220C"/>
    <w:rsid w:val="000929DA"/>
    <w:rsid w:val="00092A33"/>
    <w:rsid w:val="00092CCB"/>
    <w:rsid w:val="00093F28"/>
    <w:rsid w:val="00094D2C"/>
    <w:rsid w:val="000953BD"/>
    <w:rsid w:val="00095BE2"/>
    <w:rsid w:val="00096C6B"/>
    <w:rsid w:val="000973CF"/>
    <w:rsid w:val="000A2508"/>
    <w:rsid w:val="000A2EA8"/>
    <w:rsid w:val="000A3D22"/>
    <w:rsid w:val="000A3D66"/>
    <w:rsid w:val="000A3F65"/>
    <w:rsid w:val="000A4D30"/>
    <w:rsid w:val="000A5072"/>
    <w:rsid w:val="000A6BD2"/>
    <w:rsid w:val="000A778D"/>
    <w:rsid w:val="000B0099"/>
    <w:rsid w:val="000B0D48"/>
    <w:rsid w:val="000B13A9"/>
    <w:rsid w:val="000B13F9"/>
    <w:rsid w:val="000B4C9F"/>
    <w:rsid w:val="000B6BA1"/>
    <w:rsid w:val="000B7ACD"/>
    <w:rsid w:val="000C0D18"/>
    <w:rsid w:val="000C1CE1"/>
    <w:rsid w:val="000C3AD8"/>
    <w:rsid w:val="000C5D8E"/>
    <w:rsid w:val="000C67DA"/>
    <w:rsid w:val="000C7EE5"/>
    <w:rsid w:val="000D5A89"/>
    <w:rsid w:val="000D6102"/>
    <w:rsid w:val="000E373C"/>
    <w:rsid w:val="000E3BE2"/>
    <w:rsid w:val="000E4375"/>
    <w:rsid w:val="000E5145"/>
    <w:rsid w:val="000E6657"/>
    <w:rsid w:val="000E7C75"/>
    <w:rsid w:val="000E7F86"/>
    <w:rsid w:val="000F68A5"/>
    <w:rsid w:val="000F6B19"/>
    <w:rsid w:val="000F6FF6"/>
    <w:rsid w:val="001008CE"/>
    <w:rsid w:val="001011DB"/>
    <w:rsid w:val="001014F4"/>
    <w:rsid w:val="00103C8A"/>
    <w:rsid w:val="00104744"/>
    <w:rsid w:val="001049E9"/>
    <w:rsid w:val="0010596F"/>
    <w:rsid w:val="0011224E"/>
    <w:rsid w:val="00112F1A"/>
    <w:rsid w:val="0011353E"/>
    <w:rsid w:val="001164A1"/>
    <w:rsid w:val="001216CB"/>
    <w:rsid w:val="00121ADC"/>
    <w:rsid w:val="00121C8F"/>
    <w:rsid w:val="00121E9E"/>
    <w:rsid w:val="00122BE1"/>
    <w:rsid w:val="001245EA"/>
    <w:rsid w:val="001257A9"/>
    <w:rsid w:val="00126698"/>
    <w:rsid w:val="0012762C"/>
    <w:rsid w:val="001277E6"/>
    <w:rsid w:val="001300EB"/>
    <w:rsid w:val="001303CC"/>
    <w:rsid w:val="001305DE"/>
    <w:rsid w:val="00133A0A"/>
    <w:rsid w:val="00134291"/>
    <w:rsid w:val="0013438F"/>
    <w:rsid w:val="00134799"/>
    <w:rsid w:val="001352FE"/>
    <w:rsid w:val="00136238"/>
    <w:rsid w:val="00136442"/>
    <w:rsid w:val="00141E5A"/>
    <w:rsid w:val="001437B2"/>
    <w:rsid w:val="00143870"/>
    <w:rsid w:val="001443F2"/>
    <w:rsid w:val="00145F62"/>
    <w:rsid w:val="00147300"/>
    <w:rsid w:val="00150B01"/>
    <w:rsid w:val="00153308"/>
    <w:rsid w:val="0015434D"/>
    <w:rsid w:val="0015705A"/>
    <w:rsid w:val="001573DE"/>
    <w:rsid w:val="00160DDD"/>
    <w:rsid w:val="00160DFD"/>
    <w:rsid w:val="00160F8F"/>
    <w:rsid w:val="001610C3"/>
    <w:rsid w:val="0016429B"/>
    <w:rsid w:val="0016548B"/>
    <w:rsid w:val="00171533"/>
    <w:rsid w:val="00174E8C"/>
    <w:rsid w:val="00175436"/>
    <w:rsid w:val="00175C4C"/>
    <w:rsid w:val="00176A36"/>
    <w:rsid w:val="00177DED"/>
    <w:rsid w:val="00184E92"/>
    <w:rsid w:val="00191AB9"/>
    <w:rsid w:val="00191B2A"/>
    <w:rsid w:val="00191D97"/>
    <w:rsid w:val="00192E8E"/>
    <w:rsid w:val="0019427A"/>
    <w:rsid w:val="0019515A"/>
    <w:rsid w:val="00195510"/>
    <w:rsid w:val="00195A51"/>
    <w:rsid w:val="00195E7E"/>
    <w:rsid w:val="00197B12"/>
    <w:rsid w:val="001A05F1"/>
    <w:rsid w:val="001A2419"/>
    <w:rsid w:val="001A5B0F"/>
    <w:rsid w:val="001B2437"/>
    <w:rsid w:val="001B452A"/>
    <w:rsid w:val="001B57BE"/>
    <w:rsid w:val="001B5890"/>
    <w:rsid w:val="001C0F60"/>
    <w:rsid w:val="001C1217"/>
    <w:rsid w:val="001C3298"/>
    <w:rsid w:val="001C343C"/>
    <w:rsid w:val="001C39F8"/>
    <w:rsid w:val="001C4B35"/>
    <w:rsid w:val="001C56E6"/>
    <w:rsid w:val="001C72C2"/>
    <w:rsid w:val="001D3136"/>
    <w:rsid w:val="001D40A0"/>
    <w:rsid w:val="001D68F9"/>
    <w:rsid w:val="001D6AAF"/>
    <w:rsid w:val="001D7CE9"/>
    <w:rsid w:val="001D7E05"/>
    <w:rsid w:val="001E1167"/>
    <w:rsid w:val="001E1B41"/>
    <w:rsid w:val="001E1FBC"/>
    <w:rsid w:val="001E20A9"/>
    <w:rsid w:val="001E2B83"/>
    <w:rsid w:val="001E3392"/>
    <w:rsid w:val="001E38B9"/>
    <w:rsid w:val="001E4731"/>
    <w:rsid w:val="001E4C57"/>
    <w:rsid w:val="001E50FB"/>
    <w:rsid w:val="001E532C"/>
    <w:rsid w:val="001E5F82"/>
    <w:rsid w:val="001E601A"/>
    <w:rsid w:val="001E6E13"/>
    <w:rsid w:val="001E7213"/>
    <w:rsid w:val="001F0266"/>
    <w:rsid w:val="001F141A"/>
    <w:rsid w:val="001F2FAA"/>
    <w:rsid w:val="001F36F5"/>
    <w:rsid w:val="001F4870"/>
    <w:rsid w:val="001F5025"/>
    <w:rsid w:val="00200E29"/>
    <w:rsid w:val="00202D2B"/>
    <w:rsid w:val="002033A7"/>
    <w:rsid w:val="00203A97"/>
    <w:rsid w:val="00203D7B"/>
    <w:rsid w:val="00203EB8"/>
    <w:rsid w:val="00204BE2"/>
    <w:rsid w:val="002121C7"/>
    <w:rsid w:val="00213E3D"/>
    <w:rsid w:val="00214243"/>
    <w:rsid w:val="00214901"/>
    <w:rsid w:val="00215243"/>
    <w:rsid w:val="00216766"/>
    <w:rsid w:val="00216C2F"/>
    <w:rsid w:val="00217025"/>
    <w:rsid w:val="00217A48"/>
    <w:rsid w:val="002213BD"/>
    <w:rsid w:val="0022233D"/>
    <w:rsid w:val="0022419B"/>
    <w:rsid w:val="002253D4"/>
    <w:rsid w:val="00226F83"/>
    <w:rsid w:val="00226FA9"/>
    <w:rsid w:val="00227EE9"/>
    <w:rsid w:val="0023269B"/>
    <w:rsid w:val="00233CDE"/>
    <w:rsid w:val="002369F4"/>
    <w:rsid w:val="00236B65"/>
    <w:rsid w:val="002377EE"/>
    <w:rsid w:val="0025201E"/>
    <w:rsid w:val="002525B0"/>
    <w:rsid w:val="002539B2"/>
    <w:rsid w:val="00254ECA"/>
    <w:rsid w:val="00255081"/>
    <w:rsid w:val="002552AE"/>
    <w:rsid w:val="002554A1"/>
    <w:rsid w:val="00255EDE"/>
    <w:rsid w:val="002608BC"/>
    <w:rsid w:val="002620D0"/>
    <w:rsid w:val="00264968"/>
    <w:rsid w:val="00265224"/>
    <w:rsid w:val="00266D1F"/>
    <w:rsid w:val="002671EE"/>
    <w:rsid w:val="00267D24"/>
    <w:rsid w:val="002749A0"/>
    <w:rsid w:val="00274FEF"/>
    <w:rsid w:val="00275B6C"/>
    <w:rsid w:val="0027687E"/>
    <w:rsid w:val="00276FD5"/>
    <w:rsid w:val="002811E5"/>
    <w:rsid w:val="002827D1"/>
    <w:rsid w:val="00282A49"/>
    <w:rsid w:val="00282F9C"/>
    <w:rsid w:val="002840AC"/>
    <w:rsid w:val="0028439D"/>
    <w:rsid w:val="00286506"/>
    <w:rsid w:val="00286DAE"/>
    <w:rsid w:val="002871C1"/>
    <w:rsid w:val="0029045A"/>
    <w:rsid w:val="00290B58"/>
    <w:rsid w:val="00292019"/>
    <w:rsid w:val="00293C3C"/>
    <w:rsid w:val="002942A0"/>
    <w:rsid w:val="002A02D3"/>
    <w:rsid w:val="002A121C"/>
    <w:rsid w:val="002A4C2F"/>
    <w:rsid w:val="002A58E8"/>
    <w:rsid w:val="002A6BF0"/>
    <w:rsid w:val="002B1107"/>
    <w:rsid w:val="002B536C"/>
    <w:rsid w:val="002B7907"/>
    <w:rsid w:val="002B7DC0"/>
    <w:rsid w:val="002C1556"/>
    <w:rsid w:val="002C391C"/>
    <w:rsid w:val="002C5B80"/>
    <w:rsid w:val="002C5FC1"/>
    <w:rsid w:val="002D1114"/>
    <w:rsid w:val="002D1465"/>
    <w:rsid w:val="002D555B"/>
    <w:rsid w:val="002D66AB"/>
    <w:rsid w:val="002E2B6C"/>
    <w:rsid w:val="002E4267"/>
    <w:rsid w:val="002E44A5"/>
    <w:rsid w:val="002E4DD4"/>
    <w:rsid w:val="002E700F"/>
    <w:rsid w:val="002E7AD6"/>
    <w:rsid w:val="002F094B"/>
    <w:rsid w:val="002F2CFC"/>
    <w:rsid w:val="002F4509"/>
    <w:rsid w:val="002F4710"/>
    <w:rsid w:val="002F4D8C"/>
    <w:rsid w:val="002F5687"/>
    <w:rsid w:val="00300F40"/>
    <w:rsid w:val="00303646"/>
    <w:rsid w:val="00303DA8"/>
    <w:rsid w:val="00304223"/>
    <w:rsid w:val="00307ED3"/>
    <w:rsid w:val="0031187C"/>
    <w:rsid w:val="00311B03"/>
    <w:rsid w:val="00311F3D"/>
    <w:rsid w:val="00312975"/>
    <w:rsid w:val="00312BC4"/>
    <w:rsid w:val="0031497A"/>
    <w:rsid w:val="00315BA4"/>
    <w:rsid w:val="003175A9"/>
    <w:rsid w:val="003179BB"/>
    <w:rsid w:val="0032026D"/>
    <w:rsid w:val="003205A7"/>
    <w:rsid w:val="00320920"/>
    <w:rsid w:val="0032293E"/>
    <w:rsid w:val="00324F42"/>
    <w:rsid w:val="00325C89"/>
    <w:rsid w:val="00325EC8"/>
    <w:rsid w:val="00326E02"/>
    <w:rsid w:val="00326E9F"/>
    <w:rsid w:val="003319B7"/>
    <w:rsid w:val="0033280B"/>
    <w:rsid w:val="0033362E"/>
    <w:rsid w:val="003341BB"/>
    <w:rsid w:val="003351E4"/>
    <w:rsid w:val="0033628B"/>
    <w:rsid w:val="00336BC8"/>
    <w:rsid w:val="003372CA"/>
    <w:rsid w:val="00337BBE"/>
    <w:rsid w:val="00340797"/>
    <w:rsid w:val="003410A2"/>
    <w:rsid w:val="0034237E"/>
    <w:rsid w:val="00342A23"/>
    <w:rsid w:val="00344A3A"/>
    <w:rsid w:val="00345574"/>
    <w:rsid w:val="00346360"/>
    <w:rsid w:val="003506C9"/>
    <w:rsid w:val="00351098"/>
    <w:rsid w:val="00351A62"/>
    <w:rsid w:val="00353380"/>
    <w:rsid w:val="003549EF"/>
    <w:rsid w:val="00356312"/>
    <w:rsid w:val="003579EB"/>
    <w:rsid w:val="003613C2"/>
    <w:rsid w:val="003618EB"/>
    <w:rsid w:val="00365DB5"/>
    <w:rsid w:val="00366647"/>
    <w:rsid w:val="0037070E"/>
    <w:rsid w:val="003712BC"/>
    <w:rsid w:val="0037372A"/>
    <w:rsid w:val="00374EBE"/>
    <w:rsid w:val="00382B8C"/>
    <w:rsid w:val="0038326C"/>
    <w:rsid w:val="00383E07"/>
    <w:rsid w:val="003863A6"/>
    <w:rsid w:val="003873A4"/>
    <w:rsid w:val="003915AE"/>
    <w:rsid w:val="00391D73"/>
    <w:rsid w:val="003928BC"/>
    <w:rsid w:val="00394551"/>
    <w:rsid w:val="0039549B"/>
    <w:rsid w:val="00395E68"/>
    <w:rsid w:val="003A20FB"/>
    <w:rsid w:val="003A2B26"/>
    <w:rsid w:val="003A2CD2"/>
    <w:rsid w:val="003A3E5F"/>
    <w:rsid w:val="003A4583"/>
    <w:rsid w:val="003A5490"/>
    <w:rsid w:val="003A7B91"/>
    <w:rsid w:val="003B1918"/>
    <w:rsid w:val="003B5847"/>
    <w:rsid w:val="003B72F4"/>
    <w:rsid w:val="003B73EB"/>
    <w:rsid w:val="003C0186"/>
    <w:rsid w:val="003C1ABC"/>
    <w:rsid w:val="003C5146"/>
    <w:rsid w:val="003C5DA7"/>
    <w:rsid w:val="003C60A2"/>
    <w:rsid w:val="003D1610"/>
    <w:rsid w:val="003D33AD"/>
    <w:rsid w:val="003D47BA"/>
    <w:rsid w:val="003D6476"/>
    <w:rsid w:val="003D6C9C"/>
    <w:rsid w:val="003E0E09"/>
    <w:rsid w:val="003E1129"/>
    <w:rsid w:val="003E3CAF"/>
    <w:rsid w:val="003E4C03"/>
    <w:rsid w:val="003E6DAB"/>
    <w:rsid w:val="003E7607"/>
    <w:rsid w:val="003E7775"/>
    <w:rsid w:val="003F1C07"/>
    <w:rsid w:val="003F2E07"/>
    <w:rsid w:val="003F3C77"/>
    <w:rsid w:val="003F4CB7"/>
    <w:rsid w:val="003F54C5"/>
    <w:rsid w:val="003F6787"/>
    <w:rsid w:val="003F6D94"/>
    <w:rsid w:val="003F7673"/>
    <w:rsid w:val="00400F8C"/>
    <w:rsid w:val="00402593"/>
    <w:rsid w:val="004061F1"/>
    <w:rsid w:val="00406409"/>
    <w:rsid w:val="004134DE"/>
    <w:rsid w:val="0041440B"/>
    <w:rsid w:val="00414D8F"/>
    <w:rsid w:val="0041535E"/>
    <w:rsid w:val="00415DB8"/>
    <w:rsid w:val="0042323A"/>
    <w:rsid w:val="00423F5B"/>
    <w:rsid w:val="00423FAC"/>
    <w:rsid w:val="00424720"/>
    <w:rsid w:val="00425BFA"/>
    <w:rsid w:val="00425EC8"/>
    <w:rsid w:val="00427388"/>
    <w:rsid w:val="00430951"/>
    <w:rsid w:val="00430B4F"/>
    <w:rsid w:val="00431BC6"/>
    <w:rsid w:val="004322F2"/>
    <w:rsid w:val="0043352C"/>
    <w:rsid w:val="00433D3F"/>
    <w:rsid w:val="0043795A"/>
    <w:rsid w:val="00441D33"/>
    <w:rsid w:val="0044455E"/>
    <w:rsid w:val="00444F29"/>
    <w:rsid w:val="00445178"/>
    <w:rsid w:val="0045188E"/>
    <w:rsid w:val="00453235"/>
    <w:rsid w:val="00453D5D"/>
    <w:rsid w:val="004554C7"/>
    <w:rsid w:val="00464084"/>
    <w:rsid w:val="00464773"/>
    <w:rsid w:val="004660A9"/>
    <w:rsid w:val="00470EC2"/>
    <w:rsid w:val="0047250F"/>
    <w:rsid w:val="004725EA"/>
    <w:rsid w:val="0047307A"/>
    <w:rsid w:val="0047369F"/>
    <w:rsid w:val="004750AC"/>
    <w:rsid w:val="0047686E"/>
    <w:rsid w:val="004774D1"/>
    <w:rsid w:val="00477CA3"/>
    <w:rsid w:val="00480C49"/>
    <w:rsid w:val="00482B49"/>
    <w:rsid w:val="00482FCA"/>
    <w:rsid w:val="00483162"/>
    <w:rsid w:val="00485AE2"/>
    <w:rsid w:val="00486639"/>
    <w:rsid w:val="004877ED"/>
    <w:rsid w:val="00490C65"/>
    <w:rsid w:val="00494293"/>
    <w:rsid w:val="00494F2A"/>
    <w:rsid w:val="00496037"/>
    <w:rsid w:val="00496FFB"/>
    <w:rsid w:val="004979BA"/>
    <w:rsid w:val="004A1CA1"/>
    <w:rsid w:val="004A3666"/>
    <w:rsid w:val="004A3A18"/>
    <w:rsid w:val="004A3AA6"/>
    <w:rsid w:val="004A3EC7"/>
    <w:rsid w:val="004A4416"/>
    <w:rsid w:val="004A6B1B"/>
    <w:rsid w:val="004A7462"/>
    <w:rsid w:val="004B0B57"/>
    <w:rsid w:val="004B11A3"/>
    <w:rsid w:val="004B2CF1"/>
    <w:rsid w:val="004B4F22"/>
    <w:rsid w:val="004C20E9"/>
    <w:rsid w:val="004C2321"/>
    <w:rsid w:val="004C232A"/>
    <w:rsid w:val="004C246B"/>
    <w:rsid w:val="004C25FB"/>
    <w:rsid w:val="004C3EA0"/>
    <w:rsid w:val="004C56BF"/>
    <w:rsid w:val="004C6BC5"/>
    <w:rsid w:val="004C7AA9"/>
    <w:rsid w:val="004D0EC0"/>
    <w:rsid w:val="004D27BD"/>
    <w:rsid w:val="004D2B65"/>
    <w:rsid w:val="004D493B"/>
    <w:rsid w:val="004D4CCE"/>
    <w:rsid w:val="004D5CC2"/>
    <w:rsid w:val="004D7697"/>
    <w:rsid w:val="004D7CDF"/>
    <w:rsid w:val="004E155C"/>
    <w:rsid w:val="004E1ECC"/>
    <w:rsid w:val="004E259A"/>
    <w:rsid w:val="004E3071"/>
    <w:rsid w:val="004E388B"/>
    <w:rsid w:val="004E5736"/>
    <w:rsid w:val="004E65EF"/>
    <w:rsid w:val="004E6C09"/>
    <w:rsid w:val="004E7735"/>
    <w:rsid w:val="004F26F0"/>
    <w:rsid w:val="004F2BD8"/>
    <w:rsid w:val="004F3E93"/>
    <w:rsid w:val="004F429E"/>
    <w:rsid w:val="004F4554"/>
    <w:rsid w:val="004F6416"/>
    <w:rsid w:val="004F66BC"/>
    <w:rsid w:val="00501145"/>
    <w:rsid w:val="00502206"/>
    <w:rsid w:val="005025F8"/>
    <w:rsid w:val="00504693"/>
    <w:rsid w:val="00504B63"/>
    <w:rsid w:val="00507DEE"/>
    <w:rsid w:val="00510BA1"/>
    <w:rsid w:val="00513254"/>
    <w:rsid w:val="0051376F"/>
    <w:rsid w:val="00513B27"/>
    <w:rsid w:val="00514199"/>
    <w:rsid w:val="00514963"/>
    <w:rsid w:val="00517440"/>
    <w:rsid w:val="00517572"/>
    <w:rsid w:val="00520AC3"/>
    <w:rsid w:val="00523A82"/>
    <w:rsid w:val="0052451A"/>
    <w:rsid w:val="00525903"/>
    <w:rsid w:val="00525EE8"/>
    <w:rsid w:val="00527049"/>
    <w:rsid w:val="005272F1"/>
    <w:rsid w:val="005311E7"/>
    <w:rsid w:val="00532CC4"/>
    <w:rsid w:val="00532DD7"/>
    <w:rsid w:val="00532EBB"/>
    <w:rsid w:val="00534E34"/>
    <w:rsid w:val="005363EA"/>
    <w:rsid w:val="0054447B"/>
    <w:rsid w:val="00544880"/>
    <w:rsid w:val="00545734"/>
    <w:rsid w:val="00545A49"/>
    <w:rsid w:val="00552698"/>
    <w:rsid w:val="0055292D"/>
    <w:rsid w:val="0055373E"/>
    <w:rsid w:val="00555938"/>
    <w:rsid w:val="005559AD"/>
    <w:rsid w:val="00562D7C"/>
    <w:rsid w:val="0056304F"/>
    <w:rsid w:val="005634C4"/>
    <w:rsid w:val="00563A64"/>
    <w:rsid w:val="00566CF1"/>
    <w:rsid w:val="00566D0B"/>
    <w:rsid w:val="005712F5"/>
    <w:rsid w:val="00572276"/>
    <w:rsid w:val="00575B88"/>
    <w:rsid w:val="00576C11"/>
    <w:rsid w:val="00580A8F"/>
    <w:rsid w:val="00580C74"/>
    <w:rsid w:val="005819B5"/>
    <w:rsid w:val="00582D1A"/>
    <w:rsid w:val="005833F7"/>
    <w:rsid w:val="00583F4A"/>
    <w:rsid w:val="00590123"/>
    <w:rsid w:val="00590C37"/>
    <w:rsid w:val="00591233"/>
    <w:rsid w:val="00595401"/>
    <w:rsid w:val="005956C6"/>
    <w:rsid w:val="00595FF0"/>
    <w:rsid w:val="005975C5"/>
    <w:rsid w:val="005A01C4"/>
    <w:rsid w:val="005A06EC"/>
    <w:rsid w:val="005A1DC8"/>
    <w:rsid w:val="005A48E3"/>
    <w:rsid w:val="005A5995"/>
    <w:rsid w:val="005B03B1"/>
    <w:rsid w:val="005B09C1"/>
    <w:rsid w:val="005B0AA9"/>
    <w:rsid w:val="005B1037"/>
    <w:rsid w:val="005B2B3D"/>
    <w:rsid w:val="005B4CD6"/>
    <w:rsid w:val="005B6D77"/>
    <w:rsid w:val="005B77D7"/>
    <w:rsid w:val="005B7AF0"/>
    <w:rsid w:val="005C172D"/>
    <w:rsid w:val="005C19D3"/>
    <w:rsid w:val="005C2C6D"/>
    <w:rsid w:val="005C6D82"/>
    <w:rsid w:val="005D054D"/>
    <w:rsid w:val="005D28A6"/>
    <w:rsid w:val="005D2BF2"/>
    <w:rsid w:val="005D64AB"/>
    <w:rsid w:val="005E0DEA"/>
    <w:rsid w:val="005E113E"/>
    <w:rsid w:val="005E1A59"/>
    <w:rsid w:val="005E276B"/>
    <w:rsid w:val="005E722F"/>
    <w:rsid w:val="005F17BB"/>
    <w:rsid w:val="005F2893"/>
    <w:rsid w:val="005F3049"/>
    <w:rsid w:val="005F3FE6"/>
    <w:rsid w:val="005F40C6"/>
    <w:rsid w:val="005F41BA"/>
    <w:rsid w:val="005F474A"/>
    <w:rsid w:val="005F48ED"/>
    <w:rsid w:val="005F5C08"/>
    <w:rsid w:val="005F6800"/>
    <w:rsid w:val="005F6C33"/>
    <w:rsid w:val="00603389"/>
    <w:rsid w:val="00603D06"/>
    <w:rsid w:val="00606D14"/>
    <w:rsid w:val="00611AD0"/>
    <w:rsid w:val="00611EB5"/>
    <w:rsid w:val="00616B5B"/>
    <w:rsid w:val="006175D5"/>
    <w:rsid w:val="00620952"/>
    <w:rsid w:val="006209B2"/>
    <w:rsid w:val="006224FE"/>
    <w:rsid w:val="0062286E"/>
    <w:rsid w:val="00622AE5"/>
    <w:rsid w:val="00623646"/>
    <w:rsid w:val="00625A37"/>
    <w:rsid w:val="00626BC0"/>
    <w:rsid w:val="00631C2C"/>
    <w:rsid w:val="00632A91"/>
    <w:rsid w:val="00633B42"/>
    <w:rsid w:val="00635C1B"/>
    <w:rsid w:val="00636157"/>
    <w:rsid w:val="00637962"/>
    <w:rsid w:val="00637E07"/>
    <w:rsid w:val="006400D7"/>
    <w:rsid w:val="00641497"/>
    <w:rsid w:val="006453C5"/>
    <w:rsid w:val="0064727C"/>
    <w:rsid w:val="00647F6F"/>
    <w:rsid w:val="00650076"/>
    <w:rsid w:val="00650671"/>
    <w:rsid w:val="006524DD"/>
    <w:rsid w:val="00652ECC"/>
    <w:rsid w:val="0065365B"/>
    <w:rsid w:val="006547C8"/>
    <w:rsid w:val="00655794"/>
    <w:rsid w:val="00655A83"/>
    <w:rsid w:val="00656CFC"/>
    <w:rsid w:val="006611AF"/>
    <w:rsid w:val="0066159F"/>
    <w:rsid w:val="006620F9"/>
    <w:rsid w:val="0066275A"/>
    <w:rsid w:val="00662FD7"/>
    <w:rsid w:val="00672CF8"/>
    <w:rsid w:val="006730E9"/>
    <w:rsid w:val="00674B32"/>
    <w:rsid w:val="00675564"/>
    <w:rsid w:val="006757C4"/>
    <w:rsid w:val="00677047"/>
    <w:rsid w:val="00680869"/>
    <w:rsid w:val="0068205F"/>
    <w:rsid w:val="00684544"/>
    <w:rsid w:val="00684B81"/>
    <w:rsid w:val="00685E93"/>
    <w:rsid w:val="00687489"/>
    <w:rsid w:val="00687E70"/>
    <w:rsid w:val="00687FAC"/>
    <w:rsid w:val="006918D2"/>
    <w:rsid w:val="00691A18"/>
    <w:rsid w:val="00692D62"/>
    <w:rsid w:val="006936D5"/>
    <w:rsid w:val="006937B6"/>
    <w:rsid w:val="00693CDB"/>
    <w:rsid w:val="006972B9"/>
    <w:rsid w:val="00697C5C"/>
    <w:rsid w:val="006A38B4"/>
    <w:rsid w:val="006A6BAF"/>
    <w:rsid w:val="006A7F9D"/>
    <w:rsid w:val="006B3378"/>
    <w:rsid w:val="006B3ABC"/>
    <w:rsid w:val="006B5F96"/>
    <w:rsid w:val="006B72CF"/>
    <w:rsid w:val="006C4932"/>
    <w:rsid w:val="006C573A"/>
    <w:rsid w:val="006C5BE9"/>
    <w:rsid w:val="006C65DA"/>
    <w:rsid w:val="006C7946"/>
    <w:rsid w:val="006D030D"/>
    <w:rsid w:val="006D0884"/>
    <w:rsid w:val="006D1E69"/>
    <w:rsid w:val="006D2114"/>
    <w:rsid w:val="006D2586"/>
    <w:rsid w:val="006D33E6"/>
    <w:rsid w:val="006D42E5"/>
    <w:rsid w:val="006D4896"/>
    <w:rsid w:val="006D56C0"/>
    <w:rsid w:val="006E015C"/>
    <w:rsid w:val="006E299D"/>
    <w:rsid w:val="006E2C49"/>
    <w:rsid w:val="006E310B"/>
    <w:rsid w:val="006E38F6"/>
    <w:rsid w:val="006E3A3C"/>
    <w:rsid w:val="006E5B49"/>
    <w:rsid w:val="006E5D58"/>
    <w:rsid w:val="006E657C"/>
    <w:rsid w:val="006E7544"/>
    <w:rsid w:val="006F0EB3"/>
    <w:rsid w:val="006F137A"/>
    <w:rsid w:val="006F222E"/>
    <w:rsid w:val="006F2434"/>
    <w:rsid w:val="006F2459"/>
    <w:rsid w:val="006F2469"/>
    <w:rsid w:val="006F4E4E"/>
    <w:rsid w:val="006F59DA"/>
    <w:rsid w:val="006F5D53"/>
    <w:rsid w:val="006F666E"/>
    <w:rsid w:val="00700EBF"/>
    <w:rsid w:val="007051F5"/>
    <w:rsid w:val="00705433"/>
    <w:rsid w:val="007062DF"/>
    <w:rsid w:val="007102D1"/>
    <w:rsid w:val="0071044E"/>
    <w:rsid w:val="007108A2"/>
    <w:rsid w:val="007122F4"/>
    <w:rsid w:val="00713FCD"/>
    <w:rsid w:val="00714BC8"/>
    <w:rsid w:val="00715982"/>
    <w:rsid w:val="00720FBA"/>
    <w:rsid w:val="007239F8"/>
    <w:rsid w:val="00724938"/>
    <w:rsid w:val="00725C4C"/>
    <w:rsid w:val="00725F19"/>
    <w:rsid w:val="007265D0"/>
    <w:rsid w:val="00730405"/>
    <w:rsid w:val="00731D01"/>
    <w:rsid w:val="00732CB4"/>
    <w:rsid w:val="00733900"/>
    <w:rsid w:val="007355FD"/>
    <w:rsid w:val="00736255"/>
    <w:rsid w:val="0073678C"/>
    <w:rsid w:val="00736911"/>
    <w:rsid w:val="007369D4"/>
    <w:rsid w:val="00737A60"/>
    <w:rsid w:val="00737FD8"/>
    <w:rsid w:val="007425E1"/>
    <w:rsid w:val="00743154"/>
    <w:rsid w:val="00743527"/>
    <w:rsid w:val="00743DA9"/>
    <w:rsid w:val="00744505"/>
    <w:rsid w:val="00745081"/>
    <w:rsid w:val="0074519C"/>
    <w:rsid w:val="007458E0"/>
    <w:rsid w:val="00745BC8"/>
    <w:rsid w:val="00746C2D"/>
    <w:rsid w:val="00752768"/>
    <w:rsid w:val="0075467B"/>
    <w:rsid w:val="00757865"/>
    <w:rsid w:val="00761EC9"/>
    <w:rsid w:val="00766281"/>
    <w:rsid w:val="0076702B"/>
    <w:rsid w:val="007676D3"/>
    <w:rsid w:val="007716B6"/>
    <w:rsid w:val="00771D16"/>
    <w:rsid w:val="00772D2B"/>
    <w:rsid w:val="00777E33"/>
    <w:rsid w:val="007813A5"/>
    <w:rsid w:val="00786D16"/>
    <w:rsid w:val="00791885"/>
    <w:rsid w:val="00791D31"/>
    <w:rsid w:val="00792586"/>
    <w:rsid w:val="007953B6"/>
    <w:rsid w:val="00795BB2"/>
    <w:rsid w:val="007961C8"/>
    <w:rsid w:val="00796D1C"/>
    <w:rsid w:val="00797FB7"/>
    <w:rsid w:val="007A05CE"/>
    <w:rsid w:val="007A369E"/>
    <w:rsid w:val="007A5508"/>
    <w:rsid w:val="007A55D7"/>
    <w:rsid w:val="007A6AB6"/>
    <w:rsid w:val="007B103F"/>
    <w:rsid w:val="007B129E"/>
    <w:rsid w:val="007B285F"/>
    <w:rsid w:val="007B3E71"/>
    <w:rsid w:val="007B4446"/>
    <w:rsid w:val="007B4B24"/>
    <w:rsid w:val="007B5EB5"/>
    <w:rsid w:val="007B66D9"/>
    <w:rsid w:val="007B73C9"/>
    <w:rsid w:val="007B73E0"/>
    <w:rsid w:val="007C0812"/>
    <w:rsid w:val="007C0D19"/>
    <w:rsid w:val="007C15AF"/>
    <w:rsid w:val="007C27E6"/>
    <w:rsid w:val="007C5942"/>
    <w:rsid w:val="007C64E0"/>
    <w:rsid w:val="007C7C6A"/>
    <w:rsid w:val="007D0120"/>
    <w:rsid w:val="007D066C"/>
    <w:rsid w:val="007D25AF"/>
    <w:rsid w:val="007D2F11"/>
    <w:rsid w:val="007D3E24"/>
    <w:rsid w:val="007D4405"/>
    <w:rsid w:val="007D61F8"/>
    <w:rsid w:val="007D66A1"/>
    <w:rsid w:val="007DC04A"/>
    <w:rsid w:val="007E01C9"/>
    <w:rsid w:val="007E2782"/>
    <w:rsid w:val="007E2F7E"/>
    <w:rsid w:val="007E300C"/>
    <w:rsid w:val="007E349A"/>
    <w:rsid w:val="007E40DB"/>
    <w:rsid w:val="007E5775"/>
    <w:rsid w:val="007F08CC"/>
    <w:rsid w:val="007F15FF"/>
    <w:rsid w:val="007F1EF0"/>
    <w:rsid w:val="007F2117"/>
    <w:rsid w:val="007F39C6"/>
    <w:rsid w:val="007F3AC7"/>
    <w:rsid w:val="007F3D54"/>
    <w:rsid w:val="007F7055"/>
    <w:rsid w:val="007F72DA"/>
    <w:rsid w:val="00801522"/>
    <w:rsid w:val="00803C3F"/>
    <w:rsid w:val="00806020"/>
    <w:rsid w:val="00811156"/>
    <w:rsid w:val="008122C2"/>
    <w:rsid w:val="008133AC"/>
    <w:rsid w:val="00813C1B"/>
    <w:rsid w:val="0081417E"/>
    <w:rsid w:val="008141F5"/>
    <w:rsid w:val="00815F84"/>
    <w:rsid w:val="008246A6"/>
    <w:rsid w:val="008247CA"/>
    <w:rsid w:val="008258C0"/>
    <w:rsid w:val="00826586"/>
    <w:rsid w:val="008267D7"/>
    <w:rsid w:val="00831021"/>
    <w:rsid w:val="008322B2"/>
    <w:rsid w:val="00832E05"/>
    <w:rsid w:val="008340B7"/>
    <w:rsid w:val="00835A38"/>
    <w:rsid w:val="00835DA9"/>
    <w:rsid w:val="00836003"/>
    <w:rsid w:val="00842D4C"/>
    <w:rsid w:val="008443DD"/>
    <w:rsid w:val="00844BA9"/>
    <w:rsid w:val="00844BF9"/>
    <w:rsid w:val="00852C99"/>
    <w:rsid w:val="0085342D"/>
    <w:rsid w:val="00853BE9"/>
    <w:rsid w:val="0085415A"/>
    <w:rsid w:val="008565BC"/>
    <w:rsid w:val="00861A53"/>
    <w:rsid w:val="008621F6"/>
    <w:rsid w:val="00862622"/>
    <w:rsid w:val="00862A48"/>
    <w:rsid w:val="00863900"/>
    <w:rsid w:val="00866CC7"/>
    <w:rsid w:val="0086702D"/>
    <w:rsid w:val="00867955"/>
    <w:rsid w:val="00867B2E"/>
    <w:rsid w:val="00870837"/>
    <w:rsid w:val="00870E1A"/>
    <w:rsid w:val="00874E04"/>
    <w:rsid w:val="00876982"/>
    <w:rsid w:val="00880BB7"/>
    <w:rsid w:val="00880DFD"/>
    <w:rsid w:val="00882659"/>
    <w:rsid w:val="00884080"/>
    <w:rsid w:val="008843DA"/>
    <w:rsid w:val="00886677"/>
    <w:rsid w:val="00890546"/>
    <w:rsid w:val="00890DA8"/>
    <w:rsid w:val="008912F2"/>
    <w:rsid w:val="008921A0"/>
    <w:rsid w:val="00893FB3"/>
    <w:rsid w:val="00893FCA"/>
    <w:rsid w:val="00894BC6"/>
    <w:rsid w:val="008966D2"/>
    <w:rsid w:val="00896703"/>
    <w:rsid w:val="00896F8B"/>
    <w:rsid w:val="008977AE"/>
    <w:rsid w:val="008979F7"/>
    <w:rsid w:val="00897D6C"/>
    <w:rsid w:val="00897EC8"/>
    <w:rsid w:val="008A164F"/>
    <w:rsid w:val="008A1B1A"/>
    <w:rsid w:val="008A2140"/>
    <w:rsid w:val="008A3537"/>
    <w:rsid w:val="008B2432"/>
    <w:rsid w:val="008B26C9"/>
    <w:rsid w:val="008B30AA"/>
    <w:rsid w:val="008B3C9B"/>
    <w:rsid w:val="008B61D7"/>
    <w:rsid w:val="008B681E"/>
    <w:rsid w:val="008C0F69"/>
    <w:rsid w:val="008C11C8"/>
    <w:rsid w:val="008C1717"/>
    <w:rsid w:val="008C31B1"/>
    <w:rsid w:val="008C361D"/>
    <w:rsid w:val="008C3C93"/>
    <w:rsid w:val="008C6774"/>
    <w:rsid w:val="008D1B71"/>
    <w:rsid w:val="008D2817"/>
    <w:rsid w:val="008D4308"/>
    <w:rsid w:val="008D545D"/>
    <w:rsid w:val="008D6291"/>
    <w:rsid w:val="008D764D"/>
    <w:rsid w:val="008E0224"/>
    <w:rsid w:val="008E08E5"/>
    <w:rsid w:val="008E0D66"/>
    <w:rsid w:val="008E1A60"/>
    <w:rsid w:val="008E5C1D"/>
    <w:rsid w:val="008E68FB"/>
    <w:rsid w:val="008F0A0E"/>
    <w:rsid w:val="008F1038"/>
    <w:rsid w:val="008F1E30"/>
    <w:rsid w:val="008F37B5"/>
    <w:rsid w:val="008F40EE"/>
    <w:rsid w:val="008F6ED7"/>
    <w:rsid w:val="00901B9A"/>
    <w:rsid w:val="00902DA0"/>
    <w:rsid w:val="0090460C"/>
    <w:rsid w:val="00910164"/>
    <w:rsid w:val="00911A42"/>
    <w:rsid w:val="0091441C"/>
    <w:rsid w:val="0091538F"/>
    <w:rsid w:val="00916289"/>
    <w:rsid w:val="00920F21"/>
    <w:rsid w:val="009223BD"/>
    <w:rsid w:val="00923648"/>
    <w:rsid w:val="00923C61"/>
    <w:rsid w:val="009242F1"/>
    <w:rsid w:val="009250D2"/>
    <w:rsid w:val="0092530B"/>
    <w:rsid w:val="00926259"/>
    <w:rsid w:val="009267C6"/>
    <w:rsid w:val="00926D75"/>
    <w:rsid w:val="009270F5"/>
    <w:rsid w:val="00927DE6"/>
    <w:rsid w:val="00930C7E"/>
    <w:rsid w:val="009322A9"/>
    <w:rsid w:val="009339AF"/>
    <w:rsid w:val="00941571"/>
    <w:rsid w:val="009436F7"/>
    <w:rsid w:val="009443C8"/>
    <w:rsid w:val="00944B8C"/>
    <w:rsid w:val="009458F1"/>
    <w:rsid w:val="00951419"/>
    <w:rsid w:val="00952001"/>
    <w:rsid w:val="009523C7"/>
    <w:rsid w:val="0095319C"/>
    <w:rsid w:val="0095479D"/>
    <w:rsid w:val="009562DF"/>
    <w:rsid w:val="00956D46"/>
    <w:rsid w:val="00957120"/>
    <w:rsid w:val="009602A8"/>
    <w:rsid w:val="009606B4"/>
    <w:rsid w:val="00962E2E"/>
    <w:rsid w:val="0096303B"/>
    <w:rsid w:val="00967F8B"/>
    <w:rsid w:val="009701CD"/>
    <w:rsid w:val="00970650"/>
    <w:rsid w:val="0097103C"/>
    <w:rsid w:val="0097129A"/>
    <w:rsid w:val="00972864"/>
    <w:rsid w:val="00974560"/>
    <w:rsid w:val="0097494E"/>
    <w:rsid w:val="009753E8"/>
    <w:rsid w:val="0097610F"/>
    <w:rsid w:val="0097668D"/>
    <w:rsid w:val="00976725"/>
    <w:rsid w:val="0098146A"/>
    <w:rsid w:val="00983DD7"/>
    <w:rsid w:val="00985B3A"/>
    <w:rsid w:val="00987A22"/>
    <w:rsid w:val="00990F2A"/>
    <w:rsid w:val="00991D93"/>
    <w:rsid w:val="00993270"/>
    <w:rsid w:val="009933B4"/>
    <w:rsid w:val="00993C50"/>
    <w:rsid w:val="009941DA"/>
    <w:rsid w:val="009944FF"/>
    <w:rsid w:val="00995C2B"/>
    <w:rsid w:val="009A009D"/>
    <w:rsid w:val="009A5212"/>
    <w:rsid w:val="009A5F35"/>
    <w:rsid w:val="009A62D7"/>
    <w:rsid w:val="009B25D3"/>
    <w:rsid w:val="009B2BF3"/>
    <w:rsid w:val="009B2EDC"/>
    <w:rsid w:val="009B3EF2"/>
    <w:rsid w:val="009B4437"/>
    <w:rsid w:val="009B4E90"/>
    <w:rsid w:val="009B573B"/>
    <w:rsid w:val="009B5B8E"/>
    <w:rsid w:val="009B7429"/>
    <w:rsid w:val="009B7E10"/>
    <w:rsid w:val="009C025A"/>
    <w:rsid w:val="009C07DB"/>
    <w:rsid w:val="009C23FE"/>
    <w:rsid w:val="009C274C"/>
    <w:rsid w:val="009C54FC"/>
    <w:rsid w:val="009C5B2A"/>
    <w:rsid w:val="009C6EDF"/>
    <w:rsid w:val="009C77F5"/>
    <w:rsid w:val="009D074A"/>
    <w:rsid w:val="009D139F"/>
    <w:rsid w:val="009D2ACD"/>
    <w:rsid w:val="009D4AAA"/>
    <w:rsid w:val="009D4F90"/>
    <w:rsid w:val="009D5FB3"/>
    <w:rsid w:val="009D730A"/>
    <w:rsid w:val="009E1FEB"/>
    <w:rsid w:val="009E4E41"/>
    <w:rsid w:val="009E52A2"/>
    <w:rsid w:val="009E7B90"/>
    <w:rsid w:val="009E7B92"/>
    <w:rsid w:val="009F2313"/>
    <w:rsid w:val="009F237D"/>
    <w:rsid w:val="009F506B"/>
    <w:rsid w:val="009F7D71"/>
    <w:rsid w:val="009F7E7E"/>
    <w:rsid w:val="00A00623"/>
    <w:rsid w:val="00A02350"/>
    <w:rsid w:val="00A02390"/>
    <w:rsid w:val="00A04D03"/>
    <w:rsid w:val="00A05863"/>
    <w:rsid w:val="00A072A0"/>
    <w:rsid w:val="00A07F53"/>
    <w:rsid w:val="00A123C8"/>
    <w:rsid w:val="00A1329B"/>
    <w:rsid w:val="00A20B5F"/>
    <w:rsid w:val="00A20BE9"/>
    <w:rsid w:val="00A20EEC"/>
    <w:rsid w:val="00A242F8"/>
    <w:rsid w:val="00A24891"/>
    <w:rsid w:val="00A25995"/>
    <w:rsid w:val="00A26704"/>
    <w:rsid w:val="00A26815"/>
    <w:rsid w:val="00A27353"/>
    <w:rsid w:val="00A273A4"/>
    <w:rsid w:val="00A273F2"/>
    <w:rsid w:val="00A31216"/>
    <w:rsid w:val="00A32622"/>
    <w:rsid w:val="00A32CD7"/>
    <w:rsid w:val="00A331A8"/>
    <w:rsid w:val="00A3440A"/>
    <w:rsid w:val="00A3454B"/>
    <w:rsid w:val="00A34640"/>
    <w:rsid w:val="00A34DED"/>
    <w:rsid w:val="00A350C6"/>
    <w:rsid w:val="00A40047"/>
    <w:rsid w:val="00A40FDF"/>
    <w:rsid w:val="00A432AB"/>
    <w:rsid w:val="00A457B1"/>
    <w:rsid w:val="00A506BE"/>
    <w:rsid w:val="00A50B5E"/>
    <w:rsid w:val="00A513CB"/>
    <w:rsid w:val="00A533B6"/>
    <w:rsid w:val="00A56F22"/>
    <w:rsid w:val="00A61F34"/>
    <w:rsid w:val="00A627B5"/>
    <w:rsid w:val="00A63A29"/>
    <w:rsid w:val="00A64069"/>
    <w:rsid w:val="00A64A84"/>
    <w:rsid w:val="00A66641"/>
    <w:rsid w:val="00A713CB"/>
    <w:rsid w:val="00A71E8C"/>
    <w:rsid w:val="00A73DBD"/>
    <w:rsid w:val="00A74741"/>
    <w:rsid w:val="00A77171"/>
    <w:rsid w:val="00A80864"/>
    <w:rsid w:val="00A80BB3"/>
    <w:rsid w:val="00A81CA5"/>
    <w:rsid w:val="00A8274D"/>
    <w:rsid w:val="00A82CBA"/>
    <w:rsid w:val="00A84450"/>
    <w:rsid w:val="00A85EFF"/>
    <w:rsid w:val="00A85FF0"/>
    <w:rsid w:val="00A86496"/>
    <w:rsid w:val="00A8792A"/>
    <w:rsid w:val="00A9067C"/>
    <w:rsid w:val="00A90D45"/>
    <w:rsid w:val="00A926F5"/>
    <w:rsid w:val="00A928E5"/>
    <w:rsid w:val="00A92A44"/>
    <w:rsid w:val="00A950FF"/>
    <w:rsid w:val="00A954B3"/>
    <w:rsid w:val="00A95F79"/>
    <w:rsid w:val="00A970D6"/>
    <w:rsid w:val="00A97A08"/>
    <w:rsid w:val="00AA02D2"/>
    <w:rsid w:val="00AA0430"/>
    <w:rsid w:val="00AA0F23"/>
    <w:rsid w:val="00AA1C53"/>
    <w:rsid w:val="00AA394B"/>
    <w:rsid w:val="00AA3DF1"/>
    <w:rsid w:val="00AA40CB"/>
    <w:rsid w:val="00AA4CEB"/>
    <w:rsid w:val="00AA579C"/>
    <w:rsid w:val="00AB04B1"/>
    <w:rsid w:val="00AB0A5F"/>
    <w:rsid w:val="00AB4676"/>
    <w:rsid w:val="00AB5B5C"/>
    <w:rsid w:val="00AB6115"/>
    <w:rsid w:val="00AB76C7"/>
    <w:rsid w:val="00AC10AF"/>
    <w:rsid w:val="00AC3508"/>
    <w:rsid w:val="00AC3824"/>
    <w:rsid w:val="00AC3B7C"/>
    <w:rsid w:val="00AC4E31"/>
    <w:rsid w:val="00AC4EED"/>
    <w:rsid w:val="00AE03B5"/>
    <w:rsid w:val="00AE0CFD"/>
    <w:rsid w:val="00AE19C4"/>
    <w:rsid w:val="00AE1A4C"/>
    <w:rsid w:val="00AE1B76"/>
    <w:rsid w:val="00AE25A3"/>
    <w:rsid w:val="00AE282E"/>
    <w:rsid w:val="00AE5901"/>
    <w:rsid w:val="00AE7055"/>
    <w:rsid w:val="00AF05EC"/>
    <w:rsid w:val="00AF28DC"/>
    <w:rsid w:val="00AF347C"/>
    <w:rsid w:val="00AF44D2"/>
    <w:rsid w:val="00AF4C71"/>
    <w:rsid w:val="00AF4DC1"/>
    <w:rsid w:val="00AF519A"/>
    <w:rsid w:val="00AF5625"/>
    <w:rsid w:val="00AF70F6"/>
    <w:rsid w:val="00AF79D4"/>
    <w:rsid w:val="00AF7E79"/>
    <w:rsid w:val="00B011A8"/>
    <w:rsid w:val="00B01AFC"/>
    <w:rsid w:val="00B0233F"/>
    <w:rsid w:val="00B03870"/>
    <w:rsid w:val="00B07445"/>
    <w:rsid w:val="00B101C2"/>
    <w:rsid w:val="00B104F0"/>
    <w:rsid w:val="00B11F6E"/>
    <w:rsid w:val="00B12223"/>
    <w:rsid w:val="00B133B2"/>
    <w:rsid w:val="00B13F3C"/>
    <w:rsid w:val="00B1749D"/>
    <w:rsid w:val="00B208A5"/>
    <w:rsid w:val="00B2362D"/>
    <w:rsid w:val="00B237CA"/>
    <w:rsid w:val="00B23EEC"/>
    <w:rsid w:val="00B2458C"/>
    <w:rsid w:val="00B25E43"/>
    <w:rsid w:val="00B307B7"/>
    <w:rsid w:val="00B3152F"/>
    <w:rsid w:val="00B315E2"/>
    <w:rsid w:val="00B31732"/>
    <w:rsid w:val="00B31B87"/>
    <w:rsid w:val="00B3340A"/>
    <w:rsid w:val="00B34AC3"/>
    <w:rsid w:val="00B35105"/>
    <w:rsid w:val="00B4139E"/>
    <w:rsid w:val="00B41C93"/>
    <w:rsid w:val="00B420B2"/>
    <w:rsid w:val="00B423C6"/>
    <w:rsid w:val="00B44560"/>
    <w:rsid w:val="00B44CC2"/>
    <w:rsid w:val="00B46779"/>
    <w:rsid w:val="00B470FD"/>
    <w:rsid w:val="00B5172C"/>
    <w:rsid w:val="00B517BB"/>
    <w:rsid w:val="00B5250A"/>
    <w:rsid w:val="00B56FA6"/>
    <w:rsid w:val="00B601AE"/>
    <w:rsid w:val="00B6059C"/>
    <w:rsid w:val="00B60F57"/>
    <w:rsid w:val="00B611A5"/>
    <w:rsid w:val="00B618FB"/>
    <w:rsid w:val="00B62A0E"/>
    <w:rsid w:val="00B63133"/>
    <w:rsid w:val="00B631AB"/>
    <w:rsid w:val="00B6618B"/>
    <w:rsid w:val="00B66295"/>
    <w:rsid w:val="00B6657C"/>
    <w:rsid w:val="00B66E9A"/>
    <w:rsid w:val="00B70100"/>
    <w:rsid w:val="00B7214E"/>
    <w:rsid w:val="00B7369C"/>
    <w:rsid w:val="00B744BF"/>
    <w:rsid w:val="00B7493B"/>
    <w:rsid w:val="00B75E3D"/>
    <w:rsid w:val="00B7676D"/>
    <w:rsid w:val="00B76C7B"/>
    <w:rsid w:val="00B77B2C"/>
    <w:rsid w:val="00B824CF"/>
    <w:rsid w:val="00B8568D"/>
    <w:rsid w:val="00B85AB9"/>
    <w:rsid w:val="00B86330"/>
    <w:rsid w:val="00B914DF"/>
    <w:rsid w:val="00B93429"/>
    <w:rsid w:val="00B9450E"/>
    <w:rsid w:val="00B95277"/>
    <w:rsid w:val="00B9591B"/>
    <w:rsid w:val="00B962C2"/>
    <w:rsid w:val="00B965DE"/>
    <w:rsid w:val="00B969F1"/>
    <w:rsid w:val="00BA28CD"/>
    <w:rsid w:val="00BA4CF0"/>
    <w:rsid w:val="00BA68BE"/>
    <w:rsid w:val="00BB13F2"/>
    <w:rsid w:val="00BB148E"/>
    <w:rsid w:val="00BC0AAB"/>
    <w:rsid w:val="00BC24B5"/>
    <w:rsid w:val="00BC2E2F"/>
    <w:rsid w:val="00BC490B"/>
    <w:rsid w:val="00BC597E"/>
    <w:rsid w:val="00BC6856"/>
    <w:rsid w:val="00BC720A"/>
    <w:rsid w:val="00BD065B"/>
    <w:rsid w:val="00BD0CEB"/>
    <w:rsid w:val="00BD1023"/>
    <w:rsid w:val="00BD200B"/>
    <w:rsid w:val="00BD3C7D"/>
    <w:rsid w:val="00BD4125"/>
    <w:rsid w:val="00BD68CC"/>
    <w:rsid w:val="00BD73A1"/>
    <w:rsid w:val="00BD7BB8"/>
    <w:rsid w:val="00BE0404"/>
    <w:rsid w:val="00BE293A"/>
    <w:rsid w:val="00BE3ECB"/>
    <w:rsid w:val="00BE666D"/>
    <w:rsid w:val="00BE6FB0"/>
    <w:rsid w:val="00BF1E5B"/>
    <w:rsid w:val="00BF212D"/>
    <w:rsid w:val="00BF2FBB"/>
    <w:rsid w:val="00BF48DB"/>
    <w:rsid w:val="00BF6BFA"/>
    <w:rsid w:val="00C0388C"/>
    <w:rsid w:val="00C06366"/>
    <w:rsid w:val="00C07999"/>
    <w:rsid w:val="00C12A1F"/>
    <w:rsid w:val="00C13947"/>
    <w:rsid w:val="00C14FB4"/>
    <w:rsid w:val="00C17893"/>
    <w:rsid w:val="00C2077B"/>
    <w:rsid w:val="00C21465"/>
    <w:rsid w:val="00C22392"/>
    <w:rsid w:val="00C25E8F"/>
    <w:rsid w:val="00C26C01"/>
    <w:rsid w:val="00C26DD6"/>
    <w:rsid w:val="00C2768F"/>
    <w:rsid w:val="00C321C3"/>
    <w:rsid w:val="00C337C4"/>
    <w:rsid w:val="00C3461C"/>
    <w:rsid w:val="00C34D49"/>
    <w:rsid w:val="00C34DAB"/>
    <w:rsid w:val="00C358C6"/>
    <w:rsid w:val="00C35A14"/>
    <w:rsid w:val="00C42330"/>
    <w:rsid w:val="00C45EA7"/>
    <w:rsid w:val="00C51270"/>
    <w:rsid w:val="00C51390"/>
    <w:rsid w:val="00C5165F"/>
    <w:rsid w:val="00C51BC7"/>
    <w:rsid w:val="00C52DB3"/>
    <w:rsid w:val="00C53C42"/>
    <w:rsid w:val="00C5466E"/>
    <w:rsid w:val="00C54D8A"/>
    <w:rsid w:val="00C54DF3"/>
    <w:rsid w:val="00C556F2"/>
    <w:rsid w:val="00C558FD"/>
    <w:rsid w:val="00C56AE9"/>
    <w:rsid w:val="00C6012A"/>
    <w:rsid w:val="00C60DED"/>
    <w:rsid w:val="00C634CF"/>
    <w:rsid w:val="00C649DD"/>
    <w:rsid w:val="00C64D4C"/>
    <w:rsid w:val="00C66BDD"/>
    <w:rsid w:val="00C670B1"/>
    <w:rsid w:val="00C715AA"/>
    <w:rsid w:val="00C72180"/>
    <w:rsid w:val="00C73224"/>
    <w:rsid w:val="00C741C3"/>
    <w:rsid w:val="00C74724"/>
    <w:rsid w:val="00C761D6"/>
    <w:rsid w:val="00C76B93"/>
    <w:rsid w:val="00C7743B"/>
    <w:rsid w:val="00C82937"/>
    <w:rsid w:val="00C82D30"/>
    <w:rsid w:val="00C842FC"/>
    <w:rsid w:val="00C8485B"/>
    <w:rsid w:val="00C87752"/>
    <w:rsid w:val="00C87ACC"/>
    <w:rsid w:val="00C91A20"/>
    <w:rsid w:val="00C92489"/>
    <w:rsid w:val="00C94953"/>
    <w:rsid w:val="00C95F1D"/>
    <w:rsid w:val="00C96DC1"/>
    <w:rsid w:val="00C9702F"/>
    <w:rsid w:val="00CA57AC"/>
    <w:rsid w:val="00CA736B"/>
    <w:rsid w:val="00CB4D1A"/>
    <w:rsid w:val="00CB7063"/>
    <w:rsid w:val="00CC2C16"/>
    <w:rsid w:val="00CC38BB"/>
    <w:rsid w:val="00CC4739"/>
    <w:rsid w:val="00CD27A6"/>
    <w:rsid w:val="00CD45B5"/>
    <w:rsid w:val="00CD4D56"/>
    <w:rsid w:val="00CD62FE"/>
    <w:rsid w:val="00CD78DD"/>
    <w:rsid w:val="00CD7AE3"/>
    <w:rsid w:val="00CE2255"/>
    <w:rsid w:val="00CE3D1B"/>
    <w:rsid w:val="00CE4DDB"/>
    <w:rsid w:val="00CE6F0E"/>
    <w:rsid w:val="00CE78AC"/>
    <w:rsid w:val="00CF0C33"/>
    <w:rsid w:val="00CF4B15"/>
    <w:rsid w:val="00CF54E1"/>
    <w:rsid w:val="00D0167C"/>
    <w:rsid w:val="00D01B50"/>
    <w:rsid w:val="00D04608"/>
    <w:rsid w:val="00D07D7E"/>
    <w:rsid w:val="00D07F16"/>
    <w:rsid w:val="00D11C35"/>
    <w:rsid w:val="00D124A6"/>
    <w:rsid w:val="00D12FA3"/>
    <w:rsid w:val="00D12FB0"/>
    <w:rsid w:val="00D13A74"/>
    <w:rsid w:val="00D13C41"/>
    <w:rsid w:val="00D1416C"/>
    <w:rsid w:val="00D170A5"/>
    <w:rsid w:val="00D178FA"/>
    <w:rsid w:val="00D17E95"/>
    <w:rsid w:val="00D21655"/>
    <w:rsid w:val="00D22AE3"/>
    <w:rsid w:val="00D2313B"/>
    <w:rsid w:val="00D232F3"/>
    <w:rsid w:val="00D243A2"/>
    <w:rsid w:val="00D250B8"/>
    <w:rsid w:val="00D252FE"/>
    <w:rsid w:val="00D27E44"/>
    <w:rsid w:val="00D30FBF"/>
    <w:rsid w:val="00D3339E"/>
    <w:rsid w:val="00D3506C"/>
    <w:rsid w:val="00D35188"/>
    <w:rsid w:val="00D35E5C"/>
    <w:rsid w:val="00D376ED"/>
    <w:rsid w:val="00D37738"/>
    <w:rsid w:val="00D3796E"/>
    <w:rsid w:val="00D37A2F"/>
    <w:rsid w:val="00D37DF2"/>
    <w:rsid w:val="00D402F9"/>
    <w:rsid w:val="00D41C82"/>
    <w:rsid w:val="00D42A4B"/>
    <w:rsid w:val="00D42FCE"/>
    <w:rsid w:val="00D431E9"/>
    <w:rsid w:val="00D44BF4"/>
    <w:rsid w:val="00D44E7B"/>
    <w:rsid w:val="00D45787"/>
    <w:rsid w:val="00D4587C"/>
    <w:rsid w:val="00D45C4C"/>
    <w:rsid w:val="00D464CA"/>
    <w:rsid w:val="00D50355"/>
    <w:rsid w:val="00D52379"/>
    <w:rsid w:val="00D55EEB"/>
    <w:rsid w:val="00D55FA9"/>
    <w:rsid w:val="00D567FE"/>
    <w:rsid w:val="00D578C9"/>
    <w:rsid w:val="00D6373E"/>
    <w:rsid w:val="00D639F5"/>
    <w:rsid w:val="00D6528E"/>
    <w:rsid w:val="00D66796"/>
    <w:rsid w:val="00D66D08"/>
    <w:rsid w:val="00D67379"/>
    <w:rsid w:val="00D67576"/>
    <w:rsid w:val="00D67D66"/>
    <w:rsid w:val="00D7007F"/>
    <w:rsid w:val="00D711B1"/>
    <w:rsid w:val="00D718B2"/>
    <w:rsid w:val="00D71926"/>
    <w:rsid w:val="00D72704"/>
    <w:rsid w:val="00D72874"/>
    <w:rsid w:val="00D74943"/>
    <w:rsid w:val="00D77413"/>
    <w:rsid w:val="00D81160"/>
    <w:rsid w:val="00D81AC7"/>
    <w:rsid w:val="00D81B7F"/>
    <w:rsid w:val="00D8234B"/>
    <w:rsid w:val="00D824F7"/>
    <w:rsid w:val="00D8484B"/>
    <w:rsid w:val="00D85E74"/>
    <w:rsid w:val="00D86215"/>
    <w:rsid w:val="00D86975"/>
    <w:rsid w:val="00D903A1"/>
    <w:rsid w:val="00D91D50"/>
    <w:rsid w:val="00D93792"/>
    <w:rsid w:val="00D95489"/>
    <w:rsid w:val="00D957A7"/>
    <w:rsid w:val="00D9712D"/>
    <w:rsid w:val="00DA0437"/>
    <w:rsid w:val="00DA1798"/>
    <w:rsid w:val="00DA2AC7"/>
    <w:rsid w:val="00DA448C"/>
    <w:rsid w:val="00DA4A8B"/>
    <w:rsid w:val="00DA6907"/>
    <w:rsid w:val="00DB2640"/>
    <w:rsid w:val="00DB2692"/>
    <w:rsid w:val="00DB6DFA"/>
    <w:rsid w:val="00DB7983"/>
    <w:rsid w:val="00DC0F2D"/>
    <w:rsid w:val="00DC4958"/>
    <w:rsid w:val="00DC5E21"/>
    <w:rsid w:val="00DC73AE"/>
    <w:rsid w:val="00DD00EC"/>
    <w:rsid w:val="00DD1443"/>
    <w:rsid w:val="00DD24AE"/>
    <w:rsid w:val="00DD31FB"/>
    <w:rsid w:val="00DD5B3A"/>
    <w:rsid w:val="00DD5E98"/>
    <w:rsid w:val="00DD6E6A"/>
    <w:rsid w:val="00DD73CD"/>
    <w:rsid w:val="00DE0D83"/>
    <w:rsid w:val="00DE0E1B"/>
    <w:rsid w:val="00DE0FEA"/>
    <w:rsid w:val="00DE2858"/>
    <w:rsid w:val="00DE3198"/>
    <w:rsid w:val="00DE4459"/>
    <w:rsid w:val="00DE472C"/>
    <w:rsid w:val="00DE4B63"/>
    <w:rsid w:val="00DE4D29"/>
    <w:rsid w:val="00DE4F21"/>
    <w:rsid w:val="00DE6228"/>
    <w:rsid w:val="00DE6489"/>
    <w:rsid w:val="00DE774E"/>
    <w:rsid w:val="00DE7B6C"/>
    <w:rsid w:val="00DF002A"/>
    <w:rsid w:val="00DF036C"/>
    <w:rsid w:val="00DF1FC8"/>
    <w:rsid w:val="00DF229D"/>
    <w:rsid w:val="00DF2567"/>
    <w:rsid w:val="00DF37B5"/>
    <w:rsid w:val="00DF5607"/>
    <w:rsid w:val="00DF6C08"/>
    <w:rsid w:val="00DF7DA1"/>
    <w:rsid w:val="00DF7F55"/>
    <w:rsid w:val="00E03400"/>
    <w:rsid w:val="00E06E2D"/>
    <w:rsid w:val="00E10022"/>
    <w:rsid w:val="00E1018D"/>
    <w:rsid w:val="00E106D0"/>
    <w:rsid w:val="00E138A1"/>
    <w:rsid w:val="00E139D3"/>
    <w:rsid w:val="00E149DB"/>
    <w:rsid w:val="00E16084"/>
    <w:rsid w:val="00E16B93"/>
    <w:rsid w:val="00E21B32"/>
    <w:rsid w:val="00E23C97"/>
    <w:rsid w:val="00E25563"/>
    <w:rsid w:val="00E26CE3"/>
    <w:rsid w:val="00E27CF3"/>
    <w:rsid w:val="00E30F63"/>
    <w:rsid w:val="00E31E77"/>
    <w:rsid w:val="00E329E2"/>
    <w:rsid w:val="00E370F3"/>
    <w:rsid w:val="00E426BF"/>
    <w:rsid w:val="00E42EF5"/>
    <w:rsid w:val="00E4333F"/>
    <w:rsid w:val="00E44794"/>
    <w:rsid w:val="00E44798"/>
    <w:rsid w:val="00E44D78"/>
    <w:rsid w:val="00E450A8"/>
    <w:rsid w:val="00E50AC4"/>
    <w:rsid w:val="00E51213"/>
    <w:rsid w:val="00E523AE"/>
    <w:rsid w:val="00E523B3"/>
    <w:rsid w:val="00E5483E"/>
    <w:rsid w:val="00E551C0"/>
    <w:rsid w:val="00E55BFD"/>
    <w:rsid w:val="00E605D5"/>
    <w:rsid w:val="00E6214A"/>
    <w:rsid w:val="00E62319"/>
    <w:rsid w:val="00E636E9"/>
    <w:rsid w:val="00E704B4"/>
    <w:rsid w:val="00E7165D"/>
    <w:rsid w:val="00E730D1"/>
    <w:rsid w:val="00E73737"/>
    <w:rsid w:val="00E828D8"/>
    <w:rsid w:val="00E83056"/>
    <w:rsid w:val="00E83391"/>
    <w:rsid w:val="00E834D7"/>
    <w:rsid w:val="00E8398A"/>
    <w:rsid w:val="00E83A69"/>
    <w:rsid w:val="00E849DF"/>
    <w:rsid w:val="00E84A8D"/>
    <w:rsid w:val="00E8501A"/>
    <w:rsid w:val="00E855D1"/>
    <w:rsid w:val="00E90F3B"/>
    <w:rsid w:val="00E917A8"/>
    <w:rsid w:val="00E938A8"/>
    <w:rsid w:val="00E942B8"/>
    <w:rsid w:val="00E94D85"/>
    <w:rsid w:val="00E94F77"/>
    <w:rsid w:val="00E971AF"/>
    <w:rsid w:val="00E97BF6"/>
    <w:rsid w:val="00EA0ECB"/>
    <w:rsid w:val="00EA1A99"/>
    <w:rsid w:val="00EA226D"/>
    <w:rsid w:val="00EA2EEF"/>
    <w:rsid w:val="00EA33E3"/>
    <w:rsid w:val="00EA3526"/>
    <w:rsid w:val="00EA3C4B"/>
    <w:rsid w:val="00EA3CDB"/>
    <w:rsid w:val="00EA589D"/>
    <w:rsid w:val="00EA5FF6"/>
    <w:rsid w:val="00EB115D"/>
    <w:rsid w:val="00EB2D18"/>
    <w:rsid w:val="00EB4809"/>
    <w:rsid w:val="00EB5094"/>
    <w:rsid w:val="00EB57ED"/>
    <w:rsid w:val="00EB5EFF"/>
    <w:rsid w:val="00EC2062"/>
    <w:rsid w:val="00EC6BDA"/>
    <w:rsid w:val="00ED1583"/>
    <w:rsid w:val="00ED22FB"/>
    <w:rsid w:val="00ED3CB2"/>
    <w:rsid w:val="00ED45F9"/>
    <w:rsid w:val="00ED5F75"/>
    <w:rsid w:val="00ED64DE"/>
    <w:rsid w:val="00ED681A"/>
    <w:rsid w:val="00ED6F69"/>
    <w:rsid w:val="00EE0E0E"/>
    <w:rsid w:val="00EE163B"/>
    <w:rsid w:val="00EE292F"/>
    <w:rsid w:val="00EE2A54"/>
    <w:rsid w:val="00EE370E"/>
    <w:rsid w:val="00EE403D"/>
    <w:rsid w:val="00EE4439"/>
    <w:rsid w:val="00EE46BA"/>
    <w:rsid w:val="00EE5767"/>
    <w:rsid w:val="00EE6A46"/>
    <w:rsid w:val="00EE6C6C"/>
    <w:rsid w:val="00EE6F13"/>
    <w:rsid w:val="00EF18F6"/>
    <w:rsid w:val="00EF3C1C"/>
    <w:rsid w:val="00EF4909"/>
    <w:rsid w:val="00EF4C13"/>
    <w:rsid w:val="00EF55A7"/>
    <w:rsid w:val="00EF6357"/>
    <w:rsid w:val="00EF69FE"/>
    <w:rsid w:val="00EF6F6F"/>
    <w:rsid w:val="00EF74B8"/>
    <w:rsid w:val="00F00209"/>
    <w:rsid w:val="00F01176"/>
    <w:rsid w:val="00F01457"/>
    <w:rsid w:val="00F04D1D"/>
    <w:rsid w:val="00F100AE"/>
    <w:rsid w:val="00F11231"/>
    <w:rsid w:val="00F122CF"/>
    <w:rsid w:val="00F13608"/>
    <w:rsid w:val="00F14E3B"/>
    <w:rsid w:val="00F16E8F"/>
    <w:rsid w:val="00F17252"/>
    <w:rsid w:val="00F172A7"/>
    <w:rsid w:val="00F17B82"/>
    <w:rsid w:val="00F21415"/>
    <w:rsid w:val="00F22991"/>
    <w:rsid w:val="00F22D70"/>
    <w:rsid w:val="00F2381F"/>
    <w:rsid w:val="00F24F41"/>
    <w:rsid w:val="00F250A0"/>
    <w:rsid w:val="00F315E8"/>
    <w:rsid w:val="00F3161A"/>
    <w:rsid w:val="00F316D5"/>
    <w:rsid w:val="00F31C58"/>
    <w:rsid w:val="00F32621"/>
    <w:rsid w:val="00F32C88"/>
    <w:rsid w:val="00F33EBB"/>
    <w:rsid w:val="00F34F54"/>
    <w:rsid w:val="00F35BCF"/>
    <w:rsid w:val="00F37176"/>
    <w:rsid w:val="00F401ED"/>
    <w:rsid w:val="00F4022E"/>
    <w:rsid w:val="00F406E9"/>
    <w:rsid w:val="00F408F2"/>
    <w:rsid w:val="00F41885"/>
    <w:rsid w:val="00F41D4F"/>
    <w:rsid w:val="00F41EE3"/>
    <w:rsid w:val="00F43ECA"/>
    <w:rsid w:val="00F44E14"/>
    <w:rsid w:val="00F4503E"/>
    <w:rsid w:val="00F468A2"/>
    <w:rsid w:val="00F4780D"/>
    <w:rsid w:val="00F47B58"/>
    <w:rsid w:val="00F47E86"/>
    <w:rsid w:val="00F51B14"/>
    <w:rsid w:val="00F52C97"/>
    <w:rsid w:val="00F542A2"/>
    <w:rsid w:val="00F570D7"/>
    <w:rsid w:val="00F57BC4"/>
    <w:rsid w:val="00F61177"/>
    <w:rsid w:val="00F62C6D"/>
    <w:rsid w:val="00F63382"/>
    <w:rsid w:val="00F63BCE"/>
    <w:rsid w:val="00F666D6"/>
    <w:rsid w:val="00F67844"/>
    <w:rsid w:val="00F726B9"/>
    <w:rsid w:val="00F72E27"/>
    <w:rsid w:val="00F73500"/>
    <w:rsid w:val="00F754B1"/>
    <w:rsid w:val="00F76DBE"/>
    <w:rsid w:val="00F80A30"/>
    <w:rsid w:val="00F80AA1"/>
    <w:rsid w:val="00F8163C"/>
    <w:rsid w:val="00F81D9B"/>
    <w:rsid w:val="00F81EE8"/>
    <w:rsid w:val="00F830DE"/>
    <w:rsid w:val="00F85007"/>
    <w:rsid w:val="00F86F22"/>
    <w:rsid w:val="00F8735E"/>
    <w:rsid w:val="00F91299"/>
    <w:rsid w:val="00F9417D"/>
    <w:rsid w:val="00F941EA"/>
    <w:rsid w:val="00F941FE"/>
    <w:rsid w:val="00F96155"/>
    <w:rsid w:val="00F96BD9"/>
    <w:rsid w:val="00F96CD7"/>
    <w:rsid w:val="00F97D6B"/>
    <w:rsid w:val="00FA086A"/>
    <w:rsid w:val="00FA1AF1"/>
    <w:rsid w:val="00FA30C9"/>
    <w:rsid w:val="00FA38CF"/>
    <w:rsid w:val="00FA3E78"/>
    <w:rsid w:val="00FA5552"/>
    <w:rsid w:val="00FB01E1"/>
    <w:rsid w:val="00FB0E4B"/>
    <w:rsid w:val="00FB2763"/>
    <w:rsid w:val="00FB2968"/>
    <w:rsid w:val="00FB4AAC"/>
    <w:rsid w:val="00FB575B"/>
    <w:rsid w:val="00FB6F88"/>
    <w:rsid w:val="00FB7113"/>
    <w:rsid w:val="00FC0530"/>
    <w:rsid w:val="00FC0E6A"/>
    <w:rsid w:val="00FC0E93"/>
    <w:rsid w:val="00FC3729"/>
    <w:rsid w:val="00FC458F"/>
    <w:rsid w:val="00FC5504"/>
    <w:rsid w:val="00FC642F"/>
    <w:rsid w:val="00FC643A"/>
    <w:rsid w:val="00FC7DF8"/>
    <w:rsid w:val="00FD2B7E"/>
    <w:rsid w:val="00FD3F1C"/>
    <w:rsid w:val="00FD75C7"/>
    <w:rsid w:val="00FD7C61"/>
    <w:rsid w:val="00FE048A"/>
    <w:rsid w:val="00FE19C1"/>
    <w:rsid w:val="00FE31AE"/>
    <w:rsid w:val="00FE37B1"/>
    <w:rsid w:val="00FE4BFA"/>
    <w:rsid w:val="00FE5FFA"/>
    <w:rsid w:val="00FF0540"/>
    <w:rsid w:val="00FF14F8"/>
    <w:rsid w:val="00FF22A8"/>
    <w:rsid w:val="00FF27F0"/>
    <w:rsid w:val="00FF627A"/>
    <w:rsid w:val="00FF725B"/>
    <w:rsid w:val="010F7CD4"/>
    <w:rsid w:val="01603AD1"/>
    <w:rsid w:val="02302952"/>
    <w:rsid w:val="02A8F602"/>
    <w:rsid w:val="02BD2D5E"/>
    <w:rsid w:val="032226C0"/>
    <w:rsid w:val="035169E1"/>
    <w:rsid w:val="037CAAC4"/>
    <w:rsid w:val="03AE594A"/>
    <w:rsid w:val="03DFA28C"/>
    <w:rsid w:val="0455BAD8"/>
    <w:rsid w:val="046CEF1C"/>
    <w:rsid w:val="04AA7AF6"/>
    <w:rsid w:val="0515672C"/>
    <w:rsid w:val="058E7CAA"/>
    <w:rsid w:val="05FD0640"/>
    <w:rsid w:val="0650621D"/>
    <w:rsid w:val="0679D33A"/>
    <w:rsid w:val="06BE3BE2"/>
    <w:rsid w:val="06DC7E71"/>
    <w:rsid w:val="071AC735"/>
    <w:rsid w:val="077C6725"/>
    <w:rsid w:val="07DD55EB"/>
    <w:rsid w:val="08572BD0"/>
    <w:rsid w:val="0897CF10"/>
    <w:rsid w:val="08E75DA4"/>
    <w:rsid w:val="098C64A8"/>
    <w:rsid w:val="09C206CE"/>
    <w:rsid w:val="0A0D7E96"/>
    <w:rsid w:val="0A369A1B"/>
    <w:rsid w:val="0ADB50B9"/>
    <w:rsid w:val="0B64CE27"/>
    <w:rsid w:val="0C4345F5"/>
    <w:rsid w:val="0D4314D5"/>
    <w:rsid w:val="0D52D8C3"/>
    <w:rsid w:val="0D659AD2"/>
    <w:rsid w:val="0DEC86A9"/>
    <w:rsid w:val="0E5968F0"/>
    <w:rsid w:val="0EAAE1A5"/>
    <w:rsid w:val="0F03F8FD"/>
    <w:rsid w:val="0F63D8AA"/>
    <w:rsid w:val="0FD3C38A"/>
    <w:rsid w:val="0FEBD6A6"/>
    <w:rsid w:val="1079A242"/>
    <w:rsid w:val="11057FD7"/>
    <w:rsid w:val="113D040E"/>
    <w:rsid w:val="11A661F7"/>
    <w:rsid w:val="11FDE401"/>
    <w:rsid w:val="124D9595"/>
    <w:rsid w:val="1285D2EC"/>
    <w:rsid w:val="12931430"/>
    <w:rsid w:val="12A87753"/>
    <w:rsid w:val="12E7C130"/>
    <w:rsid w:val="13312468"/>
    <w:rsid w:val="138BD00B"/>
    <w:rsid w:val="13B2DCBF"/>
    <w:rsid w:val="13BC0C22"/>
    <w:rsid w:val="14A20718"/>
    <w:rsid w:val="153584C3"/>
    <w:rsid w:val="15368C75"/>
    <w:rsid w:val="15AF0CAB"/>
    <w:rsid w:val="162C523E"/>
    <w:rsid w:val="16504DF2"/>
    <w:rsid w:val="16D15524"/>
    <w:rsid w:val="177923E2"/>
    <w:rsid w:val="1796FF53"/>
    <w:rsid w:val="18E6AD6D"/>
    <w:rsid w:val="19C89D16"/>
    <w:rsid w:val="19D54561"/>
    <w:rsid w:val="1A06ECAA"/>
    <w:rsid w:val="1A09FD98"/>
    <w:rsid w:val="1A389644"/>
    <w:rsid w:val="1A827DCE"/>
    <w:rsid w:val="1B85A717"/>
    <w:rsid w:val="1CE7E024"/>
    <w:rsid w:val="1D159CE7"/>
    <w:rsid w:val="1D1DDE9E"/>
    <w:rsid w:val="1D417B09"/>
    <w:rsid w:val="1D6C1246"/>
    <w:rsid w:val="1D6D4865"/>
    <w:rsid w:val="1D796395"/>
    <w:rsid w:val="1DA6F552"/>
    <w:rsid w:val="1DBC890A"/>
    <w:rsid w:val="1EA8D54E"/>
    <w:rsid w:val="1EC0D6D7"/>
    <w:rsid w:val="1EC8D9E5"/>
    <w:rsid w:val="1EDA6ECB"/>
    <w:rsid w:val="1F3883B0"/>
    <w:rsid w:val="1F507B36"/>
    <w:rsid w:val="1F58596B"/>
    <w:rsid w:val="1FC64438"/>
    <w:rsid w:val="20756C28"/>
    <w:rsid w:val="2093BAC6"/>
    <w:rsid w:val="20F429CC"/>
    <w:rsid w:val="21770C74"/>
    <w:rsid w:val="222BD9B8"/>
    <w:rsid w:val="224E67D4"/>
    <w:rsid w:val="226446E6"/>
    <w:rsid w:val="228FFA2D"/>
    <w:rsid w:val="22D87D80"/>
    <w:rsid w:val="22DEC613"/>
    <w:rsid w:val="235B2F65"/>
    <w:rsid w:val="23B95B59"/>
    <w:rsid w:val="23BF9597"/>
    <w:rsid w:val="24BAAF70"/>
    <w:rsid w:val="24E68C2F"/>
    <w:rsid w:val="25066D73"/>
    <w:rsid w:val="25539613"/>
    <w:rsid w:val="255B65F8"/>
    <w:rsid w:val="25BBE356"/>
    <w:rsid w:val="268F26DA"/>
    <w:rsid w:val="26D63E17"/>
    <w:rsid w:val="270C289E"/>
    <w:rsid w:val="27C21384"/>
    <w:rsid w:val="28DCB0D9"/>
    <w:rsid w:val="29153665"/>
    <w:rsid w:val="293373F5"/>
    <w:rsid w:val="2962C666"/>
    <w:rsid w:val="29C7C48D"/>
    <w:rsid w:val="2A37C4F2"/>
    <w:rsid w:val="2AB73DED"/>
    <w:rsid w:val="2B337240"/>
    <w:rsid w:val="2BA9AF3A"/>
    <w:rsid w:val="2BC091E4"/>
    <w:rsid w:val="2C77D4A5"/>
    <w:rsid w:val="2C968C59"/>
    <w:rsid w:val="2CBED334"/>
    <w:rsid w:val="2CBF40D5"/>
    <w:rsid w:val="2D5EA7F8"/>
    <w:rsid w:val="2DC8C50E"/>
    <w:rsid w:val="2DEB33EB"/>
    <w:rsid w:val="2DF539BC"/>
    <w:rsid w:val="2F768464"/>
    <w:rsid w:val="2FED4855"/>
    <w:rsid w:val="309DA865"/>
    <w:rsid w:val="309FCF1D"/>
    <w:rsid w:val="30AE50B9"/>
    <w:rsid w:val="30D587CA"/>
    <w:rsid w:val="31A2B3C4"/>
    <w:rsid w:val="322109F4"/>
    <w:rsid w:val="32F0E684"/>
    <w:rsid w:val="33FB18D4"/>
    <w:rsid w:val="34CE3A42"/>
    <w:rsid w:val="3596E935"/>
    <w:rsid w:val="35DB9F35"/>
    <w:rsid w:val="35FE3A27"/>
    <w:rsid w:val="36244642"/>
    <w:rsid w:val="362FA81F"/>
    <w:rsid w:val="36332E89"/>
    <w:rsid w:val="37066581"/>
    <w:rsid w:val="3732B996"/>
    <w:rsid w:val="37E57B79"/>
    <w:rsid w:val="38C2988D"/>
    <w:rsid w:val="3982D48A"/>
    <w:rsid w:val="3A3D2B00"/>
    <w:rsid w:val="3A5BE539"/>
    <w:rsid w:val="3A65DE91"/>
    <w:rsid w:val="3AB09E84"/>
    <w:rsid w:val="3AE28E14"/>
    <w:rsid w:val="3AE75017"/>
    <w:rsid w:val="3C9738E6"/>
    <w:rsid w:val="3DFD57DF"/>
    <w:rsid w:val="3F4F9892"/>
    <w:rsid w:val="3F546422"/>
    <w:rsid w:val="3F6E643E"/>
    <w:rsid w:val="3F9EFF60"/>
    <w:rsid w:val="3FB792CE"/>
    <w:rsid w:val="3FC88E19"/>
    <w:rsid w:val="3FC93739"/>
    <w:rsid w:val="400BF3AB"/>
    <w:rsid w:val="407FB703"/>
    <w:rsid w:val="40E20434"/>
    <w:rsid w:val="40E35101"/>
    <w:rsid w:val="4110CA20"/>
    <w:rsid w:val="4122F98F"/>
    <w:rsid w:val="4125AC71"/>
    <w:rsid w:val="4166F8E9"/>
    <w:rsid w:val="420BD491"/>
    <w:rsid w:val="425ABBDC"/>
    <w:rsid w:val="42D573D4"/>
    <w:rsid w:val="4302C94A"/>
    <w:rsid w:val="4311D44D"/>
    <w:rsid w:val="44044BE2"/>
    <w:rsid w:val="45618F25"/>
    <w:rsid w:val="45683CD7"/>
    <w:rsid w:val="462049E7"/>
    <w:rsid w:val="46414FE0"/>
    <w:rsid w:val="46428917"/>
    <w:rsid w:val="473C8C9F"/>
    <w:rsid w:val="4782A7CE"/>
    <w:rsid w:val="48AF4D64"/>
    <w:rsid w:val="48C9A80F"/>
    <w:rsid w:val="48DE515E"/>
    <w:rsid w:val="491060A8"/>
    <w:rsid w:val="49427D96"/>
    <w:rsid w:val="495AFE99"/>
    <w:rsid w:val="499020C1"/>
    <w:rsid w:val="49A329A6"/>
    <w:rsid w:val="49E74EA6"/>
    <w:rsid w:val="4A7A551E"/>
    <w:rsid w:val="4B2DE960"/>
    <w:rsid w:val="4B6E3628"/>
    <w:rsid w:val="4B831F07"/>
    <w:rsid w:val="4C332673"/>
    <w:rsid w:val="4C91558B"/>
    <w:rsid w:val="4CFF3B46"/>
    <w:rsid w:val="4D1F1883"/>
    <w:rsid w:val="4D6C609B"/>
    <w:rsid w:val="4E8E7EDA"/>
    <w:rsid w:val="4E9FD66E"/>
    <w:rsid w:val="4F4E59FD"/>
    <w:rsid w:val="4F6F6576"/>
    <w:rsid w:val="4F9476A0"/>
    <w:rsid w:val="4F9F071D"/>
    <w:rsid w:val="4FAB3878"/>
    <w:rsid w:val="4FFF6245"/>
    <w:rsid w:val="5009C00A"/>
    <w:rsid w:val="50CDBC18"/>
    <w:rsid w:val="51820A49"/>
    <w:rsid w:val="51F3ED01"/>
    <w:rsid w:val="52191D46"/>
    <w:rsid w:val="5271CA6A"/>
    <w:rsid w:val="5299BCD7"/>
    <w:rsid w:val="52FC52EA"/>
    <w:rsid w:val="53149028"/>
    <w:rsid w:val="5315B950"/>
    <w:rsid w:val="533F2FAB"/>
    <w:rsid w:val="5487F2C4"/>
    <w:rsid w:val="55C5EB7C"/>
    <w:rsid w:val="561AFA64"/>
    <w:rsid w:val="57471DE8"/>
    <w:rsid w:val="5784F497"/>
    <w:rsid w:val="5844F1A0"/>
    <w:rsid w:val="58949B00"/>
    <w:rsid w:val="58F21A21"/>
    <w:rsid w:val="59108343"/>
    <w:rsid w:val="59BD5709"/>
    <w:rsid w:val="59D33D79"/>
    <w:rsid w:val="5A82D75F"/>
    <w:rsid w:val="5ABC9559"/>
    <w:rsid w:val="5BEC2530"/>
    <w:rsid w:val="5E608D51"/>
    <w:rsid w:val="5E798EC9"/>
    <w:rsid w:val="5EB9E7EB"/>
    <w:rsid w:val="628AA002"/>
    <w:rsid w:val="62A855C1"/>
    <w:rsid w:val="6378BB6C"/>
    <w:rsid w:val="63A8014E"/>
    <w:rsid w:val="63BB8E72"/>
    <w:rsid w:val="640399DE"/>
    <w:rsid w:val="649E2385"/>
    <w:rsid w:val="64D9304C"/>
    <w:rsid w:val="64F07A82"/>
    <w:rsid w:val="6526931A"/>
    <w:rsid w:val="65FC133D"/>
    <w:rsid w:val="667943A0"/>
    <w:rsid w:val="66BEBA2C"/>
    <w:rsid w:val="66C89A2A"/>
    <w:rsid w:val="678080B1"/>
    <w:rsid w:val="68FD2AC8"/>
    <w:rsid w:val="696CCCEC"/>
    <w:rsid w:val="6A07061C"/>
    <w:rsid w:val="6A153363"/>
    <w:rsid w:val="6A2A7E3D"/>
    <w:rsid w:val="6A67E7EF"/>
    <w:rsid w:val="6BE26848"/>
    <w:rsid w:val="6C7D46E5"/>
    <w:rsid w:val="6C87C270"/>
    <w:rsid w:val="6D0C616D"/>
    <w:rsid w:val="6D7946C8"/>
    <w:rsid w:val="6DABDB88"/>
    <w:rsid w:val="6DB87B40"/>
    <w:rsid w:val="6DD150D6"/>
    <w:rsid w:val="6EA066A0"/>
    <w:rsid w:val="6EAC3E33"/>
    <w:rsid w:val="6EDA773F"/>
    <w:rsid w:val="6F0B0FAD"/>
    <w:rsid w:val="6F9EBC0B"/>
    <w:rsid w:val="707647A0"/>
    <w:rsid w:val="70D46500"/>
    <w:rsid w:val="710AA525"/>
    <w:rsid w:val="722C90CD"/>
    <w:rsid w:val="7378C329"/>
    <w:rsid w:val="73B2D695"/>
    <w:rsid w:val="7527D1E6"/>
    <w:rsid w:val="75935E09"/>
    <w:rsid w:val="75F5804B"/>
    <w:rsid w:val="7607472D"/>
    <w:rsid w:val="7674513A"/>
    <w:rsid w:val="76B75018"/>
    <w:rsid w:val="76BA070C"/>
    <w:rsid w:val="775F6AF3"/>
    <w:rsid w:val="784B1DC3"/>
    <w:rsid w:val="793545F0"/>
    <w:rsid w:val="793BF5F6"/>
    <w:rsid w:val="797E35F1"/>
    <w:rsid w:val="79EDE928"/>
    <w:rsid w:val="7A44F332"/>
    <w:rsid w:val="7A6D5A43"/>
    <w:rsid w:val="7A84BBBF"/>
    <w:rsid w:val="7A984848"/>
    <w:rsid w:val="7AB6719D"/>
    <w:rsid w:val="7AD11651"/>
    <w:rsid w:val="7ADE2ADE"/>
    <w:rsid w:val="7B89398D"/>
    <w:rsid w:val="7BA3C361"/>
    <w:rsid w:val="7C034171"/>
    <w:rsid w:val="7C515700"/>
    <w:rsid w:val="7C7396B8"/>
    <w:rsid w:val="7CBE81F4"/>
    <w:rsid w:val="7D3E95A1"/>
    <w:rsid w:val="7EBCCD2E"/>
    <w:rsid w:val="7F1F038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645EED"/>
  <w15:chartTrackingRefBased/>
  <w15:docId w15:val="{043AD899-BC34-46A7-92A8-0EDC477DDE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4D1A"/>
    <w:pPr>
      <w:spacing w:line="480" w:lineRule="auto"/>
      <w:jc w:val="both"/>
    </w:pPr>
    <w:rPr>
      <w:rFonts w:ascii="Arial" w:hAnsi="Arial"/>
    </w:rPr>
  </w:style>
  <w:style w:type="paragraph" w:styleId="Heading1">
    <w:name w:val="heading 1"/>
    <w:basedOn w:val="Normal"/>
    <w:next w:val="Normal"/>
    <w:link w:val="Heading1Char"/>
    <w:uiPriority w:val="9"/>
    <w:qFormat/>
    <w:rsid w:val="0088408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03870"/>
    <w:pPr>
      <w:keepNext/>
      <w:keepLines/>
      <w:spacing w:before="40" w:after="0"/>
      <w:outlineLvl w:val="1"/>
    </w:pPr>
    <w:rPr>
      <w:rFonts w:eastAsiaTheme="majorEastAsia" w:cstheme="majorBidi"/>
      <w:i/>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329B"/>
    <w:pPr>
      <w:ind w:left="720"/>
      <w:contextualSpacing/>
    </w:pPr>
  </w:style>
  <w:style w:type="paragraph" w:styleId="Revision">
    <w:name w:val="Revision"/>
    <w:hidden/>
    <w:uiPriority w:val="99"/>
    <w:semiHidden/>
    <w:rsid w:val="00CE78AC"/>
    <w:pPr>
      <w:spacing w:after="0" w:line="240" w:lineRule="auto"/>
    </w:pPr>
  </w:style>
  <w:style w:type="character" w:styleId="CommentReference">
    <w:name w:val="annotation reference"/>
    <w:basedOn w:val="DefaultParagraphFont"/>
    <w:uiPriority w:val="99"/>
    <w:semiHidden/>
    <w:unhideWhenUsed/>
    <w:rsid w:val="00CE78AC"/>
    <w:rPr>
      <w:sz w:val="16"/>
      <w:szCs w:val="16"/>
    </w:rPr>
  </w:style>
  <w:style w:type="paragraph" w:styleId="CommentText">
    <w:name w:val="annotation text"/>
    <w:basedOn w:val="Normal"/>
    <w:link w:val="CommentTextChar"/>
    <w:uiPriority w:val="99"/>
    <w:unhideWhenUsed/>
    <w:rsid w:val="00CE78AC"/>
    <w:pPr>
      <w:spacing w:line="240" w:lineRule="auto"/>
    </w:pPr>
    <w:rPr>
      <w:sz w:val="20"/>
      <w:szCs w:val="20"/>
    </w:rPr>
  </w:style>
  <w:style w:type="character" w:customStyle="1" w:styleId="CommentTextChar">
    <w:name w:val="Comment Text Char"/>
    <w:basedOn w:val="DefaultParagraphFont"/>
    <w:link w:val="CommentText"/>
    <w:uiPriority w:val="99"/>
    <w:rsid w:val="00CE78AC"/>
    <w:rPr>
      <w:sz w:val="20"/>
      <w:szCs w:val="20"/>
    </w:rPr>
  </w:style>
  <w:style w:type="paragraph" w:styleId="CommentSubject">
    <w:name w:val="annotation subject"/>
    <w:basedOn w:val="CommentText"/>
    <w:next w:val="CommentText"/>
    <w:link w:val="CommentSubjectChar"/>
    <w:uiPriority w:val="99"/>
    <w:semiHidden/>
    <w:unhideWhenUsed/>
    <w:rsid w:val="00CE78AC"/>
    <w:rPr>
      <w:b/>
      <w:bCs/>
    </w:rPr>
  </w:style>
  <w:style w:type="character" w:customStyle="1" w:styleId="CommentSubjectChar">
    <w:name w:val="Comment Subject Char"/>
    <w:basedOn w:val="CommentTextChar"/>
    <w:link w:val="CommentSubject"/>
    <w:uiPriority w:val="99"/>
    <w:semiHidden/>
    <w:rsid w:val="00CE78AC"/>
    <w:rPr>
      <w:b/>
      <w:bCs/>
      <w:sz w:val="20"/>
      <w:szCs w:val="20"/>
    </w:rPr>
  </w:style>
  <w:style w:type="character" w:styleId="Hyperlink">
    <w:name w:val="Hyperlink"/>
    <w:basedOn w:val="DefaultParagraphFont"/>
    <w:uiPriority w:val="99"/>
    <w:unhideWhenUsed/>
    <w:rsid w:val="006F2459"/>
    <w:rPr>
      <w:color w:val="0563C1" w:themeColor="hyperlink"/>
      <w:u w:val="single"/>
    </w:rPr>
  </w:style>
  <w:style w:type="character" w:styleId="UnresolvedMention">
    <w:name w:val="Unresolved Mention"/>
    <w:basedOn w:val="DefaultParagraphFont"/>
    <w:uiPriority w:val="99"/>
    <w:semiHidden/>
    <w:unhideWhenUsed/>
    <w:rsid w:val="006F2459"/>
    <w:rPr>
      <w:color w:val="605E5C"/>
      <w:shd w:val="clear" w:color="auto" w:fill="E1DFDD"/>
    </w:rPr>
  </w:style>
  <w:style w:type="paragraph" w:customStyle="1" w:styleId="Section1">
    <w:name w:val="Section1"/>
    <w:basedOn w:val="Normal"/>
    <w:link w:val="Section1Char"/>
    <w:qFormat/>
    <w:rsid w:val="00BD3C7D"/>
    <w:rPr>
      <w:rFonts w:cs="Arial"/>
      <w:b/>
      <w:bCs/>
      <w:color w:val="333333"/>
      <w:sz w:val="24"/>
      <w:szCs w:val="20"/>
      <w:shd w:val="clear" w:color="auto" w:fill="FFFFFF"/>
    </w:rPr>
  </w:style>
  <w:style w:type="character" w:customStyle="1" w:styleId="Section1Char">
    <w:name w:val="Section1 Char"/>
    <w:basedOn w:val="DefaultParagraphFont"/>
    <w:link w:val="Section1"/>
    <w:rsid w:val="00BD3C7D"/>
    <w:rPr>
      <w:rFonts w:ascii="Arial" w:hAnsi="Arial" w:cs="Arial"/>
      <w:b/>
      <w:bCs/>
      <w:color w:val="333333"/>
      <w:sz w:val="24"/>
      <w:szCs w:val="20"/>
    </w:rPr>
  </w:style>
  <w:style w:type="paragraph" w:customStyle="1" w:styleId="Section2">
    <w:name w:val="Section2"/>
    <w:basedOn w:val="Section1"/>
    <w:link w:val="Section2Char"/>
    <w:qFormat/>
    <w:rsid w:val="00744505"/>
    <w:pPr>
      <w:numPr>
        <w:ilvl w:val="1"/>
      </w:numPr>
    </w:pPr>
    <w:rPr>
      <w:sz w:val="22"/>
    </w:rPr>
  </w:style>
  <w:style w:type="character" w:customStyle="1" w:styleId="Section2Char">
    <w:name w:val="Section2 Char"/>
    <w:basedOn w:val="Section1Char"/>
    <w:link w:val="Section2"/>
    <w:rsid w:val="00744505"/>
    <w:rPr>
      <w:rFonts w:ascii="Arial" w:hAnsi="Arial" w:cs="Arial"/>
      <w:b/>
      <w:bCs/>
      <w:color w:val="333333"/>
      <w:sz w:val="24"/>
      <w:szCs w:val="20"/>
    </w:rPr>
  </w:style>
  <w:style w:type="paragraph" w:customStyle="1" w:styleId="Titolo3">
    <w:name w:val="Titolo 3"/>
    <w:basedOn w:val="Normal"/>
    <w:rsid w:val="005E722F"/>
  </w:style>
  <w:style w:type="paragraph" w:customStyle="1" w:styleId="Titolo4">
    <w:name w:val="Titolo 4"/>
    <w:basedOn w:val="Normal"/>
    <w:rsid w:val="005E722F"/>
  </w:style>
  <w:style w:type="paragraph" w:customStyle="1" w:styleId="Titolo5">
    <w:name w:val="Titolo 5"/>
    <w:basedOn w:val="Normal"/>
    <w:rsid w:val="005E722F"/>
  </w:style>
  <w:style w:type="paragraph" w:customStyle="1" w:styleId="Titolo6">
    <w:name w:val="Titolo 6"/>
    <w:basedOn w:val="Normal"/>
    <w:rsid w:val="005E722F"/>
  </w:style>
  <w:style w:type="paragraph" w:customStyle="1" w:styleId="Titolo7">
    <w:name w:val="Titolo 7"/>
    <w:basedOn w:val="Normal"/>
    <w:rsid w:val="005E722F"/>
  </w:style>
  <w:style w:type="paragraph" w:customStyle="1" w:styleId="Titolo8">
    <w:name w:val="Titolo 8"/>
    <w:basedOn w:val="Normal"/>
    <w:rsid w:val="005E722F"/>
  </w:style>
  <w:style w:type="paragraph" w:customStyle="1" w:styleId="Titolo9">
    <w:name w:val="Titolo 9"/>
    <w:basedOn w:val="Normal"/>
    <w:rsid w:val="005E722F"/>
  </w:style>
  <w:style w:type="table" w:styleId="TableGrid">
    <w:name w:val="Table Grid"/>
    <w:basedOn w:val="TableNormal"/>
    <w:uiPriority w:val="39"/>
    <w:rsid w:val="00C66B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9267C6"/>
    <w:pPr>
      <w:spacing w:after="240" w:line="240" w:lineRule="auto"/>
    </w:pPr>
  </w:style>
  <w:style w:type="paragraph" w:styleId="Caption">
    <w:name w:val="caption"/>
    <w:basedOn w:val="Normal"/>
    <w:next w:val="Normal"/>
    <w:uiPriority w:val="35"/>
    <w:unhideWhenUsed/>
    <w:qFormat/>
    <w:rsid w:val="00BD065B"/>
    <w:pPr>
      <w:spacing w:after="200" w:line="240" w:lineRule="auto"/>
      <w:jc w:val="left"/>
    </w:pPr>
    <w:rPr>
      <w:b/>
      <w:iCs/>
      <w:sz w:val="18"/>
      <w:szCs w:val="18"/>
    </w:rPr>
  </w:style>
  <w:style w:type="paragraph" w:styleId="Title">
    <w:name w:val="Title"/>
    <w:basedOn w:val="Normal"/>
    <w:next w:val="Normal"/>
    <w:link w:val="TitleChar"/>
    <w:uiPriority w:val="10"/>
    <w:qFormat/>
    <w:rsid w:val="00054A81"/>
    <w:pPr>
      <w:spacing w:after="0" w:line="360" w:lineRule="auto"/>
      <w:contextualSpacing/>
    </w:pPr>
    <w:rPr>
      <w:rFonts w:eastAsiaTheme="majorEastAsia" w:cstheme="majorBidi"/>
      <w:b/>
      <w:spacing w:val="-10"/>
      <w:kern w:val="28"/>
      <w:sz w:val="28"/>
      <w:szCs w:val="56"/>
    </w:rPr>
  </w:style>
  <w:style w:type="character" w:customStyle="1" w:styleId="TitleChar">
    <w:name w:val="Title Char"/>
    <w:basedOn w:val="DefaultParagraphFont"/>
    <w:link w:val="Title"/>
    <w:uiPriority w:val="10"/>
    <w:rsid w:val="00054A81"/>
    <w:rPr>
      <w:rFonts w:ascii="Arial" w:eastAsiaTheme="majorEastAsia" w:hAnsi="Arial" w:cstheme="majorBidi"/>
      <w:b/>
      <w:spacing w:val="-10"/>
      <w:kern w:val="28"/>
      <w:sz w:val="28"/>
      <w:szCs w:val="56"/>
    </w:rPr>
  </w:style>
  <w:style w:type="paragraph" w:styleId="FootnoteText">
    <w:name w:val="footnote text"/>
    <w:basedOn w:val="Normal"/>
    <w:link w:val="FootnoteTextChar"/>
    <w:uiPriority w:val="99"/>
    <w:semiHidden/>
    <w:unhideWhenUsed/>
    <w:rsid w:val="000438D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438DF"/>
    <w:rPr>
      <w:rFonts w:ascii="Arial" w:hAnsi="Arial"/>
      <w:sz w:val="20"/>
      <w:szCs w:val="20"/>
    </w:rPr>
  </w:style>
  <w:style w:type="character" w:styleId="FootnoteReference">
    <w:name w:val="footnote reference"/>
    <w:basedOn w:val="DefaultParagraphFont"/>
    <w:uiPriority w:val="99"/>
    <w:semiHidden/>
    <w:unhideWhenUsed/>
    <w:rsid w:val="000438DF"/>
    <w:rPr>
      <w:vertAlign w:val="superscript"/>
    </w:rPr>
  </w:style>
  <w:style w:type="character" w:customStyle="1" w:styleId="Heading1Char">
    <w:name w:val="Heading 1 Char"/>
    <w:basedOn w:val="DefaultParagraphFont"/>
    <w:link w:val="Heading1"/>
    <w:uiPriority w:val="9"/>
    <w:rsid w:val="00884080"/>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B03870"/>
    <w:rPr>
      <w:rFonts w:ascii="Arial" w:eastAsiaTheme="majorEastAsia" w:hAnsi="Arial" w:cstheme="majorBidi"/>
      <w:i/>
      <w:szCs w:val="26"/>
    </w:rPr>
  </w:style>
  <w:style w:type="paragraph" w:styleId="NoSpacing">
    <w:name w:val="No Spacing"/>
    <w:uiPriority w:val="1"/>
    <w:qFormat/>
    <w:rsid w:val="00B03870"/>
    <w:pPr>
      <w:spacing w:after="0" w:line="240" w:lineRule="auto"/>
      <w:jc w:val="both"/>
    </w:pPr>
    <w:rPr>
      <w:rFonts w:ascii="Arial" w:hAnsi="Arial"/>
    </w:rPr>
  </w:style>
  <w:style w:type="character" w:styleId="PlaceholderText">
    <w:name w:val="Placeholder Text"/>
    <w:basedOn w:val="DefaultParagraphFont"/>
    <w:uiPriority w:val="99"/>
    <w:semiHidden/>
    <w:rsid w:val="005F2893"/>
    <w:rPr>
      <w:color w:val="808080"/>
    </w:rPr>
  </w:style>
  <w:style w:type="paragraph" w:styleId="NormalWeb">
    <w:name w:val="Normal (Web)"/>
    <w:basedOn w:val="Normal"/>
    <w:uiPriority w:val="99"/>
    <w:semiHidden/>
    <w:unhideWhenUsed/>
    <w:rsid w:val="0011353E"/>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B7214E"/>
    <w:pPr>
      <w:tabs>
        <w:tab w:val="center" w:pos="4986"/>
        <w:tab w:val="right" w:pos="9972"/>
      </w:tabs>
      <w:spacing w:after="0" w:line="240" w:lineRule="auto"/>
    </w:pPr>
  </w:style>
  <w:style w:type="character" w:customStyle="1" w:styleId="HeaderChar">
    <w:name w:val="Header Char"/>
    <w:basedOn w:val="DefaultParagraphFont"/>
    <w:link w:val="Header"/>
    <w:uiPriority w:val="99"/>
    <w:rsid w:val="00B7214E"/>
    <w:rPr>
      <w:rFonts w:ascii="Arial" w:hAnsi="Arial"/>
    </w:rPr>
  </w:style>
  <w:style w:type="paragraph" w:styleId="Footer">
    <w:name w:val="footer"/>
    <w:basedOn w:val="Normal"/>
    <w:link w:val="FooterChar"/>
    <w:uiPriority w:val="99"/>
    <w:unhideWhenUsed/>
    <w:rsid w:val="00B7214E"/>
    <w:pPr>
      <w:tabs>
        <w:tab w:val="center" w:pos="4986"/>
        <w:tab w:val="right" w:pos="9972"/>
      </w:tabs>
      <w:spacing w:after="0" w:line="240" w:lineRule="auto"/>
    </w:pPr>
  </w:style>
  <w:style w:type="character" w:customStyle="1" w:styleId="FooterChar">
    <w:name w:val="Footer Char"/>
    <w:basedOn w:val="DefaultParagraphFont"/>
    <w:link w:val="Footer"/>
    <w:uiPriority w:val="99"/>
    <w:rsid w:val="00B7214E"/>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3780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sv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4D97607138A57B4DA1F3D0034DCC201C" ma:contentTypeVersion="3" ma:contentTypeDescription="Creare un nuovo documento." ma:contentTypeScope="" ma:versionID="ff7608eeff428ef075c025a12571b5b5">
  <xsd:schema xmlns:xsd="http://www.w3.org/2001/XMLSchema" xmlns:xs="http://www.w3.org/2001/XMLSchema" xmlns:p="http://schemas.microsoft.com/office/2006/metadata/properties" xmlns:ns3="9b5acd4c-ba10-4762-acf7-3bd94446dec1" targetNamespace="http://schemas.microsoft.com/office/2006/metadata/properties" ma:root="true" ma:fieldsID="1690eae243e7bdd67b7858f382849877" ns3:_="">
    <xsd:import namespace="9b5acd4c-ba10-4762-acf7-3bd94446dec1"/>
    <xsd:element name="properties">
      <xsd:complexType>
        <xsd:sequence>
          <xsd:element name="documentManagement">
            <xsd:complexType>
              <xsd:all>
                <xsd:element ref="ns3:MediaServiceMetadata" minOccurs="0"/>
                <xsd:element ref="ns3:MediaServiceFastMetadata"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5acd4c-ba10-4762-acf7-3bd94446dec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84AC1A2-A872-4636-B411-15CE2A58D33B}">
  <ds:schemaRefs>
    <ds:schemaRef ds:uri="http://schemas.openxmlformats.org/officeDocument/2006/bibliography"/>
  </ds:schemaRefs>
</ds:datastoreItem>
</file>

<file path=customXml/itemProps2.xml><?xml version="1.0" encoding="utf-8"?>
<ds:datastoreItem xmlns:ds="http://schemas.openxmlformats.org/officeDocument/2006/customXml" ds:itemID="{D02AE3F9-414C-4AEC-9225-63570D4B5F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5acd4c-ba10-4762-acf7-3bd94446de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B412B24-710B-4459-BB70-10CEDB7F0FBC}">
  <ds:schemaRefs>
    <ds:schemaRef ds:uri="http://schemas.microsoft.com/sharepoint/v3/contenttype/forms"/>
  </ds:schemaRefs>
</ds:datastoreItem>
</file>

<file path=customXml/itemProps4.xml><?xml version="1.0" encoding="utf-8"?>
<ds:datastoreItem xmlns:ds="http://schemas.openxmlformats.org/officeDocument/2006/customXml" ds:itemID="{F8E20494-D5AD-4629-A159-8666BE9B9AA5}">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5989ece0-f90e-40bf-9c79-1a7beccdb861}" enabled="0" method="" siteId="{5989ece0-f90e-40bf-9c79-1a7beccdb861}" removed="1"/>
</clbl:labelList>
</file>

<file path=docProps/app.xml><?xml version="1.0" encoding="utf-8"?>
<Properties xmlns="http://schemas.openxmlformats.org/officeDocument/2006/extended-properties" xmlns:vt="http://schemas.openxmlformats.org/officeDocument/2006/docPropsVTypes">
  <Template>Normal</Template>
  <TotalTime>19</TotalTime>
  <Pages>12</Pages>
  <Words>1645</Words>
  <Characters>9381</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Caimmi, Michele EX1</dc:creator>
  <cp:keywords/>
  <dc:description/>
  <cp:lastModifiedBy>Caimmi, Michele</cp:lastModifiedBy>
  <cp:revision>4</cp:revision>
  <dcterms:created xsi:type="dcterms:W3CDTF">2025-04-14T15:36:00Z</dcterms:created>
  <dcterms:modified xsi:type="dcterms:W3CDTF">2025-04-17T15:59:00Z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zotero-version="6.0.22"&gt;&lt;session id="yrBRPiCa"/&gt;&lt;style id="http://www.zotero.org/styles/harvard-cite-them-right" hasBibliography="1" bibliographyStyleHasBeenSet="1"/&gt;&lt;prefs&gt;&lt;pref name="fieldType" value="Field"/&gt;&lt;/prefs&gt;&lt;/data&gt;</vt:lpwstr>
  </property>
  <property fmtid="{D5CDD505-2E9C-101B-9397-08002B2CF9AE}" pid="3" name="ContentTypeId">
    <vt:lpwstr>0x0101004D97607138A57B4DA1F3D0034DCC201C</vt:lpwstr>
  </property>
</Properties>
</file>