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8369EC" w14:textId="77777777" w:rsidR="00E20050" w:rsidRPr="00DF3BFD" w:rsidRDefault="00E20050" w:rsidP="00924E35">
      <w:pPr>
        <w:pStyle w:val="Heading1"/>
        <w:jc w:val="center"/>
        <w:rPr>
          <w:rFonts w:ascii="Arial" w:hAnsi="Arial" w:cs="Arial"/>
          <w:color w:val="auto"/>
          <w:sz w:val="48"/>
          <w:szCs w:val="48"/>
        </w:rPr>
      </w:pPr>
      <w:bookmarkStart w:id="0" w:name="_Toc183793495"/>
      <w:r w:rsidRPr="00DF3BFD">
        <w:rPr>
          <w:rFonts w:ascii="Arial" w:hAnsi="Arial" w:cs="Arial"/>
          <w:color w:val="auto"/>
          <w:sz w:val="48"/>
          <w:szCs w:val="48"/>
        </w:rPr>
        <w:t>SUPPLE</w:t>
      </w:r>
      <w:bookmarkStart w:id="1" w:name="_GoBack"/>
      <w:bookmarkEnd w:id="1"/>
      <w:r w:rsidRPr="00DF3BFD">
        <w:rPr>
          <w:rFonts w:ascii="Arial" w:hAnsi="Arial" w:cs="Arial"/>
          <w:color w:val="auto"/>
          <w:sz w:val="48"/>
          <w:szCs w:val="48"/>
        </w:rPr>
        <w:t>MENTARY MATERIALS</w:t>
      </w:r>
      <w:bookmarkEnd w:id="0"/>
    </w:p>
    <w:p w14:paraId="11154516" w14:textId="77777777" w:rsidR="000B1604" w:rsidRPr="00DF3BFD" w:rsidRDefault="000B1604" w:rsidP="00924E35">
      <w:pPr>
        <w:jc w:val="center"/>
      </w:pPr>
    </w:p>
    <w:p w14:paraId="27EAEAA6" w14:textId="77777777" w:rsidR="000B1604" w:rsidRPr="00DF3BFD" w:rsidRDefault="000B1604" w:rsidP="00924E35">
      <w:pPr>
        <w:jc w:val="center"/>
      </w:pPr>
    </w:p>
    <w:p w14:paraId="0FDB9DDC" w14:textId="77777777" w:rsidR="000B1604" w:rsidRPr="00DF3BFD" w:rsidRDefault="000B1604" w:rsidP="00924E35">
      <w:pPr>
        <w:jc w:val="center"/>
      </w:pPr>
    </w:p>
    <w:p w14:paraId="7D216B11" w14:textId="77777777" w:rsidR="000B1604" w:rsidRPr="00DF3BFD" w:rsidRDefault="000B1604" w:rsidP="00924E35">
      <w:pPr>
        <w:jc w:val="center"/>
      </w:pPr>
    </w:p>
    <w:p w14:paraId="7CD6D03A" w14:textId="77777777" w:rsidR="000B1604" w:rsidRPr="00DF3BFD" w:rsidRDefault="000B1604" w:rsidP="00924E35">
      <w:pPr>
        <w:jc w:val="center"/>
      </w:pPr>
    </w:p>
    <w:p w14:paraId="746FA3A8" w14:textId="77777777" w:rsidR="000B1604" w:rsidRPr="00DF3BFD" w:rsidRDefault="000B1604" w:rsidP="00924E35">
      <w:pPr>
        <w:jc w:val="center"/>
      </w:pPr>
    </w:p>
    <w:p w14:paraId="15725133" w14:textId="77777777" w:rsidR="000B1604" w:rsidRPr="00DF3BFD" w:rsidRDefault="000B1604" w:rsidP="00924E35">
      <w:pPr>
        <w:jc w:val="center"/>
      </w:pPr>
    </w:p>
    <w:p w14:paraId="6C0A339F" w14:textId="6457E0EC" w:rsidR="000B1604" w:rsidRPr="00DF3BFD" w:rsidRDefault="000B1604" w:rsidP="00924E35">
      <w:pPr>
        <w:jc w:val="center"/>
        <w:rPr>
          <w:sz w:val="28"/>
          <w:szCs w:val="28"/>
        </w:rPr>
      </w:pPr>
      <w:r w:rsidRPr="00DF3BFD">
        <w:rPr>
          <w:sz w:val="28"/>
          <w:szCs w:val="28"/>
        </w:rPr>
        <w:t>Appendix to the paper:</w:t>
      </w:r>
    </w:p>
    <w:p w14:paraId="618CEE44" w14:textId="77777777" w:rsidR="009C2776" w:rsidRPr="00DF3BFD" w:rsidRDefault="009C2776" w:rsidP="009C2776">
      <w:pPr>
        <w:pStyle w:val="Authors"/>
        <w:spacing w:before="240"/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</w:pPr>
      <w:r w:rsidRPr="00DF3BFD"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  <w:t>Effect of Femoral Component Design and Quadriceps Load on Patellofemoral Kinematics After Total Knee Arthroplasty: An In Vitro Cadaveric Study</w:t>
      </w:r>
    </w:p>
    <w:p w14:paraId="4A49F0FA" w14:textId="27C425D5" w:rsidR="005C41F5" w:rsidRPr="00DF3BFD" w:rsidRDefault="005C41F5">
      <w:r w:rsidRPr="00DF3BFD">
        <w:br w:type="page"/>
      </w:r>
    </w:p>
    <w:p w14:paraId="2AEC1B9F" w14:textId="77777777" w:rsidR="00572629" w:rsidRPr="00DF3BFD" w:rsidRDefault="00572629" w:rsidP="00572629"/>
    <w:p w14:paraId="4C832B23" w14:textId="1CE1C1EA" w:rsidR="00355321" w:rsidRPr="00DF3BFD" w:rsidRDefault="00355321" w:rsidP="00CD69CB">
      <w:pPr>
        <w:pStyle w:val="Heading2"/>
        <w:jc w:val="center"/>
        <w:rPr>
          <w:rFonts w:ascii="Arial" w:hAnsi="Arial" w:cs="Arial"/>
          <w:b/>
          <w:bCs/>
          <w:color w:val="auto"/>
        </w:rPr>
      </w:pPr>
      <w:bookmarkStart w:id="2" w:name="_Toc183793496"/>
      <w:r w:rsidRPr="00DF3BFD">
        <w:rPr>
          <w:rFonts w:ascii="Arial" w:hAnsi="Arial" w:cs="Arial"/>
          <w:b/>
          <w:bCs/>
          <w:color w:val="auto"/>
        </w:rPr>
        <w:t>SUPPLEMENTARY MATERIAL #</w:t>
      </w:r>
      <w:r w:rsidR="007452D9" w:rsidRPr="00DF3BFD">
        <w:rPr>
          <w:rFonts w:ascii="Arial" w:hAnsi="Arial" w:cs="Arial"/>
          <w:b/>
          <w:bCs/>
          <w:color w:val="auto"/>
        </w:rPr>
        <w:t>1</w:t>
      </w:r>
    </w:p>
    <w:p w14:paraId="0D5B6085" w14:textId="25E32E1E" w:rsidR="000B1604" w:rsidRPr="00DF3BFD" w:rsidRDefault="00FF7BA6" w:rsidP="00CD69CB">
      <w:pPr>
        <w:pStyle w:val="Heading3"/>
        <w:jc w:val="center"/>
        <w:rPr>
          <w:b/>
          <w:bCs/>
          <w:color w:val="auto"/>
        </w:rPr>
      </w:pPr>
      <w:r w:rsidRPr="00DF3BFD">
        <w:rPr>
          <w:b/>
          <w:bCs/>
          <w:color w:val="auto"/>
        </w:rPr>
        <w:t xml:space="preserve">Influence of the quadriceps muscle </w:t>
      </w:r>
      <w:r w:rsidR="00CD69CB" w:rsidRPr="00DF3BFD">
        <w:rPr>
          <w:b/>
          <w:bCs/>
          <w:color w:val="auto"/>
        </w:rPr>
        <w:br/>
      </w:r>
      <w:r w:rsidRPr="00DF3BFD">
        <w:rPr>
          <w:b/>
          <w:bCs/>
          <w:color w:val="auto"/>
        </w:rPr>
        <w:t>for all degrees of freedom of the patellofemoral joint</w:t>
      </w:r>
      <w:r w:rsidR="00E90025" w:rsidRPr="00DF3BFD">
        <w:rPr>
          <w:b/>
          <w:bCs/>
          <w:color w:val="auto"/>
        </w:rPr>
        <w:t xml:space="preserve"> after TKA</w:t>
      </w:r>
    </w:p>
    <w:bookmarkEnd w:id="2"/>
    <w:p w14:paraId="3438C27B" w14:textId="27569F03" w:rsidR="00F1530F" w:rsidRPr="00DF3BFD" w:rsidRDefault="00F1530F" w:rsidP="00F1530F">
      <w:pPr>
        <w:pStyle w:val="Caption"/>
        <w:rPr>
          <w:rFonts w:ascii="Arial" w:hAnsi="Arial" w:cs="Arial"/>
          <w:i w:val="0"/>
          <w:iCs w:val="0"/>
          <w:color w:val="auto"/>
          <w:sz w:val="24"/>
          <w:szCs w:val="24"/>
        </w:rPr>
      </w:pP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This section provides a comprehensive visualization of all six kinematic components</w:t>
      </w:r>
      <w:r w:rsidR="00E90025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(Figure S1_1)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of the patellofemoral joint following TKA, expanding upon the results presented in the main manuscript. Specifically, the plots show the </w:t>
      </w:r>
      <w:r w:rsidR="004264B6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me</w:t>
      </w:r>
      <w:r w:rsidR="00D4693D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dian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± standard deviation across all specimens, grouped according to the three investigated quadriceps control parameters: QV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  <w:vertAlign w:val="subscript"/>
        </w:rPr>
        <w:t>ML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(line of action direction</w:t>
      </w:r>
      <w:r w:rsidR="00A058F6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in the frontal plane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), QV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  <w:vertAlign w:val="subscript"/>
        </w:rPr>
        <w:t>AP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(</w:t>
      </w:r>
      <w:r w:rsidR="00A058F6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line of action direction in the sagittal plane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), and QV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  <w:vertAlign w:val="subscript"/>
        </w:rPr>
        <w:t>load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(muscle force magnitude).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br/>
        <w:t xml:space="preserve">Additionally, the variation of each kinematic parameter relative to the </w:t>
      </w:r>
      <w:r w:rsidR="00916330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reference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 test (neutral </w:t>
      </w:r>
      <w:r w:rsidR="00916330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 xml:space="preserve">direction and 20N load) 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is plotted, again as me</w:t>
      </w:r>
      <w:r w:rsidR="00D4693D"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di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t>an ± SD across specimens.</w:t>
      </w:r>
      <w:r w:rsidRPr="00DF3BFD">
        <w:rPr>
          <w:rFonts w:ascii="Arial" w:hAnsi="Arial" w:cs="Arial"/>
          <w:i w:val="0"/>
          <w:iCs w:val="0"/>
          <w:color w:val="auto"/>
          <w:sz w:val="24"/>
          <w:szCs w:val="24"/>
        </w:rPr>
        <w:br/>
        <w:t>Finally, statistical significance of the effect of each quadriceps parameter on patellofemoral motion is assessed using the Kruskal-Wallis test with Bonferroni correction, and corresponding p-values are reported for all degrees of freedom (3 translations + 3 rotations).</w:t>
      </w:r>
    </w:p>
    <w:p w14:paraId="4B103A6D" w14:textId="2EA74829" w:rsidR="00665CC3" w:rsidRPr="00DF3BFD" w:rsidRDefault="00665CC3" w:rsidP="00665CC3">
      <w:r w:rsidRPr="00DF3BFD">
        <w:rPr>
          <w:noProof/>
          <w:lang w:val="en-IN" w:eastAsia="en-IN"/>
        </w:rPr>
        <w:drawing>
          <wp:inline distT="0" distB="0" distL="0" distR="0" wp14:anchorId="7B946818" wp14:editId="4DC2E1EE">
            <wp:extent cx="5943600" cy="3110582"/>
            <wp:effectExtent l="0" t="0" r="0" b="0"/>
            <wp:docPr id="507105654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105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D2987B" w14:textId="751ACEE8" w:rsidR="000A0988" w:rsidRPr="00DF3BFD" w:rsidRDefault="000A0988" w:rsidP="000A0988">
      <w:pPr>
        <w:pStyle w:val="Caption"/>
        <w:jc w:val="center"/>
        <w:rPr>
          <w:color w:val="auto"/>
        </w:rPr>
      </w:pPr>
      <w:r w:rsidRPr="00DF3BFD">
        <w:rPr>
          <w:rFonts w:eastAsiaTheme="minorHAnsi"/>
          <w:i w:val="0"/>
          <w:iCs w:val="0"/>
          <w:color w:val="auto"/>
        </w:rPr>
        <w:t xml:space="preserve"> </w:t>
      </w:r>
      <w:r w:rsidRPr="00DF3BFD">
        <w:rPr>
          <w:color w:val="auto"/>
        </w:rPr>
        <w:t>Figure S1_1: Motion components of the patellofemoral joint of a right leg. Figshare repository (</w:t>
      </w:r>
      <w:r w:rsidR="002F6A7D" w:rsidRPr="00DF3BFD">
        <w:rPr>
          <w:color w:val="auto"/>
        </w:rPr>
        <w:t>10.6084/m9.figshare.30019969</w:t>
      </w:r>
      <w:r w:rsidRPr="00DF3BFD">
        <w:rPr>
          <w:color w:val="auto"/>
        </w:rPr>
        <w:t>).</w:t>
      </w:r>
    </w:p>
    <w:p w14:paraId="51005DE8" w14:textId="6B30659F" w:rsidR="00A834F6" w:rsidRPr="00DF3BFD" w:rsidRDefault="00A834F6" w:rsidP="005A1E17">
      <w:pPr>
        <w:pStyle w:val="Caption"/>
        <w:jc w:val="center"/>
        <w:rPr>
          <w:color w:val="auto"/>
        </w:rPr>
      </w:pPr>
    </w:p>
    <w:p w14:paraId="4289AEEE" w14:textId="6C0EBDC7" w:rsidR="00411718" w:rsidRPr="00DF3BFD" w:rsidRDefault="00074668" w:rsidP="00411718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DF3BFD">
        <w:rPr>
          <w:rFonts w:ascii="Arial" w:hAnsi="Arial" w:cs="Arial"/>
          <w:noProof/>
          <w:color w:val="auto"/>
          <w:lang w:val="en-IN" w:eastAsia="en-IN"/>
        </w:rPr>
        <w:drawing>
          <wp:inline distT="0" distB="0" distL="0" distR="0" wp14:anchorId="0A2D9707" wp14:editId="5BEBABBE">
            <wp:extent cx="5943600" cy="4432569"/>
            <wp:effectExtent l="0" t="0" r="0" b="6350"/>
            <wp:docPr id="5379953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325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08AA44" w14:textId="7012583F" w:rsidR="00411718" w:rsidRPr="00DF3BFD" w:rsidRDefault="00411718" w:rsidP="00411718">
      <w:pPr>
        <w:pStyle w:val="Caption"/>
        <w:jc w:val="center"/>
        <w:rPr>
          <w:rFonts w:ascii="Arial" w:hAnsi="Arial" w:cs="Arial"/>
          <w:color w:val="auto"/>
        </w:rPr>
      </w:pPr>
      <w:r w:rsidRPr="00DF3BFD">
        <w:rPr>
          <w:color w:val="auto"/>
        </w:rPr>
        <w:t>Figure S</w:t>
      </w:r>
      <w:r w:rsidR="00A94431" w:rsidRPr="00DF3BFD">
        <w:rPr>
          <w:color w:val="auto"/>
        </w:rPr>
        <w:t>1</w:t>
      </w:r>
      <w:r w:rsidRPr="00DF3BFD">
        <w:rPr>
          <w:color w:val="auto"/>
        </w:rPr>
        <w:t>_2: Flexion-Extension rotation of the patella</w:t>
      </w:r>
      <w:r w:rsidR="00A416E6" w:rsidRPr="00DF3BFD">
        <w:rPr>
          <w:color w:val="auto"/>
        </w:rPr>
        <w:t xml:space="preserve"> after TKA without patellar resurfacing</w:t>
      </w:r>
      <w:r w:rsidRPr="00DF3BFD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6278C952" w14:textId="4DF319E6" w:rsidR="00411718" w:rsidRPr="00DF3BFD" w:rsidRDefault="00074668" w:rsidP="00411718">
      <w:pPr>
        <w:pStyle w:val="Caption"/>
        <w:jc w:val="center"/>
        <w:rPr>
          <w:color w:val="auto"/>
        </w:rPr>
      </w:pPr>
      <w:r w:rsidRPr="00DF3BFD">
        <w:rPr>
          <w:noProof/>
          <w:color w:val="auto"/>
          <w:lang w:val="en-IN" w:eastAsia="en-IN"/>
        </w:rPr>
        <w:drawing>
          <wp:inline distT="0" distB="0" distL="0" distR="0" wp14:anchorId="695AFA2E" wp14:editId="4CBE0E8C">
            <wp:extent cx="5943600" cy="4381337"/>
            <wp:effectExtent l="0" t="0" r="0" b="635"/>
            <wp:docPr id="87223962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813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D027BA" w14:textId="790041A7" w:rsidR="00411718" w:rsidRPr="00DF3BFD" w:rsidRDefault="00411718" w:rsidP="00411718">
      <w:pPr>
        <w:pStyle w:val="Caption"/>
        <w:jc w:val="center"/>
        <w:rPr>
          <w:color w:val="auto"/>
        </w:rPr>
      </w:pPr>
      <w:r w:rsidRPr="00DF3BFD">
        <w:rPr>
          <w:color w:val="auto"/>
        </w:rPr>
        <w:t>Figure S</w:t>
      </w:r>
      <w:r w:rsidR="00A94431" w:rsidRPr="00DF3BFD">
        <w:rPr>
          <w:color w:val="auto"/>
        </w:rPr>
        <w:t>1</w:t>
      </w:r>
      <w:r w:rsidRPr="00DF3BFD">
        <w:rPr>
          <w:color w:val="auto"/>
        </w:rPr>
        <w:t>_</w:t>
      </w:r>
      <w:r w:rsidR="00A416E6" w:rsidRPr="00DF3BFD">
        <w:rPr>
          <w:color w:val="auto"/>
        </w:rPr>
        <w:t>3</w:t>
      </w:r>
      <w:r w:rsidRPr="00DF3BFD">
        <w:rPr>
          <w:color w:val="auto"/>
        </w:rPr>
        <w:t>: Varus-valgus rotation of the patella</w:t>
      </w:r>
      <w:r w:rsidR="00A416E6" w:rsidRPr="00DF3BFD">
        <w:rPr>
          <w:color w:val="auto"/>
        </w:rPr>
        <w:t xml:space="preserve"> after TKA without patellar resurfacing</w:t>
      </w:r>
      <w:r w:rsidRPr="00DF3BFD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051BF5A5" w14:textId="3577A4BB" w:rsidR="00153DF9" w:rsidRPr="00DF3BFD" w:rsidRDefault="00165114" w:rsidP="00153DF9">
      <w:r w:rsidRPr="00DF3BFD">
        <w:rPr>
          <w:noProof/>
          <w:lang w:val="en-IN" w:eastAsia="en-IN"/>
        </w:rPr>
        <w:drawing>
          <wp:inline distT="0" distB="0" distL="0" distR="0" wp14:anchorId="7227E87A" wp14:editId="0141B224">
            <wp:extent cx="5943600" cy="4387712"/>
            <wp:effectExtent l="0" t="0" r="0" b="0"/>
            <wp:docPr id="27477934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877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90FBB7" w14:textId="0FC4D698" w:rsidR="00411718" w:rsidRPr="00DF3BFD" w:rsidRDefault="00411718" w:rsidP="00411718">
      <w:pPr>
        <w:pStyle w:val="Caption"/>
        <w:jc w:val="center"/>
        <w:rPr>
          <w:color w:val="auto"/>
        </w:rPr>
      </w:pPr>
    </w:p>
    <w:p w14:paraId="2F155999" w14:textId="4C4C1CC2" w:rsidR="00411718" w:rsidRPr="00DF3BFD" w:rsidRDefault="00411718" w:rsidP="00411718">
      <w:pPr>
        <w:pStyle w:val="Caption"/>
        <w:jc w:val="center"/>
        <w:rPr>
          <w:color w:val="auto"/>
        </w:rPr>
      </w:pPr>
      <w:r w:rsidRPr="00DF3BFD">
        <w:rPr>
          <w:color w:val="auto"/>
        </w:rPr>
        <w:t xml:space="preserve"> Figure S</w:t>
      </w:r>
      <w:r w:rsidR="00A94431" w:rsidRPr="00DF3BFD">
        <w:rPr>
          <w:color w:val="auto"/>
        </w:rPr>
        <w:t>1</w:t>
      </w:r>
      <w:r w:rsidRPr="00DF3BFD">
        <w:rPr>
          <w:color w:val="auto"/>
        </w:rPr>
        <w:t>_</w:t>
      </w:r>
      <w:r w:rsidR="00A416E6" w:rsidRPr="00DF3BFD">
        <w:rPr>
          <w:color w:val="auto"/>
        </w:rPr>
        <w:t>4</w:t>
      </w:r>
      <w:r w:rsidRPr="00DF3BFD">
        <w:rPr>
          <w:color w:val="auto"/>
        </w:rPr>
        <w:t>: Internal-External of the patella</w:t>
      </w:r>
      <w:r w:rsidR="00A416E6" w:rsidRPr="00DF3BFD">
        <w:rPr>
          <w:color w:val="auto"/>
        </w:rPr>
        <w:t xml:space="preserve"> after TKA without patellar resurfacing</w:t>
      </w:r>
      <w:r w:rsidRPr="00DF3BFD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611B0C4F" w14:textId="402168C4" w:rsidR="00411718" w:rsidRPr="00DF3BFD" w:rsidRDefault="00165114" w:rsidP="00411718">
      <w:pPr>
        <w:pStyle w:val="Caption"/>
        <w:jc w:val="center"/>
        <w:rPr>
          <w:color w:val="auto"/>
        </w:rPr>
      </w:pPr>
      <w:r w:rsidRPr="00DF3BFD">
        <w:rPr>
          <w:noProof/>
          <w:color w:val="auto"/>
          <w:lang w:val="en-IN" w:eastAsia="en-IN"/>
        </w:rPr>
        <w:drawing>
          <wp:inline distT="0" distB="0" distL="0" distR="0" wp14:anchorId="65FF351A" wp14:editId="5B87BEF8">
            <wp:extent cx="5943600" cy="4367560"/>
            <wp:effectExtent l="0" t="0" r="0" b="0"/>
            <wp:docPr id="205305223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67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5B428B6" w14:textId="2D6DDCBF" w:rsidR="00411718" w:rsidRPr="00DF3BFD" w:rsidRDefault="00411718" w:rsidP="00411718">
      <w:pPr>
        <w:pStyle w:val="Caption"/>
        <w:jc w:val="center"/>
        <w:rPr>
          <w:color w:val="auto"/>
        </w:rPr>
      </w:pPr>
      <w:r w:rsidRPr="00DF3BFD">
        <w:rPr>
          <w:color w:val="auto"/>
        </w:rPr>
        <w:t xml:space="preserve"> Figure S</w:t>
      </w:r>
      <w:r w:rsidR="00A94431" w:rsidRPr="00DF3BFD">
        <w:rPr>
          <w:color w:val="auto"/>
        </w:rPr>
        <w:t>1</w:t>
      </w:r>
      <w:r w:rsidRPr="00DF3BFD">
        <w:rPr>
          <w:color w:val="auto"/>
        </w:rPr>
        <w:t>_</w:t>
      </w:r>
      <w:r w:rsidR="00A416E6" w:rsidRPr="00DF3BFD">
        <w:rPr>
          <w:color w:val="auto"/>
        </w:rPr>
        <w:t>5</w:t>
      </w:r>
      <w:r w:rsidRPr="00DF3BFD">
        <w:rPr>
          <w:color w:val="auto"/>
        </w:rPr>
        <w:t>: Anterior-Posterior translation of the patella</w:t>
      </w:r>
      <w:r w:rsidR="00A416E6" w:rsidRPr="00DF3BFD">
        <w:rPr>
          <w:color w:val="auto"/>
        </w:rPr>
        <w:t xml:space="preserve"> after TKA without patellar resurfacing</w:t>
      </w:r>
      <w:r w:rsidRPr="00DF3BFD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4B8AAB2E" w14:textId="14285E18" w:rsidR="00411718" w:rsidRPr="00DF3BFD" w:rsidRDefault="00B84ADC" w:rsidP="00411718">
      <w:pPr>
        <w:pStyle w:val="Caption"/>
        <w:jc w:val="center"/>
        <w:rPr>
          <w:color w:val="auto"/>
        </w:rPr>
      </w:pPr>
      <w:r w:rsidRPr="00DF3BFD">
        <w:rPr>
          <w:noProof/>
          <w:color w:val="auto"/>
          <w:lang w:val="en-IN" w:eastAsia="en-IN"/>
        </w:rPr>
        <w:drawing>
          <wp:inline distT="0" distB="0" distL="0" distR="0" wp14:anchorId="71F16B61" wp14:editId="1D8900E4">
            <wp:extent cx="5943600" cy="4396410"/>
            <wp:effectExtent l="0" t="0" r="0" b="4445"/>
            <wp:docPr id="43578686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96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D5CE1E" w14:textId="0BB614A7" w:rsidR="00411718" w:rsidRPr="00DF3BFD" w:rsidRDefault="00411718" w:rsidP="00411718">
      <w:pPr>
        <w:pStyle w:val="Caption"/>
        <w:jc w:val="center"/>
        <w:rPr>
          <w:color w:val="auto"/>
        </w:rPr>
      </w:pPr>
      <w:r w:rsidRPr="00DF3BFD">
        <w:rPr>
          <w:color w:val="auto"/>
        </w:rPr>
        <w:t xml:space="preserve"> Figure S</w:t>
      </w:r>
      <w:r w:rsidR="00A94431" w:rsidRPr="00DF3BFD">
        <w:rPr>
          <w:color w:val="auto"/>
        </w:rPr>
        <w:t>1</w:t>
      </w:r>
      <w:r w:rsidRPr="00DF3BFD">
        <w:rPr>
          <w:color w:val="auto"/>
        </w:rPr>
        <w:t>_</w:t>
      </w:r>
      <w:r w:rsidR="00A416E6" w:rsidRPr="00DF3BFD">
        <w:rPr>
          <w:color w:val="auto"/>
        </w:rPr>
        <w:t>6</w:t>
      </w:r>
      <w:r w:rsidRPr="00DF3BFD">
        <w:rPr>
          <w:color w:val="auto"/>
        </w:rPr>
        <w:t>: Proximal-Distal translation of the patella</w:t>
      </w:r>
      <w:r w:rsidR="00A416E6" w:rsidRPr="00DF3BFD">
        <w:rPr>
          <w:color w:val="auto"/>
        </w:rPr>
        <w:t xml:space="preserve"> after TKA without patellar resurfacing</w:t>
      </w:r>
      <w:r w:rsidRPr="00DF3BFD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2251168A" w14:textId="030D4F81" w:rsidR="00411718" w:rsidRPr="00DF3BFD" w:rsidRDefault="00B84ADC" w:rsidP="00411718">
      <w:pPr>
        <w:pStyle w:val="Caption"/>
        <w:jc w:val="center"/>
        <w:rPr>
          <w:color w:val="auto"/>
        </w:rPr>
      </w:pPr>
      <w:r w:rsidRPr="00DF3BFD">
        <w:rPr>
          <w:noProof/>
          <w:color w:val="auto"/>
          <w:lang w:val="en-IN" w:eastAsia="en-IN"/>
        </w:rPr>
        <w:drawing>
          <wp:inline distT="0" distB="0" distL="0" distR="0" wp14:anchorId="1E3A5B85" wp14:editId="0E0F934D">
            <wp:extent cx="5943600" cy="4384794"/>
            <wp:effectExtent l="0" t="0" r="0" b="0"/>
            <wp:docPr id="198845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847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DA641B" w14:textId="1A9E5451" w:rsidR="002E3531" w:rsidRPr="00DF3BFD" w:rsidRDefault="00411718" w:rsidP="00411718">
      <w:pPr>
        <w:pStyle w:val="Caption"/>
        <w:jc w:val="center"/>
        <w:rPr>
          <w:color w:val="auto"/>
        </w:rPr>
      </w:pPr>
      <w:r w:rsidRPr="00DF3BFD">
        <w:rPr>
          <w:color w:val="auto"/>
        </w:rPr>
        <w:t xml:space="preserve"> Figure S</w:t>
      </w:r>
      <w:r w:rsidR="00A94431" w:rsidRPr="00DF3BFD">
        <w:rPr>
          <w:color w:val="auto"/>
        </w:rPr>
        <w:t>1</w:t>
      </w:r>
      <w:r w:rsidRPr="00DF3BFD">
        <w:rPr>
          <w:color w:val="auto"/>
        </w:rPr>
        <w:t>_</w:t>
      </w:r>
      <w:r w:rsidR="00A416E6" w:rsidRPr="00DF3BFD">
        <w:rPr>
          <w:color w:val="auto"/>
        </w:rPr>
        <w:t>7</w:t>
      </w:r>
      <w:r w:rsidRPr="00DF3BFD">
        <w:rPr>
          <w:color w:val="auto"/>
        </w:rPr>
        <w:t>: Medial-Lateral translation of the patella</w:t>
      </w:r>
      <w:r w:rsidR="00A416E6" w:rsidRPr="00DF3BFD">
        <w:rPr>
          <w:color w:val="auto"/>
        </w:rPr>
        <w:t xml:space="preserve"> after TKA without patellar resurfacing</w:t>
      </w:r>
      <w:r w:rsidRPr="00DF3BFD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3F87F3F6" w14:textId="71167144" w:rsidR="003A1BC7" w:rsidRPr="00DF3BFD" w:rsidRDefault="003A1BC7" w:rsidP="003A1BC7">
      <w:pPr>
        <w:rPr>
          <w:i/>
          <w:iCs/>
          <w:sz w:val="18"/>
          <w:szCs w:val="18"/>
        </w:rPr>
      </w:pPr>
    </w:p>
    <w:sectPr w:rsidR="003A1BC7" w:rsidRPr="00DF3BFD" w:rsidSect="00DF3BFD"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B5B8D3" w14:textId="77777777" w:rsidR="003C3999" w:rsidRDefault="003C3999" w:rsidP="00B75DF9">
      <w:pPr>
        <w:spacing w:after="0" w:line="240" w:lineRule="auto"/>
      </w:pPr>
      <w:r>
        <w:separator/>
      </w:r>
    </w:p>
  </w:endnote>
  <w:endnote w:type="continuationSeparator" w:id="0">
    <w:p w14:paraId="523417AE" w14:textId="77777777" w:rsidR="003C3999" w:rsidRDefault="003C3999" w:rsidP="00B75D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77563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80DCCB" w14:textId="7724ED4C" w:rsidR="002D784B" w:rsidRDefault="002D78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25DFEF4" w14:textId="77777777" w:rsidR="002D784B" w:rsidRDefault="002D78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24FA9" w14:textId="77777777" w:rsidR="003C3999" w:rsidRDefault="003C3999" w:rsidP="00B75DF9">
      <w:pPr>
        <w:spacing w:after="0" w:line="240" w:lineRule="auto"/>
      </w:pPr>
      <w:r>
        <w:separator/>
      </w:r>
    </w:p>
  </w:footnote>
  <w:footnote w:type="continuationSeparator" w:id="0">
    <w:p w14:paraId="7A01DD9E" w14:textId="77777777" w:rsidR="003C3999" w:rsidRDefault="003C3999" w:rsidP="00B75D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418457" w14:textId="69B7DF43" w:rsidR="002D7C36" w:rsidRPr="00320D8C" w:rsidRDefault="003F0462">
    <w:pPr>
      <w:pStyle w:val="Header"/>
      <w:rPr>
        <w:sz w:val="20"/>
        <w:szCs w:val="20"/>
      </w:rPr>
    </w:pPr>
    <w:r w:rsidRPr="00320D8C">
      <w:rPr>
        <w:sz w:val="20"/>
        <w:szCs w:val="20"/>
      </w:rPr>
      <w:t>S</w:t>
    </w:r>
    <w:r w:rsidR="002D7C36" w:rsidRPr="00320D8C">
      <w:rPr>
        <w:sz w:val="20"/>
        <w:szCs w:val="20"/>
      </w:rPr>
      <w:t>uppl</w:t>
    </w:r>
    <w:r w:rsidR="00924992" w:rsidRPr="00320D8C">
      <w:rPr>
        <w:sz w:val="20"/>
        <w:szCs w:val="20"/>
      </w:rPr>
      <w:t>eme</w:t>
    </w:r>
    <w:r w:rsidRPr="00320D8C">
      <w:rPr>
        <w:sz w:val="20"/>
        <w:szCs w:val="20"/>
      </w:rPr>
      <w:t xml:space="preserve">ntary material </w:t>
    </w:r>
  </w:p>
  <w:p w14:paraId="65908D5E" w14:textId="3D92C352" w:rsidR="003F0462" w:rsidRPr="00320D8C" w:rsidRDefault="003F0462" w:rsidP="009C2776">
    <w:pPr>
      <w:pStyle w:val="Header"/>
      <w:jc w:val="right"/>
      <w:rPr>
        <w:sz w:val="20"/>
        <w:szCs w:val="20"/>
      </w:rPr>
    </w:pPr>
    <w:r w:rsidRPr="00320D8C">
      <w:rPr>
        <w:sz w:val="20"/>
        <w:szCs w:val="20"/>
      </w:rPr>
      <w:t>Appendix to the paper:</w:t>
    </w:r>
  </w:p>
  <w:p w14:paraId="3838034B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Effect of Femoral Component Design and Quadriceps Load </w:t>
    </w:r>
  </w:p>
  <w:p w14:paraId="3E77D5AD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on Patellofemoral Kinematics After Total Knee Arthroplasty: </w:t>
    </w:r>
  </w:p>
  <w:p w14:paraId="62EDD542" w14:textId="57E31A61" w:rsidR="009C2776" w:rsidRP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>An In Vitro Cadaveric Study</w:t>
    </w:r>
  </w:p>
  <w:p w14:paraId="5EDE5652" w14:textId="77777777" w:rsidR="003F0462" w:rsidRPr="003F0462" w:rsidRDefault="003F04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0743"/>
    <w:multiLevelType w:val="multilevel"/>
    <w:tmpl w:val="700A8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8D1E9A"/>
    <w:multiLevelType w:val="multilevel"/>
    <w:tmpl w:val="7860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0E55D7"/>
    <w:multiLevelType w:val="hybridMultilevel"/>
    <w:tmpl w:val="BBA2DABC"/>
    <w:lvl w:ilvl="0" w:tplc="78A86A5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70BF8"/>
    <w:multiLevelType w:val="hybridMultilevel"/>
    <w:tmpl w:val="C7FCB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FD0"/>
    <w:rsid w:val="00001E34"/>
    <w:rsid w:val="00001F35"/>
    <w:rsid w:val="00006DC4"/>
    <w:rsid w:val="0001030C"/>
    <w:rsid w:val="00010D3A"/>
    <w:rsid w:val="00013249"/>
    <w:rsid w:val="00014436"/>
    <w:rsid w:val="00023A12"/>
    <w:rsid w:val="000263B8"/>
    <w:rsid w:val="00031FE9"/>
    <w:rsid w:val="00033D30"/>
    <w:rsid w:val="00035716"/>
    <w:rsid w:val="00041ED2"/>
    <w:rsid w:val="00071BD9"/>
    <w:rsid w:val="00074668"/>
    <w:rsid w:val="000832D0"/>
    <w:rsid w:val="000832E8"/>
    <w:rsid w:val="0009740F"/>
    <w:rsid w:val="000A0988"/>
    <w:rsid w:val="000A2909"/>
    <w:rsid w:val="000A4757"/>
    <w:rsid w:val="000A7F74"/>
    <w:rsid w:val="000B0F13"/>
    <w:rsid w:val="000B1604"/>
    <w:rsid w:val="000C2CC8"/>
    <w:rsid w:val="000C5325"/>
    <w:rsid w:val="000C584D"/>
    <w:rsid w:val="000D7A9A"/>
    <w:rsid w:val="000E4FDD"/>
    <w:rsid w:val="000E6D8B"/>
    <w:rsid w:val="000F3C65"/>
    <w:rsid w:val="0011102B"/>
    <w:rsid w:val="00111342"/>
    <w:rsid w:val="00111B03"/>
    <w:rsid w:val="00113A86"/>
    <w:rsid w:val="00114C7B"/>
    <w:rsid w:val="00122D78"/>
    <w:rsid w:val="001362C6"/>
    <w:rsid w:val="00144246"/>
    <w:rsid w:val="001517B2"/>
    <w:rsid w:val="00151908"/>
    <w:rsid w:val="00152224"/>
    <w:rsid w:val="00153DF9"/>
    <w:rsid w:val="0016478B"/>
    <w:rsid w:val="00165114"/>
    <w:rsid w:val="00170338"/>
    <w:rsid w:val="001717B5"/>
    <w:rsid w:val="001768E7"/>
    <w:rsid w:val="001808B0"/>
    <w:rsid w:val="0019492A"/>
    <w:rsid w:val="00194B91"/>
    <w:rsid w:val="001A3692"/>
    <w:rsid w:val="001B1BA7"/>
    <w:rsid w:val="001C0FBC"/>
    <w:rsid w:val="001D051D"/>
    <w:rsid w:val="001D35EE"/>
    <w:rsid w:val="001D457D"/>
    <w:rsid w:val="001D67C7"/>
    <w:rsid w:val="001F6E4F"/>
    <w:rsid w:val="0021201B"/>
    <w:rsid w:val="00216AEB"/>
    <w:rsid w:val="002210E4"/>
    <w:rsid w:val="00235EB4"/>
    <w:rsid w:val="0025012C"/>
    <w:rsid w:val="0026335E"/>
    <w:rsid w:val="00285DBA"/>
    <w:rsid w:val="00291F27"/>
    <w:rsid w:val="00294885"/>
    <w:rsid w:val="00296C93"/>
    <w:rsid w:val="002B252E"/>
    <w:rsid w:val="002C7307"/>
    <w:rsid w:val="002D0ED4"/>
    <w:rsid w:val="002D784B"/>
    <w:rsid w:val="002D7C36"/>
    <w:rsid w:val="002D7D8E"/>
    <w:rsid w:val="002E3531"/>
    <w:rsid w:val="002E49F2"/>
    <w:rsid w:val="002E7636"/>
    <w:rsid w:val="002F5B92"/>
    <w:rsid w:val="002F6A7D"/>
    <w:rsid w:val="00303771"/>
    <w:rsid w:val="003148FA"/>
    <w:rsid w:val="0031612E"/>
    <w:rsid w:val="00317695"/>
    <w:rsid w:val="00320D8C"/>
    <w:rsid w:val="003244D8"/>
    <w:rsid w:val="003272E6"/>
    <w:rsid w:val="0033759A"/>
    <w:rsid w:val="00341CC8"/>
    <w:rsid w:val="00355321"/>
    <w:rsid w:val="00357955"/>
    <w:rsid w:val="0036190B"/>
    <w:rsid w:val="00371B8E"/>
    <w:rsid w:val="00371BC5"/>
    <w:rsid w:val="00386507"/>
    <w:rsid w:val="0039758D"/>
    <w:rsid w:val="00397893"/>
    <w:rsid w:val="003A1BC7"/>
    <w:rsid w:val="003A305D"/>
    <w:rsid w:val="003A33C2"/>
    <w:rsid w:val="003B0131"/>
    <w:rsid w:val="003B2F5D"/>
    <w:rsid w:val="003C19F0"/>
    <w:rsid w:val="003C3999"/>
    <w:rsid w:val="003C55FB"/>
    <w:rsid w:val="003D05F7"/>
    <w:rsid w:val="003D76B6"/>
    <w:rsid w:val="003E23E5"/>
    <w:rsid w:val="003E4FA4"/>
    <w:rsid w:val="003F0462"/>
    <w:rsid w:val="003F625E"/>
    <w:rsid w:val="00400338"/>
    <w:rsid w:val="00402A3B"/>
    <w:rsid w:val="00406175"/>
    <w:rsid w:val="004111E9"/>
    <w:rsid w:val="00411718"/>
    <w:rsid w:val="004264B6"/>
    <w:rsid w:val="00432E33"/>
    <w:rsid w:val="00443CE7"/>
    <w:rsid w:val="00447C5F"/>
    <w:rsid w:val="00462C7A"/>
    <w:rsid w:val="00467017"/>
    <w:rsid w:val="004B67C7"/>
    <w:rsid w:val="004D0354"/>
    <w:rsid w:val="004D0A37"/>
    <w:rsid w:val="004F29D7"/>
    <w:rsid w:val="0051144B"/>
    <w:rsid w:val="00515059"/>
    <w:rsid w:val="00520A99"/>
    <w:rsid w:val="0052254E"/>
    <w:rsid w:val="00527BA5"/>
    <w:rsid w:val="00533CC9"/>
    <w:rsid w:val="00544752"/>
    <w:rsid w:val="00555BC2"/>
    <w:rsid w:val="00572629"/>
    <w:rsid w:val="005739A0"/>
    <w:rsid w:val="00576452"/>
    <w:rsid w:val="00581557"/>
    <w:rsid w:val="00583268"/>
    <w:rsid w:val="00585E79"/>
    <w:rsid w:val="00590C14"/>
    <w:rsid w:val="0059292A"/>
    <w:rsid w:val="00592FA1"/>
    <w:rsid w:val="005A1E17"/>
    <w:rsid w:val="005B4443"/>
    <w:rsid w:val="005B7026"/>
    <w:rsid w:val="005C023D"/>
    <w:rsid w:val="005C41F5"/>
    <w:rsid w:val="005C58C2"/>
    <w:rsid w:val="005D2F42"/>
    <w:rsid w:val="005D3E17"/>
    <w:rsid w:val="005E7270"/>
    <w:rsid w:val="005F5F6A"/>
    <w:rsid w:val="006017CF"/>
    <w:rsid w:val="0063175A"/>
    <w:rsid w:val="00634676"/>
    <w:rsid w:val="006556F5"/>
    <w:rsid w:val="00662436"/>
    <w:rsid w:val="00665CC3"/>
    <w:rsid w:val="00667485"/>
    <w:rsid w:val="006702AF"/>
    <w:rsid w:val="00670D62"/>
    <w:rsid w:val="006722D1"/>
    <w:rsid w:val="006857BB"/>
    <w:rsid w:val="00694A22"/>
    <w:rsid w:val="006A3CAA"/>
    <w:rsid w:val="006B1DC9"/>
    <w:rsid w:val="006B4A3C"/>
    <w:rsid w:val="006C05F6"/>
    <w:rsid w:val="006D66BA"/>
    <w:rsid w:val="006E1190"/>
    <w:rsid w:val="006F570B"/>
    <w:rsid w:val="007033E2"/>
    <w:rsid w:val="00703BAE"/>
    <w:rsid w:val="00706C04"/>
    <w:rsid w:val="00707D65"/>
    <w:rsid w:val="0071334A"/>
    <w:rsid w:val="00724D8C"/>
    <w:rsid w:val="00733E03"/>
    <w:rsid w:val="00736C2A"/>
    <w:rsid w:val="0074365E"/>
    <w:rsid w:val="007452D9"/>
    <w:rsid w:val="007467D6"/>
    <w:rsid w:val="00746E09"/>
    <w:rsid w:val="007626F4"/>
    <w:rsid w:val="00763AFE"/>
    <w:rsid w:val="0076439B"/>
    <w:rsid w:val="0077633C"/>
    <w:rsid w:val="007830D7"/>
    <w:rsid w:val="00787B43"/>
    <w:rsid w:val="0079170D"/>
    <w:rsid w:val="007A4DFA"/>
    <w:rsid w:val="007A5967"/>
    <w:rsid w:val="007B6984"/>
    <w:rsid w:val="007D2208"/>
    <w:rsid w:val="007D51F8"/>
    <w:rsid w:val="007E080A"/>
    <w:rsid w:val="007E191A"/>
    <w:rsid w:val="007E2520"/>
    <w:rsid w:val="00800CEA"/>
    <w:rsid w:val="00801B86"/>
    <w:rsid w:val="00811A3A"/>
    <w:rsid w:val="00820967"/>
    <w:rsid w:val="00840951"/>
    <w:rsid w:val="00840C03"/>
    <w:rsid w:val="00842127"/>
    <w:rsid w:val="00843F3A"/>
    <w:rsid w:val="0084496B"/>
    <w:rsid w:val="008501B0"/>
    <w:rsid w:val="00850F32"/>
    <w:rsid w:val="00860736"/>
    <w:rsid w:val="00862C5A"/>
    <w:rsid w:val="00867C80"/>
    <w:rsid w:val="00882831"/>
    <w:rsid w:val="00890019"/>
    <w:rsid w:val="008B4C8F"/>
    <w:rsid w:val="008C1E4B"/>
    <w:rsid w:val="008D2801"/>
    <w:rsid w:val="008D3F2F"/>
    <w:rsid w:val="008E1AE2"/>
    <w:rsid w:val="008E36FB"/>
    <w:rsid w:val="008E393E"/>
    <w:rsid w:val="008F5299"/>
    <w:rsid w:val="008F77A3"/>
    <w:rsid w:val="009053F5"/>
    <w:rsid w:val="00916330"/>
    <w:rsid w:val="00924992"/>
    <w:rsid w:val="00924993"/>
    <w:rsid w:val="00924E35"/>
    <w:rsid w:val="009332E9"/>
    <w:rsid w:val="00946ED3"/>
    <w:rsid w:val="00947DF0"/>
    <w:rsid w:val="009530C1"/>
    <w:rsid w:val="00961C27"/>
    <w:rsid w:val="00971286"/>
    <w:rsid w:val="009A0D66"/>
    <w:rsid w:val="009C2776"/>
    <w:rsid w:val="009D5F2E"/>
    <w:rsid w:val="009E0E22"/>
    <w:rsid w:val="009E387E"/>
    <w:rsid w:val="009E3A48"/>
    <w:rsid w:val="009E67B7"/>
    <w:rsid w:val="009E746F"/>
    <w:rsid w:val="009E7EDE"/>
    <w:rsid w:val="009F40D0"/>
    <w:rsid w:val="009F450E"/>
    <w:rsid w:val="00A00C4C"/>
    <w:rsid w:val="00A02D98"/>
    <w:rsid w:val="00A058F6"/>
    <w:rsid w:val="00A13640"/>
    <w:rsid w:val="00A258EA"/>
    <w:rsid w:val="00A40BFB"/>
    <w:rsid w:val="00A416E6"/>
    <w:rsid w:val="00A678A2"/>
    <w:rsid w:val="00A70476"/>
    <w:rsid w:val="00A834F6"/>
    <w:rsid w:val="00A836C4"/>
    <w:rsid w:val="00A87F22"/>
    <w:rsid w:val="00A92972"/>
    <w:rsid w:val="00A93662"/>
    <w:rsid w:val="00A93EFD"/>
    <w:rsid w:val="00A94431"/>
    <w:rsid w:val="00A94B6C"/>
    <w:rsid w:val="00AA4A26"/>
    <w:rsid w:val="00AB000F"/>
    <w:rsid w:val="00AB0D96"/>
    <w:rsid w:val="00AB1626"/>
    <w:rsid w:val="00AB1A70"/>
    <w:rsid w:val="00AE1A65"/>
    <w:rsid w:val="00AE1AD7"/>
    <w:rsid w:val="00AE1B8D"/>
    <w:rsid w:val="00AE2B10"/>
    <w:rsid w:val="00AE2FCB"/>
    <w:rsid w:val="00AF0FB6"/>
    <w:rsid w:val="00AF7BD6"/>
    <w:rsid w:val="00B00595"/>
    <w:rsid w:val="00B07ED7"/>
    <w:rsid w:val="00B350ED"/>
    <w:rsid w:val="00B40CF8"/>
    <w:rsid w:val="00B51644"/>
    <w:rsid w:val="00B57806"/>
    <w:rsid w:val="00B60ACD"/>
    <w:rsid w:val="00B642A8"/>
    <w:rsid w:val="00B678FC"/>
    <w:rsid w:val="00B740D2"/>
    <w:rsid w:val="00B75DF9"/>
    <w:rsid w:val="00B84ADC"/>
    <w:rsid w:val="00B84C42"/>
    <w:rsid w:val="00B87474"/>
    <w:rsid w:val="00B87FD9"/>
    <w:rsid w:val="00B936C1"/>
    <w:rsid w:val="00B9764B"/>
    <w:rsid w:val="00BA3C74"/>
    <w:rsid w:val="00BA6522"/>
    <w:rsid w:val="00BA7408"/>
    <w:rsid w:val="00BB0BBF"/>
    <w:rsid w:val="00BB541F"/>
    <w:rsid w:val="00BC5BA9"/>
    <w:rsid w:val="00BE5C3D"/>
    <w:rsid w:val="00BF14E8"/>
    <w:rsid w:val="00BF4523"/>
    <w:rsid w:val="00C10363"/>
    <w:rsid w:val="00C210C0"/>
    <w:rsid w:val="00C22854"/>
    <w:rsid w:val="00C27331"/>
    <w:rsid w:val="00C42724"/>
    <w:rsid w:val="00C43E0C"/>
    <w:rsid w:val="00C51EF4"/>
    <w:rsid w:val="00C547B5"/>
    <w:rsid w:val="00C60706"/>
    <w:rsid w:val="00C67CC2"/>
    <w:rsid w:val="00C720D3"/>
    <w:rsid w:val="00C80E4C"/>
    <w:rsid w:val="00C81063"/>
    <w:rsid w:val="00C81082"/>
    <w:rsid w:val="00C9524C"/>
    <w:rsid w:val="00C9605B"/>
    <w:rsid w:val="00C96D25"/>
    <w:rsid w:val="00CB454C"/>
    <w:rsid w:val="00CC6517"/>
    <w:rsid w:val="00CD251D"/>
    <w:rsid w:val="00CD4E4D"/>
    <w:rsid w:val="00CD69CB"/>
    <w:rsid w:val="00CF40E9"/>
    <w:rsid w:val="00CF5041"/>
    <w:rsid w:val="00D02D78"/>
    <w:rsid w:val="00D05166"/>
    <w:rsid w:val="00D1569F"/>
    <w:rsid w:val="00D31446"/>
    <w:rsid w:val="00D3453F"/>
    <w:rsid w:val="00D43CE7"/>
    <w:rsid w:val="00D4693D"/>
    <w:rsid w:val="00D5468C"/>
    <w:rsid w:val="00D7262A"/>
    <w:rsid w:val="00D74054"/>
    <w:rsid w:val="00D815B6"/>
    <w:rsid w:val="00D93C44"/>
    <w:rsid w:val="00D950D3"/>
    <w:rsid w:val="00D97D65"/>
    <w:rsid w:val="00DC0E7F"/>
    <w:rsid w:val="00DC4B9E"/>
    <w:rsid w:val="00DD1BB5"/>
    <w:rsid w:val="00DF3BFD"/>
    <w:rsid w:val="00DF50CC"/>
    <w:rsid w:val="00E00D9D"/>
    <w:rsid w:val="00E040DC"/>
    <w:rsid w:val="00E07F1A"/>
    <w:rsid w:val="00E133BF"/>
    <w:rsid w:val="00E178F3"/>
    <w:rsid w:val="00E20050"/>
    <w:rsid w:val="00E23544"/>
    <w:rsid w:val="00E32496"/>
    <w:rsid w:val="00E34DCB"/>
    <w:rsid w:val="00E51EFB"/>
    <w:rsid w:val="00E54DDB"/>
    <w:rsid w:val="00E563BE"/>
    <w:rsid w:val="00E64202"/>
    <w:rsid w:val="00E65FFC"/>
    <w:rsid w:val="00E663C8"/>
    <w:rsid w:val="00E67C31"/>
    <w:rsid w:val="00E728DE"/>
    <w:rsid w:val="00E728F5"/>
    <w:rsid w:val="00E72B32"/>
    <w:rsid w:val="00E75509"/>
    <w:rsid w:val="00E80EF6"/>
    <w:rsid w:val="00E8778B"/>
    <w:rsid w:val="00E90025"/>
    <w:rsid w:val="00EA5119"/>
    <w:rsid w:val="00EB00F4"/>
    <w:rsid w:val="00EB64D0"/>
    <w:rsid w:val="00EC4E3E"/>
    <w:rsid w:val="00EC4F9E"/>
    <w:rsid w:val="00EC6628"/>
    <w:rsid w:val="00EC6CBC"/>
    <w:rsid w:val="00ED4AD5"/>
    <w:rsid w:val="00ED7FD0"/>
    <w:rsid w:val="00EE4399"/>
    <w:rsid w:val="00EE7E4C"/>
    <w:rsid w:val="00EF75AB"/>
    <w:rsid w:val="00F0180D"/>
    <w:rsid w:val="00F03814"/>
    <w:rsid w:val="00F11C29"/>
    <w:rsid w:val="00F123C2"/>
    <w:rsid w:val="00F1270D"/>
    <w:rsid w:val="00F1530F"/>
    <w:rsid w:val="00F21502"/>
    <w:rsid w:val="00F27B14"/>
    <w:rsid w:val="00F31C79"/>
    <w:rsid w:val="00F33F8B"/>
    <w:rsid w:val="00F4597C"/>
    <w:rsid w:val="00F5153A"/>
    <w:rsid w:val="00F643C6"/>
    <w:rsid w:val="00F7385D"/>
    <w:rsid w:val="00F74B77"/>
    <w:rsid w:val="00F80232"/>
    <w:rsid w:val="00F926FE"/>
    <w:rsid w:val="00FA4502"/>
    <w:rsid w:val="00FB0BD5"/>
    <w:rsid w:val="00FB115D"/>
    <w:rsid w:val="00FB62FD"/>
    <w:rsid w:val="00FC4E46"/>
    <w:rsid w:val="00FC7F7D"/>
    <w:rsid w:val="00FE7C68"/>
    <w:rsid w:val="00FF7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DA024"/>
  <w15:chartTrackingRefBased/>
  <w15:docId w15:val="{928D307E-BB54-4790-AAB6-5087AF506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7F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D7F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D7F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D7F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D7F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7F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7F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7F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7F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D7F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D7F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ED7F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7F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7F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7F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7F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7F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7F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7F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7F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7F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7F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7F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7F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7F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7F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7FD0"/>
    <w:rPr>
      <w:b/>
      <w:bCs/>
      <w:smallCaps/>
      <w:color w:val="0F4761" w:themeColor="accent1" w:themeShade="BF"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EC6CBC"/>
    <w:pPr>
      <w:spacing w:before="240" w:after="0" w:line="259" w:lineRule="auto"/>
      <w:outlineLvl w:val="9"/>
    </w:pPr>
    <w:rPr>
      <w:kern w:val="0"/>
      <w:sz w:val="32"/>
      <w:szCs w:val="32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EC6CB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C6CBC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C6CBC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EC6CBC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DF9"/>
  </w:style>
  <w:style w:type="paragraph" w:styleId="Footer">
    <w:name w:val="footer"/>
    <w:basedOn w:val="Normal"/>
    <w:link w:val="Foot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DF9"/>
  </w:style>
  <w:style w:type="paragraph" w:styleId="Caption">
    <w:name w:val="caption"/>
    <w:basedOn w:val="Normal"/>
    <w:next w:val="Normal"/>
    <w:uiPriority w:val="35"/>
    <w:unhideWhenUsed/>
    <w:qFormat/>
    <w:rsid w:val="00E728F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B1626"/>
    <w:rPr>
      <w:rFonts w:ascii="Times New Roman" w:hAnsi="Times New Roman" w:cs="Times New Roman"/>
    </w:rPr>
  </w:style>
  <w:style w:type="paragraph" w:styleId="Bibliography">
    <w:name w:val="Bibliography"/>
    <w:basedOn w:val="Normal"/>
    <w:next w:val="Normal"/>
    <w:uiPriority w:val="37"/>
    <w:unhideWhenUsed/>
    <w:rsid w:val="003A1BC7"/>
    <w:pPr>
      <w:tabs>
        <w:tab w:val="left" w:pos="384"/>
      </w:tabs>
      <w:spacing w:after="0" w:line="240" w:lineRule="auto"/>
      <w:ind w:left="384" w:hanging="384"/>
    </w:pPr>
  </w:style>
  <w:style w:type="table" w:styleId="PlainTable5">
    <w:name w:val="Plain Table 5"/>
    <w:basedOn w:val="TableNormal"/>
    <w:uiPriority w:val="45"/>
    <w:rsid w:val="00C81082"/>
    <w:pPr>
      <w:spacing w:after="0" w:line="240" w:lineRule="auto"/>
    </w:pPr>
    <w:rPr>
      <w:rFonts w:eastAsiaTheme="minorHAnsi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810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1082"/>
    <w:pPr>
      <w:spacing w:line="240" w:lineRule="auto"/>
    </w:pPr>
    <w:rPr>
      <w:rFonts w:eastAsia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1082"/>
    <w:rPr>
      <w:rFonts w:eastAsiaTheme="minorHAnsi"/>
      <w:sz w:val="20"/>
      <w:szCs w:val="20"/>
    </w:rPr>
  </w:style>
  <w:style w:type="paragraph" w:customStyle="1" w:styleId="Authors">
    <w:name w:val="Authors"/>
    <w:basedOn w:val="Heading3"/>
    <w:qFormat/>
    <w:rsid w:val="009C2776"/>
    <w:pPr>
      <w:keepLines w:val="0"/>
      <w:spacing w:before="0" w:after="0" w:line="240" w:lineRule="auto"/>
      <w:jc w:val="center"/>
    </w:pPr>
    <w:rPr>
      <w:rFonts w:ascii="Arial" w:eastAsia="Times New Roman" w:hAnsi="Arial" w:cs="Arial"/>
      <w:b/>
      <w:bCs/>
      <w:noProof/>
      <w:color w:val="auto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B43"/>
    <w:rPr>
      <w:rFonts w:eastAsia="SimSu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B43"/>
    <w:rPr>
      <w:rFonts w:eastAsiaTheme="minorHAns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1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EB39FC-29D7-47C1-B981-C7C386014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1582</TotalTime>
  <Pages>1</Pages>
  <Words>815</Words>
  <Characters>4650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Maioli</dc:creator>
  <cp:keywords/>
  <dc:description/>
  <cp:lastModifiedBy>Revathi   Thangaraj</cp:lastModifiedBy>
  <cp:revision>282</cp:revision>
  <cp:lastPrinted>2025-07-18T09:49:00Z</cp:lastPrinted>
  <dcterms:created xsi:type="dcterms:W3CDTF">2025-02-26T15:25:00Z</dcterms:created>
  <dcterms:modified xsi:type="dcterms:W3CDTF">2026-01-23T10:12:00Z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id="J8d76Z97"/&gt;&lt;style id="http://www.zotero.org/styles/ieee" locale="en-US" hasBibliography="1" bibliographyStyleHasBeenSet="1"/&gt;&lt;prefs&gt;&lt;pref name="fieldType" value="Field"/&gt;&lt;pref name="automaticJour</vt:lpwstr>
  </property>
  <property fmtid="{D5CDD505-2E9C-101B-9397-08002B2CF9AE}" pid="3" name="ZOTERO_PREF_2">
    <vt:lpwstr>nalAbbreviations" value="true"/&gt;&lt;/prefs&gt;&lt;/data&gt;</vt:lpwstr>
  </property>
</Properties>
</file>