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E050C" w14:textId="2C0463D7" w:rsidR="005C2C62" w:rsidRPr="00A56E21" w:rsidRDefault="005C2C62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6E21">
        <w:rPr>
          <w:rFonts w:ascii="Times New Roman" w:eastAsia="Times New Roman" w:hAnsi="Times New Roman" w:cs="Times New Roman"/>
          <w:b/>
          <w:sz w:val="26"/>
          <w:szCs w:val="26"/>
        </w:rPr>
        <w:t xml:space="preserve">Appendix </w:t>
      </w:r>
      <w:r w:rsidR="00943738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Pr="00A56E21">
        <w:rPr>
          <w:rFonts w:ascii="Times New Roman" w:eastAsia="Times New Roman" w:hAnsi="Times New Roman" w:cs="Times New Roman"/>
          <w:b/>
          <w:sz w:val="26"/>
          <w:szCs w:val="26"/>
        </w:rPr>
        <w:t xml:space="preserve"> – Santi et al., </w:t>
      </w:r>
      <w:r w:rsidR="00BB2950" w:rsidRPr="00BB2950">
        <w:rPr>
          <w:rFonts w:ascii="Times New Roman" w:eastAsia="Times New Roman" w:hAnsi="Times New Roman" w:cs="Times New Roman"/>
          <w:b/>
          <w:sz w:val="26"/>
          <w:szCs w:val="26"/>
        </w:rPr>
        <w:t>Towards the application of EU Habitats Directive to a non-EU country: the case of San Marino</w:t>
      </w:r>
    </w:p>
    <w:p w14:paraId="5E7DFBF6" w14:textId="334CC887" w:rsidR="00C523DB" w:rsidRPr="00565A85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565A85">
        <w:rPr>
          <w:rFonts w:ascii="Times New Roman" w:eastAsia="Times New Roman" w:hAnsi="Times New Roman" w:cs="Times New Roman"/>
          <w:b/>
          <w:sz w:val="26"/>
          <w:szCs w:val="26"/>
        </w:rPr>
        <w:t>Habitat description</w:t>
      </w:r>
      <w:r w:rsidR="00683D98">
        <w:rPr>
          <w:rFonts w:ascii="Times New Roman" w:eastAsia="Times New Roman" w:hAnsi="Times New Roman" w:cs="Times New Roman"/>
          <w:b/>
          <w:sz w:val="26"/>
          <w:szCs w:val="26"/>
        </w:rPr>
        <w:t>s</w:t>
      </w:r>
    </w:p>
    <w:p w14:paraId="2237E29D" w14:textId="1B49A9AF" w:rsidR="00C523DB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3140 - Hard oligo-mesotrophic waters with benthic vegetation of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Chara 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spp.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Natural or artificial small ponds with algae of the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Chara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genus are associated with 3140 habitat</w:t>
      </w:r>
      <w:r w:rsidR="00482E05">
        <w:rPr>
          <w:rFonts w:ascii="Times New Roman" w:eastAsia="Times New Roman" w:hAnsi="Times New Roman" w:cs="Times New Roman"/>
          <w:sz w:val="24"/>
          <w:szCs w:val="24"/>
        </w:rPr>
        <w:t xml:space="preserve"> type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Despite the presence of several ponds in San Marino, few of them host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Chara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populations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Chara vulgaris</w:t>
      </w:r>
      <w:r>
        <w:rPr>
          <w:rFonts w:ascii="Times New Roman" w:eastAsia="Times New Roman" w:hAnsi="Times New Roman" w:cs="Times New Roman"/>
          <w:sz w:val="24"/>
          <w:szCs w:val="24"/>
        </w:rPr>
        <w:t>). The largest site is found in Corianino site (Appendix 6), in a 75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pond among cultivated fields, where other aquatic or semi-aquatic species such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Alisma lanceolatum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Lemna minor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present as well. A second site </w:t>
      </w:r>
      <w:r w:rsidR="00977AD6">
        <w:rPr>
          <w:rFonts w:ascii="Times New Roman" w:eastAsia="Times New Roman" w:hAnsi="Times New Roman" w:cs="Times New Roman"/>
          <w:sz w:val="24"/>
          <w:szCs w:val="24"/>
        </w:rPr>
        <w:t>is in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Pietraminuta location, in 3 washing tanks in correspondence of a small spring; this site was already pointed out as an important reproductive site for amphibians such as newts (Tedaldi et al., 2014).</w:t>
      </w:r>
    </w:p>
    <w:p w14:paraId="54FD5722" w14:textId="77777777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Although we did not find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Chara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populations in the other main ponds in the territory, it is likely that other temporary small ponds could host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Chara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populations.</w:t>
      </w:r>
    </w:p>
    <w:p w14:paraId="7551FEC9" w14:textId="77777777" w:rsidR="003F7154" w:rsidRDefault="003F7154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7E18E7" w14:textId="4F889D36" w:rsidR="00C523DB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6110* - Rupicolous calcareous or basophilic grasslands of the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Alysso-Sedion albi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The calcareous rocky outcrops host pioneer vegetation referable to 6110* habitat</w:t>
      </w:r>
      <w:r w:rsidR="005D79AE">
        <w:rPr>
          <w:rFonts w:ascii="Times New Roman" w:eastAsia="Times New Roman" w:hAnsi="Times New Roman" w:cs="Times New Roman"/>
          <w:sz w:val="24"/>
          <w:szCs w:val="24"/>
        </w:rPr>
        <w:t xml:space="preserve"> type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Sedum album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S. sexangulare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dominant, in association with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Petrorhagia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saxifraga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Trifolium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scabrum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Cleistogenes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serotina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Clinopodium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nepeta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among the most abundant species. This habitat</w:t>
      </w:r>
      <w:r w:rsidR="005D79AE">
        <w:rPr>
          <w:rFonts w:ascii="Times New Roman" w:eastAsia="Times New Roman" w:hAnsi="Times New Roman" w:cs="Times New Roman"/>
          <w:sz w:val="24"/>
          <w:szCs w:val="24"/>
        </w:rPr>
        <w:t xml:space="preserve"> type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is limited to the rocky sectors, where soil is scarce or absent; bryophytes and lichens are abundant. Among terricolous lichens,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Cladonia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species are common, such as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C. foliacea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rangiformis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8E3142" w14:textId="77777777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recorded 9 species cited in 6110* description (Biondi et al., 2010).</w:t>
      </w:r>
    </w:p>
    <w:p w14:paraId="7204748F" w14:textId="59183C64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This habitat</w:t>
      </w:r>
      <w:r w:rsidR="005D79AE">
        <w:rPr>
          <w:rFonts w:ascii="Times New Roman" w:eastAsia="Times New Roman" w:hAnsi="Times New Roman" w:cs="Times New Roman"/>
          <w:sz w:val="24"/>
          <w:szCs w:val="24"/>
        </w:rPr>
        <w:t xml:space="preserve"> type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has a limited cover</w:t>
      </w:r>
      <w:r w:rsidR="00683D98" w:rsidRPr="00683D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83D98">
        <w:rPr>
          <w:rFonts w:ascii="Times New Roman" w:eastAsia="Times New Roman" w:hAnsi="Times New Roman" w:cs="Times New Roman"/>
          <w:sz w:val="24"/>
          <w:szCs w:val="24"/>
        </w:rPr>
        <w:t>in the country</w:t>
      </w:r>
      <w:r>
        <w:rPr>
          <w:rFonts w:ascii="Times New Roman" w:eastAsia="Times New Roman" w:hAnsi="Times New Roman" w:cs="Times New Roman"/>
          <w:sz w:val="24"/>
          <w:szCs w:val="24"/>
        </w:rPr>
        <w:t>, only a bit larger than 400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F88C02" w14:textId="77777777" w:rsidR="00C523DB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0E233C9" w14:textId="1D92BA50" w:rsidR="00C523DB" w:rsidRDefault="00C523DB" w:rsidP="00D10739">
      <w:pPr>
        <w:pStyle w:val="Titolo3"/>
        <w:keepNext w:val="0"/>
        <w:keepLines w:val="0"/>
        <w:spacing w:before="280" w:after="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</w:pPr>
      <w:bookmarkStart w:id="0" w:name="_5vbg25aq0vah" w:colFirst="0" w:colLast="0"/>
      <w:bookmarkEnd w:id="0"/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>6210 - Semi-natural dry grasslands and scrubland facies on calcareous substrates (</w:t>
      </w:r>
      <w:r w:rsidRPr="00C523DB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GB"/>
        </w:rPr>
        <w:t>Festuco-Brometalia</w:t>
      </w:r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>)</w:t>
      </w:r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br/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>Xeric grasslands on calcareous rocky outcrops (Appendix 7) are linked to the 6210 habitat</w:t>
      </w:r>
      <w:r w:rsidR="005D79AE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 type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; they cover about 22.16 ha.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Bromopsis erecta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 is the dominant grass species, usually associated with other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Poaceae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 species. We recorded 19 guiding species indicated in the 6210 description sheet (Biondi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et al.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>, 2010).</w:t>
      </w:r>
    </w:p>
    <w:p w14:paraId="6D1FFE84" w14:textId="2C7E7705" w:rsidR="00C523DB" w:rsidRPr="00C523DB" w:rsidRDefault="00C523DB" w:rsidP="00D10739">
      <w:pPr>
        <w:pStyle w:val="Titolo3"/>
        <w:keepNext w:val="0"/>
        <w:keepLines w:val="0"/>
        <w:spacing w:before="280" w:after="240" w:line="36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</w:pP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lastRenderedPageBreak/>
        <w:t>The asterisk, given when 6210 sites host remarkable orchids’ populations and/or relevant orchid species, is not conferred in the country. Grasslands sampled in badlands are not associated with this habitat.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br/>
        <w:t xml:space="preserve">Xeric grasslands have a secondary origin and are actually undergoing a renaturalization process, </w:t>
      </w:r>
      <w:r w:rsidR="005C2C62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>u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nderlined by the consistent presence of shrub species, such as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Rosa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 spp.,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Crataegus monogyna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,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Prunus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spinosa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,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Spartium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junceum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,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Phillyrea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 xml:space="preserve"> </w:t>
      </w:r>
      <w:r w:rsidRPr="00C523DB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en-GB"/>
        </w:rPr>
        <w:t>latifolia</w:t>
      </w:r>
      <w:r w:rsidRPr="00C523DB">
        <w:rPr>
          <w:rFonts w:ascii="Times New Roman" w:eastAsia="Times New Roman" w:hAnsi="Times New Roman" w:cs="Times New Roman"/>
          <w:color w:val="auto"/>
          <w:sz w:val="24"/>
          <w:szCs w:val="24"/>
          <w:lang w:val="en-GB"/>
        </w:rPr>
        <w:t>.</w:t>
      </w:r>
    </w:p>
    <w:p w14:paraId="223047A1" w14:textId="0837D6A6" w:rsidR="00C523DB" w:rsidRDefault="00C523DB" w:rsidP="00505260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6"/>
          <w:szCs w:val="26"/>
        </w:rPr>
        <w:t>6430 - Hydrophilous tall herb fringe communities of plains and of the montane to alpine levels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Common habitat typology in riverside contexts or woodland fringes, we found the 6430 </w:t>
      </w:r>
      <w:r w:rsidR="00933171">
        <w:rPr>
          <w:rFonts w:ascii="Times New Roman" w:eastAsia="Times New Roman" w:hAnsi="Times New Roman" w:cs="Times New Roman"/>
          <w:sz w:val="24"/>
          <w:szCs w:val="24"/>
        </w:rPr>
        <w:t xml:space="preserve">habitat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type in Galavotto and Gorgascura localities, in proximity to streams (Appendix 8). We recorded 5 species indicated by Biondi et al. (2010):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Eupatorium cannabinum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Ranunculus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repens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Epilobium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hirsutum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Petasites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hybridus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Thalictrum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lucidum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38A58F" w14:textId="77777777" w:rsidR="00C523DB" w:rsidRDefault="00C523DB" w:rsidP="00C523DB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This habitat cover has been recorded on a surface of 550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, but it is likely present elsewhere.</w:t>
      </w:r>
    </w:p>
    <w:p w14:paraId="65343005" w14:textId="40109E80" w:rsidR="00C523DB" w:rsidRDefault="00C523DB" w:rsidP="00C523DB">
      <w:pPr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1CE2D5" w14:textId="77777777" w:rsidR="00505260" w:rsidRDefault="00C523DB" w:rsidP="00C523DB">
      <w:pPr>
        <w:spacing w:before="240" w:line="36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7220* - Petrifying springs with tufa formation (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Cratoneurion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>)</w:t>
      </w:r>
    </w:p>
    <w:p w14:paraId="1E231E30" w14:textId="2336EC38" w:rsidR="00C523DB" w:rsidRDefault="00C523DB" w:rsidP="00505260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Within the course of a stream with high content of carbonate salts, the presence of small falls can lead to the deposition of carbonate sediments, which is favoured by the presence of bryophyte communities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Cratoneurion commutati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Koch 1928 alliance).</w:t>
      </w:r>
    </w:p>
    <w:p w14:paraId="5E385BCE" w14:textId="3E0C7034" w:rsidR="00505260" w:rsidRDefault="00C523DB" w:rsidP="0050526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We recorded this habitat typ</w:t>
      </w:r>
      <w:r w:rsidR="000936CA"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along the course of San Marino stream in Canepa location (Appendix 9), by finding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Cratoneuron filicinum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 a key species, as indicated in Biondi et al. (2010), with a cover of several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The same situation can be found in other spots, such in correspondence to the spring in </w:t>
      </w:r>
      <w:r w:rsidR="00505260">
        <w:rPr>
          <w:rFonts w:ascii="Times New Roman" w:eastAsia="Times New Roman" w:hAnsi="Times New Roman" w:cs="Times New Roman"/>
          <w:sz w:val="24"/>
          <w:szCs w:val="24"/>
        </w:rPr>
        <w:t>Piedrahita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locality, already cited for 3140 habitat</w:t>
      </w:r>
      <w:r w:rsidR="00482E05">
        <w:rPr>
          <w:rFonts w:ascii="Times New Roman" w:eastAsia="Times New Roman" w:hAnsi="Times New Roman" w:cs="Times New Roman"/>
          <w:sz w:val="24"/>
          <w:szCs w:val="24"/>
        </w:rPr>
        <w:t xml:space="preserve"> type</w:t>
      </w:r>
      <w:r>
        <w:rPr>
          <w:rFonts w:ascii="Times New Roman" w:eastAsia="Times New Roman" w:hAnsi="Times New Roman" w:cs="Times New Roman"/>
          <w:sz w:val="24"/>
          <w:szCs w:val="24"/>
        </w:rPr>
        <w:t>, covering a few 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449E045" w14:textId="3FCE666D" w:rsidR="00C523DB" w:rsidRDefault="00C523DB" w:rsidP="0050526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presence of this habitat is directly dependent on the constant availability of water during the </w:t>
      </w:r>
      <w:r w:rsidR="00510BD3">
        <w:rPr>
          <w:rFonts w:ascii="Times New Roman" w:eastAsia="Times New Roman" w:hAnsi="Times New Roman" w:cs="Times New Roman"/>
          <w:sz w:val="24"/>
          <w:szCs w:val="24"/>
        </w:rPr>
        <w:t>year and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can suffer from episodes of summer drought.</w:t>
      </w:r>
    </w:p>
    <w:p w14:paraId="0DF9AFA4" w14:textId="77777777" w:rsidR="00E670E2" w:rsidRDefault="00E670E2" w:rsidP="00B6693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14:paraId="25BC199B" w14:textId="6E12146B" w:rsidR="00B66938" w:rsidRDefault="00C523DB" w:rsidP="00B6693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8310 - Caves not open to the public</w:t>
      </w:r>
    </w:p>
    <w:p w14:paraId="298D8371" w14:textId="3C2F269A" w:rsidR="00C523DB" w:rsidRDefault="00C523DB" w:rsidP="00B66938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San Marino calcareous outcrops lead to the presence of considerable cave systems, the largest of which can be found in Mount Titano, reaching 136 m depth (Suzzi Valli, 1993). Other caves are present in Canepa location.</w:t>
      </w:r>
    </w:p>
    <w:p w14:paraId="34F84BF6" w14:textId="77777777" w:rsidR="00C523DB" w:rsidRDefault="00C523DB" w:rsidP="00B6693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These systems are fundamental nurseries for cave-dwelling vertebrates such as bats or the endemic Italian cave salamander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Speleomantes italicus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Dunn, 1923), and invertebrates (e.g.,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Orthoptera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or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Arachnida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species). Although they have been visited by speleologists, they do not have constant visits, respecting the requirement indicated in Biondi et al. (2010).</w:t>
      </w:r>
    </w:p>
    <w:p w14:paraId="3486E1E7" w14:textId="77777777" w:rsidR="00C523DB" w:rsidRDefault="00C523DB" w:rsidP="00C523DB">
      <w:pPr>
        <w:spacing w:before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59523F9" w14:textId="77777777" w:rsidR="00C523DB" w:rsidRPr="00C523DB" w:rsidRDefault="00C523DB" w:rsidP="00C523DB">
      <w:pPr>
        <w:pStyle w:val="Titolo3"/>
        <w:keepNext w:val="0"/>
        <w:keepLines w:val="0"/>
        <w:spacing w:before="280" w:after="24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</w:pPr>
      <w:bookmarkStart w:id="1" w:name="_1edcand7jtkk" w:colFirst="0" w:colLast="0"/>
      <w:bookmarkEnd w:id="1"/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>91AA* - Eastern white oak woods</w:t>
      </w:r>
    </w:p>
    <w:p w14:paraId="3591E51E" w14:textId="1348B166" w:rsidR="00C523DB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Thermophilous woods dominated by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Quercus pubescens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associated with 91AA* habitat</w:t>
      </w:r>
      <w:r w:rsidR="00B65D2F">
        <w:rPr>
          <w:rFonts w:ascii="Times New Roman" w:eastAsia="Times New Roman" w:hAnsi="Times New Roman" w:cs="Times New Roman"/>
          <w:sz w:val="24"/>
          <w:szCs w:val="24"/>
        </w:rPr>
        <w:t xml:space="preserve"> type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; they cover about 243.5 ha. Biondi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et al. </w:t>
      </w:r>
      <w:r>
        <w:rPr>
          <w:rFonts w:ascii="Times New Roman" w:eastAsia="Times New Roman" w:hAnsi="Times New Roman" w:cs="Times New Roman"/>
          <w:sz w:val="24"/>
          <w:szCs w:val="24"/>
        </w:rPr>
        <w:t>(2010) already related this vegetation unit (Biondi &amp; Vagge, 2004) to 91AA* habitat.</w:t>
      </w:r>
    </w:p>
    <w:p w14:paraId="390F8BB0" w14:textId="0EF7E2F1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Q.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pubescens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Fraxinus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ornus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generally dominate the tree layer;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Sorbus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torminalis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Acer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obtusatum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Acer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campestre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other common and abundant tree species. Among the climbing species,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Hedera helix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Clematis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vitalba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present; they often reach the top of the trees and have a wide cover on the ground (the first one in particular). Considering the shrub layer,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Crataegus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laevigata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C. monogyna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Cornus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mas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among the most common species. In the herb layer,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Ruscus aculeatus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Viola alba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subsp.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dehnhardtii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Lonicera caprifolium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Rosa sempervirens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Emerus major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Rubia peregrina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common species. Sometimes, orchids can be found, such as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Cephalanthera damasonium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C. rubra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Epipactis mueller</w:t>
      </w:r>
      <w:r w:rsidR="00B15E9B">
        <w:rPr>
          <w:rFonts w:ascii="Times New Roman" w:eastAsia="Times New Roman" w:hAnsi="Times New Roman" w:cs="Times New Roman"/>
          <w:i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E. microphylla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Dactylorhiza maculata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subsp.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fuchsii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Orchis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purpurea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6EA5F9" w14:textId="77777777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Some patches have a jagged shape as a consequence of human exploitation of neighbouring land; large part of the woodland stands have a recent origin, and therefore the total surface of 91AA* habitat could increase in the next years.</w:t>
      </w:r>
    </w:p>
    <w:p w14:paraId="43E1FC6D" w14:textId="77777777" w:rsidR="00C523DB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9260 - 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Castanea sativa</w:t>
      </w: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woods</w:t>
      </w:r>
    </w:p>
    <w:p w14:paraId="300B9E14" w14:textId="5569A1A1" w:rsidR="00D10739" w:rsidRDefault="00C523DB" w:rsidP="00D1073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The North sides of Monte Carlo and Montecerreto outcrops host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Castanea sativa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plantations not actively managed at the present time. We recorded 13 leading species indicated in Biondi et al. (2010). Moreover, the presence of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Allium ursinum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Ilex aquifolium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Rubus hirtus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gives an added value to the sites, given their rarity in the territory (Alessandrini et al., 2022; Santi et al., 2022).</w:t>
      </w:r>
    </w:p>
    <w:p w14:paraId="4F9DB990" w14:textId="48BC35D0" w:rsidR="00C523DB" w:rsidRDefault="00C523DB" w:rsidP="00D1073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Chestnut stands are undergoing a secondary succession process, with the colonisation by many species typical of mesophilous woods; it is quite frequent to observe dying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C. sativa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individuals.</w:t>
      </w:r>
    </w:p>
    <w:p w14:paraId="70E4AC97" w14:textId="77777777" w:rsidR="00C523DB" w:rsidRPr="00C523DB" w:rsidRDefault="00C523DB" w:rsidP="00C523DB">
      <w:pPr>
        <w:pStyle w:val="Titolo3"/>
        <w:keepNext w:val="0"/>
        <w:keepLines w:val="0"/>
        <w:spacing w:before="280" w:after="24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</w:pPr>
      <w:bookmarkStart w:id="2" w:name="_wg9z17wek19q" w:colFirst="0" w:colLast="0"/>
      <w:bookmarkEnd w:id="2"/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 xml:space="preserve">9340 - </w:t>
      </w:r>
      <w:r w:rsidRPr="00C523DB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GB"/>
        </w:rPr>
        <w:t>Quercus ilex</w:t>
      </w:r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 xml:space="preserve"> and </w:t>
      </w:r>
      <w:r w:rsidRPr="00C523DB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lang w:val="en-GB"/>
        </w:rPr>
        <w:t>Quercus rotundifolia</w:t>
      </w:r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 xml:space="preserve"> forests</w:t>
      </w:r>
    </w:p>
    <w:p w14:paraId="0FBE108C" w14:textId="21ED6A12" w:rsidR="00C523DB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The South exposed outcrop of Pennarossa site hosts a 3.29 ha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Quercus ilex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wood (Figure S7), attributable to the 9340 </w:t>
      </w:r>
      <w:r w:rsidR="00B65D2F">
        <w:rPr>
          <w:rFonts w:ascii="Times New Roman" w:eastAsia="Times New Roman" w:hAnsi="Times New Roman" w:cs="Times New Roman"/>
          <w:sz w:val="24"/>
          <w:szCs w:val="24"/>
        </w:rPr>
        <w:t xml:space="preserve">habitat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type.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Q. ilex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does not have a continuous cover on the entire slope,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being interspersed with 6210 xeric grasslands; however, in some areas, their cover is so dense that few plant species can be found in the herb layer (Appendix 10).</w:t>
      </w:r>
    </w:p>
    <w:p w14:paraId="098D8FB9" w14:textId="72AF21FA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Q. ilex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dominates the tree layer, sometimes with the presence of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Fraxinus ornus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Quercus pubescens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Phillyrea latifolia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Rubia peregrina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Cyclamen repandum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some common species in the site, relevant for 9340 habitat attribution (Biondi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et al.</w:t>
      </w:r>
      <w:r>
        <w:rPr>
          <w:rFonts w:ascii="Times New Roman" w:eastAsia="Times New Roman" w:hAnsi="Times New Roman" w:cs="Times New Roman"/>
          <w:sz w:val="24"/>
          <w:szCs w:val="24"/>
        </w:rPr>
        <w:t>, 2010). Taxa in the herb and shrub layers are shared with bordering xeric grasslands.</w:t>
      </w:r>
    </w:p>
    <w:p w14:paraId="16CF5CEA" w14:textId="77777777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Smilax aspera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L. was recently found in the site (Bruschi &amp; Santi, 2021), on outcrops near the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Q. ilex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wood, which is valuable in the biogeographic context of Romagna (Alessandrini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et al.</w:t>
      </w:r>
      <w:r>
        <w:rPr>
          <w:rFonts w:ascii="Times New Roman" w:eastAsia="Times New Roman" w:hAnsi="Times New Roman" w:cs="Times New Roman"/>
          <w:sz w:val="24"/>
          <w:szCs w:val="24"/>
        </w:rPr>
        <w:t>, 2022).</w:t>
      </w:r>
    </w:p>
    <w:p w14:paraId="2C2C3308" w14:textId="77777777" w:rsidR="00C523DB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This site was not considered by Biondi &amp; Vagge (2004), who found an analogous vegetation type on the ridges of the calcareous relief of Mount Titano, but with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Q. ilex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showing a shrub growing habit.</w:t>
      </w:r>
    </w:p>
    <w:p w14:paraId="0E9B5F13" w14:textId="77777777" w:rsidR="00E670E2" w:rsidRDefault="00E670E2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AE9253" w14:textId="77777777" w:rsidR="00C523DB" w:rsidRPr="00C523DB" w:rsidRDefault="00C523DB" w:rsidP="00C523DB">
      <w:pPr>
        <w:pStyle w:val="Titolo3"/>
        <w:keepNext w:val="0"/>
        <w:keepLines w:val="0"/>
        <w:spacing w:before="280" w:after="24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</w:pPr>
      <w:bookmarkStart w:id="3" w:name="_6yrdrx9a0srh" w:colFirst="0" w:colLast="0"/>
      <w:bookmarkEnd w:id="3"/>
      <w:r w:rsidRPr="00C523DB"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en-GB"/>
        </w:rPr>
        <w:t>Badlands</w:t>
      </w:r>
    </w:p>
    <w:p w14:paraId="62303A84" w14:textId="77777777" w:rsidR="00C523DB" w:rsidRDefault="00C523DB" w:rsidP="00C523DB">
      <w:pPr>
        <w:spacing w:before="24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Badland surfaces occupy about 2.51 km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have largely been modified, even in recent times, in order to prevent erosion. The sampled patch is about 0.055 km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wide and is one of the most preserved ones from a naturalistic point of view.</w:t>
      </w:r>
    </w:p>
    <w:p w14:paraId="6F41B4EA" w14:textId="1813FC23" w:rsidR="00C523DB" w:rsidRPr="00977AD6" w:rsidRDefault="00C523DB" w:rsidP="00C523DB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Vegetation is different along the slope; in parts where the substrate is more or less stable, species such as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Sulla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coronaria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Dactylis glomerata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common, while frequently eroded ones host typical badland species, such as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Artemisia caerulescens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subsp.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cretacea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7AD6">
        <w:rPr>
          <w:rFonts w:ascii="Times New Roman" w:eastAsia="Times New Roman" w:hAnsi="Times New Roman" w:cs="Times New Roman"/>
          <w:i/>
          <w:sz w:val="24"/>
          <w:szCs w:val="24"/>
        </w:rPr>
        <w:t>Hainardia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7AD6">
        <w:rPr>
          <w:rFonts w:ascii="Times New Roman" w:eastAsia="Times New Roman" w:hAnsi="Times New Roman" w:cs="Times New Roman"/>
          <w:i/>
          <w:sz w:val="24"/>
          <w:szCs w:val="24"/>
        </w:rPr>
        <w:t>cylindrica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7AD6">
        <w:rPr>
          <w:rFonts w:ascii="Times New Roman" w:eastAsia="Times New Roman" w:hAnsi="Times New Roman" w:cs="Times New Roman"/>
          <w:i/>
          <w:sz w:val="24"/>
          <w:szCs w:val="24"/>
        </w:rPr>
        <w:t>Parapholis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7AD6">
        <w:rPr>
          <w:rFonts w:ascii="Times New Roman" w:eastAsia="Times New Roman" w:hAnsi="Times New Roman" w:cs="Times New Roman"/>
          <w:i/>
          <w:sz w:val="24"/>
          <w:szCs w:val="24"/>
        </w:rPr>
        <w:t>incurva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977AD6">
        <w:rPr>
          <w:rFonts w:ascii="Times New Roman" w:eastAsia="Times New Roman" w:hAnsi="Times New Roman" w:cs="Times New Roman"/>
          <w:i/>
          <w:sz w:val="24"/>
          <w:szCs w:val="24"/>
        </w:rPr>
        <w:t>Hordeum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77AD6">
        <w:rPr>
          <w:rFonts w:ascii="Times New Roman" w:eastAsia="Times New Roman" w:hAnsi="Times New Roman" w:cs="Times New Roman"/>
          <w:i/>
          <w:sz w:val="24"/>
          <w:szCs w:val="24"/>
        </w:rPr>
        <w:t>marinum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 xml:space="preserve">, and </w:t>
      </w:r>
      <w:r w:rsidRPr="00977AD6">
        <w:rPr>
          <w:rFonts w:ascii="Times New Roman" w:eastAsia="Times New Roman" w:hAnsi="Times New Roman" w:cs="Times New Roman"/>
          <w:i/>
          <w:sz w:val="24"/>
          <w:szCs w:val="24"/>
        </w:rPr>
        <w:t>Phalaris paradoxa</w:t>
      </w:r>
      <w:r w:rsidRPr="00977AD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8D7FBA7" w14:textId="77777777" w:rsidR="00D22A98" w:rsidRPr="00977AD6" w:rsidRDefault="00D22A98">
      <w:pPr>
        <w:rPr>
          <w:rFonts w:ascii="Times New Roman" w:hAnsi="Times New Roman" w:cs="Times New Roman"/>
          <w:sz w:val="24"/>
          <w:szCs w:val="24"/>
        </w:rPr>
      </w:pPr>
    </w:p>
    <w:p w14:paraId="188F386B" w14:textId="77777777" w:rsidR="00977AD6" w:rsidRPr="00977AD6" w:rsidRDefault="00977AD6">
      <w:pPr>
        <w:rPr>
          <w:rFonts w:ascii="Times New Roman" w:hAnsi="Times New Roman" w:cs="Times New Roman"/>
          <w:sz w:val="24"/>
          <w:szCs w:val="24"/>
        </w:rPr>
      </w:pPr>
    </w:p>
    <w:p w14:paraId="05D5C527" w14:textId="1A4F91F4" w:rsidR="00977AD6" w:rsidRPr="00565A85" w:rsidRDefault="00977AD6">
      <w:pPr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565A85">
        <w:rPr>
          <w:rFonts w:ascii="Times New Roman" w:hAnsi="Times New Roman" w:cs="Times New Roman"/>
          <w:b/>
          <w:bCs/>
          <w:sz w:val="24"/>
          <w:szCs w:val="24"/>
          <w:lang w:val="it-IT"/>
        </w:rPr>
        <w:t>References</w:t>
      </w:r>
    </w:p>
    <w:p w14:paraId="01D95851" w14:textId="77777777" w:rsidR="000B38B9" w:rsidRPr="00482CCF" w:rsidRDefault="000B38B9" w:rsidP="00B66938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Alessandrini, A., Bagli, L., Bruschi, T., Gubellini, L., Hofmann, N., Montanari, S., Polverelli, L., Santi, F., &amp; Semprini, F. (2022). Flora vascolare della Repubblica di San Marino (lista aggiornata e annotata). </w:t>
      </w:r>
      <w:r w:rsidRPr="00482CC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Quaderno di Studi Naturalistici della Romagna</w:t>
      </w: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482CC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54 suppl.</w:t>
      </w: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>, 5–116.</w:t>
      </w:r>
    </w:p>
    <w:p w14:paraId="146445B6" w14:textId="77777777" w:rsidR="009072F9" w:rsidRDefault="009072F9" w:rsidP="00B66938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Biondi, E., Blasi, C., Burrascano, S., Casavecchia, S., Copiz, R., Del Vico, E., ...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&amp; Venanzoni, R. (2010). Italian interpretation manual of the 92/43/EEC Directive habitats.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Italian Ministry for Environment, Land and Sea Protection</w:t>
      </w:r>
      <w:r>
        <w:rPr>
          <w:rFonts w:ascii="Times New Roman" w:eastAsia="Times New Roman" w:hAnsi="Times New Roman" w:cs="Times New Roman"/>
          <w:sz w:val="24"/>
          <w:szCs w:val="24"/>
        </w:rPr>
        <w:t>. [The manual can be accessed at the following website:</w:t>
      </w:r>
      <w:hyperlink r:id="rId4">
        <w:r>
          <w:rPr>
            <w:rFonts w:ascii="Times New Roman" w:eastAsia="Times New Roman" w:hAnsi="Times New Roman" w:cs="Times New Roman"/>
            <w:color w:val="1155CC"/>
            <w:sz w:val="24"/>
            <w:szCs w:val="24"/>
            <w:u w:val="single"/>
          </w:rPr>
          <w:t xml:space="preserve"> http://vnr.unipg.it/habitat/cerca.do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 Accessed August 13, 2024].</w:t>
      </w:r>
    </w:p>
    <w:p w14:paraId="65D31215" w14:textId="77777777" w:rsidR="009072F9" w:rsidRDefault="009072F9" w:rsidP="00B66938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Biondi, E., &amp; Vagge, I. (2004). The vegetal landscape of the Republic of San Marino. </w:t>
      </w:r>
      <w:r w:rsidRPr="003841CC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Fitosociologia</w:t>
      </w:r>
      <w:r w:rsidRPr="003841C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3841CC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41</w:t>
      </w:r>
      <w:r w:rsidRPr="003841CC">
        <w:rPr>
          <w:rFonts w:ascii="Times New Roman" w:eastAsia="Times New Roman" w:hAnsi="Times New Roman" w:cs="Times New Roman"/>
          <w:sz w:val="24"/>
          <w:szCs w:val="24"/>
          <w:lang w:val="it-IT"/>
        </w:rPr>
        <w:t>, 53–78.</w:t>
      </w:r>
    </w:p>
    <w:p w14:paraId="4131F094" w14:textId="33E729D2" w:rsidR="00C71086" w:rsidRPr="003841CC" w:rsidRDefault="00C71086" w:rsidP="00B66938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Bruschi, T. &amp; Santi, F. (2021). Segnalazione floristica n. 152 - </w:t>
      </w:r>
      <w:r w:rsidRPr="00482CC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Smilax aspera</w:t>
      </w: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 L. (Dicotyledones: Smilacaceae). </w:t>
      </w:r>
      <w:r w:rsidRPr="00943738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Quad. Studi Nat. Romagna</w:t>
      </w:r>
      <w:r w:rsidRPr="00943738">
        <w:rPr>
          <w:rFonts w:ascii="Times New Roman" w:eastAsia="Times New Roman" w:hAnsi="Times New Roman" w:cs="Times New Roman"/>
          <w:sz w:val="24"/>
          <w:szCs w:val="24"/>
          <w:lang w:val="it-IT"/>
        </w:rPr>
        <w:t>, 53: 295.</w:t>
      </w:r>
    </w:p>
    <w:p w14:paraId="61ABAFC4" w14:textId="77777777" w:rsidR="003841CC" w:rsidRPr="00482CCF" w:rsidRDefault="003841CC" w:rsidP="00B66938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lastRenderedPageBreak/>
        <w:t xml:space="preserve">Santi, F., Bruschi, T., Polverelli, L., Bagli, L., Gubellini, L., Hofmann, N., Montanari, S., Semprini, F., &amp; Alessandrini, A. (2022). Nuovi rinvenimenti per la flora vascolare della Repubblica di San Marino. </w:t>
      </w:r>
      <w:r w:rsidRPr="00482CC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Quaderno di Studi Naturalistici della Romagna</w:t>
      </w: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, </w:t>
      </w:r>
      <w:r w:rsidRPr="00482CC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54 suppl.</w:t>
      </w: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>, 117–154.</w:t>
      </w:r>
    </w:p>
    <w:p w14:paraId="169F15E4" w14:textId="77777777" w:rsidR="002F3A6D" w:rsidRPr="00482CCF" w:rsidRDefault="002F3A6D" w:rsidP="00B66938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Suzzi Valli, A. (1993). Repubblica di San Marino – Ambiente e aree tutelate. </w:t>
      </w:r>
      <w:r w:rsidRPr="00482CC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Aiep Editore</w:t>
      </w: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70177C61" w14:textId="77777777" w:rsidR="002F3A6D" w:rsidRPr="00482CCF" w:rsidRDefault="002F3A6D" w:rsidP="00B66938">
      <w:pPr>
        <w:spacing w:before="240" w:after="240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Tedaldi, G., Suzzi Valli, A., Casali, S., Busignani, G., &amp; Santi, D. (2014). Anfibi e Rettili della Repubblica di San Marino [Amphibians and Reptiles of the Republic of San Marino]. </w:t>
      </w:r>
      <w:r w:rsidRPr="00482CCF">
        <w:rPr>
          <w:rFonts w:ascii="Times New Roman" w:eastAsia="Times New Roman" w:hAnsi="Times New Roman" w:cs="Times New Roman"/>
          <w:i/>
          <w:sz w:val="24"/>
          <w:szCs w:val="24"/>
          <w:lang w:val="it-IT"/>
        </w:rPr>
        <w:t>Centro Naturalistico Sammarinese</w:t>
      </w:r>
      <w:r w:rsidRPr="00482CCF">
        <w:rPr>
          <w:rFonts w:ascii="Times New Roman" w:eastAsia="Times New Roman" w:hAnsi="Times New Roman" w:cs="Times New Roman"/>
          <w:sz w:val="24"/>
          <w:szCs w:val="24"/>
          <w:lang w:val="it-IT"/>
        </w:rPr>
        <w:t>.</w:t>
      </w:r>
    </w:p>
    <w:p w14:paraId="661E2952" w14:textId="77777777" w:rsidR="00977AD6" w:rsidRPr="002F3A6D" w:rsidRDefault="00977AD6">
      <w:pPr>
        <w:rPr>
          <w:rFonts w:ascii="Times New Roman" w:hAnsi="Times New Roman" w:cs="Times New Roman"/>
          <w:sz w:val="24"/>
          <w:szCs w:val="24"/>
          <w:lang w:val="it-IT"/>
        </w:rPr>
      </w:pPr>
    </w:p>
    <w:sectPr w:rsidR="00977AD6" w:rsidRPr="002F3A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DC9"/>
    <w:rsid w:val="000061CF"/>
    <w:rsid w:val="000936CA"/>
    <w:rsid w:val="000B38B9"/>
    <w:rsid w:val="002F3A6D"/>
    <w:rsid w:val="003841CC"/>
    <w:rsid w:val="003F7154"/>
    <w:rsid w:val="00482E05"/>
    <w:rsid w:val="00505260"/>
    <w:rsid w:val="00510BD3"/>
    <w:rsid w:val="00565A85"/>
    <w:rsid w:val="00582A71"/>
    <w:rsid w:val="005C2C62"/>
    <w:rsid w:val="005D79AE"/>
    <w:rsid w:val="00683D98"/>
    <w:rsid w:val="007C23F6"/>
    <w:rsid w:val="008305A0"/>
    <w:rsid w:val="009072F9"/>
    <w:rsid w:val="00933171"/>
    <w:rsid w:val="00943738"/>
    <w:rsid w:val="00977AD6"/>
    <w:rsid w:val="00A20749"/>
    <w:rsid w:val="00A56E21"/>
    <w:rsid w:val="00B15E9B"/>
    <w:rsid w:val="00B65D2F"/>
    <w:rsid w:val="00B66938"/>
    <w:rsid w:val="00BB2950"/>
    <w:rsid w:val="00C22CCB"/>
    <w:rsid w:val="00C523DB"/>
    <w:rsid w:val="00C71086"/>
    <w:rsid w:val="00C80EB0"/>
    <w:rsid w:val="00CE5704"/>
    <w:rsid w:val="00CF31AE"/>
    <w:rsid w:val="00D063DF"/>
    <w:rsid w:val="00D10739"/>
    <w:rsid w:val="00D22A98"/>
    <w:rsid w:val="00DA7660"/>
    <w:rsid w:val="00DD5DC9"/>
    <w:rsid w:val="00E350CA"/>
    <w:rsid w:val="00E670E2"/>
    <w:rsid w:val="00E842AD"/>
    <w:rsid w:val="00EC281B"/>
    <w:rsid w:val="00F6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20BD"/>
  <w15:chartTrackingRefBased/>
  <w15:docId w15:val="{CD91E272-14FB-4DA6-889E-D2AC65516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23DB"/>
    <w:pPr>
      <w:spacing w:after="0" w:line="276" w:lineRule="auto"/>
    </w:pPr>
    <w:rPr>
      <w:rFonts w:ascii="Arial" w:eastAsia="Arial" w:hAnsi="Arial" w:cs="Arial"/>
      <w:kern w:val="0"/>
      <w:lang w:val="en-GB"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5DC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it-IT"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DD5DC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it-IT"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D5DC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it-IT"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DD5DC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DD5DC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it-IT"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DD5DC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it-IT"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DD5DC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it-IT"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DD5DC9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it-IT"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DD5DC9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it-IT"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D5D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DD5D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DD5D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DD5DC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DD5DC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DD5DC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DD5DC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DD5DC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DD5DC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DD5D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t-IT"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DD5D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DD5DC9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t-IT"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D5D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DD5DC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it-IT"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DD5DC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DD5DC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it-IT"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DD5DC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DD5D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it-IT"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DD5DC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DD5DC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vnr.unipg.it/habitat/cerca.d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1459</Words>
  <Characters>8320</Characters>
  <Application>Microsoft Office Word</Application>
  <DocSecurity>0</DocSecurity>
  <Lines>69</Lines>
  <Paragraphs>19</Paragraphs>
  <ScaleCrop>false</ScaleCrop>
  <Company/>
  <LinksUpToDate>false</LinksUpToDate>
  <CharactersWithSpaces>9760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santi</dc:creator>
  <cp:keywords/>
  <dc:description/>
  <cp:lastModifiedBy>Francesco santi</cp:lastModifiedBy>
  <cp:revision>39</cp:revision>
  <dcterms:created xsi:type="dcterms:W3CDTF">2025-01-04T05:43:00Z</dcterms:created>
  <dcterms:modified xsi:type="dcterms:W3CDTF">2025-03-12T12:05:00Z</dcterms:modified>
</cp:coreProperties>
</file>