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423AB" w14:textId="769980C9" w:rsidR="00F07FCE" w:rsidRPr="004829A5" w:rsidRDefault="00F07FCE" w:rsidP="00EE39AD">
      <w:pPr>
        <w:spacing w:line="480" w:lineRule="auto"/>
        <w:ind w:left="0"/>
        <w:jc w:val="center"/>
        <w:rPr>
          <w:rFonts w:ascii="Times New Roman" w:eastAsia="Times New Roman" w:hAnsi="Times New Roman" w:cs="Times New Roman"/>
          <w:b/>
          <w:bCs/>
          <w:color w:val="auto"/>
          <w:sz w:val="24"/>
          <w:szCs w:val="24"/>
          <w:shd w:val="clear" w:color="auto" w:fill="FFFFFF"/>
          <w:lang w:eastAsia="pl-PL"/>
        </w:rPr>
      </w:pPr>
      <w:bookmarkStart w:id="0" w:name="_Hlk99535392"/>
      <w:r w:rsidRPr="004829A5">
        <w:rPr>
          <w:rFonts w:ascii="Times New Roman" w:eastAsia="Times New Roman" w:hAnsi="Times New Roman" w:cs="Times New Roman"/>
          <w:b/>
          <w:bCs/>
          <w:color w:val="auto"/>
          <w:sz w:val="24"/>
          <w:szCs w:val="24"/>
          <w:shd w:val="clear" w:color="auto" w:fill="FFFFFF"/>
          <w:lang w:eastAsia="pl-PL"/>
        </w:rPr>
        <w:t>Psychosocial determinants of alternative protein choices: a meta-review</w:t>
      </w:r>
    </w:p>
    <w:p w14:paraId="75F463B3" w14:textId="77777777" w:rsidR="00EE39AD" w:rsidRPr="004829A5" w:rsidRDefault="00EE39AD" w:rsidP="00EE39AD">
      <w:pPr>
        <w:spacing w:line="480" w:lineRule="auto"/>
        <w:ind w:left="0"/>
        <w:jc w:val="center"/>
        <w:rPr>
          <w:rFonts w:ascii="Times New Roman" w:eastAsia="Times New Roman" w:hAnsi="Times New Roman" w:cs="Times New Roman"/>
          <w:color w:val="auto"/>
          <w:sz w:val="24"/>
          <w:szCs w:val="24"/>
          <w:lang w:eastAsia="pl-PL"/>
        </w:rPr>
      </w:pPr>
    </w:p>
    <w:p w14:paraId="0EFA78F2" w14:textId="6193E7E5" w:rsidR="0083170E" w:rsidRPr="004829A5" w:rsidRDefault="0083170E" w:rsidP="00EE39AD">
      <w:pPr>
        <w:pStyle w:val="x-scope"/>
        <w:spacing w:before="0" w:beforeAutospacing="0" w:after="0" w:afterAutospacing="0"/>
        <w:jc w:val="center"/>
        <w:rPr>
          <w:rStyle w:val="qowt-font2-timesnewroman"/>
          <w:b/>
          <w:bCs/>
          <w:lang w:val="en-US"/>
        </w:rPr>
      </w:pPr>
      <w:r w:rsidRPr="004829A5">
        <w:rPr>
          <w:rStyle w:val="qowt-font2-timesnewroman"/>
          <w:b/>
          <w:bCs/>
          <w:lang w:val="en-US"/>
        </w:rPr>
        <w:t>Supplementa</w:t>
      </w:r>
      <w:r w:rsidR="00E40F81" w:rsidRPr="004829A5">
        <w:rPr>
          <w:rStyle w:val="qowt-font2-timesnewroman"/>
          <w:b/>
          <w:bCs/>
          <w:lang w:val="en-US"/>
        </w:rPr>
        <w:t>l</w:t>
      </w:r>
      <w:r w:rsidRPr="004829A5">
        <w:rPr>
          <w:rStyle w:val="qowt-font2-timesnewroman"/>
          <w:b/>
          <w:bCs/>
          <w:lang w:val="en-US"/>
        </w:rPr>
        <w:t xml:space="preserve"> Material</w:t>
      </w:r>
    </w:p>
    <w:p w14:paraId="46D2A275" w14:textId="77777777" w:rsidR="00EE39AD" w:rsidRPr="004829A5" w:rsidRDefault="00EE39AD" w:rsidP="00EE39AD">
      <w:pPr>
        <w:pStyle w:val="x-scope"/>
        <w:spacing w:before="0" w:beforeAutospacing="0" w:after="0" w:afterAutospacing="0"/>
        <w:jc w:val="center"/>
        <w:rPr>
          <w:rStyle w:val="qowt-font2-timesnewroman"/>
          <w:b/>
          <w:bCs/>
          <w:lang w:val="en-US"/>
        </w:rPr>
      </w:pPr>
    </w:p>
    <w:p w14:paraId="176C848F" w14:textId="77777777" w:rsidR="00B81D5E" w:rsidRPr="004829A5" w:rsidRDefault="00B81D5E" w:rsidP="00EE39AD">
      <w:pPr>
        <w:pStyle w:val="x-scope"/>
        <w:spacing w:before="0" w:beforeAutospacing="0" w:after="0" w:afterAutospacing="0"/>
        <w:rPr>
          <w:rStyle w:val="qowt-font2-timesnewroman"/>
          <w:lang w:val="en-US"/>
        </w:rPr>
      </w:pPr>
    </w:p>
    <w:p w14:paraId="06D6F3D7" w14:textId="0234265E" w:rsidR="00B81D5E" w:rsidRPr="004829A5" w:rsidRDefault="00B81D5E" w:rsidP="00EE39AD">
      <w:pPr>
        <w:pStyle w:val="x-scope"/>
        <w:spacing w:before="0" w:beforeAutospacing="0" w:after="0" w:afterAutospacing="0" w:line="480" w:lineRule="auto"/>
        <w:rPr>
          <w:rStyle w:val="qowt-font2-timesnewroman"/>
          <w:lang w:val="en-US"/>
        </w:rPr>
      </w:pPr>
      <w:r w:rsidRPr="004829A5">
        <w:rPr>
          <w:rStyle w:val="qowt-font2-timesnewroman"/>
          <w:lang w:val="en-US"/>
        </w:rPr>
        <w:t>Supplementa</w:t>
      </w:r>
      <w:r w:rsidR="00E40F81" w:rsidRPr="004829A5">
        <w:rPr>
          <w:rStyle w:val="qowt-font2-timesnewroman"/>
          <w:lang w:val="en-US"/>
        </w:rPr>
        <w:t>l</w:t>
      </w:r>
      <w:r w:rsidRPr="004829A5">
        <w:rPr>
          <w:rStyle w:val="qowt-font2-timesnewroman"/>
          <w:lang w:val="en-US"/>
        </w:rPr>
        <w:t xml:space="preserve"> Material includes:</w:t>
      </w:r>
    </w:p>
    <w:p w14:paraId="0DAD3D18" w14:textId="42E0DBB5" w:rsidR="00B0553E" w:rsidRPr="004829A5" w:rsidRDefault="00B81D5E" w:rsidP="00EE39AD">
      <w:pPr>
        <w:pStyle w:val="x-scope"/>
        <w:numPr>
          <w:ilvl w:val="0"/>
          <w:numId w:val="43"/>
        </w:numPr>
        <w:spacing w:before="0" w:beforeAutospacing="0" w:after="0" w:afterAutospacing="0" w:line="480" w:lineRule="auto"/>
        <w:rPr>
          <w:rStyle w:val="qowt-font2-timesnewroman"/>
          <w:b/>
          <w:bCs/>
          <w:lang w:val="en-US"/>
        </w:rPr>
      </w:pPr>
      <w:r w:rsidRPr="004829A5">
        <w:rPr>
          <w:rStyle w:val="qowt-font2-timesnewroman"/>
          <w:b/>
          <w:bCs/>
          <w:lang w:val="en-US"/>
        </w:rPr>
        <w:t xml:space="preserve">Full </w:t>
      </w:r>
      <w:r w:rsidR="006A4201" w:rsidRPr="004829A5">
        <w:rPr>
          <w:rStyle w:val="qowt-font2-timesnewroman"/>
          <w:b/>
          <w:bCs/>
          <w:lang w:val="en-US"/>
        </w:rPr>
        <w:t>list</w:t>
      </w:r>
      <w:r w:rsidRPr="004829A5">
        <w:rPr>
          <w:rStyle w:val="qowt-font2-timesnewroman"/>
          <w:b/>
          <w:bCs/>
          <w:lang w:val="en-US"/>
        </w:rPr>
        <w:t xml:space="preserve"> of keywords used </w:t>
      </w:r>
      <w:r w:rsidR="00B0553E" w:rsidRPr="004829A5">
        <w:rPr>
          <w:rStyle w:val="qowt-font2-timesnewroman"/>
          <w:b/>
          <w:bCs/>
          <w:lang w:val="en-US"/>
        </w:rPr>
        <w:t xml:space="preserve">for systematic </w:t>
      </w:r>
      <w:r w:rsidRPr="004829A5">
        <w:rPr>
          <w:rStyle w:val="qowt-font2-timesnewroman"/>
          <w:b/>
          <w:bCs/>
          <w:lang w:val="en-US"/>
        </w:rPr>
        <w:t>database search</w:t>
      </w:r>
    </w:p>
    <w:p w14:paraId="221A56F2" w14:textId="109BC213" w:rsidR="00B0553E" w:rsidRPr="004829A5" w:rsidRDefault="00B0553E" w:rsidP="00EE39AD">
      <w:pPr>
        <w:pStyle w:val="x-scope"/>
        <w:numPr>
          <w:ilvl w:val="0"/>
          <w:numId w:val="43"/>
        </w:numPr>
        <w:spacing w:before="0" w:beforeAutospacing="0" w:after="0" w:afterAutospacing="0" w:line="480" w:lineRule="auto"/>
        <w:rPr>
          <w:rStyle w:val="qowt-font2-timesnewroman"/>
          <w:lang w:val="en-US"/>
        </w:rPr>
      </w:pPr>
      <w:r w:rsidRPr="004829A5">
        <w:rPr>
          <w:rStyle w:val="qowt-font2-timesnewroman"/>
          <w:b/>
          <w:bCs/>
          <w:lang w:val="en-US"/>
        </w:rPr>
        <w:t>Additional information about search method</w:t>
      </w:r>
      <w:r w:rsidR="006A4201" w:rsidRPr="004829A5">
        <w:rPr>
          <w:rStyle w:val="qowt-font2-timesnewroman"/>
          <w:lang w:val="en-US"/>
        </w:rPr>
        <w:t>:</w:t>
      </w:r>
    </w:p>
    <w:p w14:paraId="5DD4BD7E" w14:textId="77777777" w:rsidR="00B0553E" w:rsidRPr="004829A5" w:rsidRDefault="00B0553E" w:rsidP="00EE39AD">
      <w:pPr>
        <w:pStyle w:val="ListParagraph"/>
        <w:numPr>
          <w:ilvl w:val="1"/>
          <w:numId w:val="43"/>
        </w:numPr>
        <w:spacing w:line="480" w:lineRule="auto"/>
        <w:rPr>
          <w:rFonts w:ascii="Times New Roman" w:hAnsi="Times New Roman" w:cs="Times New Roman"/>
          <w:color w:val="auto"/>
          <w:sz w:val="24"/>
          <w:szCs w:val="24"/>
        </w:rPr>
      </w:pPr>
      <w:r w:rsidRPr="004829A5">
        <w:rPr>
          <w:rFonts w:ascii="Times New Roman" w:hAnsi="Times New Roman" w:cs="Times New Roman"/>
          <w:color w:val="auto"/>
          <w:sz w:val="24"/>
          <w:szCs w:val="24"/>
        </w:rPr>
        <w:t>Grey Literature Searches</w:t>
      </w:r>
    </w:p>
    <w:p w14:paraId="3994E639" w14:textId="625EECFB" w:rsidR="00F07FCE" w:rsidRPr="004829A5" w:rsidRDefault="0036359A" w:rsidP="00EE39AD">
      <w:pPr>
        <w:pStyle w:val="ListParagraph"/>
        <w:numPr>
          <w:ilvl w:val="1"/>
          <w:numId w:val="43"/>
        </w:numPr>
        <w:spacing w:line="480" w:lineRule="auto"/>
        <w:rPr>
          <w:rFonts w:ascii="Times New Roman" w:eastAsia="Times New Roman" w:hAnsi="Times New Roman" w:cs="Times New Roman"/>
          <w:color w:val="auto"/>
          <w:sz w:val="24"/>
          <w:szCs w:val="24"/>
          <w:highlight w:val="white"/>
        </w:rPr>
      </w:pPr>
      <w:r w:rsidRPr="004829A5">
        <w:rPr>
          <w:rFonts w:ascii="Times New Roman" w:eastAsia="Times New Roman" w:hAnsi="Times New Roman" w:cs="Times New Roman"/>
          <w:color w:val="auto"/>
          <w:sz w:val="24"/>
          <w:szCs w:val="24"/>
          <w:highlight w:val="white"/>
        </w:rPr>
        <w:t>Coding Process</w:t>
      </w:r>
    </w:p>
    <w:p w14:paraId="5A322746" w14:textId="5AE1D272" w:rsidR="00B0553E" w:rsidRPr="004829A5" w:rsidRDefault="0036359A" w:rsidP="00EE39AD">
      <w:pPr>
        <w:pStyle w:val="ListParagraph"/>
        <w:numPr>
          <w:ilvl w:val="1"/>
          <w:numId w:val="43"/>
        </w:numPr>
        <w:spacing w:line="480" w:lineRule="auto"/>
        <w:rPr>
          <w:rStyle w:val="qowt-font2-timesnewroman"/>
          <w:color w:val="auto"/>
        </w:rPr>
      </w:pPr>
      <w:r w:rsidRPr="004829A5">
        <w:rPr>
          <w:rFonts w:ascii="Times New Roman" w:eastAsiaTheme="minorEastAsia" w:hAnsi="Times New Roman" w:cs="Times New Roman"/>
          <w:color w:val="auto"/>
          <w:sz w:val="24"/>
          <w:szCs w:val="24"/>
        </w:rPr>
        <w:t>Data Analysis and Synthesis</w:t>
      </w:r>
    </w:p>
    <w:p w14:paraId="54BD6D8B" w14:textId="532DF516" w:rsidR="00B0553E" w:rsidRPr="004829A5" w:rsidRDefault="00B0553E" w:rsidP="00EE39AD">
      <w:pPr>
        <w:pStyle w:val="x-scope"/>
        <w:numPr>
          <w:ilvl w:val="0"/>
          <w:numId w:val="43"/>
        </w:numPr>
        <w:spacing w:before="0" w:beforeAutospacing="0" w:after="0" w:afterAutospacing="0" w:line="480" w:lineRule="auto"/>
        <w:rPr>
          <w:rStyle w:val="qowt-font2-timesnewroman"/>
          <w:lang w:val="en-US"/>
        </w:rPr>
      </w:pPr>
      <w:r w:rsidRPr="004829A5">
        <w:rPr>
          <w:rStyle w:val="qowt-font2-timesnewroman"/>
          <w:b/>
          <w:bCs/>
          <w:lang w:val="en-US"/>
        </w:rPr>
        <w:t>Additional information about search results</w:t>
      </w:r>
      <w:r w:rsidR="006A4201" w:rsidRPr="004829A5">
        <w:rPr>
          <w:rStyle w:val="qowt-font2-timesnewroman"/>
          <w:lang w:val="en-US"/>
        </w:rPr>
        <w:t>:</w:t>
      </w:r>
    </w:p>
    <w:p w14:paraId="578D4920" w14:textId="77777777" w:rsidR="0036359A" w:rsidRPr="004829A5" w:rsidRDefault="0036359A" w:rsidP="00EE39AD">
      <w:pPr>
        <w:pStyle w:val="ListParagraph"/>
        <w:numPr>
          <w:ilvl w:val="1"/>
          <w:numId w:val="43"/>
        </w:numPr>
        <w:spacing w:line="480" w:lineRule="auto"/>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Types of APF in included studies</w:t>
      </w:r>
    </w:p>
    <w:p w14:paraId="492C4AF6" w14:textId="31412629" w:rsidR="00AA25E0" w:rsidRPr="004829A5" w:rsidRDefault="00AA25E0" w:rsidP="00EE39AD">
      <w:pPr>
        <w:pStyle w:val="ListParagraph"/>
        <w:numPr>
          <w:ilvl w:val="1"/>
          <w:numId w:val="43"/>
        </w:numPr>
        <w:spacing w:line="480" w:lineRule="auto"/>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Population</w:t>
      </w:r>
    </w:p>
    <w:p w14:paraId="0609187D" w14:textId="77777777" w:rsidR="00AA25E0" w:rsidRPr="004829A5" w:rsidRDefault="00AA25E0" w:rsidP="00EE39AD">
      <w:pPr>
        <w:pStyle w:val="ListParagraph"/>
        <w:numPr>
          <w:ilvl w:val="1"/>
          <w:numId w:val="43"/>
        </w:numPr>
        <w:spacing w:line="480" w:lineRule="auto"/>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Types of Individual-Level Determinants</w:t>
      </w:r>
    </w:p>
    <w:p w14:paraId="046896DE" w14:textId="77777777" w:rsidR="00F07FCE" w:rsidRPr="004829A5" w:rsidRDefault="00F07FCE" w:rsidP="00EE39AD">
      <w:pPr>
        <w:pStyle w:val="ListParagraph"/>
        <w:numPr>
          <w:ilvl w:val="1"/>
          <w:numId w:val="43"/>
        </w:numPr>
        <w:spacing w:line="480" w:lineRule="auto"/>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Design of Included Studies</w:t>
      </w:r>
    </w:p>
    <w:p w14:paraId="33B63787" w14:textId="79C925DF" w:rsidR="00A245EF" w:rsidRPr="004829A5" w:rsidRDefault="00A245EF" w:rsidP="00EE39AD">
      <w:pPr>
        <w:pStyle w:val="ListParagraph"/>
        <w:numPr>
          <w:ilvl w:val="0"/>
          <w:numId w:val="43"/>
        </w:numPr>
        <w:spacing w:line="480" w:lineRule="auto"/>
        <w:rPr>
          <w:rFonts w:ascii="Times New Roman" w:eastAsia="Times New Roman" w:hAnsi="Times New Roman" w:cs="Times New Roman"/>
          <w:i/>
          <w:iCs/>
          <w:color w:val="auto"/>
          <w:sz w:val="24"/>
          <w:szCs w:val="24"/>
        </w:rPr>
      </w:pPr>
      <w:r w:rsidRPr="004829A5">
        <w:rPr>
          <w:rFonts w:ascii="Times New Roman" w:eastAsia="Times New Roman" w:hAnsi="Times New Roman" w:cs="Times New Roman"/>
          <w:b/>
          <w:bCs/>
          <w:color w:val="auto"/>
          <w:sz w:val="24"/>
          <w:szCs w:val="24"/>
        </w:rPr>
        <w:t>Table S1</w:t>
      </w:r>
      <w:r w:rsidRPr="004829A5">
        <w:rPr>
          <w:rFonts w:ascii="Times New Roman" w:eastAsia="Times New Roman" w:hAnsi="Times New Roman" w:cs="Times New Roman"/>
          <w:color w:val="auto"/>
          <w:sz w:val="24"/>
          <w:szCs w:val="24"/>
        </w:rPr>
        <w:t xml:space="preserve"> - </w:t>
      </w:r>
      <w:r w:rsidRPr="004829A5">
        <w:rPr>
          <w:rFonts w:ascii="Times New Roman" w:eastAsia="Times New Roman" w:hAnsi="Times New Roman" w:cs="Times New Roman"/>
          <w:i/>
          <w:iCs/>
          <w:color w:val="auto"/>
          <w:sz w:val="24"/>
          <w:szCs w:val="24"/>
        </w:rPr>
        <w:t>Description of Studies Included in the Meta-Review</w:t>
      </w:r>
    </w:p>
    <w:p w14:paraId="24877B94" w14:textId="7DCC9B4A" w:rsidR="00F07FCE" w:rsidRPr="004829A5" w:rsidRDefault="0036359A" w:rsidP="00EE39AD">
      <w:pPr>
        <w:pStyle w:val="Caption"/>
        <w:numPr>
          <w:ilvl w:val="0"/>
          <w:numId w:val="43"/>
        </w:numPr>
        <w:spacing w:after="0" w:line="480" w:lineRule="auto"/>
        <w:jc w:val="left"/>
        <w:rPr>
          <w:rFonts w:ascii="Times New Roman" w:eastAsia="Times New Roman" w:hAnsi="Times New Roman" w:cs="Times New Roman"/>
          <w:i/>
          <w:lang w:val="en-US"/>
        </w:rPr>
      </w:pPr>
      <w:r w:rsidRPr="004829A5">
        <w:rPr>
          <w:rFonts w:ascii="Times New Roman" w:hAnsi="Times New Roman" w:cs="Times New Roman"/>
          <w:b/>
          <w:bCs/>
          <w:iCs w:val="0"/>
          <w:sz w:val="24"/>
          <w:szCs w:val="24"/>
          <w:lang w:val="en-US"/>
        </w:rPr>
        <w:t>Table S</w:t>
      </w:r>
      <w:r w:rsidR="00A245EF" w:rsidRPr="004829A5">
        <w:rPr>
          <w:rFonts w:ascii="Times New Roman" w:hAnsi="Times New Roman" w:cs="Times New Roman"/>
          <w:b/>
          <w:bCs/>
          <w:iCs w:val="0"/>
          <w:sz w:val="24"/>
          <w:szCs w:val="24"/>
          <w:lang w:val="en-US"/>
        </w:rPr>
        <w:t>2</w:t>
      </w:r>
      <w:r w:rsidR="00F07FCE" w:rsidRPr="004829A5">
        <w:rPr>
          <w:rFonts w:ascii="Times New Roman" w:hAnsi="Times New Roman" w:cs="Times New Roman"/>
          <w:sz w:val="24"/>
          <w:szCs w:val="24"/>
          <w:lang w:val="en-US"/>
        </w:rPr>
        <w:t xml:space="preserve"> - </w:t>
      </w:r>
      <w:r w:rsidRPr="004829A5">
        <w:rPr>
          <w:rFonts w:ascii="Times New Roman" w:hAnsi="Times New Roman" w:cs="Times New Roman"/>
          <w:i/>
          <w:sz w:val="24"/>
          <w:szCs w:val="24"/>
          <w:lang w:val="en-US"/>
        </w:rPr>
        <w:t>Results of Coding of the Associations Between the Determinants (the COM-B Model Dimensions and Sociodemographic Characteristics) and Alternative Protein Food (APF) Choice Indicators Among Consumers</w:t>
      </w:r>
    </w:p>
    <w:p w14:paraId="5B035E99" w14:textId="11AAD7A5" w:rsidR="00B0553E" w:rsidRPr="004829A5" w:rsidRDefault="00F07FCE" w:rsidP="00EE39AD">
      <w:pPr>
        <w:pStyle w:val="Caption"/>
        <w:numPr>
          <w:ilvl w:val="0"/>
          <w:numId w:val="43"/>
        </w:numPr>
        <w:spacing w:after="0" w:line="480" w:lineRule="auto"/>
        <w:jc w:val="left"/>
        <w:rPr>
          <w:rStyle w:val="qowt-font2-timesnewroman"/>
          <w:i/>
          <w:lang w:val="en-US"/>
        </w:rPr>
      </w:pPr>
      <w:r w:rsidRPr="004829A5">
        <w:rPr>
          <w:rFonts w:ascii="Times New Roman" w:eastAsia="Times New Roman" w:hAnsi="Times New Roman" w:cs="Times New Roman"/>
          <w:b/>
          <w:bCs/>
          <w:sz w:val="24"/>
          <w:szCs w:val="24"/>
          <w:lang w:val="en-US"/>
        </w:rPr>
        <w:t>Table S</w:t>
      </w:r>
      <w:r w:rsidR="00A245EF" w:rsidRPr="004829A5">
        <w:rPr>
          <w:rFonts w:ascii="Times New Roman" w:eastAsia="Times New Roman" w:hAnsi="Times New Roman" w:cs="Times New Roman"/>
          <w:b/>
          <w:bCs/>
          <w:sz w:val="24"/>
          <w:szCs w:val="24"/>
          <w:lang w:val="en-US"/>
        </w:rPr>
        <w:t>3</w:t>
      </w:r>
      <w:r w:rsidRPr="004829A5">
        <w:rPr>
          <w:rFonts w:ascii="Times New Roman" w:eastAsia="Times New Roman" w:hAnsi="Times New Roman" w:cs="Times New Roman"/>
          <w:sz w:val="24"/>
          <w:szCs w:val="24"/>
          <w:lang w:val="en-US"/>
        </w:rPr>
        <w:t xml:space="preserve"> -</w:t>
      </w:r>
      <w:r w:rsidR="006A4201" w:rsidRPr="004829A5">
        <w:rPr>
          <w:lang w:val="en-US"/>
        </w:rPr>
        <w:t xml:space="preserve"> </w:t>
      </w:r>
      <w:r w:rsidR="006A4201" w:rsidRPr="004829A5">
        <w:rPr>
          <w:rFonts w:ascii="Times New Roman" w:eastAsia="Times New Roman" w:hAnsi="Times New Roman" w:cs="Times New Roman"/>
          <w:i/>
          <w:sz w:val="24"/>
          <w:szCs w:val="24"/>
          <w:lang w:val="en-US"/>
        </w:rPr>
        <w:t>The Summary of the Risk of Bias Assessment in the Included Reviews (Evaluated Using the ROBIS Tool)</w:t>
      </w:r>
    </w:p>
    <w:p w14:paraId="6B734D92" w14:textId="77777777" w:rsidR="00B0553E" w:rsidRPr="004829A5" w:rsidRDefault="00B0553E" w:rsidP="00EE39AD">
      <w:pPr>
        <w:pStyle w:val="x-scope"/>
        <w:spacing w:before="0" w:beforeAutospacing="0" w:after="0" w:afterAutospacing="0"/>
        <w:ind w:left="720"/>
        <w:rPr>
          <w:lang w:val="en-US"/>
        </w:rPr>
      </w:pPr>
    </w:p>
    <w:p w14:paraId="04C44155" w14:textId="528D1D62" w:rsidR="00F07FCE" w:rsidRPr="004829A5" w:rsidRDefault="00F07FCE" w:rsidP="00EE39AD">
      <w:pPr>
        <w:pStyle w:val="x-scope"/>
        <w:spacing w:before="0" w:beforeAutospacing="0" w:after="0" w:afterAutospacing="0"/>
        <w:rPr>
          <w:rStyle w:val="qowt-font2-timesnewroman"/>
          <w:lang w:val="en-US"/>
        </w:rPr>
      </w:pPr>
    </w:p>
    <w:p w14:paraId="58600C82" w14:textId="77777777" w:rsidR="00F07FCE" w:rsidRPr="004829A5" w:rsidRDefault="00F07FCE" w:rsidP="00EE39AD">
      <w:pPr>
        <w:pStyle w:val="x-scope"/>
        <w:spacing w:before="0" w:beforeAutospacing="0" w:after="0" w:afterAutospacing="0"/>
        <w:jc w:val="center"/>
        <w:rPr>
          <w:rStyle w:val="qowt-font2-timesnewroman"/>
          <w:b/>
          <w:bCs/>
          <w:lang w:val="en-US"/>
        </w:rPr>
      </w:pPr>
    </w:p>
    <w:p w14:paraId="6BA8EEF9" w14:textId="77777777" w:rsidR="00EE39AD" w:rsidRPr="004829A5" w:rsidRDefault="00EE39AD" w:rsidP="00EE39AD">
      <w:pPr>
        <w:pStyle w:val="x-scope"/>
        <w:spacing w:before="0" w:beforeAutospacing="0" w:after="0" w:afterAutospacing="0" w:line="480" w:lineRule="auto"/>
        <w:rPr>
          <w:rStyle w:val="qowt-font2-timesnewroman"/>
          <w:lang w:val="en-US"/>
        </w:rPr>
      </w:pPr>
    </w:p>
    <w:p w14:paraId="75934C24" w14:textId="77777777" w:rsidR="00EE39AD" w:rsidRPr="004829A5" w:rsidRDefault="00EE39AD" w:rsidP="00EE39AD">
      <w:pPr>
        <w:pStyle w:val="x-scope"/>
        <w:spacing w:before="0" w:beforeAutospacing="0" w:after="0" w:afterAutospacing="0" w:line="480" w:lineRule="auto"/>
        <w:rPr>
          <w:rStyle w:val="qowt-font2-timesnewroman"/>
          <w:lang w:val="en-US"/>
        </w:rPr>
      </w:pPr>
    </w:p>
    <w:p w14:paraId="707B4DD5" w14:textId="77777777" w:rsidR="00EE39AD" w:rsidRPr="004829A5" w:rsidRDefault="00EE39AD" w:rsidP="00EE39AD">
      <w:pPr>
        <w:pStyle w:val="x-scope"/>
        <w:spacing w:before="0" w:beforeAutospacing="0" w:after="0" w:afterAutospacing="0" w:line="480" w:lineRule="auto"/>
        <w:rPr>
          <w:rStyle w:val="qowt-font2-timesnewroman"/>
          <w:lang w:val="en-US"/>
        </w:rPr>
      </w:pPr>
    </w:p>
    <w:p w14:paraId="74E6EB79" w14:textId="29FFE6AB" w:rsidR="0083170E" w:rsidRPr="004829A5" w:rsidRDefault="00EE39AD" w:rsidP="00625C7B">
      <w:pPr>
        <w:pStyle w:val="x-scope"/>
        <w:spacing w:before="0" w:beforeAutospacing="0" w:after="0" w:afterAutospacing="0" w:line="480" w:lineRule="auto"/>
        <w:jc w:val="center"/>
        <w:rPr>
          <w:b/>
          <w:bCs/>
          <w:lang w:val="en-US"/>
        </w:rPr>
      </w:pPr>
      <w:r w:rsidRPr="004829A5">
        <w:rPr>
          <w:rStyle w:val="qowt-font2-timesnewroman"/>
          <w:b/>
          <w:bCs/>
          <w:lang w:val="en-US"/>
        </w:rPr>
        <w:lastRenderedPageBreak/>
        <w:t>Full list of keywords used for systematic database search</w:t>
      </w:r>
    </w:p>
    <w:p w14:paraId="59E4753F" w14:textId="77777777" w:rsidR="0083170E" w:rsidRPr="004829A5" w:rsidRDefault="0083170E" w:rsidP="00625C7B">
      <w:pPr>
        <w:pStyle w:val="qowt-stl-m2846478533982981635msobodytext"/>
        <w:shd w:val="clear" w:color="auto" w:fill="FFFFFF"/>
        <w:spacing w:before="0" w:beforeAutospacing="0" w:after="0" w:afterAutospacing="0" w:line="480" w:lineRule="auto"/>
        <w:ind w:right="442"/>
        <w:rPr>
          <w:sz w:val="32"/>
          <w:szCs w:val="32"/>
          <w:lang w:val="en-US"/>
        </w:rPr>
      </w:pPr>
      <w:r w:rsidRPr="004829A5">
        <w:rPr>
          <w:shd w:val="clear" w:color="auto" w:fill="FFFFFF"/>
          <w:lang w:val="en-US"/>
        </w:rPr>
        <w:t>Determinants: AB ( “accept*” OR “preference*” OR “willingness” OR buy OR “</w:t>
      </w:r>
      <w:proofErr w:type="spellStart"/>
      <w:r w:rsidRPr="004829A5">
        <w:rPr>
          <w:shd w:val="clear" w:color="auto" w:fill="FFFFFF"/>
          <w:lang w:val="en-US"/>
        </w:rPr>
        <w:t>purchas</w:t>
      </w:r>
      <w:proofErr w:type="spellEnd"/>
      <w:r w:rsidRPr="004829A5">
        <w:rPr>
          <w:shd w:val="clear" w:color="auto" w:fill="FFFFFF"/>
          <w:lang w:val="en-US"/>
        </w:rPr>
        <w:t>*” OR “choice*” OR “</w:t>
      </w:r>
      <w:proofErr w:type="spellStart"/>
      <w:r w:rsidRPr="004829A5">
        <w:rPr>
          <w:shd w:val="clear" w:color="auto" w:fill="FFFFFF"/>
          <w:lang w:val="en-US"/>
        </w:rPr>
        <w:t>behavio</w:t>
      </w:r>
      <w:proofErr w:type="spellEnd"/>
      <w:r w:rsidRPr="004829A5">
        <w:rPr>
          <w:shd w:val="clear" w:color="auto" w:fill="FFFFFF"/>
          <w:lang w:val="en-US"/>
        </w:rPr>
        <w:t>*” OR “perception*” OR “</w:t>
      </w:r>
      <w:proofErr w:type="spellStart"/>
      <w:r w:rsidRPr="004829A5">
        <w:rPr>
          <w:shd w:val="clear" w:color="auto" w:fill="FFFFFF"/>
          <w:lang w:val="en-US"/>
        </w:rPr>
        <w:t>accessability</w:t>
      </w:r>
      <w:proofErr w:type="spellEnd"/>
      <w:r w:rsidRPr="004829A5">
        <w:rPr>
          <w:shd w:val="clear" w:color="auto" w:fill="FFFFFF"/>
          <w:lang w:val="en-US"/>
        </w:rPr>
        <w:t>” OR “availability” OR “</w:t>
      </w:r>
      <w:proofErr w:type="spellStart"/>
      <w:r w:rsidRPr="004829A5">
        <w:rPr>
          <w:shd w:val="clear" w:color="auto" w:fill="FFFFFF"/>
          <w:lang w:val="en-US"/>
        </w:rPr>
        <w:t>affordab</w:t>
      </w:r>
      <w:proofErr w:type="spellEnd"/>
      <w:r w:rsidRPr="004829A5">
        <w:rPr>
          <w:shd w:val="clear" w:color="auto" w:fill="FFFFFF"/>
          <w:lang w:val="en-US"/>
        </w:rPr>
        <w:t>”* OR “belief*” OR “perceive*” OR “</w:t>
      </w:r>
      <w:proofErr w:type="spellStart"/>
      <w:r w:rsidRPr="004829A5">
        <w:rPr>
          <w:shd w:val="clear" w:color="auto" w:fill="FFFFFF"/>
          <w:lang w:val="en-US"/>
        </w:rPr>
        <w:t>percep</w:t>
      </w:r>
      <w:proofErr w:type="spellEnd"/>
      <w:r w:rsidRPr="004829A5">
        <w:rPr>
          <w:shd w:val="clear" w:color="auto" w:fill="FFFFFF"/>
          <w:lang w:val="en-US"/>
        </w:rPr>
        <w:t>*” OR “cognit*” OR “</w:t>
      </w:r>
      <w:proofErr w:type="spellStart"/>
      <w:r w:rsidRPr="004829A5">
        <w:rPr>
          <w:shd w:val="clear" w:color="auto" w:fill="FFFFFF"/>
          <w:lang w:val="en-US"/>
        </w:rPr>
        <w:t>motiv</w:t>
      </w:r>
      <w:proofErr w:type="spellEnd"/>
      <w:r w:rsidRPr="004829A5">
        <w:rPr>
          <w:shd w:val="clear" w:color="auto" w:fill="FFFFFF"/>
          <w:lang w:val="en-US"/>
        </w:rPr>
        <w:t>*” OR “ability” OR “skill*” OR “</w:t>
      </w:r>
      <w:proofErr w:type="spellStart"/>
      <w:r w:rsidRPr="004829A5">
        <w:rPr>
          <w:shd w:val="clear" w:color="auto" w:fill="FFFFFF"/>
          <w:lang w:val="en-US"/>
        </w:rPr>
        <w:t>acceptab</w:t>
      </w:r>
      <w:proofErr w:type="spellEnd"/>
      <w:r w:rsidRPr="004829A5">
        <w:rPr>
          <w:shd w:val="clear" w:color="auto" w:fill="FFFFFF"/>
          <w:lang w:val="en-US"/>
        </w:rPr>
        <w:t>*” OR “intention*” OR “attitude*” OR “knowledge” OR “values” OR “literacy” OR “eat” OR “stigma” OR “consumption” OR “intake” OR “consumer choice” OR “habit*” OR “preference*” OR “vegetarian*” OR “flexitarian*” OR “lifestyle” OR “vegan*” OR “pescatarian” OR “</w:t>
      </w:r>
      <w:proofErr w:type="spellStart"/>
      <w:r w:rsidRPr="004829A5">
        <w:rPr>
          <w:shd w:val="clear" w:color="auto" w:fill="FFFFFF"/>
          <w:lang w:val="en-US"/>
        </w:rPr>
        <w:t>pollotarian</w:t>
      </w:r>
      <w:proofErr w:type="spellEnd"/>
      <w:r w:rsidRPr="004829A5">
        <w:rPr>
          <w:shd w:val="clear" w:color="auto" w:fill="FFFFFF"/>
          <w:lang w:val="en-US"/>
        </w:rPr>
        <w:t>” )</w:t>
      </w:r>
      <w:r w:rsidRPr="004829A5">
        <w:rPr>
          <w:sz w:val="32"/>
          <w:szCs w:val="32"/>
          <w:lang w:val="en-US"/>
        </w:rPr>
        <w:t xml:space="preserve"> </w:t>
      </w:r>
    </w:p>
    <w:p w14:paraId="2C72C821" w14:textId="77777777" w:rsidR="0083170E" w:rsidRPr="004829A5" w:rsidRDefault="0083170E" w:rsidP="00625C7B">
      <w:pPr>
        <w:pStyle w:val="qowt-stl-m2846478533982981635msobodytext"/>
        <w:shd w:val="clear" w:color="auto" w:fill="FFFFFF"/>
        <w:spacing w:before="0" w:beforeAutospacing="0" w:after="0" w:afterAutospacing="0" w:line="480" w:lineRule="auto"/>
        <w:ind w:right="442"/>
        <w:rPr>
          <w:sz w:val="32"/>
          <w:szCs w:val="32"/>
          <w:lang w:val="en-US"/>
        </w:rPr>
      </w:pPr>
      <w:r w:rsidRPr="004829A5">
        <w:rPr>
          <w:shd w:val="clear" w:color="auto" w:fill="FFFFFF"/>
          <w:lang w:val="en-US"/>
        </w:rPr>
        <w:t> </w:t>
      </w:r>
      <w:r w:rsidRPr="004829A5">
        <w:rPr>
          <w:sz w:val="32"/>
          <w:szCs w:val="32"/>
          <w:lang w:val="en-US"/>
        </w:rPr>
        <w:t xml:space="preserve"> </w:t>
      </w:r>
    </w:p>
    <w:p w14:paraId="4A747673" w14:textId="77777777" w:rsidR="0083170E" w:rsidRPr="004829A5" w:rsidRDefault="0083170E" w:rsidP="00625C7B">
      <w:pPr>
        <w:pStyle w:val="qowt-stl-m2846478533982981635msobodytext"/>
        <w:shd w:val="clear" w:color="auto" w:fill="FFFFFF"/>
        <w:spacing w:before="0" w:beforeAutospacing="0" w:after="0" w:afterAutospacing="0" w:line="480" w:lineRule="auto"/>
        <w:ind w:right="442"/>
        <w:rPr>
          <w:sz w:val="32"/>
          <w:szCs w:val="32"/>
          <w:lang w:val="en-US"/>
        </w:rPr>
      </w:pPr>
      <w:r w:rsidRPr="004829A5">
        <w:rPr>
          <w:shd w:val="clear" w:color="auto" w:fill="FFFFFF"/>
          <w:lang w:val="en-US"/>
        </w:rPr>
        <w:t xml:space="preserve">Outcomes: AND AB ( “cultured meat*" OR “in vitro meat*" OR “synthetic meat*" OR “seaweed*” OR “alga*” OR “insect*” OR “lupin*” OR “pulses” OR “legume*” OR “bean*” OR “dry pea” OR “chickpea*” OR “cow pea” OR “pigeon pea” OR “lentil*” OR “meat alternative*” OR “meat substitute*” OR “plant-based meat*” OR “meat analogue*”OR “rapeseed kernel protein*” OR “mealworm protein*” OR “krill protein*” OR “microbial protein*” OR “cultivated mushroom protein*” OR “fermented fungal protein*” OR “pea protein*” OR “meat analogue*” OR “hybrid meat” OR "non-meat protein sources" OR "novel plant-based alternatives" OR “plant-based proteins” OR “substitute meat protein” OR "insect-based food" OR "insect-based protein*" OR "larvae protein*" OR "cultured meat" OR "bacterial protein" OR "lab grown meat" OR "cultured meat-based proteins" OR "cultivated meat" OR "fusarium </w:t>
      </w:r>
      <w:proofErr w:type="spellStart"/>
      <w:r w:rsidRPr="004829A5">
        <w:rPr>
          <w:shd w:val="clear" w:color="auto" w:fill="FFFFFF"/>
          <w:lang w:val="en-US"/>
        </w:rPr>
        <w:t>venenatum</w:t>
      </w:r>
      <w:proofErr w:type="spellEnd"/>
      <w:r w:rsidRPr="004829A5">
        <w:rPr>
          <w:shd w:val="clear" w:color="auto" w:fill="FFFFFF"/>
          <w:lang w:val="en-US"/>
        </w:rPr>
        <w:t>" OR "</w:t>
      </w:r>
      <w:proofErr w:type="spellStart"/>
      <w:r w:rsidRPr="004829A5">
        <w:rPr>
          <w:shd w:val="clear" w:color="auto" w:fill="FFFFFF"/>
          <w:lang w:val="en-US"/>
        </w:rPr>
        <w:t>quorn</w:t>
      </w:r>
      <w:proofErr w:type="spellEnd"/>
      <w:r w:rsidRPr="004829A5">
        <w:rPr>
          <w:shd w:val="clear" w:color="auto" w:fill="FFFFFF"/>
          <w:lang w:val="en-US"/>
        </w:rPr>
        <w:t>" OR "texture vegetable protein*" OR “novel food*” OR “innovative food*” OR “alternative type* of food*” )</w:t>
      </w:r>
      <w:r w:rsidRPr="004829A5">
        <w:rPr>
          <w:sz w:val="32"/>
          <w:szCs w:val="32"/>
          <w:lang w:val="en-US"/>
        </w:rPr>
        <w:t xml:space="preserve"> </w:t>
      </w:r>
    </w:p>
    <w:p w14:paraId="70F0F929" w14:textId="77777777" w:rsidR="0083170E" w:rsidRPr="004829A5" w:rsidRDefault="0083170E" w:rsidP="00625C7B">
      <w:pPr>
        <w:pStyle w:val="qowt-stl-m2846478533982981635msobodytext"/>
        <w:shd w:val="clear" w:color="auto" w:fill="FFFFFF"/>
        <w:spacing w:before="0" w:beforeAutospacing="0" w:after="0" w:afterAutospacing="0" w:line="480" w:lineRule="auto"/>
        <w:ind w:right="442"/>
        <w:rPr>
          <w:sz w:val="32"/>
          <w:szCs w:val="32"/>
          <w:lang w:val="en-US"/>
        </w:rPr>
      </w:pPr>
      <w:r w:rsidRPr="004829A5">
        <w:rPr>
          <w:shd w:val="clear" w:color="auto" w:fill="FFFFFF"/>
          <w:lang w:val="en-US"/>
        </w:rPr>
        <w:t> </w:t>
      </w:r>
      <w:r w:rsidRPr="004829A5">
        <w:rPr>
          <w:sz w:val="32"/>
          <w:szCs w:val="32"/>
          <w:lang w:val="en-US"/>
        </w:rPr>
        <w:t xml:space="preserve"> </w:t>
      </w:r>
    </w:p>
    <w:p w14:paraId="67937C80" w14:textId="77777777" w:rsidR="0083170E" w:rsidRPr="004829A5" w:rsidRDefault="0083170E" w:rsidP="00625C7B">
      <w:pPr>
        <w:pStyle w:val="qowt-stl-m2846478533982981635msobodytext"/>
        <w:shd w:val="clear" w:color="auto" w:fill="FFFFFF"/>
        <w:spacing w:before="0" w:beforeAutospacing="0" w:after="0" w:afterAutospacing="0" w:line="480" w:lineRule="auto"/>
        <w:ind w:right="442"/>
        <w:rPr>
          <w:sz w:val="32"/>
          <w:szCs w:val="32"/>
          <w:lang w:val="en-US"/>
        </w:rPr>
      </w:pPr>
      <w:r w:rsidRPr="004829A5">
        <w:rPr>
          <w:shd w:val="clear" w:color="auto" w:fill="FFFFFF"/>
          <w:lang w:val="en-US"/>
        </w:rPr>
        <w:lastRenderedPageBreak/>
        <w:t xml:space="preserve">AND AB ( “systematic review*” OR meta-synthesis OR meta-review OR “synthesis of data" OR "critical analysis of the literature" OR </w:t>
      </w:r>
      <w:proofErr w:type="spellStart"/>
      <w:r w:rsidRPr="004829A5">
        <w:rPr>
          <w:shd w:val="clear" w:color="auto" w:fill="FFFFFF"/>
          <w:lang w:val="en-US"/>
        </w:rPr>
        <w:t>metaanaly</w:t>
      </w:r>
      <w:proofErr w:type="spellEnd"/>
      <w:r w:rsidRPr="004829A5">
        <w:rPr>
          <w:shd w:val="clear" w:color="auto" w:fill="FFFFFF"/>
          <w:lang w:val="en-US"/>
        </w:rPr>
        <w:t>* OR meta-</w:t>
      </w:r>
      <w:proofErr w:type="spellStart"/>
      <w:r w:rsidRPr="004829A5">
        <w:rPr>
          <w:shd w:val="clear" w:color="auto" w:fill="FFFFFF"/>
          <w:lang w:val="en-US"/>
        </w:rPr>
        <w:t>analy</w:t>
      </w:r>
      <w:proofErr w:type="spellEnd"/>
      <w:r w:rsidRPr="004829A5">
        <w:rPr>
          <w:shd w:val="clear" w:color="auto" w:fill="FFFFFF"/>
          <w:lang w:val="en-US"/>
        </w:rPr>
        <w:t xml:space="preserve">* OR "meta </w:t>
      </w:r>
      <w:proofErr w:type="spellStart"/>
      <w:r w:rsidRPr="004829A5">
        <w:rPr>
          <w:shd w:val="clear" w:color="auto" w:fill="FFFFFF"/>
          <w:lang w:val="en-US"/>
        </w:rPr>
        <w:t>analy</w:t>
      </w:r>
      <w:proofErr w:type="spellEnd"/>
      <w:r w:rsidRPr="004829A5">
        <w:rPr>
          <w:shd w:val="clear" w:color="auto" w:fill="FFFFFF"/>
          <w:lang w:val="en-US"/>
        </w:rPr>
        <w:t>*" OR "Retrospective analysis" OR "Qualitative analysis" OR "Quantitative analysis" OR "systematic map*" OR "systematic narrative" OR "systematic overview*" OR "systematic review*" OR "systematic assessment" OR "systematic literature mapping" OR "bibliographic </w:t>
      </w:r>
      <w:r w:rsidRPr="004829A5">
        <w:rPr>
          <w:rStyle w:val="qowt-stl-il"/>
          <w:shd w:val="clear" w:color="auto" w:fill="FFFFFF"/>
          <w:lang w:val="en-US"/>
        </w:rPr>
        <w:t>search</w:t>
      </w:r>
      <w:r w:rsidRPr="004829A5">
        <w:rPr>
          <w:shd w:val="clear" w:color="auto" w:fill="FFFFFF"/>
          <w:lang w:val="en-US"/>
        </w:rPr>
        <w:t>" OR "database </w:t>
      </w:r>
      <w:r w:rsidRPr="004829A5">
        <w:rPr>
          <w:rStyle w:val="qowt-stl-il"/>
          <w:shd w:val="clear" w:color="auto" w:fill="FFFFFF"/>
          <w:lang w:val="en-US"/>
        </w:rPr>
        <w:t>search</w:t>
      </w:r>
      <w:r w:rsidRPr="004829A5">
        <w:rPr>
          <w:shd w:val="clear" w:color="auto" w:fill="FFFFFF"/>
          <w:lang w:val="en-US"/>
        </w:rPr>
        <w:t>" OR "</w:t>
      </w:r>
      <w:r w:rsidRPr="004829A5">
        <w:rPr>
          <w:rStyle w:val="qowt-stl-il"/>
          <w:shd w:val="clear" w:color="auto" w:fill="FFFFFF"/>
          <w:lang w:val="en-US"/>
        </w:rPr>
        <w:t>search</w:t>
      </w:r>
      <w:r w:rsidRPr="004829A5">
        <w:rPr>
          <w:shd w:val="clear" w:color="auto" w:fill="FFFFFF"/>
          <w:lang w:val="en-US"/>
        </w:rPr>
        <w:t> of database*"OR "electronic </w:t>
      </w:r>
      <w:r w:rsidRPr="004829A5">
        <w:rPr>
          <w:rStyle w:val="qowt-stl-il"/>
          <w:shd w:val="clear" w:color="auto" w:fill="FFFFFF"/>
          <w:lang w:val="en-US"/>
        </w:rPr>
        <w:t>search</w:t>
      </w:r>
      <w:r w:rsidRPr="004829A5">
        <w:rPr>
          <w:shd w:val="clear" w:color="auto" w:fill="FFFFFF"/>
          <w:lang w:val="en-US"/>
        </w:rPr>
        <w:t xml:space="preserve">" OR </w:t>
      </w:r>
      <w:proofErr w:type="spellStart"/>
      <w:r w:rsidRPr="004829A5">
        <w:rPr>
          <w:shd w:val="clear" w:color="auto" w:fill="FFFFFF"/>
          <w:lang w:val="en-US"/>
        </w:rPr>
        <w:t>handsearch</w:t>
      </w:r>
      <w:proofErr w:type="spellEnd"/>
      <w:r w:rsidRPr="004829A5">
        <w:rPr>
          <w:shd w:val="clear" w:color="auto" w:fill="FFFFFF"/>
          <w:lang w:val="en-US"/>
        </w:rPr>
        <w:t>* OR "hand </w:t>
      </w:r>
      <w:r w:rsidRPr="004829A5">
        <w:rPr>
          <w:rStyle w:val="qowt-stl-il"/>
          <w:shd w:val="clear" w:color="auto" w:fill="FFFFFF"/>
          <w:lang w:val="en-US"/>
        </w:rPr>
        <w:t>search</w:t>
      </w:r>
      <w:r w:rsidRPr="004829A5">
        <w:rPr>
          <w:shd w:val="clear" w:color="auto" w:fill="FFFFFF"/>
          <w:lang w:val="en-US"/>
        </w:rPr>
        <w:t>*" OR "</w:t>
      </w:r>
      <w:r w:rsidRPr="004829A5">
        <w:rPr>
          <w:rStyle w:val="qowt-stl-il"/>
          <w:shd w:val="clear" w:color="auto" w:fill="FFFFFF"/>
          <w:lang w:val="en-US"/>
        </w:rPr>
        <w:t>search</w:t>
      </w:r>
      <w:r w:rsidRPr="004829A5">
        <w:rPr>
          <w:shd w:val="clear" w:color="auto" w:fill="FFFFFF"/>
          <w:lang w:val="en-US"/>
        </w:rPr>
        <w:t> by hand" OR "keyword </w:t>
      </w:r>
      <w:r w:rsidRPr="004829A5">
        <w:rPr>
          <w:rStyle w:val="qowt-stl-il"/>
          <w:shd w:val="clear" w:color="auto" w:fill="FFFFFF"/>
          <w:lang w:val="en-US"/>
        </w:rPr>
        <w:t>search</w:t>
      </w:r>
      <w:r w:rsidRPr="004829A5">
        <w:rPr>
          <w:shd w:val="clear" w:color="auto" w:fill="FFFFFF"/>
          <w:lang w:val="en-US"/>
        </w:rPr>
        <w:t>" OR "literature </w:t>
      </w:r>
      <w:r w:rsidRPr="004829A5">
        <w:rPr>
          <w:rStyle w:val="qowt-stl-il"/>
          <w:shd w:val="clear" w:color="auto" w:fill="FFFFFF"/>
          <w:lang w:val="en-US"/>
        </w:rPr>
        <w:t>search</w:t>
      </w:r>
      <w:r w:rsidRPr="004829A5">
        <w:rPr>
          <w:shd w:val="clear" w:color="auto" w:fill="FFFFFF"/>
          <w:lang w:val="en-US"/>
        </w:rPr>
        <w:t>" OR "</w:t>
      </w:r>
      <w:r w:rsidRPr="004829A5">
        <w:rPr>
          <w:rStyle w:val="qowt-stl-il"/>
          <w:shd w:val="clear" w:color="auto" w:fill="FFFFFF"/>
          <w:lang w:val="en-US"/>
        </w:rPr>
        <w:t>search</w:t>
      </w:r>
      <w:r w:rsidRPr="004829A5">
        <w:rPr>
          <w:shd w:val="clear" w:color="auto" w:fill="FFFFFF"/>
          <w:lang w:val="en-US"/>
        </w:rPr>
        <w:t> of literature" OR "</w:t>
      </w:r>
      <w:r w:rsidRPr="004829A5">
        <w:rPr>
          <w:rStyle w:val="qowt-stl-il"/>
          <w:shd w:val="clear" w:color="auto" w:fill="FFFFFF"/>
          <w:lang w:val="en-US"/>
        </w:rPr>
        <w:t>search</w:t>
      </w:r>
      <w:r w:rsidRPr="004829A5">
        <w:rPr>
          <w:shd w:val="clear" w:color="auto" w:fill="FFFFFF"/>
          <w:lang w:val="en-US"/>
        </w:rPr>
        <w:t> of the literature" OR "</w:t>
      </w:r>
      <w:r w:rsidRPr="004829A5">
        <w:rPr>
          <w:rStyle w:val="qowt-stl-il"/>
          <w:shd w:val="clear" w:color="auto" w:fill="FFFFFF"/>
          <w:lang w:val="en-US"/>
        </w:rPr>
        <w:t>search</w:t>
      </w:r>
      <w:r w:rsidRPr="004829A5">
        <w:rPr>
          <w:shd w:val="clear" w:color="auto" w:fill="FFFFFF"/>
          <w:lang w:val="en-US"/>
        </w:rPr>
        <w:t> term*" OR "systematic </w:t>
      </w:r>
      <w:r w:rsidRPr="004829A5">
        <w:rPr>
          <w:rStyle w:val="qowt-stl-il"/>
          <w:shd w:val="clear" w:color="auto" w:fill="FFFFFF"/>
          <w:lang w:val="en-US"/>
        </w:rPr>
        <w:t>search</w:t>
      </w:r>
      <w:r w:rsidRPr="004829A5">
        <w:rPr>
          <w:shd w:val="clear" w:color="auto" w:fill="FFFFFF"/>
          <w:lang w:val="en-US"/>
        </w:rPr>
        <w:t>" OR "comprehensive </w:t>
      </w:r>
      <w:r w:rsidRPr="004829A5">
        <w:rPr>
          <w:rStyle w:val="qowt-stl-il"/>
          <w:shd w:val="clear" w:color="auto" w:fill="FFFFFF"/>
          <w:lang w:val="en-US"/>
        </w:rPr>
        <w:t>search</w:t>
      </w:r>
      <w:r w:rsidRPr="004829A5">
        <w:rPr>
          <w:shd w:val="clear" w:color="auto" w:fill="FFFFFF"/>
          <w:lang w:val="en-US"/>
        </w:rPr>
        <w:t>" OR "manual </w:t>
      </w:r>
      <w:r w:rsidRPr="004829A5">
        <w:rPr>
          <w:rStyle w:val="qowt-stl-il"/>
          <w:shd w:val="clear" w:color="auto" w:fill="FFFFFF"/>
          <w:lang w:val="en-US"/>
        </w:rPr>
        <w:t>search</w:t>
      </w:r>
      <w:r w:rsidRPr="004829A5">
        <w:rPr>
          <w:shd w:val="clear" w:color="auto" w:fill="FFFFFF"/>
          <w:lang w:val="en-US"/>
        </w:rPr>
        <w:t>" OR "scoping study" OR "meta-study" OR "literature-based study" OR "studies were identified" OR "compilation of the literature" OR "compilation of studies" OR "inclusion criteria" OR "exclusion criteria" OR meta-regression OR "evidence map*" OR meta-evidence )</w:t>
      </w:r>
      <w:r w:rsidRPr="004829A5">
        <w:rPr>
          <w:sz w:val="32"/>
          <w:szCs w:val="32"/>
          <w:lang w:val="en-US"/>
        </w:rPr>
        <w:t xml:space="preserve"> </w:t>
      </w:r>
    </w:p>
    <w:p w14:paraId="201C15D7" w14:textId="77777777" w:rsidR="0083170E" w:rsidRPr="004829A5" w:rsidRDefault="0083170E" w:rsidP="00EE39AD">
      <w:pPr>
        <w:rPr>
          <w:rFonts w:ascii="Times New Roman" w:hAnsi="Times New Roman" w:cs="Times New Roman"/>
          <w:b/>
          <w:bCs/>
          <w:color w:val="auto"/>
          <w:sz w:val="24"/>
          <w:szCs w:val="24"/>
        </w:rPr>
      </w:pPr>
    </w:p>
    <w:p w14:paraId="36AA4354" w14:textId="56E0AF75" w:rsidR="00EE39AD" w:rsidRPr="004829A5" w:rsidRDefault="00EE39AD" w:rsidP="00D94E89">
      <w:pPr>
        <w:spacing w:line="480" w:lineRule="auto"/>
        <w:jc w:val="center"/>
        <w:rPr>
          <w:rFonts w:ascii="Times New Roman" w:hAnsi="Times New Roman" w:cs="Times New Roman"/>
          <w:b/>
          <w:bCs/>
          <w:color w:val="auto"/>
          <w:sz w:val="24"/>
          <w:szCs w:val="24"/>
        </w:rPr>
      </w:pPr>
      <w:r w:rsidRPr="004829A5">
        <w:rPr>
          <w:rStyle w:val="qowt-font2-timesnewroman"/>
          <w:rFonts w:ascii="Times New Roman" w:hAnsi="Times New Roman" w:cs="Times New Roman"/>
          <w:b/>
          <w:bCs/>
          <w:color w:val="auto"/>
          <w:sz w:val="24"/>
          <w:szCs w:val="24"/>
        </w:rPr>
        <w:t xml:space="preserve">Additional </w:t>
      </w:r>
      <w:r w:rsidR="00625C7B" w:rsidRPr="004829A5">
        <w:rPr>
          <w:rStyle w:val="qowt-font2-timesnewroman"/>
          <w:rFonts w:ascii="Times New Roman" w:hAnsi="Times New Roman" w:cs="Times New Roman"/>
          <w:b/>
          <w:bCs/>
          <w:color w:val="auto"/>
          <w:sz w:val="24"/>
          <w:szCs w:val="24"/>
        </w:rPr>
        <w:t>I</w:t>
      </w:r>
      <w:r w:rsidRPr="004829A5">
        <w:rPr>
          <w:rStyle w:val="qowt-font2-timesnewroman"/>
          <w:rFonts w:ascii="Times New Roman" w:hAnsi="Times New Roman" w:cs="Times New Roman"/>
          <w:b/>
          <w:bCs/>
          <w:color w:val="auto"/>
          <w:sz w:val="24"/>
          <w:szCs w:val="24"/>
        </w:rPr>
        <w:t xml:space="preserve">nformation </w:t>
      </w:r>
      <w:r w:rsidR="00625C7B" w:rsidRPr="004829A5">
        <w:rPr>
          <w:rStyle w:val="qowt-font2-timesnewroman"/>
          <w:rFonts w:ascii="Times New Roman" w:hAnsi="Times New Roman" w:cs="Times New Roman"/>
          <w:b/>
          <w:bCs/>
          <w:color w:val="auto"/>
          <w:sz w:val="24"/>
          <w:szCs w:val="24"/>
        </w:rPr>
        <w:t>A</w:t>
      </w:r>
      <w:r w:rsidRPr="004829A5">
        <w:rPr>
          <w:rStyle w:val="qowt-font2-timesnewroman"/>
          <w:rFonts w:ascii="Times New Roman" w:hAnsi="Times New Roman" w:cs="Times New Roman"/>
          <w:b/>
          <w:bCs/>
          <w:color w:val="auto"/>
          <w:sz w:val="24"/>
          <w:szCs w:val="24"/>
        </w:rPr>
        <w:t xml:space="preserve">bout </w:t>
      </w:r>
      <w:r w:rsidR="00625C7B" w:rsidRPr="004829A5">
        <w:rPr>
          <w:rStyle w:val="qowt-font2-timesnewroman"/>
          <w:rFonts w:ascii="Times New Roman" w:hAnsi="Times New Roman" w:cs="Times New Roman"/>
          <w:b/>
          <w:bCs/>
          <w:color w:val="auto"/>
          <w:sz w:val="24"/>
          <w:szCs w:val="24"/>
        </w:rPr>
        <w:t>M</w:t>
      </w:r>
      <w:r w:rsidRPr="004829A5">
        <w:rPr>
          <w:rStyle w:val="qowt-font2-timesnewroman"/>
          <w:rFonts w:ascii="Times New Roman" w:hAnsi="Times New Roman" w:cs="Times New Roman"/>
          <w:b/>
          <w:bCs/>
          <w:color w:val="auto"/>
          <w:sz w:val="24"/>
          <w:szCs w:val="24"/>
        </w:rPr>
        <w:t>ethod</w:t>
      </w:r>
    </w:p>
    <w:p w14:paraId="0EDAFB31" w14:textId="19E3F998" w:rsidR="00B0553E" w:rsidRPr="004829A5" w:rsidRDefault="0083170E" w:rsidP="00EE39AD">
      <w:pPr>
        <w:spacing w:line="480" w:lineRule="auto"/>
        <w:ind w:left="0"/>
        <w:rPr>
          <w:rFonts w:ascii="Times New Roman" w:hAnsi="Times New Roman" w:cs="Times New Roman"/>
          <w:b/>
          <w:bCs/>
          <w:color w:val="auto"/>
          <w:sz w:val="24"/>
          <w:szCs w:val="24"/>
        </w:rPr>
      </w:pPr>
      <w:r w:rsidRPr="004829A5">
        <w:rPr>
          <w:rFonts w:ascii="Times New Roman" w:hAnsi="Times New Roman" w:cs="Times New Roman"/>
          <w:b/>
          <w:bCs/>
          <w:color w:val="auto"/>
          <w:sz w:val="24"/>
          <w:szCs w:val="24"/>
        </w:rPr>
        <w:t>Grey Literature Searches</w:t>
      </w:r>
    </w:p>
    <w:p w14:paraId="06639DFB" w14:textId="2577FB1C" w:rsidR="0083170E" w:rsidRPr="004829A5" w:rsidRDefault="0083170E" w:rsidP="00EE39AD">
      <w:pPr>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The research team (HZ, AB, ZS, EK, MS, AS, FG, PC, TP, AK, BTN) conducted additional searches of the “grey literature” sources via Google Scholar tools. The results of these preliminary searches suggested that the reviews found in the “grey literature” (e.g., identified by Google searches but not published in any peer-review journals,) did not meet </w:t>
      </w:r>
      <w:r w:rsidR="00F05F76" w:rsidRPr="004829A5">
        <w:rPr>
          <w:rFonts w:ascii="Times New Roman" w:eastAsia="Times New Roman" w:hAnsi="Times New Roman" w:cs="Times New Roman"/>
          <w:color w:val="auto"/>
          <w:sz w:val="24"/>
          <w:szCs w:val="24"/>
        </w:rPr>
        <w:t xml:space="preserve">the </w:t>
      </w:r>
      <w:r w:rsidRPr="004829A5">
        <w:rPr>
          <w:rFonts w:ascii="Times New Roman" w:eastAsia="Times New Roman" w:hAnsi="Times New Roman" w:cs="Times New Roman"/>
          <w:color w:val="auto"/>
          <w:sz w:val="24"/>
          <w:szCs w:val="24"/>
        </w:rPr>
        <w:t>criteria of systematic, realist, or scoping reviews. In particular, the reviews identified in the “grey literature” sources did not report methods of data search, and/or inclusion criteria, and/or</w:t>
      </w:r>
      <w:r w:rsidR="00EE39AD"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color w:val="auto"/>
          <w:sz w:val="24"/>
          <w:szCs w:val="24"/>
        </w:rPr>
        <w:t>approaches to data coding. Therefore, these reviews did not provide information allowing to evaluate the possibility of a systematic bias in reported results. Consequently, the research team decided not to conduct systematic searches of the “grey literature” sources.</w:t>
      </w:r>
    </w:p>
    <w:p w14:paraId="36B05192" w14:textId="060CC74E" w:rsidR="0083170E" w:rsidRPr="004829A5" w:rsidRDefault="0083170E" w:rsidP="00EE39AD">
      <w:pPr>
        <w:rPr>
          <w:color w:val="auto"/>
        </w:rPr>
      </w:pPr>
    </w:p>
    <w:p w14:paraId="0B222A99" w14:textId="1EACDC2C" w:rsidR="00B0553E" w:rsidRPr="004829A5" w:rsidRDefault="00B0553E" w:rsidP="00EE39AD">
      <w:pPr>
        <w:spacing w:line="480" w:lineRule="auto"/>
        <w:ind w:left="0"/>
        <w:rPr>
          <w:rFonts w:ascii="Times New Roman" w:eastAsia="Times New Roman" w:hAnsi="Times New Roman" w:cs="Times New Roman"/>
          <w:b/>
          <w:bCs/>
          <w:color w:val="auto"/>
          <w:sz w:val="24"/>
          <w:szCs w:val="24"/>
          <w:highlight w:val="white"/>
        </w:rPr>
      </w:pPr>
      <w:r w:rsidRPr="004829A5">
        <w:rPr>
          <w:rFonts w:ascii="Times New Roman" w:eastAsia="Times New Roman" w:hAnsi="Times New Roman" w:cs="Times New Roman"/>
          <w:b/>
          <w:bCs/>
          <w:color w:val="auto"/>
          <w:sz w:val="24"/>
          <w:szCs w:val="24"/>
          <w:highlight w:val="white"/>
        </w:rPr>
        <w:lastRenderedPageBreak/>
        <w:t>Coding Process</w:t>
      </w:r>
    </w:p>
    <w:p w14:paraId="25361668" w14:textId="6CFB98CF" w:rsidR="0083170E" w:rsidRPr="004829A5" w:rsidRDefault="0083170E" w:rsidP="00EE39AD">
      <w:pPr>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highlight w:val="white"/>
        </w:rPr>
        <w:t xml:space="preserve">The coding process involved categorizing the </w:t>
      </w:r>
      <w:r w:rsidRPr="004829A5">
        <w:rPr>
          <w:rFonts w:ascii="Times New Roman" w:eastAsia="Times New Roman" w:hAnsi="Times New Roman" w:cs="Times New Roman"/>
          <w:color w:val="auto"/>
          <w:sz w:val="24"/>
          <w:szCs w:val="24"/>
        </w:rPr>
        <w:t>reviews on the following criteria:</w:t>
      </w:r>
    </w:p>
    <w:p w14:paraId="2706689A" w14:textId="688740F9" w:rsidR="0083170E" w:rsidRPr="004829A5" w:rsidRDefault="0083170E" w:rsidP="00EE39AD">
      <w:pPr>
        <w:numPr>
          <w:ilvl w:val="0"/>
          <w:numId w:val="31"/>
        </w:numPr>
        <w:spacing w:line="480" w:lineRule="auto"/>
        <w:ind w:left="0" w:firstLine="720"/>
        <w:rPr>
          <w:rFonts w:ascii="Times New Roman" w:eastAsiaTheme="minorEastAsia" w:hAnsi="Times New Roman" w:cs="Times New Roman"/>
          <w:color w:val="auto"/>
          <w:sz w:val="24"/>
          <w:szCs w:val="24"/>
        </w:rPr>
      </w:pPr>
      <w:bookmarkStart w:id="1" w:name="_heading=h.3dy6vkm" w:colFirst="0" w:colLast="0"/>
      <w:bookmarkEnd w:id="1"/>
      <w:r w:rsidRPr="004829A5">
        <w:rPr>
          <w:rFonts w:ascii="Times New Roman" w:eastAsiaTheme="minorEastAsia" w:hAnsi="Times New Roman" w:cs="Times New Roman"/>
          <w:i/>
          <w:color w:val="auto"/>
          <w:sz w:val="24"/>
          <w:szCs w:val="24"/>
        </w:rPr>
        <w:t>Alternative protein food (APF</w:t>
      </w:r>
      <w:r w:rsidRPr="004829A5">
        <w:rPr>
          <w:rFonts w:ascii="Times New Roman" w:eastAsiaTheme="minorEastAsia" w:hAnsi="Times New Roman" w:cs="Times New Roman"/>
          <w:color w:val="auto"/>
          <w:sz w:val="24"/>
          <w:szCs w:val="24"/>
        </w:rPr>
        <w:t xml:space="preserve">), if the food products include proteins obtained from land plants, or sea plants such as algae, fungi, and insects, as these sources have been shown to have low environmental impact (Grossman &amp; Weiss, 2021). Consistently with this definition, cultured meat was excluded because the technology is still in its early stages and its potential environmental benefits have been questioned (Grossman &amp; Weiss, 2021). For the purpose of this review 4 broader groups of APF were distinguished, guided by results presented in included reviews: (i) plant-based APF, including microalgae-based APF; (ii) insect-based APF; (iii) mushroom/fungi-based APF; (iv) </w:t>
      </w:r>
      <w:r w:rsidR="00F05F76" w:rsidRPr="004829A5">
        <w:rPr>
          <w:rFonts w:ascii="Times New Roman" w:hAnsi="Times New Roman" w:cs="Times New Roman"/>
          <w:color w:val="auto"/>
          <w:sz w:val="24"/>
          <w:szCs w:val="24"/>
        </w:rPr>
        <w:t>APF</w:t>
      </w:r>
      <w:r w:rsidRPr="004829A5">
        <w:rPr>
          <w:rFonts w:ascii="Times New Roman" w:hAnsi="Times New Roman" w:cs="Times New Roman"/>
          <w:color w:val="auto"/>
          <w:sz w:val="24"/>
          <w:szCs w:val="24"/>
        </w:rPr>
        <w:t xml:space="preserve"> from various sources</w:t>
      </w:r>
      <w:r w:rsidRPr="004829A5">
        <w:rPr>
          <w:rFonts w:ascii="Times New Roman" w:eastAsiaTheme="minorEastAsia" w:hAnsi="Times New Roman" w:cs="Times New Roman"/>
          <w:color w:val="auto"/>
          <w:sz w:val="24"/>
          <w:szCs w:val="24"/>
        </w:rPr>
        <w:t xml:space="preserve">, including plant-, insect, -fungi/mushroom-based proteins. </w:t>
      </w:r>
      <w:bookmarkStart w:id="2" w:name="_Hlk144385418"/>
      <w:r w:rsidRPr="004829A5">
        <w:rPr>
          <w:rFonts w:ascii="Times New Roman" w:eastAsiaTheme="minorEastAsia" w:hAnsi="Times New Roman" w:cs="Times New Roman"/>
          <w:color w:val="auto"/>
          <w:sz w:val="24"/>
          <w:szCs w:val="24"/>
        </w:rPr>
        <w:t>The final category refers to cases where the results presented in the included reviews pertained to various alternative proteins, without specifying if the respective results are related, e.g., to plant-based APF only</w:t>
      </w:r>
      <w:bookmarkEnd w:id="2"/>
      <w:r w:rsidRPr="004829A5">
        <w:rPr>
          <w:rFonts w:ascii="Times New Roman" w:eastAsiaTheme="minorEastAsia" w:hAnsi="Times New Roman" w:cs="Times New Roman"/>
          <w:color w:val="auto"/>
          <w:sz w:val="24"/>
          <w:szCs w:val="24"/>
        </w:rPr>
        <w:t>.</w:t>
      </w:r>
    </w:p>
    <w:p w14:paraId="3BE7A719" w14:textId="77777777" w:rsidR="0083170E" w:rsidRPr="004829A5" w:rsidRDefault="0083170E" w:rsidP="00EE39AD">
      <w:pPr>
        <w:numPr>
          <w:ilvl w:val="0"/>
          <w:numId w:val="31"/>
        </w:numPr>
        <w:autoSpaceDE w:val="0"/>
        <w:autoSpaceDN w:val="0"/>
        <w:adjustRightInd w:val="0"/>
        <w:spacing w:line="480" w:lineRule="auto"/>
        <w:ind w:left="0" w:firstLine="720"/>
        <w:rPr>
          <w:rFonts w:ascii="Times New Roman" w:eastAsiaTheme="minorEastAsia" w:hAnsi="Times New Roman" w:cs="Times New Roman"/>
          <w:color w:val="auto"/>
          <w:sz w:val="24"/>
          <w:szCs w:val="24"/>
        </w:rPr>
      </w:pPr>
      <w:bookmarkStart w:id="3" w:name="_heading=h.1t3h5sf" w:colFirst="0" w:colLast="0"/>
      <w:bookmarkEnd w:id="3"/>
      <w:r w:rsidRPr="004829A5">
        <w:rPr>
          <w:rFonts w:ascii="Times New Roman" w:eastAsiaTheme="minorEastAsia" w:hAnsi="Times New Roman" w:cs="Times New Roman"/>
          <w:color w:val="auto"/>
          <w:sz w:val="24"/>
          <w:szCs w:val="24"/>
        </w:rPr>
        <w:t xml:space="preserve">The </w:t>
      </w:r>
      <w:r w:rsidRPr="004829A5">
        <w:rPr>
          <w:rFonts w:ascii="Times New Roman" w:eastAsiaTheme="minorEastAsia" w:hAnsi="Times New Roman" w:cs="Times New Roman"/>
          <w:i/>
          <w:color w:val="auto"/>
          <w:sz w:val="24"/>
          <w:szCs w:val="24"/>
        </w:rPr>
        <w:t>APF choice indicators</w:t>
      </w:r>
      <w:r w:rsidRPr="004829A5">
        <w:rPr>
          <w:rFonts w:ascii="Times New Roman" w:eastAsiaTheme="minorEastAsia" w:hAnsi="Times New Roman" w:cs="Times New Roman"/>
          <w:color w:val="auto"/>
          <w:sz w:val="24"/>
          <w:szCs w:val="24"/>
        </w:rPr>
        <w:t xml:space="preserve"> included behavior indicators and its most proximal determinant, intention (Theory of Planned Behavior [Ajzen &amp; Schmid, 2020] or Social Cognitive Theory [Luszczynska &amp; Schwarzer, 2020]). Specifically, we included (1) intention to buy, intention to eat, and intention to pay; (2) self-reported behavior, including self-reported intake, or “adoption” defined as an incorporation of APF into own diet (Rogers, 2003); (3) the actual performance of a behavior (e.g., the number of times the product was actually purchased); (4) </w:t>
      </w:r>
      <w:bookmarkStart w:id="4" w:name="_Hlk144385829"/>
      <w:r w:rsidRPr="004829A5">
        <w:rPr>
          <w:rFonts w:ascii="Times New Roman" w:eastAsiaTheme="minorEastAsia" w:hAnsi="Times New Roman" w:cs="Times New Roman"/>
          <w:color w:val="auto"/>
          <w:sz w:val="24"/>
          <w:szCs w:val="24"/>
        </w:rPr>
        <w:t>a broader category of “acceptance” of APF (cf. Onwezen et al. 2021), used in reviews summarizing purchase-related or intake-related behaviors and intentions, without specifying which is actually considered in a specific study.</w:t>
      </w:r>
      <w:bookmarkEnd w:id="4"/>
    </w:p>
    <w:p w14:paraId="10059A20" w14:textId="487F5390" w:rsidR="0083170E" w:rsidRPr="004829A5" w:rsidRDefault="0083170E" w:rsidP="00EE39AD">
      <w:pPr>
        <w:numPr>
          <w:ilvl w:val="0"/>
          <w:numId w:val="31"/>
        </w:numPr>
        <w:autoSpaceDE w:val="0"/>
        <w:autoSpaceDN w:val="0"/>
        <w:adjustRightInd w:val="0"/>
        <w:spacing w:line="480" w:lineRule="auto"/>
        <w:ind w:left="0" w:firstLine="720"/>
        <w:rPr>
          <w:rFonts w:ascii="Times New Roman" w:eastAsiaTheme="minorEastAsia" w:hAnsi="Times New Roman" w:cs="Times New Roman"/>
          <w:color w:val="auto"/>
          <w:sz w:val="24"/>
          <w:szCs w:val="24"/>
        </w:rPr>
      </w:pPr>
      <w:r w:rsidRPr="004829A5">
        <w:rPr>
          <w:rFonts w:ascii="Times New Roman" w:eastAsiaTheme="minorEastAsia" w:hAnsi="Times New Roman" w:cs="Times New Roman"/>
          <w:color w:val="auto"/>
          <w:sz w:val="24"/>
          <w:szCs w:val="24"/>
        </w:rPr>
        <w:t xml:space="preserve">The </w:t>
      </w:r>
      <w:r w:rsidRPr="004829A5">
        <w:rPr>
          <w:rFonts w:ascii="Times New Roman" w:eastAsiaTheme="minorEastAsia" w:hAnsi="Times New Roman" w:cs="Times New Roman"/>
          <w:i/>
          <w:color w:val="auto"/>
          <w:sz w:val="24"/>
          <w:szCs w:val="24"/>
        </w:rPr>
        <w:t>individual-level determinants</w:t>
      </w:r>
      <w:r w:rsidRPr="004829A5">
        <w:rPr>
          <w:rFonts w:ascii="Times New Roman" w:eastAsiaTheme="minorEastAsia" w:hAnsi="Times New Roman" w:cs="Times New Roman"/>
          <w:color w:val="auto"/>
          <w:sz w:val="24"/>
          <w:szCs w:val="24"/>
        </w:rPr>
        <w:t>, included in the COM-B model (broad categories of capabilities, perceived opportunities, and motivations) or the sociodemographic individual-level characteristics, such as</w:t>
      </w:r>
      <w:r w:rsidRPr="004829A5">
        <w:rPr>
          <w:rFonts w:ascii="Times New Roman" w:hAnsi="Times New Roman" w:cs="Times New Roman"/>
          <w:color w:val="auto"/>
          <w:sz w:val="24"/>
          <w:szCs w:val="24"/>
        </w:rPr>
        <w:t>:</w:t>
      </w:r>
      <w:r w:rsidRPr="004829A5">
        <w:rPr>
          <w:rFonts w:ascii="Times New Roman" w:eastAsiaTheme="minorEastAsia" w:hAnsi="Times New Roman" w:cs="Times New Roman"/>
          <w:color w:val="auto"/>
          <w:sz w:val="24"/>
          <w:szCs w:val="24"/>
        </w:rPr>
        <w:t xml:space="preserve"> age, gender, income, and education (cf. CICI </w:t>
      </w:r>
      <w:r w:rsidRPr="004829A5">
        <w:rPr>
          <w:rFonts w:ascii="Times New Roman" w:eastAsiaTheme="minorEastAsia" w:hAnsi="Times New Roman" w:cs="Times New Roman"/>
          <w:color w:val="auto"/>
          <w:sz w:val="24"/>
          <w:szCs w:val="24"/>
        </w:rPr>
        <w:lastRenderedPageBreak/>
        <w:t>framework). When a determinant was named using a very broad term, e.g., an “attitude” and a specific definition or a reference to a definition was not provided, the findings were excluded due to the ambiguity of the construct. The examples are: “attitudes” or “persuasion drivers.” Other health behaviors, such as alcohol intake, exercise, but also vegetarian or vegan diet were excluded as the determinants, as behaviors or behavioral patterns are the outcomes of the determinants in the COM-B model. Actual environmental determinants (e.g., the ways the product is exposed in the supermarkets) or product-related determinants (e.g., its sensory characteristics, price) were excluded and are beyond the scope of this review.</w:t>
      </w:r>
    </w:p>
    <w:p w14:paraId="41F668C9" w14:textId="161BA348" w:rsidR="0083170E" w:rsidRPr="004829A5" w:rsidRDefault="0083170E" w:rsidP="00EE39AD">
      <w:pPr>
        <w:autoSpaceDE w:val="0"/>
        <w:autoSpaceDN w:val="0"/>
        <w:adjustRightInd w:val="0"/>
        <w:spacing w:line="480" w:lineRule="auto"/>
        <w:ind w:left="0"/>
        <w:rPr>
          <w:rFonts w:ascii="Times New Roman" w:eastAsiaTheme="minorEastAsia" w:hAnsi="Times New Roman" w:cs="Times New Roman"/>
          <w:b/>
          <w:bCs/>
          <w:color w:val="auto"/>
          <w:sz w:val="24"/>
          <w:szCs w:val="24"/>
        </w:rPr>
      </w:pPr>
      <w:r w:rsidRPr="004829A5">
        <w:rPr>
          <w:rFonts w:ascii="Times New Roman" w:eastAsiaTheme="minorEastAsia" w:hAnsi="Times New Roman" w:cs="Times New Roman"/>
          <w:b/>
          <w:bCs/>
          <w:color w:val="auto"/>
          <w:sz w:val="24"/>
          <w:szCs w:val="24"/>
        </w:rPr>
        <w:t xml:space="preserve">Data </w:t>
      </w:r>
      <w:r w:rsidR="00B0553E" w:rsidRPr="004829A5">
        <w:rPr>
          <w:rFonts w:ascii="Times New Roman" w:eastAsiaTheme="minorEastAsia" w:hAnsi="Times New Roman" w:cs="Times New Roman"/>
          <w:b/>
          <w:bCs/>
          <w:color w:val="auto"/>
          <w:sz w:val="24"/>
          <w:szCs w:val="24"/>
        </w:rPr>
        <w:t>A</w:t>
      </w:r>
      <w:r w:rsidRPr="004829A5">
        <w:rPr>
          <w:rFonts w:ascii="Times New Roman" w:eastAsiaTheme="minorEastAsia" w:hAnsi="Times New Roman" w:cs="Times New Roman"/>
          <w:b/>
          <w:bCs/>
          <w:color w:val="auto"/>
          <w:sz w:val="24"/>
          <w:szCs w:val="24"/>
        </w:rPr>
        <w:t xml:space="preserve">nalysis and </w:t>
      </w:r>
      <w:r w:rsidR="00B0553E" w:rsidRPr="004829A5">
        <w:rPr>
          <w:rFonts w:ascii="Times New Roman" w:eastAsiaTheme="minorEastAsia" w:hAnsi="Times New Roman" w:cs="Times New Roman"/>
          <w:b/>
          <w:bCs/>
          <w:color w:val="auto"/>
          <w:sz w:val="24"/>
          <w:szCs w:val="24"/>
        </w:rPr>
        <w:t>S</w:t>
      </w:r>
      <w:r w:rsidRPr="004829A5">
        <w:rPr>
          <w:rFonts w:ascii="Times New Roman" w:eastAsiaTheme="minorEastAsia" w:hAnsi="Times New Roman" w:cs="Times New Roman"/>
          <w:b/>
          <w:bCs/>
          <w:color w:val="auto"/>
          <w:sz w:val="24"/>
          <w:szCs w:val="24"/>
        </w:rPr>
        <w:t>ynthesis</w:t>
      </w:r>
    </w:p>
    <w:p w14:paraId="251EB279" w14:textId="27D48B1E" w:rsidR="0083170E" w:rsidRPr="004829A5" w:rsidRDefault="0083170E" w:rsidP="00EE39AD">
      <w:pPr>
        <w:autoSpaceDE w:val="0"/>
        <w:autoSpaceDN w:val="0"/>
        <w:adjustRightInd w:val="0"/>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To analy</w:t>
      </w:r>
      <w:r w:rsidR="00F05F76" w:rsidRPr="004829A5">
        <w:rPr>
          <w:rFonts w:ascii="Times New Roman" w:eastAsia="Times New Roman" w:hAnsi="Times New Roman" w:cs="Times New Roman"/>
          <w:color w:val="auto"/>
          <w:sz w:val="24"/>
          <w:szCs w:val="24"/>
        </w:rPr>
        <w:t>z</w:t>
      </w:r>
      <w:r w:rsidRPr="004829A5">
        <w:rPr>
          <w:rFonts w:ascii="Times New Roman" w:eastAsia="Times New Roman" w:hAnsi="Times New Roman" w:cs="Times New Roman"/>
          <w:color w:val="auto"/>
          <w:sz w:val="24"/>
          <w:szCs w:val="24"/>
        </w:rPr>
        <w:t xml:space="preserve">e collected data we used a narrative synthesis method, based on the Economic and Social Research Council guidance </w:t>
      </w:r>
      <w:bookmarkStart w:id="5" w:name="_Hlk144305411"/>
      <w:r w:rsidRPr="004829A5">
        <w:rPr>
          <w:rFonts w:ascii="Times New Roman" w:eastAsia="Times New Roman" w:hAnsi="Times New Roman" w:cs="Times New Roman"/>
          <w:color w:val="auto"/>
          <w:sz w:val="24"/>
          <w:szCs w:val="24"/>
        </w:rPr>
        <w:t xml:space="preserve">(Campbell et al., 2019; </w:t>
      </w:r>
      <w:proofErr w:type="spellStart"/>
      <w:r w:rsidRPr="004829A5">
        <w:rPr>
          <w:rFonts w:ascii="Times New Roman" w:eastAsia="Times New Roman" w:hAnsi="Times New Roman" w:cs="Times New Roman"/>
          <w:color w:val="auto"/>
          <w:sz w:val="24"/>
          <w:szCs w:val="24"/>
        </w:rPr>
        <w:t>Popay</w:t>
      </w:r>
      <w:proofErr w:type="spellEnd"/>
      <w:r w:rsidRPr="004829A5">
        <w:rPr>
          <w:rFonts w:ascii="Times New Roman" w:eastAsia="Times New Roman" w:hAnsi="Times New Roman" w:cs="Times New Roman"/>
          <w:color w:val="auto"/>
          <w:sz w:val="24"/>
          <w:szCs w:val="24"/>
        </w:rPr>
        <w:t xml:space="preserve"> et al., 2006</w:t>
      </w:r>
      <w:bookmarkEnd w:id="5"/>
      <w:r w:rsidRPr="004829A5">
        <w:rPr>
          <w:rFonts w:ascii="Times New Roman" w:eastAsia="Times New Roman" w:hAnsi="Times New Roman" w:cs="Times New Roman"/>
          <w:color w:val="auto"/>
          <w:sz w:val="24"/>
          <w:szCs w:val="24"/>
        </w:rPr>
        <w:t xml:space="preserve">). First, a narrative synthesis uses a theoretical model to provide the underpinnings for the analyzed patterns of associations (Campbell et al., 2019; </w:t>
      </w:r>
      <w:proofErr w:type="spellStart"/>
      <w:r w:rsidRPr="004829A5">
        <w:rPr>
          <w:rFonts w:ascii="Times New Roman" w:eastAsia="Times New Roman" w:hAnsi="Times New Roman" w:cs="Times New Roman"/>
          <w:color w:val="auto"/>
          <w:sz w:val="24"/>
          <w:szCs w:val="24"/>
        </w:rPr>
        <w:t>Popay</w:t>
      </w:r>
      <w:proofErr w:type="spellEnd"/>
      <w:r w:rsidRPr="004829A5">
        <w:rPr>
          <w:rFonts w:ascii="Times New Roman" w:eastAsia="Times New Roman" w:hAnsi="Times New Roman" w:cs="Times New Roman"/>
          <w:color w:val="auto"/>
          <w:sz w:val="24"/>
          <w:szCs w:val="24"/>
        </w:rPr>
        <w:t xml:space="preserve"> et al., 2006). This review used the COM-B model and CICI framework (</w:t>
      </w:r>
      <w:proofErr w:type="spellStart"/>
      <w:r w:rsidRPr="004829A5">
        <w:rPr>
          <w:rFonts w:ascii="Times New Roman" w:eastAsia="Times New Roman" w:hAnsi="Times New Roman" w:cs="Times New Roman"/>
          <w:color w:val="auto"/>
          <w:sz w:val="24"/>
          <w:szCs w:val="24"/>
        </w:rPr>
        <w:t>Pfadenhauer</w:t>
      </w:r>
      <w:proofErr w:type="spellEnd"/>
      <w:r w:rsidRPr="004829A5">
        <w:rPr>
          <w:rFonts w:ascii="Times New Roman" w:eastAsia="Times New Roman" w:hAnsi="Times New Roman" w:cs="Times New Roman"/>
          <w:color w:val="auto"/>
          <w:sz w:val="24"/>
          <w:szCs w:val="24"/>
        </w:rPr>
        <w:t xml:space="preserve"> et al., 2019) as the theoretical underpinnings. Second, the preliminary synthesis should be provided, including an initial description of the results of included studies (e.g., their textual description, and characteristics of included reviews. In the present meta-review, we coded included studies along several categories (e.g., type of APF, the breadth of the determinants included) and provided a description of initial results. The third step of the narrative synthesis accounts for exploring the relationships in the data to identify patterns of associations and explain differences in association directions. Fourth, the narrative synthesis should account for an assessment of the robustness of the obtained results, for example using the quality assessment tools that address the respective risk of bias. </w:t>
      </w:r>
      <w:bookmarkStart w:id="6" w:name="_Hlk144387349"/>
      <w:r w:rsidRPr="004829A5">
        <w:rPr>
          <w:rFonts w:ascii="Times New Roman" w:eastAsia="Times New Roman" w:hAnsi="Times New Roman" w:cs="Times New Roman"/>
          <w:color w:val="auto"/>
          <w:sz w:val="24"/>
          <w:szCs w:val="24"/>
        </w:rPr>
        <w:t xml:space="preserve">This meta-review addressed the heterogeneity of included reviews in reference to the quality of included papers. </w:t>
      </w:r>
    </w:p>
    <w:bookmarkEnd w:id="6"/>
    <w:p w14:paraId="25B1A26D" w14:textId="77777777" w:rsidR="0083170E" w:rsidRPr="004829A5" w:rsidRDefault="0083170E" w:rsidP="00EE39AD">
      <w:pPr>
        <w:autoSpaceDE w:val="0"/>
        <w:autoSpaceDN w:val="0"/>
        <w:adjustRightInd w:val="0"/>
        <w:spacing w:line="480" w:lineRule="auto"/>
        <w:ind w:left="0"/>
        <w:rPr>
          <w:rFonts w:ascii="Times New Roman" w:eastAsiaTheme="minorEastAsia" w:hAnsi="Times New Roman" w:cs="Times New Roman"/>
          <w:color w:val="auto"/>
          <w:sz w:val="24"/>
          <w:szCs w:val="24"/>
        </w:rPr>
      </w:pPr>
    </w:p>
    <w:p w14:paraId="72764015" w14:textId="70E169EF" w:rsidR="00EE39AD" w:rsidRPr="004829A5" w:rsidRDefault="00EE39AD" w:rsidP="00D94E89">
      <w:pPr>
        <w:spacing w:line="480" w:lineRule="auto"/>
        <w:ind w:left="0"/>
        <w:jc w:val="center"/>
        <w:rPr>
          <w:rFonts w:ascii="Times New Roman" w:hAnsi="Times New Roman" w:cs="Times New Roman"/>
          <w:b/>
          <w:bCs/>
          <w:color w:val="auto"/>
          <w:sz w:val="24"/>
          <w:szCs w:val="24"/>
        </w:rPr>
      </w:pPr>
      <w:r w:rsidRPr="004829A5">
        <w:rPr>
          <w:rStyle w:val="qowt-font2-timesnewroman"/>
          <w:rFonts w:ascii="Times New Roman" w:hAnsi="Times New Roman" w:cs="Times New Roman"/>
          <w:b/>
          <w:bCs/>
          <w:color w:val="auto"/>
          <w:sz w:val="24"/>
          <w:szCs w:val="24"/>
        </w:rPr>
        <w:lastRenderedPageBreak/>
        <w:t xml:space="preserve">Additional </w:t>
      </w:r>
      <w:r w:rsidR="00625C7B" w:rsidRPr="004829A5">
        <w:rPr>
          <w:rStyle w:val="qowt-font2-timesnewroman"/>
          <w:rFonts w:ascii="Times New Roman" w:hAnsi="Times New Roman" w:cs="Times New Roman"/>
          <w:b/>
          <w:bCs/>
          <w:color w:val="auto"/>
          <w:sz w:val="24"/>
          <w:szCs w:val="24"/>
        </w:rPr>
        <w:t>I</w:t>
      </w:r>
      <w:r w:rsidRPr="004829A5">
        <w:rPr>
          <w:rStyle w:val="qowt-font2-timesnewroman"/>
          <w:rFonts w:ascii="Times New Roman" w:hAnsi="Times New Roman" w:cs="Times New Roman"/>
          <w:b/>
          <w:bCs/>
          <w:color w:val="auto"/>
          <w:sz w:val="24"/>
          <w:szCs w:val="24"/>
        </w:rPr>
        <w:t xml:space="preserve">nformation </w:t>
      </w:r>
      <w:r w:rsidR="00625C7B" w:rsidRPr="004829A5">
        <w:rPr>
          <w:rStyle w:val="qowt-font2-timesnewroman"/>
          <w:rFonts w:ascii="Times New Roman" w:hAnsi="Times New Roman" w:cs="Times New Roman"/>
          <w:b/>
          <w:bCs/>
          <w:color w:val="auto"/>
          <w:sz w:val="24"/>
          <w:szCs w:val="24"/>
        </w:rPr>
        <w:t>About R</w:t>
      </w:r>
      <w:r w:rsidRPr="004829A5">
        <w:rPr>
          <w:rStyle w:val="qowt-font2-timesnewroman"/>
          <w:rFonts w:ascii="Times New Roman" w:hAnsi="Times New Roman" w:cs="Times New Roman"/>
          <w:b/>
          <w:bCs/>
          <w:color w:val="auto"/>
          <w:sz w:val="24"/>
          <w:szCs w:val="24"/>
        </w:rPr>
        <w:t>esults</w:t>
      </w:r>
    </w:p>
    <w:p w14:paraId="628AB8F7" w14:textId="25B2AFE5" w:rsidR="0083170E" w:rsidRPr="004829A5" w:rsidRDefault="0083170E" w:rsidP="00EE39AD">
      <w:pPr>
        <w:spacing w:line="480" w:lineRule="auto"/>
        <w:ind w:left="0"/>
        <w:rPr>
          <w:rFonts w:ascii="Times New Roman" w:eastAsia="Times New Roman" w:hAnsi="Times New Roman" w:cs="Times New Roman"/>
          <w:b/>
          <w:bCs/>
          <w:color w:val="auto"/>
          <w:sz w:val="24"/>
          <w:szCs w:val="24"/>
        </w:rPr>
      </w:pPr>
      <w:r w:rsidRPr="004829A5">
        <w:rPr>
          <w:rFonts w:ascii="Times New Roman" w:eastAsia="Times New Roman" w:hAnsi="Times New Roman" w:cs="Times New Roman"/>
          <w:b/>
          <w:bCs/>
          <w:color w:val="auto"/>
          <w:sz w:val="24"/>
          <w:szCs w:val="24"/>
        </w:rPr>
        <w:t xml:space="preserve">Types of APF in </w:t>
      </w:r>
      <w:r w:rsidR="00F07FCE" w:rsidRPr="004829A5">
        <w:rPr>
          <w:rFonts w:ascii="Times New Roman" w:eastAsia="Times New Roman" w:hAnsi="Times New Roman" w:cs="Times New Roman"/>
          <w:b/>
          <w:bCs/>
          <w:color w:val="auto"/>
          <w:sz w:val="24"/>
          <w:szCs w:val="24"/>
        </w:rPr>
        <w:t>I</w:t>
      </w:r>
      <w:r w:rsidRPr="004829A5">
        <w:rPr>
          <w:rFonts w:ascii="Times New Roman" w:eastAsia="Times New Roman" w:hAnsi="Times New Roman" w:cs="Times New Roman"/>
          <w:b/>
          <w:bCs/>
          <w:color w:val="auto"/>
          <w:sz w:val="24"/>
          <w:szCs w:val="24"/>
        </w:rPr>
        <w:t xml:space="preserve">ncluded </w:t>
      </w:r>
      <w:r w:rsidR="00F07FCE" w:rsidRPr="004829A5">
        <w:rPr>
          <w:rFonts w:ascii="Times New Roman" w:eastAsia="Times New Roman" w:hAnsi="Times New Roman" w:cs="Times New Roman"/>
          <w:b/>
          <w:bCs/>
          <w:color w:val="auto"/>
          <w:sz w:val="24"/>
          <w:szCs w:val="24"/>
        </w:rPr>
        <w:t>S</w:t>
      </w:r>
      <w:r w:rsidRPr="004829A5">
        <w:rPr>
          <w:rFonts w:ascii="Times New Roman" w:eastAsia="Times New Roman" w:hAnsi="Times New Roman" w:cs="Times New Roman"/>
          <w:b/>
          <w:bCs/>
          <w:color w:val="auto"/>
          <w:sz w:val="24"/>
          <w:szCs w:val="24"/>
        </w:rPr>
        <w:t>tudies</w:t>
      </w:r>
    </w:p>
    <w:p w14:paraId="7EE6BF75" w14:textId="1FE9BEA4" w:rsidR="0083170E" w:rsidRPr="004829A5" w:rsidRDefault="0083170E" w:rsidP="00EE39AD">
      <w:pPr>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Across the reviews,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4 specifically focused on plant-based APF (</w:t>
      </w:r>
      <w:proofErr w:type="spellStart"/>
      <w:r w:rsidRPr="004829A5">
        <w:rPr>
          <w:rFonts w:ascii="Times New Roman" w:eastAsia="Times New Roman" w:hAnsi="Times New Roman" w:cs="Times New Roman"/>
          <w:color w:val="auto"/>
          <w:sz w:val="24"/>
          <w:szCs w:val="24"/>
        </w:rPr>
        <w:t>Baiano</w:t>
      </w:r>
      <w:proofErr w:type="spellEnd"/>
      <w:r w:rsidRPr="004829A5">
        <w:rPr>
          <w:rFonts w:ascii="Times New Roman" w:eastAsia="Times New Roman" w:hAnsi="Times New Roman" w:cs="Times New Roman"/>
          <w:color w:val="auto"/>
          <w:sz w:val="24"/>
          <w:szCs w:val="24"/>
        </w:rPr>
        <w:t xml:space="preserve">, 2020; </w:t>
      </w:r>
      <w:proofErr w:type="spellStart"/>
      <w:r w:rsidRPr="004829A5">
        <w:rPr>
          <w:rFonts w:ascii="Times New Roman" w:eastAsia="Times New Roman" w:hAnsi="Times New Roman" w:cs="Times New Roman"/>
          <w:color w:val="auto"/>
          <w:sz w:val="24"/>
          <w:szCs w:val="24"/>
        </w:rPr>
        <w:t>Graça</w:t>
      </w:r>
      <w:proofErr w:type="spellEnd"/>
      <w:r w:rsidRPr="004829A5">
        <w:rPr>
          <w:rFonts w:ascii="Times New Roman" w:eastAsia="Times New Roman" w:hAnsi="Times New Roman" w:cs="Times New Roman"/>
          <w:color w:val="auto"/>
          <w:sz w:val="24"/>
          <w:szCs w:val="24"/>
        </w:rPr>
        <w:t xml:space="preserve"> et al., 2019; He et al., 2020; </w:t>
      </w:r>
      <w:proofErr w:type="spellStart"/>
      <w:r w:rsidRPr="004829A5">
        <w:rPr>
          <w:rFonts w:ascii="Times New Roman" w:eastAsia="Times New Roman" w:hAnsi="Times New Roman" w:cs="Times New Roman"/>
          <w:color w:val="auto"/>
          <w:sz w:val="24"/>
          <w:szCs w:val="24"/>
        </w:rPr>
        <w:t>Szenderák</w:t>
      </w:r>
      <w:proofErr w:type="spellEnd"/>
      <w:r w:rsidRPr="004829A5">
        <w:rPr>
          <w:rFonts w:ascii="Times New Roman" w:eastAsia="Times New Roman" w:hAnsi="Times New Roman" w:cs="Times New Roman"/>
          <w:color w:val="auto"/>
          <w:sz w:val="24"/>
          <w:szCs w:val="24"/>
        </w:rPr>
        <w:t xml:space="preserve"> et al., 2022),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13 specifically addressed insect-based proteins (</w:t>
      </w:r>
      <w:proofErr w:type="spellStart"/>
      <w:r w:rsidRPr="004829A5">
        <w:rPr>
          <w:rFonts w:ascii="Times New Roman" w:eastAsia="Times New Roman" w:hAnsi="Times New Roman" w:cs="Times New Roman"/>
          <w:color w:val="auto"/>
          <w:sz w:val="24"/>
          <w:szCs w:val="24"/>
        </w:rPr>
        <w:t>Ardoin</w:t>
      </w:r>
      <w:proofErr w:type="spellEnd"/>
      <w:r w:rsidRPr="004829A5">
        <w:rPr>
          <w:rFonts w:ascii="Times New Roman" w:eastAsia="Times New Roman" w:hAnsi="Times New Roman" w:cs="Times New Roman"/>
          <w:color w:val="auto"/>
          <w:sz w:val="24"/>
          <w:szCs w:val="24"/>
        </w:rPr>
        <w:t xml:space="preserve"> &amp; </w:t>
      </w:r>
      <w:proofErr w:type="spellStart"/>
      <w:r w:rsidRPr="004829A5">
        <w:rPr>
          <w:rFonts w:ascii="Times New Roman" w:eastAsia="Times New Roman" w:hAnsi="Times New Roman" w:cs="Times New Roman"/>
          <w:color w:val="auto"/>
          <w:sz w:val="24"/>
          <w:szCs w:val="24"/>
        </w:rPr>
        <w:t>Prinyawiwatkul</w:t>
      </w:r>
      <w:proofErr w:type="spellEnd"/>
      <w:r w:rsidRPr="004829A5">
        <w:rPr>
          <w:rFonts w:ascii="Times New Roman" w:eastAsia="Times New Roman" w:hAnsi="Times New Roman" w:cs="Times New Roman"/>
          <w:color w:val="auto"/>
          <w:sz w:val="24"/>
          <w:szCs w:val="24"/>
        </w:rPr>
        <w:t xml:space="preserve">, 2021; </w:t>
      </w:r>
      <w:proofErr w:type="spellStart"/>
      <w:r w:rsidRPr="004829A5">
        <w:rPr>
          <w:rFonts w:ascii="Times New Roman" w:eastAsia="Times New Roman" w:hAnsi="Times New Roman" w:cs="Times New Roman"/>
          <w:color w:val="auto"/>
          <w:sz w:val="24"/>
          <w:szCs w:val="24"/>
        </w:rPr>
        <w:t>Batat</w:t>
      </w:r>
      <w:proofErr w:type="spellEnd"/>
      <w:r w:rsidRPr="004829A5">
        <w:rPr>
          <w:rFonts w:ascii="Times New Roman" w:eastAsia="Times New Roman" w:hAnsi="Times New Roman" w:cs="Times New Roman"/>
          <w:color w:val="auto"/>
          <w:sz w:val="24"/>
          <w:szCs w:val="24"/>
        </w:rPr>
        <w:t xml:space="preserve"> &amp; Peter, 2020; </w:t>
      </w:r>
      <w:proofErr w:type="spellStart"/>
      <w:r w:rsidRPr="004829A5">
        <w:rPr>
          <w:rFonts w:ascii="Times New Roman" w:eastAsia="Times New Roman" w:hAnsi="Times New Roman" w:cs="Times New Roman"/>
          <w:color w:val="auto"/>
          <w:sz w:val="24"/>
          <w:szCs w:val="24"/>
        </w:rPr>
        <w:t>Dagevos</w:t>
      </w:r>
      <w:proofErr w:type="spellEnd"/>
      <w:r w:rsidRPr="004829A5">
        <w:rPr>
          <w:rFonts w:ascii="Times New Roman" w:eastAsia="Times New Roman" w:hAnsi="Times New Roman" w:cs="Times New Roman"/>
          <w:color w:val="auto"/>
          <w:sz w:val="24"/>
          <w:szCs w:val="24"/>
        </w:rPr>
        <w:t xml:space="preserve">, 2020; </w:t>
      </w:r>
      <w:proofErr w:type="spellStart"/>
      <w:r w:rsidRPr="004829A5">
        <w:rPr>
          <w:rFonts w:ascii="Times New Roman" w:eastAsia="Times New Roman" w:hAnsi="Times New Roman" w:cs="Times New Roman"/>
          <w:color w:val="auto"/>
          <w:sz w:val="24"/>
          <w:szCs w:val="24"/>
        </w:rPr>
        <w:t>Deroy</w:t>
      </w:r>
      <w:proofErr w:type="spellEnd"/>
      <w:r w:rsidRPr="004829A5">
        <w:rPr>
          <w:rFonts w:ascii="Times New Roman" w:eastAsia="Times New Roman" w:hAnsi="Times New Roman" w:cs="Times New Roman"/>
          <w:color w:val="auto"/>
          <w:sz w:val="24"/>
          <w:szCs w:val="24"/>
        </w:rPr>
        <w:t xml:space="preserve"> et al., 2015; </w:t>
      </w:r>
      <w:proofErr w:type="spellStart"/>
      <w:r w:rsidRPr="004829A5">
        <w:rPr>
          <w:rFonts w:ascii="Times New Roman" w:eastAsia="Times New Roman" w:hAnsi="Times New Roman" w:cs="Times New Roman"/>
          <w:color w:val="auto"/>
          <w:sz w:val="24"/>
          <w:szCs w:val="24"/>
        </w:rPr>
        <w:t>Florença</w:t>
      </w:r>
      <w:proofErr w:type="spellEnd"/>
      <w:r w:rsidRPr="004829A5">
        <w:rPr>
          <w:rFonts w:ascii="Times New Roman" w:eastAsia="Times New Roman" w:hAnsi="Times New Roman" w:cs="Times New Roman"/>
          <w:color w:val="auto"/>
          <w:sz w:val="24"/>
          <w:szCs w:val="24"/>
        </w:rPr>
        <w:t xml:space="preserve"> et al., 2022, Kauppi et al., 2019; </w:t>
      </w:r>
      <w:proofErr w:type="spellStart"/>
      <w:r w:rsidRPr="004829A5">
        <w:rPr>
          <w:rFonts w:ascii="Times New Roman" w:eastAsia="Times New Roman" w:hAnsi="Times New Roman" w:cs="Times New Roman"/>
          <w:color w:val="auto"/>
          <w:sz w:val="24"/>
          <w:szCs w:val="24"/>
        </w:rPr>
        <w:t>Kröger</w:t>
      </w:r>
      <w:proofErr w:type="spellEnd"/>
      <w:r w:rsidRPr="004829A5">
        <w:rPr>
          <w:rFonts w:ascii="Times New Roman" w:eastAsia="Times New Roman" w:hAnsi="Times New Roman" w:cs="Times New Roman"/>
          <w:color w:val="auto"/>
          <w:sz w:val="24"/>
          <w:szCs w:val="24"/>
        </w:rPr>
        <w:t xml:space="preserve"> et al., 2022; Mancini et al., 2019; Mina et al., 2023; </w:t>
      </w:r>
      <w:proofErr w:type="spellStart"/>
      <w:r w:rsidRPr="004829A5">
        <w:rPr>
          <w:rFonts w:ascii="Times New Roman" w:eastAsia="Times New Roman" w:hAnsi="Times New Roman" w:cs="Times New Roman"/>
          <w:color w:val="auto"/>
          <w:sz w:val="24"/>
          <w:szCs w:val="24"/>
        </w:rPr>
        <w:t>Toti</w:t>
      </w:r>
      <w:proofErr w:type="spellEnd"/>
      <w:r w:rsidRPr="004829A5">
        <w:rPr>
          <w:rFonts w:ascii="Times New Roman" w:eastAsia="Times New Roman" w:hAnsi="Times New Roman" w:cs="Times New Roman"/>
          <w:color w:val="auto"/>
          <w:sz w:val="24"/>
          <w:szCs w:val="24"/>
        </w:rPr>
        <w:t xml:space="preserve"> et al., 2020; </w:t>
      </w:r>
      <w:proofErr w:type="spellStart"/>
      <w:r w:rsidRPr="004829A5">
        <w:rPr>
          <w:rFonts w:ascii="Times New Roman" w:eastAsia="Times New Roman" w:hAnsi="Times New Roman" w:cs="Times New Roman"/>
          <w:color w:val="auto"/>
          <w:sz w:val="24"/>
          <w:szCs w:val="24"/>
        </w:rPr>
        <w:t>Wassmann</w:t>
      </w:r>
      <w:proofErr w:type="spellEnd"/>
      <w:r w:rsidRPr="004829A5">
        <w:rPr>
          <w:rFonts w:ascii="Times New Roman" w:eastAsia="Times New Roman" w:hAnsi="Times New Roman" w:cs="Times New Roman"/>
          <w:color w:val="auto"/>
          <w:sz w:val="24"/>
          <w:szCs w:val="24"/>
        </w:rPr>
        <w:t xml:space="preserve"> et al., 2021; </w:t>
      </w:r>
      <w:proofErr w:type="spellStart"/>
      <w:r w:rsidRPr="004829A5">
        <w:rPr>
          <w:rFonts w:ascii="Times New Roman" w:eastAsia="Times New Roman" w:hAnsi="Times New Roman" w:cs="Times New Roman"/>
          <w:color w:val="auto"/>
          <w:sz w:val="24"/>
          <w:szCs w:val="24"/>
        </w:rPr>
        <w:t>Wendin</w:t>
      </w:r>
      <w:proofErr w:type="spellEnd"/>
      <w:r w:rsidRPr="004829A5">
        <w:rPr>
          <w:rFonts w:ascii="Times New Roman" w:eastAsia="Times New Roman" w:hAnsi="Times New Roman" w:cs="Times New Roman"/>
          <w:color w:val="auto"/>
          <w:sz w:val="24"/>
          <w:szCs w:val="24"/>
        </w:rPr>
        <w:t xml:space="preserve"> &amp; Nyberg, 2022; </w:t>
      </w:r>
      <w:r w:rsidR="00316665" w:rsidRPr="004829A5">
        <w:rPr>
          <w:rFonts w:ascii="Times New Roman" w:eastAsia="Times New Roman" w:hAnsi="Times New Roman" w:cs="Times New Roman"/>
          <w:color w:val="auto"/>
          <w:sz w:val="24"/>
          <w:szCs w:val="24"/>
        </w:rPr>
        <w:t>Wendt &amp; Weinrich, 2023</w:t>
      </w:r>
      <w:r w:rsidRPr="004829A5">
        <w:rPr>
          <w:rFonts w:ascii="Times New Roman" w:eastAsia="Times New Roman" w:hAnsi="Times New Roman" w:cs="Times New Roman"/>
          <w:color w:val="auto"/>
          <w:sz w:val="24"/>
          <w:szCs w:val="24"/>
        </w:rPr>
        <w:t xml:space="preserve">), whereas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10 investigated APF from various sources, including plant-based, insect-based, mushroom/fungi-based, and other APF (</w:t>
      </w:r>
      <w:proofErr w:type="spellStart"/>
      <w:r w:rsidRPr="004829A5">
        <w:rPr>
          <w:rFonts w:ascii="Times New Roman" w:eastAsia="Times New Roman" w:hAnsi="Times New Roman" w:cs="Times New Roman"/>
          <w:color w:val="auto"/>
          <w:sz w:val="24"/>
          <w:szCs w:val="24"/>
        </w:rPr>
        <w:t>Eckl</w:t>
      </w:r>
      <w:proofErr w:type="spellEnd"/>
      <w:r w:rsidRPr="004829A5">
        <w:rPr>
          <w:rFonts w:ascii="Times New Roman" w:eastAsia="Times New Roman" w:hAnsi="Times New Roman" w:cs="Times New Roman"/>
          <w:color w:val="auto"/>
          <w:sz w:val="24"/>
          <w:szCs w:val="24"/>
        </w:rPr>
        <w:t xml:space="preserve"> et al., 2021; Giordano et al., 2017; Hartmann &amp; Siegrist, 2017; Nguyen et al., 2022; Onwezen et al., 2021; Siddiqui, </w:t>
      </w:r>
      <w:proofErr w:type="spellStart"/>
      <w:r w:rsidRPr="004829A5">
        <w:rPr>
          <w:rFonts w:ascii="Times New Roman" w:eastAsia="Times New Roman" w:hAnsi="Times New Roman" w:cs="Times New Roman"/>
          <w:color w:val="auto"/>
          <w:sz w:val="24"/>
          <w:szCs w:val="24"/>
        </w:rPr>
        <w:t>Alvi</w:t>
      </w:r>
      <w:proofErr w:type="spellEnd"/>
      <w:r w:rsidRPr="004829A5">
        <w:rPr>
          <w:rFonts w:ascii="Times New Roman" w:eastAsia="Times New Roman" w:hAnsi="Times New Roman" w:cs="Times New Roman"/>
          <w:color w:val="auto"/>
          <w:sz w:val="24"/>
          <w:szCs w:val="24"/>
        </w:rPr>
        <w:t xml:space="preserve"> et al., 2022; Siddiqui, </w:t>
      </w:r>
      <w:proofErr w:type="spellStart"/>
      <w:r w:rsidRPr="004829A5">
        <w:rPr>
          <w:rFonts w:ascii="Times New Roman" w:eastAsia="Times New Roman" w:hAnsi="Times New Roman" w:cs="Times New Roman"/>
          <w:color w:val="auto"/>
          <w:sz w:val="24"/>
          <w:szCs w:val="24"/>
        </w:rPr>
        <w:t>Bahmid</w:t>
      </w:r>
      <w:proofErr w:type="spellEnd"/>
      <w:r w:rsidRPr="004829A5">
        <w:rPr>
          <w:rFonts w:ascii="Times New Roman" w:eastAsia="Times New Roman" w:hAnsi="Times New Roman" w:cs="Times New Roman"/>
          <w:color w:val="auto"/>
          <w:sz w:val="24"/>
          <w:szCs w:val="24"/>
        </w:rPr>
        <w:t xml:space="preserve"> et al., 202</w:t>
      </w:r>
      <w:r w:rsidR="006A4201" w:rsidRPr="004829A5">
        <w:rPr>
          <w:rFonts w:ascii="Times New Roman" w:eastAsia="Times New Roman" w:hAnsi="Times New Roman" w:cs="Times New Roman"/>
          <w:color w:val="auto"/>
          <w:sz w:val="24"/>
          <w:szCs w:val="24"/>
        </w:rPr>
        <w:t>3</w:t>
      </w:r>
      <w:r w:rsidRPr="004829A5">
        <w:rPr>
          <w:rFonts w:ascii="Times New Roman" w:eastAsia="Times New Roman" w:hAnsi="Times New Roman" w:cs="Times New Roman"/>
          <w:color w:val="auto"/>
          <w:sz w:val="24"/>
          <w:szCs w:val="24"/>
        </w:rPr>
        <w:t xml:space="preserve">; Siddiqui, </w:t>
      </w:r>
      <w:proofErr w:type="spellStart"/>
      <w:r w:rsidRPr="004829A5">
        <w:rPr>
          <w:rFonts w:ascii="Times New Roman" w:eastAsia="Times New Roman" w:hAnsi="Times New Roman" w:cs="Times New Roman"/>
          <w:color w:val="auto"/>
          <w:sz w:val="24"/>
          <w:szCs w:val="24"/>
        </w:rPr>
        <w:t>Zannou</w:t>
      </w:r>
      <w:proofErr w:type="spellEnd"/>
      <w:r w:rsidRPr="004829A5">
        <w:rPr>
          <w:rFonts w:ascii="Times New Roman" w:eastAsia="Times New Roman" w:hAnsi="Times New Roman" w:cs="Times New Roman"/>
          <w:color w:val="auto"/>
          <w:sz w:val="24"/>
          <w:szCs w:val="24"/>
        </w:rPr>
        <w:t xml:space="preserve"> et al., 2022; Wang et al., 202</w:t>
      </w:r>
      <w:r w:rsidR="000D604D" w:rsidRPr="004829A5">
        <w:rPr>
          <w:rFonts w:ascii="Times New Roman" w:eastAsia="Times New Roman" w:hAnsi="Times New Roman" w:cs="Times New Roman"/>
          <w:color w:val="auto"/>
          <w:sz w:val="24"/>
          <w:szCs w:val="24"/>
        </w:rPr>
        <w:t>3</w:t>
      </w:r>
      <w:r w:rsidRPr="004829A5">
        <w:rPr>
          <w:rFonts w:ascii="Times New Roman" w:eastAsia="Times New Roman" w:hAnsi="Times New Roman" w:cs="Times New Roman"/>
          <w:color w:val="auto"/>
          <w:sz w:val="24"/>
          <w:szCs w:val="24"/>
        </w:rPr>
        <w:t xml:space="preserve">; Weinrich, 2019). Only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2 addressed mushroom/fungi-based proteins (De </w:t>
      </w:r>
      <w:proofErr w:type="spellStart"/>
      <w:r w:rsidRPr="004829A5">
        <w:rPr>
          <w:rFonts w:ascii="Times New Roman" w:eastAsia="Times New Roman" w:hAnsi="Times New Roman" w:cs="Times New Roman"/>
          <w:color w:val="auto"/>
          <w:sz w:val="24"/>
          <w:szCs w:val="24"/>
        </w:rPr>
        <w:t>Cianni</w:t>
      </w:r>
      <w:proofErr w:type="spellEnd"/>
      <w:r w:rsidRPr="004829A5">
        <w:rPr>
          <w:rFonts w:ascii="Times New Roman" w:eastAsia="Times New Roman" w:hAnsi="Times New Roman" w:cs="Times New Roman"/>
          <w:color w:val="auto"/>
          <w:sz w:val="24"/>
          <w:szCs w:val="24"/>
        </w:rPr>
        <w:t xml:space="preserve"> et al., 2023; </w:t>
      </w:r>
      <w:proofErr w:type="spellStart"/>
      <w:r w:rsidRPr="004829A5">
        <w:rPr>
          <w:rFonts w:ascii="Times New Roman" w:eastAsia="Times New Roman" w:hAnsi="Times New Roman" w:cs="Times New Roman"/>
          <w:color w:val="auto"/>
          <w:sz w:val="24"/>
          <w:szCs w:val="24"/>
        </w:rPr>
        <w:t>Eckl</w:t>
      </w:r>
      <w:proofErr w:type="spellEnd"/>
      <w:r w:rsidRPr="004829A5">
        <w:rPr>
          <w:rFonts w:ascii="Times New Roman" w:eastAsia="Times New Roman" w:hAnsi="Times New Roman" w:cs="Times New Roman"/>
          <w:color w:val="auto"/>
          <w:sz w:val="24"/>
          <w:szCs w:val="24"/>
        </w:rPr>
        <w:t xml:space="preserve"> et al., 2021). </w:t>
      </w:r>
    </w:p>
    <w:p w14:paraId="754BE2A3" w14:textId="77777777" w:rsidR="0083170E" w:rsidRPr="004829A5" w:rsidRDefault="0083170E" w:rsidP="00EE39AD">
      <w:pPr>
        <w:spacing w:line="480" w:lineRule="auto"/>
        <w:ind w:left="0"/>
        <w:rPr>
          <w:rFonts w:ascii="Times New Roman" w:eastAsia="Times New Roman" w:hAnsi="Times New Roman" w:cs="Times New Roman"/>
          <w:b/>
          <w:bCs/>
          <w:color w:val="auto"/>
          <w:sz w:val="24"/>
          <w:szCs w:val="24"/>
        </w:rPr>
      </w:pPr>
      <w:r w:rsidRPr="004829A5">
        <w:rPr>
          <w:rFonts w:ascii="Times New Roman" w:eastAsia="Times New Roman" w:hAnsi="Times New Roman" w:cs="Times New Roman"/>
          <w:b/>
          <w:bCs/>
          <w:color w:val="auto"/>
          <w:sz w:val="24"/>
          <w:szCs w:val="24"/>
        </w:rPr>
        <w:t>Population</w:t>
      </w:r>
    </w:p>
    <w:p w14:paraId="7B428039" w14:textId="77777777" w:rsidR="0083170E" w:rsidRPr="004829A5" w:rsidRDefault="0083170E" w:rsidP="00EE39AD">
      <w:pPr>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The majority of included reviews synthesized data collected in Europe, North America, and Australia/New Zealand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21, 75% out of 28). Seven reviews (25% out of 28) did not provide information regarding the countries of origin; however, the screening of included references suggests that these reviews provided data from developed countries (including European countries, North American countries, Australia, New Zealand, and Japan). </w:t>
      </w:r>
    </w:p>
    <w:p w14:paraId="413DF209" w14:textId="02791E9A" w:rsidR="0083170E" w:rsidRPr="004829A5" w:rsidRDefault="0083170E" w:rsidP="00EE39AD">
      <w:pPr>
        <w:spacing w:line="480" w:lineRule="auto"/>
        <w:ind w:left="0"/>
        <w:rPr>
          <w:rFonts w:ascii="Times New Roman" w:eastAsia="Times New Roman" w:hAnsi="Times New Roman" w:cs="Times New Roman"/>
          <w:b/>
          <w:bCs/>
          <w:color w:val="auto"/>
          <w:sz w:val="24"/>
          <w:szCs w:val="24"/>
        </w:rPr>
      </w:pPr>
      <w:r w:rsidRPr="004829A5">
        <w:rPr>
          <w:rFonts w:ascii="Times New Roman" w:eastAsia="Times New Roman" w:hAnsi="Times New Roman" w:cs="Times New Roman"/>
          <w:b/>
          <w:bCs/>
          <w:color w:val="auto"/>
          <w:sz w:val="24"/>
          <w:szCs w:val="24"/>
        </w:rPr>
        <w:t xml:space="preserve">Types of </w:t>
      </w:r>
      <w:r w:rsidR="00AA25E0" w:rsidRPr="004829A5">
        <w:rPr>
          <w:rFonts w:ascii="Times New Roman" w:eastAsia="Times New Roman" w:hAnsi="Times New Roman" w:cs="Times New Roman"/>
          <w:b/>
          <w:bCs/>
          <w:color w:val="auto"/>
          <w:sz w:val="24"/>
          <w:szCs w:val="24"/>
        </w:rPr>
        <w:t>I</w:t>
      </w:r>
      <w:r w:rsidRPr="004829A5">
        <w:rPr>
          <w:rFonts w:ascii="Times New Roman" w:eastAsia="Times New Roman" w:hAnsi="Times New Roman" w:cs="Times New Roman"/>
          <w:b/>
          <w:bCs/>
          <w:color w:val="auto"/>
          <w:sz w:val="24"/>
          <w:szCs w:val="24"/>
        </w:rPr>
        <w:t>ndividual-</w:t>
      </w:r>
      <w:r w:rsidR="00AA25E0" w:rsidRPr="004829A5">
        <w:rPr>
          <w:rFonts w:ascii="Times New Roman" w:eastAsia="Times New Roman" w:hAnsi="Times New Roman" w:cs="Times New Roman"/>
          <w:b/>
          <w:bCs/>
          <w:color w:val="auto"/>
          <w:sz w:val="24"/>
          <w:szCs w:val="24"/>
        </w:rPr>
        <w:t>L</w:t>
      </w:r>
      <w:r w:rsidRPr="004829A5">
        <w:rPr>
          <w:rFonts w:ascii="Times New Roman" w:eastAsia="Times New Roman" w:hAnsi="Times New Roman" w:cs="Times New Roman"/>
          <w:b/>
          <w:bCs/>
          <w:color w:val="auto"/>
          <w:sz w:val="24"/>
          <w:szCs w:val="24"/>
        </w:rPr>
        <w:t xml:space="preserve">evel </w:t>
      </w:r>
      <w:r w:rsidR="00AA25E0" w:rsidRPr="004829A5">
        <w:rPr>
          <w:rFonts w:ascii="Times New Roman" w:eastAsia="Times New Roman" w:hAnsi="Times New Roman" w:cs="Times New Roman"/>
          <w:b/>
          <w:bCs/>
          <w:color w:val="auto"/>
          <w:sz w:val="24"/>
          <w:szCs w:val="24"/>
        </w:rPr>
        <w:t>D</w:t>
      </w:r>
      <w:r w:rsidRPr="004829A5">
        <w:rPr>
          <w:rFonts w:ascii="Times New Roman" w:eastAsia="Times New Roman" w:hAnsi="Times New Roman" w:cs="Times New Roman"/>
          <w:b/>
          <w:bCs/>
          <w:color w:val="auto"/>
          <w:sz w:val="24"/>
          <w:szCs w:val="24"/>
        </w:rPr>
        <w:t>eterminants</w:t>
      </w:r>
    </w:p>
    <w:p w14:paraId="007B0955" w14:textId="586FEEC9" w:rsidR="0083170E" w:rsidRPr="004829A5" w:rsidRDefault="0083170E" w:rsidP="00EE39AD">
      <w:pPr>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All reviews addressed a combination of various individual-level determinants, related to at least two areas of the COM-B model, whereas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17 reviews (</w:t>
      </w:r>
      <w:proofErr w:type="spellStart"/>
      <w:r w:rsidRPr="004829A5">
        <w:rPr>
          <w:rFonts w:ascii="Times New Roman" w:eastAsia="Times New Roman" w:hAnsi="Times New Roman" w:cs="Times New Roman"/>
          <w:color w:val="auto"/>
          <w:sz w:val="24"/>
          <w:szCs w:val="24"/>
        </w:rPr>
        <w:t>Dagevos</w:t>
      </w:r>
      <w:proofErr w:type="spellEnd"/>
      <w:r w:rsidRPr="004829A5">
        <w:rPr>
          <w:rFonts w:ascii="Times New Roman" w:eastAsia="Times New Roman" w:hAnsi="Times New Roman" w:cs="Times New Roman"/>
          <w:color w:val="auto"/>
          <w:sz w:val="24"/>
          <w:szCs w:val="24"/>
        </w:rPr>
        <w:t xml:space="preserve">, 2020; De </w:t>
      </w:r>
      <w:proofErr w:type="spellStart"/>
      <w:r w:rsidRPr="004829A5">
        <w:rPr>
          <w:rFonts w:ascii="Times New Roman" w:eastAsia="Times New Roman" w:hAnsi="Times New Roman" w:cs="Times New Roman"/>
          <w:color w:val="auto"/>
          <w:sz w:val="24"/>
          <w:szCs w:val="24"/>
        </w:rPr>
        <w:t>Cianni</w:t>
      </w:r>
      <w:proofErr w:type="spellEnd"/>
      <w:r w:rsidRPr="004829A5">
        <w:rPr>
          <w:rFonts w:ascii="Times New Roman" w:eastAsia="Times New Roman" w:hAnsi="Times New Roman" w:cs="Times New Roman"/>
          <w:color w:val="auto"/>
          <w:sz w:val="24"/>
          <w:szCs w:val="24"/>
        </w:rPr>
        <w:t xml:space="preserve"> et al., 2023; </w:t>
      </w:r>
      <w:proofErr w:type="spellStart"/>
      <w:r w:rsidRPr="004829A5">
        <w:rPr>
          <w:rFonts w:ascii="Times New Roman" w:eastAsia="Times New Roman" w:hAnsi="Times New Roman" w:cs="Times New Roman"/>
          <w:color w:val="auto"/>
          <w:sz w:val="24"/>
          <w:szCs w:val="24"/>
        </w:rPr>
        <w:t>Eckl</w:t>
      </w:r>
      <w:proofErr w:type="spellEnd"/>
      <w:r w:rsidRPr="004829A5">
        <w:rPr>
          <w:rFonts w:ascii="Times New Roman" w:eastAsia="Times New Roman" w:hAnsi="Times New Roman" w:cs="Times New Roman"/>
          <w:color w:val="auto"/>
          <w:sz w:val="24"/>
          <w:szCs w:val="24"/>
        </w:rPr>
        <w:t xml:space="preserve"> et al., 2021; </w:t>
      </w:r>
      <w:proofErr w:type="spellStart"/>
      <w:r w:rsidRPr="004829A5">
        <w:rPr>
          <w:rFonts w:ascii="Times New Roman" w:eastAsia="Times New Roman" w:hAnsi="Times New Roman" w:cs="Times New Roman"/>
          <w:color w:val="auto"/>
          <w:sz w:val="24"/>
          <w:szCs w:val="24"/>
        </w:rPr>
        <w:t>Florença</w:t>
      </w:r>
      <w:proofErr w:type="spellEnd"/>
      <w:r w:rsidRPr="004829A5">
        <w:rPr>
          <w:rFonts w:ascii="Times New Roman" w:eastAsia="Times New Roman" w:hAnsi="Times New Roman" w:cs="Times New Roman"/>
          <w:color w:val="auto"/>
          <w:sz w:val="24"/>
          <w:szCs w:val="24"/>
        </w:rPr>
        <w:t xml:space="preserve"> et al., 2022; </w:t>
      </w:r>
      <w:proofErr w:type="spellStart"/>
      <w:r w:rsidRPr="004829A5">
        <w:rPr>
          <w:rFonts w:ascii="Times New Roman" w:eastAsia="Times New Roman" w:hAnsi="Times New Roman" w:cs="Times New Roman"/>
          <w:color w:val="auto"/>
          <w:sz w:val="24"/>
          <w:szCs w:val="24"/>
        </w:rPr>
        <w:t>Graça</w:t>
      </w:r>
      <w:proofErr w:type="spellEnd"/>
      <w:r w:rsidRPr="004829A5">
        <w:rPr>
          <w:rFonts w:ascii="Times New Roman" w:eastAsia="Times New Roman" w:hAnsi="Times New Roman" w:cs="Times New Roman"/>
          <w:color w:val="auto"/>
          <w:sz w:val="24"/>
          <w:szCs w:val="24"/>
        </w:rPr>
        <w:t xml:space="preserve"> et al., 2019; Kauppi et al., 2019; </w:t>
      </w:r>
      <w:proofErr w:type="spellStart"/>
      <w:r w:rsidRPr="004829A5">
        <w:rPr>
          <w:rFonts w:ascii="Times New Roman" w:eastAsia="Times New Roman" w:hAnsi="Times New Roman" w:cs="Times New Roman"/>
          <w:color w:val="auto"/>
          <w:sz w:val="24"/>
          <w:szCs w:val="24"/>
        </w:rPr>
        <w:t>Kröger</w:t>
      </w:r>
      <w:proofErr w:type="spellEnd"/>
      <w:r w:rsidRPr="004829A5">
        <w:rPr>
          <w:rFonts w:ascii="Times New Roman" w:eastAsia="Times New Roman" w:hAnsi="Times New Roman" w:cs="Times New Roman"/>
          <w:color w:val="auto"/>
          <w:sz w:val="24"/>
          <w:szCs w:val="24"/>
        </w:rPr>
        <w:t xml:space="preserve"> et al., 2022; Mancini et al., 2019; Mina et al., 2023; Nguyen et al., 2022; </w:t>
      </w:r>
      <w:r w:rsidRPr="004829A5">
        <w:rPr>
          <w:rFonts w:ascii="Times New Roman" w:eastAsia="Times New Roman" w:hAnsi="Times New Roman" w:cs="Times New Roman"/>
          <w:color w:val="auto"/>
          <w:sz w:val="24"/>
          <w:szCs w:val="24"/>
        </w:rPr>
        <w:lastRenderedPageBreak/>
        <w:t xml:space="preserve">Siddiqui, </w:t>
      </w:r>
      <w:proofErr w:type="spellStart"/>
      <w:r w:rsidRPr="004829A5">
        <w:rPr>
          <w:rFonts w:ascii="Times New Roman" w:eastAsia="Times New Roman" w:hAnsi="Times New Roman" w:cs="Times New Roman"/>
          <w:color w:val="auto"/>
          <w:sz w:val="24"/>
          <w:szCs w:val="24"/>
        </w:rPr>
        <w:t>Alvi</w:t>
      </w:r>
      <w:proofErr w:type="spellEnd"/>
      <w:r w:rsidRPr="004829A5">
        <w:rPr>
          <w:rFonts w:ascii="Times New Roman" w:eastAsia="Times New Roman" w:hAnsi="Times New Roman" w:cs="Times New Roman"/>
          <w:color w:val="auto"/>
          <w:sz w:val="24"/>
          <w:szCs w:val="24"/>
        </w:rPr>
        <w:t xml:space="preserve"> et al., 2022; Siddiqui, </w:t>
      </w:r>
      <w:proofErr w:type="spellStart"/>
      <w:r w:rsidRPr="004829A5">
        <w:rPr>
          <w:rFonts w:ascii="Times New Roman" w:eastAsia="Times New Roman" w:hAnsi="Times New Roman" w:cs="Times New Roman"/>
          <w:color w:val="auto"/>
          <w:sz w:val="24"/>
          <w:szCs w:val="24"/>
        </w:rPr>
        <w:t>Bahmid</w:t>
      </w:r>
      <w:proofErr w:type="spellEnd"/>
      <w:r w:rsidRPr="004829A5">
        <w:rPr>
          <w:rFonts w:ascii="Times New Roman" w:eastAsia="Times New Roman" w:hAnsi="Times New Roman" w:cs="Times New Roman"/>
          <w:color w:val="auto"/>
          <w:sz w:val="24"/>
          <w:szCs w:val="24"/>
        </w:rPr>
        <w:t xml:space="preserve"> et al., 202</w:t>
      </w:r>
      <w:r w:rsidR="006A4201" w:rsidRPr="004829A5">
        <w:rPr>
          <w:rFonts w:ascii="Times New Roman" w:eastAsia="Times New Roman" w:hAnsi="Times New Roman" w:cs="Times New Roman"/>
          <w:color w:val="auto"/>
          <w:sz w:val="24"/>
          <w:szCs w:val="24"/>
        </w:rPr>
        <w:t>3</w:t>
      </w:r>
      <w:r w:rsidRPr="004829A5">
        <w:rPr>
          <w:rFonts w:ascii="Times New Roman" w:eastAsia="Times New Roman" w:hAnsi="Times New Roman" w:cs="Times New Roman"/>
          <w:color w:val="auto"/>
          <w:sz w:val="24"/>
          <w:szCs w:val="24"/>
        </w:rPr>
        <w:t xml:space="preserve">; </w:t>
      </w:r>
      <w:proofErr w:type="spellStart"/>
      <w:r w:rsidRPr="004829A5">
        <w:rPr>
          <w:rFonts w:ascii="Times New Roman" w:eastAsia="Times New Roman" w:hAnsi="Times New Roman" w:cs="Times New Roman"/>
          <w:color w:val="auto"/>
          <w:sz w:val="24"/>
          <w:szCs w:val="24"/>
        </w:rPr>
        <w:t>Szenderák</w:t>
      </w:r>
      <w:proofErr w:type="spellEnd"/>
      <w:r w:rsidRPr="004829A5">
        <w:rPr>
          <w:rFonts w:ascii="Times New Roman" w:eastAsia="Times New Roman" w:hAnsi="Times New Roman" w:cs="Times New Roman"/>
          <w:color w:val="auto"/>
          <w:sz w:val="24"/>
          <w:szCs w:val="24"/>
        </w:rPr>
        <w:t xml:space="preserve"> et al., 2022; </w:t>
      </w:r>
      <w:proofErr w:type="spellStart"/>
      <w:r w:rsidRPr="004829A5">
        <w:rPr>
          <w:rFonts w:ascii="Times New Roman" w:eastAsia="Times New Roman" w:hAnsi="Times New Roman" w:cs="Times New Roman"/>
          <w:color w:val="auto"/>
          <w:sz w:val="24"/>
          <w:szCs w:val="24"/>
        </w:rPr>
        <w:t>Toti</w:t>
      </w:r>
      <w:proofErr w:type="spellEnd"/>
      <w:r w:rsidRPr="004829A5">
        <w:rPr>
          <w:rFonts w:ascii="Times New Roman" w:eastAsia="Times New Roman" w:hAnsi="Times New Roman" w:cs="Times New Roman"/>
          <w:color w:val="auto"/>
          <w:sz w:val="24"/>
          <w:szCs w:val="24"/>
        </w:rPr>
        <w:t xml:space="preserve"> et al., 2020; </w:t>
      </w:r>
      <w:proofErr w:type="spellStart"/>
      <w:r w:rsidRPr="004829A5">
        <w:rPr>
          <w:rFonts w:ascii="Times New Roman" w:eastAsia="Times New Roman" w:hAnsi="Times New Roman" w:cs="Times New Roman"/>
          <w:color w:val="auto"/>
          <w:sz w:val="24"/>
          <w:szCs w:val="24"/>
        </w:rPr>
        <w:t>Wassmann</w:t>
      </w:r>
      <w:proofErr w:type="spellEnd"/>
      <w:r w:rsidRPr="004829A5">
        <w:rPr>
          <w:rFonts w:ascii="Times New Roman" w:eastAsia="Times New Roman" w:hAnsi="Times New Roman" w:cs="Times New Roman"/>
          <w:color w:val="auto"/>
          <w:sz w:val="24"/>
          <w:szCs w:val="24"/>
        </w:rPr>
        <w:t xml:space="preserve"> et al., 2021; Weinrich, 2019; </w:t>
      </w:r>
      <w:proofErr w:type="spellStart"/>
      <w:r w:rsidRPr="004829A5">
        <w:rPr>
          <w:rFonts w:ascii="Times New Roman" w:eastAsia="Times New Roman" w:hAnsi="Times New Roman" w:cs="Times New Roman"/>
          <w:color w:val="auto"/>
          <w:sz w:val="24"/>
          <w:szCs w:val="24"/>
        </w:rPr>
        <w:t>Wendin</w:t>
      </w:r>
      <w:proofErr w:type="spellEnd"/>
      <w:r w:rsidRPr="004829A5">
        <w:rPr>
          <w:rFonts w:ascii="Times New Roman" w:eastAsia="Times New Roman" w:hAnsi="Times New Roman" w:cs="Times New Roman"/>
          <w:color w:val="auto"/>
          <w:sz w:val="24"/>
          <w:szCs w:val="24"/>
        </w:rPr>
        <w:t xml:space="preserve"> &amp; Nyberg, 2022) directly analyzed the associations between APF and gender, age, income, or education. The vast majority of included reviews (26 out of 28) did not limit their scope to individual-level COM-B determinants and sociodemographic variables alone. Instead, they encompassed a broader range of determinants, including those related to the physical and social environment (i.e., product characteristics, sensory characteristics related to APF intake, production-related safety, physical environment characteristics, etc.). </w:t>
      </w:r>
    </w:p>
    <w:p w14:paraId="0B21AEFD" w14:textId="762667BD" w:rsidR="0083170E" w:rsidRPr="004829A5" w:rsidRDefault="0083170E" w:rsidP="00EE39AD">
      <w:pPr>
        <w:spacing w:line="480" w:lineRule="auto"/>
        <w:ind w:left="0"/>
        <w:rPr>
          <w:rFonts w:ascii="Times New Roman" w:eastAsia="Times New Roman" w:hAnsi="Times New Roman" w:cs="Times New Roman"/>
          <w:b/>
          <w:bCs/>
          <w:color w:val="auto"/>
          <w:sz w:val="24"/>
          <w:szCs w:val="24"/>
        </w:rPr>
      </w:pPr>
      <w:r w:rsidRPr="004829A5">
        <w:rPr>
          <w:rFonts w:ascii="Times New Roman" w:eastAsia="Times New Roman" w:hAnsi="Times New Roman" w:cs="Times New Roman"/>
          <w:b/>
          <w:bCs/>
          <w:color w:val="auto"/>
          <w:sz w:val="24"/>
          <w:szCs w:val="24"/>
        </w:rPr>
        <w:t xml:space="preserve">Design of </w:t>
      </w:r>
      <w:r w:rsidR="00AA25E0" w:rsidRPr="004829A5">
        <w:rPr>
          <w:rFonts w:ascii="Times New Roman" w:eastAsia="Times New Roman" w:hAnsi="Times New Roman" w:cs="Times New Roman"/>
          <w:b/>
          <w:bCs/>
          <w:color w:val="auto"/>
          <w:sz w:val="24"/>
          <w:szCs w:val="24"/>
        </w:rPr>
        <w:t>I</w:t>
      </w:r>
      <w:r w:rsidRPr="004829A5">
        <w:rPr>
          <w:rFonts w:ascii="Times New Roman" w:eastAsia="Times New Roman" w:hAnsi="Times New Roman" w:cs="Times New Roman"/>
          <w:b/>
          <w:bCs/>
          <w:color w:val="auto"/>
          <w:sz w:val="24"/>
          <w:szCs w:val="24"/>
        </w:rPr>
        <w:t xml:space="preserve">ncluded </w:t>
      </w:r>
      <w:r w:rsidR="00AA25E0" w:rsidRPr="004829A5">
        <w:rPr>
          <w:rFonts w:ascii="Times New Roman" w:eastAsia="Times New Roman" w:hAnsi="Times New Roman" w:cs="Times New Roman"/>
          <w:b/>
          <w:bCs/>
          <w:color w:val="auto"/>
          <w:sz w:val="24"/>
          <w:szCs w:val="24"/>
        </w:rPr>
        <w:t>S</w:t>
      </w:r>
      <w:r w:rsidRPr="004829A5">
        <w:rPr>
          <w:rFonts w:ascii="Times New Roman" w:eastAsia="Times New Roman" w:hAnsi="Times New Roman" w:cs="Times New Roman"/>
          <w:b/>
          <w:bCs/>
          <w:color w:val="auto"/>
          <w:sz w:val="24"/>
          <w:szCs w:val="24"/>
        </w:rPr>
        <w:t>tudies</w:t>
      </w:r>
    </w:p>
    <w:p w14:paraId="2642E0BA" w14:textId="2DFC5133" w:rsidR="0083170E" w:rsidRPr="004829A5" w:rsidRDefault="0083170E" w:rsidP="00EE39AD">
      <w:pPr>
        <w:tabs>
          <w:tab w:val="left" w:pos="709"/>
        </w:tabs>
        <w:spacing w:line="480" w:lineRule="auto"/>
        <w:ind w:left="0" w:firstLine="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Across the reviews, only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1 reported results of a meta-analysis (</w:t>
      </w:r>
      <w:proofErr w:type="spellStart"/>
      <w:r w:rsidRPr="004829A5">
        <w:rPr>
          <w:rFonts w:ascii="Times New Roman" w:eastAsia="Times New Roman" w:hAnsi="Times New Roman" w:cs="Times New Roman"/>
          <w:color w:val="auto"/>
          <w:sz w:val="24"/>
          <w:szCs w:val="24"/>
        </w:rPr>
        <w:t>Wassmann</w:t>
      </w:r>
      <w:proofErr w:type="spellEnd"/>
      <w:r w:rsidRPr="004829A5">
        <w:rPr>
          <w:rFonts w:ascii="Times New Roman" w:eastAsia="Times New Roman" w:hAnsi="Times New Roman" w:cs="Times New Roman"/>
          <w:color w:val="auto"/>
          <w:sz w:val="24"/>
          <w:szCs w:val="24"/>
        </w:rPr>
        <w:t xml:space="preserve"> et al., 2021). Additionally, only four studies (</w:t>
      </w:r>
      <w:proofErr w:type="spellStart"/>
      <w:r w:rsidRPr="004829A5">
        <w:rPr>
          <w:rFonts w:ascii="Times New Roman" w:eastAsia="Times New Roman" w:hAnsi="Times New Roman" w:cs="Times New Roman"/>
          <w:color w:val="auto"/>
          <w:sz w:val="24"/>
          <w:szCs w:val="24"/>
        </w:rPr>
        <w:t>Eckl</w:t>
      </w:r>
      <w:proofErr w:type="spellEnd"/>
      <w:r w:rsidRPr="004829A5">
        <w:rPr>
          <w:rFonts w:ascii="Times New Roman" w:eastAsia="Times New Roman" w:hAnsi="Times New Roman" w:cs="Times New Roman"/>
          <w:color w:val="auto"/>
          <w:sz w:val="24"/>
          <w:szCs w:val="24"/>
        </w:rPr>
        <w:t xml:space="preserve"> et al., 2021; Hartmann &amp; </w:t>
      </w:r>
      <w:proofErr w:type="spellStart"/>
      <w:r w:rsidRPr="004829A5">
        <w:rPr>
          <w:rFonts w:ascii="Times New Roman" w:eastAsia="Times New Roman" w:hAnsi="Times New Roman" w:cs="Times New Roman"/>
          <w:color w:val="auto"/>
          <w:sz w:val="24"/>
          <w:szCs w:val="24"/>
        </w:rPr>
        <w:t>Siegriest</w:t>
      </w:r>
      <w:proofErr w:type="spellEnd"/>
      <w:r w:rsidRPr="004829A5">
        <w:rPr>
          <w:rFonts w:ascii="Times New Roman" w:eastAsia="Times New Roman" w:hAnsi="Times New Roman" w:cs="Times New Roman"/>
          <w:color w:val="auto"/>
          <w:sz w:val="24"/>
          <w:szCs w:val="24"/>
        </w:rPr>
        <w:t>, 2017;</w:t>
      </w:r>
      <w:r w:rsidR="00F73830" w:rsidRPr="004829A5">
        <w:rPr>
          <w:rFonts w:ascii="Times New Roman" w:eastAsia="Times New Roman" w:hAnsi="Times New Roman" w:cs="Times New Roman"/>
          <w:color w:val="auto"/>
          <w:sz w:val="24"/>
          <w:szCs w:val="24"/>
        </w:rPr>
        <w:t xml:space="preserve"> </w:t>
      </w:r>
      <w:proofErr w:type="spellStart"/>
      <w:r w:rsidR="00F73830" w:rsidRPr="004829A5">
        <w:rPr>
          <w:rFonts w:ascii="Times New Roman" w:eastAsia="Times New Roman" w:hAnsi="Times New Roman" w:cs="Times New Roman"/>
          <w:color w:val="auto"/>
          <w:sz w:val="24"/>
          <w:szCs w:val="24"/>
        </w:rPr>
        <w:t>Kröger</w:t>
      </w:r>
      <w:proofErr w:type="spellEnd"/>
      <w:r w:rsidR="00F73830"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color w:val="auto"/>
          <w:sz w:val="24"/>
          <w:szCs w:val="24"/>
        </w:rPr>
        <w:t xml:space="preserve">et al., 2022; Wendt &amp; Weinrich, 2023) provided some descriptive statistics, clarifying a proportion of studies that indicated the associations between APF choice indicator and a respective individual-level determinant, compared with the total number of relevant original studies. The remaining </w:t>
      </w:r>
      <w:r w:rsidRPr="004829A5">
        <w:rPr>
          <w:rFonts w:ascii="Times New Roman" w:eastAsia="Times New Roman" w:hAnsi="Times New Roman" w:cs="Times New Roman"/>
          <w:i/>
          <w:color w:val="auto"/>
          <w:sz w:val="24"/>
          <w:szCs w:val="24"/>
        </w:rPr>
        <w:t>k</w:t>
      </w:r>
      <w:r w:rsidRPr="004829A5">
        <w:rPr>
          <w:rFonts w:ascii="Times New Roman" w:eastAsia="Times New Roman" w:hAnsi="Times New Roman" w:cs="Times New Roman"/>
          <w:color w:val="auto"/>
          <w:sz w:val="24"/>
          <w:szCs w:val="24"/>
        </w:rPr>
        <w:t xml:space="preserve"> = 23 reviews provided a narrative synthesis of the associations, without any quantitative summary. </w:t>
      </w:r>
    </w:p>
    <w:p w14:paraId="2DB58B07" w14:textId="77777777" w:rsidR="00C21011" w:rsidRPr="004829A5" w:rsidRDefault="00C21011" w:rsidP="00EE39AD">
      <w:pPr>
        <w:keepNext/>
        <w:ind w:left="0"/>
        <w:rPr>
          <w:rFonts w:eastAsia="Times New Roman" w:cs="Times New Roman"/>
          <w:color w:val="auto"/>
          <w:sz w:val="16"/>
          <w:szCs w:val="16"/>
        </w:rPr>
      </w:pPr>
    </w:p>
    <w:p w14:paraId="3FBD94AC" w14:textId="77777777" w:rsidR="00511F7C" w:rsidRPr="004829A5" w:rsidRDefault="00511F7C" w:rsidP="00EE39AD">
      <w:pPr>
        <w:spacing w:line="480" w:lineRule="auto"/>
        <w:ind w:left="0" w:firstLine="720"/>
        <w:rPr>
          <w:rFonts w:ascii="Times New Roman" w:eastAsia="Times New Roman" w:hAnsi="Times New Roman" w:cs="Times New Roman"/>
          <w:color w:val="auto"/>
          <w:sz w:val="24"/>
          <w:szCs w:val="24"/>
        </w:rPr>
      </w:pPr>
    </w:p>
    <w:bookmarkEnd w:id="0"/>
    <w:p w14:paraId="01D8BBD1" w14:textId="72A9EA22" w:rsidR="00412C1D" w:rsidRPr="004829A5" w:rsidRDefault="00412C1D" w:rsidP="00EE39AD">
      <w:pPr>
        <w:spacing w:line="480" w:lineRule="auto"/>
        <w:ind w:left="0" w:firstLine="720"/>
        <w:rPr>
          <w:rFonts w:ascii="Times New Roman" w:eastAsia="Times New Roman" w:hAnsi="Times New Roman" w:cs="Times New Roman"/>
          <w:b/>
          <w:color w:val="auto"/>
          <w:sz w:val="24"/>
          <w:szCs w:val="24"/>
        </w:rPr>
      </w:pPr>
    </w:p>
    <w:p w14:paraId="633194CC" w14:textId="77777777" w:rsidR="00412C1D" w:rsidRPr="004829A5" w:rsidRDefault="00412C1D" w:rsidP="00EE39AD">
      <w:pPr>
        <w:spacing w:line="240" w:lineRule="auto"/>
        <w:ind w:left="0" w:firstLine="720"/>
        <w:rPr>
          <w:rFonts w:eastAsia="Times New Roman" w:cs="Times New Roman"/>
          <w:b/>
          <w:color w:val="auto"/>
          <w:sz w:val="22"/>
          <w:szCs w:val="22"/>
        </w:rPr>
        <w:sectPr w:rsidR="00412C1D" w:rsidRPr="004829A5" w:rsidSect="00DD5F45">
          <w:headerReference w:type="even" r:id="rId11"/>
          <w:headerReference w:type="default" r:id="rId12"/>
          <w:footerReference w:type="default" r:id="rId13"/>
          <w:headerReference w:type="first" r:id="rId14"/>
          <w:footerReference w:type="first" r:id="rId15"/>
          <w:pgSz w:w="11909" w:h="16834"/>
          <w:pgMar w:top="1440" w:right="1440" w:bottom="1440" w:left="1440" w:header="566" w:footer="907" w:gutter="0"/>
          <w:pgNumType w:start="1"/>
          <w:cols w:space="708"/>
          <w:titlePg/>
          <w:docGrid w:linePitch="272"/>
        </w:sectPr>
      </w:pPr>
    </w:p>
    <w:p w14:paraId="143F589C" w14:textId="77777777" w:rsidR="001659B8" w:rsidRPr="004829A5" w:rsidRDefault="000522E6" w:rsidP="00EE39AD">
      <w:pPr>
        <w:spacing w:line="480" w:lineRule="auto"/>
        <w:ind w:left="0"/>
        <w:rPr>
          <w:rFonts w:ascii="Times New Roman" w:eastAsia="Times New Roman" w:hAnsi="Times New Roman" w:cs="Times New Roman"/>
          <w:color w:val="auto"/>
          <w:sz w:val="24"/>
          <w:szCs w:val="24"/>
        </w:rPr>
      </w:pPr>
      <w:bookmarkStart w:id="7" w:name="_Toc148962481"/>
      <w:r w:rsidRPr="004829A5">
        <w:rPr>
          <w:rFonts w:ascii="Times New Roman" w:hAnsi="Times New Roman" w:cs="Times New Roman"/>
          <w:b/>
          <w:bCs/>
          <w:color w:val="auto"/>
          <w:sz w:val="24"/>
          <w:szCs w:val="24"/>
        </w:rPr>
        <w:lastRenderedPageBreak/>
        <w:t>Table S1</w:t>
      </w:r>
      <w:r w:rsidR="00A245EF" w:rsidRPr="004829A5">
        <w:rPr>
          <w:rFonts w:ascii="Times New Roman" w:eastAsia="Times New Roman" w:hAnsi="Times New Roman" w:cs="Times New Roman"/>
          <w:color w:val="auto"/>
          <w:sz w:val="24"/>
          <w:szCs w:val="24"/>
        </w:rPr>
        <w:t xml:space="preserve"> </w:t>
      </w:r>
    </w:p>
    <w:p w14:paraId="2EEB3279" w14:textId="431192F3" w:rsidR="000522E6" w:rsidRPr="004829A5" w:rsidRDefault="00A245EF" w:rsidP="00EE39AD">
      <w:pPr>
        <w:spacing w:line="480" w:lineRule="auto"/>
        <w:ind w:left="0"/>
        <w:rPr>
          <w:rFonts w:ascii="Times New Roman" w:eastAsia="Times New Roman" w:hAnsi="Times New Roman" w:cs="Times New Roman"/>
          <w:i/>
          <w:iCs/>
          <w:color w:val="auto"/>
          <w:sz w:val="24"/>
          <w:szCs w:val="24"/>
        </w:rPr>
      </w:pPr>
      <w:r w:rsidRPr="004829A5">
        <w:rPr>
          <w:rFonts w:ascii="Times New Roman" w:eastAsia="Times New Roman" w:hAnsi="Times New Roman" w:cs="Times New Roman"/>
          <w:i/>
          <w:iCs/>
          <w:color w:val="auto"/>
          <w:sz w:val="24"/>
          <w:szCs w:val="24"/>
        </w:rPr>
        <w:t>Description of Studies Included in the Meta-Review</w:t>
      </w:r>
    </w:p>
    <w:tbl>
      <w:tblPr>
        <w:tblW w:w="16446" w:type="dxa"/>
        <w:tblInd w:w="-426" w:type="dxa"/>
        <w:tblLayout w:type="fixed"/>
        <w:tblCellMar>
          <w:left w:w="70" w:type="dxa"/>
          <w:right w:w="70" w:type="dxa"/>
        </w:tblCellMar>
        <w:tblLook w:val="04A0" w:firstRow="1" w:lastRow="0" w:firstColumn="1" w:lastColumn="0" w:noHBand="0" w:noVBand="1"/>
      </w:tblPr>
      <w:tblGrid>
        <w:gridCol w:w="426"/>
        <w:gridCol w:w="851"/>
        <w:gridCol w:w="1134"/>
        <w:gridCol w:w="850"/>
        <w:gridCol w:w="851"/>
        <w:gridCol w:w="850"/>
        <w:gridCol w:w="1134"/>
        <w:gridCol w:w="851"/>
        <w:gridCol w:w="992"/>
        <w:gridCol w:w="567"/>
        <w:gridCol w:w="992"/>
        <w:gridCol w:w="968"/>
        <w:gridCol w:w="733"/>
        <w:gridCol w:w="851"/>
        <w:gridCol w:w="992"/>
        <w:gridCol w:w="992"/>
        <w:gridCol w:w="993"/>
        <w:gridCol w:w="1419"/>
      </w:tblGrid>
      <w:tr w:rsidR="004829A5" w:rsidRPr="004829A5" w14:paraId="56505EC0" w14:textId="0800064C" w:rsidTr="00B34BBB">
        <w:trPr>
          <w:cantSplit/>
          <w:trHeight w:val="1367"/>
          <w:tblHeader/>
        </w:trPr>
        <w:tc>
          <w:tcPr>
            <w:tcW w:w="426" w:type="dxa"/>
            <w:tcBorders>
              <w:top w:val="single" w:sz="4" w:space="0" w:color="auto"/>
              <w:bottom w:val="single" w:sz="4" w:space="0" w:color="auto"/>
            </w:tcBorders>
            <w:shd w:val="clear" w:color="auto" w:fill="FFFFFF" w:themeFill="background1"/>
            <w:noWrap/>
            <w:vAlign w:val="center"/>
            <w:hideMark/>
          </w:tcPr>
          <w:p w14:paraId="6D5B0D22" w14:textId="77777777" w:rsidR="00D22016" w:rsidRPr="004829A5" w:rsidRDefault="00D22016" w:rsidP="00D22016">
            <w:pPr>
              <w:spacing w:line="240" w:lineRule="auto"/>
              <w:ind w:right="-439"/>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No.</w:t>
            </w:r>
          </w:p>
        </w:tc>
        <w:tc>
          <w:tcPr>
            <w:tcW w:w="851" w:type="dxa"/>
            <w:tcBorders>
              <w:top w:val="single" w:sz="4" w:space="0" w:color="auto"/>
              <w:bottom w:val="single" w:sz="4" w:space="0" w:color="auto"/>
            </w:tcBorders>
            <w:shd w:val="clear" w:color="auto" w:fill="FFFFFF" w:themeFill="background1"/>
            <w:noWrap/>
            <w:vAlign w:val="center"/>
            <w:hideMark/>
          </w:tcPr>
          <w:p w14:paraId="5913CB69" w14:textId="77777777" w:rsidR="00D22016" w:rsidRPr="004829A5" w:rsidRDefault="00D22016" w:rsidP="00D22016">
            <w:pPr>
              <w:spacing w:line="240" w:lineRule="auto"/>
              <w:ind w:left="-73"/>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Reference</w:t>
            </w:r>
          </w:p>
        </w:tc>
        <w:tc>
          <w:tcPr>
            <w:tcW w:w="1134" w:type="dxa"/>
            <w:tcBorders>
              <w:top w:val="single" w:sz="4" w:space="0" w:color="auto"/>
              <w:bottom w:val="single" w:sz="4" w:space="0" w:color="auto"/>
            </w:tcBorders>
            <w:shd w:val="clear" w:color="auto" w:fill="FFFFFF" w:themeFill="background1"/>
            <w:vAlign w:val="center"/>
            <w:hideMark/>
          </w:tcPr>
          <w:p w14:paraId="676F50EF"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Number of original studies on psychosocial determinants of AP intake</w:t>
            </w:r>
          </w:p>
        </w:tc>
        <w:tc>
          <w:tcPr>
            <w:tcW w:w="850" w:type="dxa"/>
            <w:tcBorders>
              <w:top w:val="single" w:sz="4" w:space="0" w:color="auto"/>
              <w:bottom w:val="single" w:sz="4" w:space="0" w:color="auto"/>
            </w:tcBorders>
            <w:shd w:val="clear" w:color="auto" w:fill="FFFFFF" w:themeFill="background1"/>
            <w:vAlign w:val="center"/>
            <w:hideMark/>
          </w:tcPr>
          <w:p w14:paraId="3480E034" w14:textId="77777777" w:rsidR="00D22016" w:rsidRPr="004829A5" w:rsidRDefault="00D22016" w:rsidP="00D22016">
            <w:pPr>
              <w:spacing w:line="240" w:lineRule="auto"/>
              <w:ind w:left="23"/>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Number of original studies</w:t>
            </w:r>
          </w:p>
        </w:tc>
        <w:tc>
          <w:tcPr>
            <w:tcW w:w="851" w:type="dxa"/>
            <w:tcBorders>
              <w:top w:val="single" w:sz="4" w:space="0" w:color="auto"/>
              <w:bottom w:val="single" w:sz="4" w:space="0" w:color="auto"/>
            </w:tcBorders>
            <w:shd w:val="clear" w:color="auto" w:fill="FFFFFF" w:themeFill="background1"/>
            <w:vAlign w:val="center"/>
            <w:hideMark/>
          </w:tcPr>
          <w:p w14:paraId="4F25FCA3" w14:textId="77777777" w:rsidR="00D22016" w:rsidRPr="004829A5" w:rsidRDefault="00D22016" w:rsidP="00D22016">
            <w:pPr>
              <w:spacing w:line="240" w:lineRule="auto"/>
              <w:ind w:left="58"/>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Region/country where the original studies were conducted</w:t>
            </w:r>
          </w:p>
        </w:tc>
        <w:tc>
          <w:tcPr>
            <w:tcW w:w="850" w:type="dxa"/>
            <w:tcBorders>
              <w:top w:val="single" w:sz="4" w:space="0" w:color="auto"/>
              <w:bottom w:val="single" w:sz="4" w:space="0" w:color="auto"/>
            </w:tcBorders>
            <w:shd w:val="clear" w:color="auto" w:fill="FFFFFF" w:themeFill="background1"/>
            <w:vAlign w:val="center"/>
          </w:tcPr>
          <w:p w14:paraId="7F59D992"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Regions</w:t>
            </w:r>
            <w:r w:rsidRPr="004829A5">
              <w:rPr>
                <w:rFonts w:ascii="Times New Roman" w:eastAsia="Times New Roman" w:hAnsi="Times New Roman" w:cs="Times New Roman"/>
                <w:b/>
                <w:bCs/>
                <w:color w:val="auto"/>
                <w:sz w:val="16"/>
                <w:szCs w:val="16"/>
                <w:vertAlign w:val="superscript"/>
                <w:lang w:eastAsia="pl-PL"/>
              </w:rPr>
              <w:t>*</w:t>
            </w:r>
          </w:p>
        </w:tc>
        <w:tc>
          <w:tcPr>
            <w:tcW w:w="1134" w:type="dxa"/>
            <w:tcBorders>
              <w:top w:val="single" w:sz="4" w:space="0" w:color="auto"/>
              <w:bottom w:val="single" w:sz="4" w:space="0" w:color="auto"/>
            </w:tcBorders>
            <w:shd w:val="clear" w:color="auto" w:fill="FFFFFF" w:themeFill="background1"/>
            <w:vAlign w:val="center"/>
            <w:hideMark/>
          </w:tcPr>
          <w:p w14:paraId="34FCA682"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Was any theory/framework used to guide/organize the findings of the systematic review?</w:t>
            </w:r>
          </w:p>
        </w:tc>
        <w:tc>
          <w:tcPr>
            <w:tcW w:w="851" w:type="dxa"/>
            <w:tcBorders>
              <w:top w:val="single" w:sz="4" w:space="0" w:color="auto"/>
              <w:bottom w:val="single" w:sz="4" w:space="0" w:color="auto"/>
            </w:tcBorders>
            <w:shd w:val="clear" w:color="auto" w:fill="FFFFFF" w:themeFill="background1"/>
            <w:vAlign w:val="center"/>
            <w:hideMark/>
          </w:tcPr>
          <w:p w14:paraId="5B8C956D"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Design of original studies:</w:t>
            </w:r>
          </w:p>
          <w:p w14:paraId="3B4D6C63"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a) quantitative</w:t>
            </w:r>
          </w:p>
          <w:p w14:paraId="2443DA1F"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b) qualitative</w:t>
            </w:r>
          </w:p>
          <w:p w14:paraId="5A13AE07"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c) mixed methods</w:t>
            </w:r>
          </w:p>
        </w:tc>
        <w:tc>
          <w:tcPr>
            <w:tcW w:w="992" w:type="dxa"/>
            <w:tcBorders>
              <w:top w:val="single" w:sz="4" w:space="0" w:color="auto"/>
              <w:bottom w:val="single" w:sz="4" w:space="0" w:color="auto"/>
            </w:tcBorders>
            <w:shd w:val="clear" w:color="auto" w:fill="FFFFFF" w:themeFill="background1"/>
            <w:vAlign w:val="center"/>
            <w:hideMark/>
          </w:tcPr>
          <w:p w14:paraId="4008296B" w14:textId="77777777" w:rsidR="00D22016" w:rsidRPr="004829A5" w:rsidRDefault="00D22016" w:rsidP="00D22016">
            <w:pPr>
              <w:spacing w:line="240" w:lineRule="auto"/>
              <w:ind w:left="49"/>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Objectives of the systematic review</w:t>
            </w:r>
          </w:p>
        </w:tc>
        <w:tc>
          <w:tcPr>
            <w:tcW w:w="567" w:type="dxa"/>
            <w:tcBorders>
              <w:top w:val="single" w:sz="4" w:space="0" w:color="auto"/>
              <w:bottom w:val="single" w:sz="4" w:space="0" w:color="auto"/>
            </w:tcBorders>
            <w:shd w:val="clear" w:color="auto" w:fill="FFFFFF" w:themeFill="background1"/>
            <w:vAlign w:val="center"/>
            <w:hideMark/>
          </w:tcPr>
          <w:p w14:paraId="1429D6C6"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i/>
                <w:iCs/>
                <w:color w:val="auto"/>
                <w:sz w:val="16"/>
                <w:szCs w:val="16"/>
                <w:lang w:eastAsia="pl-PL"/>
              </w:rPr>
              <w:t>N</w:t>
            </w:r>
            <w:r w:rsidRPr="004829A5">
              <w:rPr>
                <w:rFonts w:ascii="Times New Roman" w:eastAsia="Times New Roman" w:hAnsi="Times New Roman" w:cs="Times New Roman"/>
                <w:b/>
                <w:bCs/>
                <w:color w:val="auto"/>
                <w:sz w:val="16"/>
                <w:szCs w:val="16"/>
                <w:lang w:eastAsia="pl-PL"/>
              </w:rPr>
              <w:t xml:space="preserve"> of participants</w:t>
            </w:r>
          </w:p>
        </w:tc>
        <w:tc>
          <w:tcPr>
            <w:tcW w:w="992" w:type="dxa"/>
            <w:tcBorders>
              <w:top w:val="single" w:sz="4" w:space="0" w:color="auto"/>
              <w:bottom w:val="single" w:sz="4" w:space="0" w:color="auto"/>
            </w:tcBorders>
            <w:shd w:val="clear" w:color="auto" w:fill="FFFFFF" w:themeFill="background1"/>
            <w:vAlign w:val="center"/>
            <w:hideMark/>
          </w:tcPr>
          <w:p w14:paraId="242128CC" w14:textId="77777777" w:rsidR="00D22016" w:rsidRPr="004829A5" w:rsidRDefault="00D22016" w:rsidP="00D22016">
            <w:pPr>
              <w:spacing w:line="240" w:lineRule="auto"/>
              <w:ind w:left="-14"/>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Population</w:t>
            </w:r>
          </w:p>
        </w:tc>
        <w:tc>
          <w:tcPr>
            <w:tcW w:w="968" w:type="dxa"/>
            <w:tcBorders>
              <w:top w:val="single" w:sz="4" w:space="0" w:color="auto"/>
              <w:bottom w:val="single" w:sz="4" w:space="0" w:color="auto"/>
            </w:tcBorders>
            <w:shd w:val="clear" w:color="auto" w:fill="FFFFFF" w:themeFill="background1"/>
            <w:vAlign w:val="center"/>
            <w:hideMark/>
          </w:tcPr>
          <w:p w14:paraId="2726DCCC" w14:textId="77777777" w:rsidR="00D22016" w:rsidRPr="004829A5" w:rsidRDefault="00D22016" w:rsidP="00D22016">
            <w:pPr>
              <w:spacing w:line="240" w:lineRule="auto"/>
              <w:ind w:left="21"/>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Type of review (systematic review, scoping review, narrative review etc.)</w:t>
            </w:r>
          </w:p>
        </w:tc>
        <w:tc>
          <w:tcPr>
            <w:tcW w:w="733" w:type="dxa"/>
            <w:tcBorders>
              <w:top w:val="single" w:sz="4" w:space="0" w:color="auto"/>
              <w:bottom w:val="single" w:sz="4" w:space="0" w:color="auto"/>
            </w:tcBorders>
            <w:shd w:val="clear" w:color="auto" w:fill="FFFFFF" w:themeFill="background1"/>
            <w:vAlign w:val="center"/>
            <w:hideMark/>
          </w:tcPr>
          <w:p w14:paraId="18F14AEA"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Time span of original studies</w:t>
            </w:r>
          </w:p>
        </w:tc>
        <w:tc>
          <w:tcPr>
            <w:tcW w:w="851" w:type="dxa"/>
            <w:tcBorders>
              <w:top w:val="single" w:sz="4" w:space="0" w:color="auto"/>
              <w:bottom w:val="single" w:sz="4" w:space="0" w:color="auto"/>
            </w:tcBorders>
            <w:shd w:val="clear" w:color="auto" w:fill="FFFFFF" w:themeFill="background1"/>
            <w:vAlign w:val="center"/>
          </w:tcPr>
          <w:p w14:paraId="7BD3AD73"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Funding</w:t>
            </w:r>
          </w:p>
        </w:tc>
        <w:tc>
          <w:tcPr>
            <w:tcW w:w="992" w:type="dxa"/>
            <w:tcBorders>
              <w:top w:val="single" w:sz="4" w:space="0" w:color="auto"/>
              <w:bottom w:val="single" w:sz="4" w:space="0" w:color="auto"/>
            </w:tcBorders>
            <w:shd w:val="clear" w:color="auto" w:fill="FFFFFF" w:themeFill="background1"/>
            <w:vAlign w:val="center"/>
          </w:tcPr>
          <w:p w14:paraId="02B208B2"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Conflict of interest</w:t>
            </w:r>
          </w:p>
        </w:tc>
        <w:tc>
          <w:tcPr>
            <w:tcW w:w="992" w:type="dxa"/>
            <w:tcBorders>
              <w:top w:val="single" w:sz="4" w:space="0" w:color="auto"/>
              <w:bottom w:val="single" w:sz="4" w:space="0" w:color="auto"/>
            </w:tcBorders>
            <w:shd w:val="clear" w:color="auto" w:fill="FFFFFF" w:themeFill="background1"/>
            <w:vAlign w:val="center"/>
          </w:tcPr>
          <w:p w14:paraId="03044825" w14:textId="65EAC7C4" w:rsidR="00D22016" w:rsidRPr="004829A5" w:rsidRDefault="005E43F3"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b/>
                <w:bCs/>
                <w:color w:val="auto"/>
                <w:sz w:val="16"/>
                <w:szCs w:val="16"/>
                <w:lang w:eastAsia="pl-PL"/>
              </w:rPr>
              <w:t xml:space="preserve">How many </w:t>
            </w:r>
            <w:r w:rsidR="00D22016" w:rsidRPr="004829A5">
              <w:rPr>
                <w:rFonts w:ascii="Times New Roman" w:eastAsia="Times New Roman" w:hAnsi="Times New Roman" w:cs="Times New Roman"/>
                <w:b/>
                <w:bCs/>
                <w:color w:val="auto"/>
                <w:sz w:val="16"/>
                <w:szCs w:val="16"/>
                <w:lang w:eastAsia="pl-PL"/>
              </w:rPr>
              <w:t xml:space="preserve">times </w:t>
            </w:r>
            <w:r w:rsidRPr="004829A5">
              <w:rPr>
                <w:rFonts w:ascii="Times New Roman" w:eastAsia="Times New Roman" w:hAnsi="Times New Roman" w:cs="Times New Roman"/>
                <w:b/>
                <w:bCs/>
                <w:color w:val="auto"/>
                <w:sz w:val="16"/>
                <w:szCs w:val="16"/>
                <w:lang w:eastAsia="pl-PL"/>
              </w:rPr>
              <w:t xml:space="preserve">data from the respective </w:t>
            </w:r>
            <w:r w:rsidR="00D22016" w:rsidRPr="004829A5">
              <w:rPr>
                <w:rFonts w:ascii="Times New Roman" w:eastAsia="Times New Roman" w:hAnsi="Times New Roman" w:cs="Times New Roman"/>
                <w:b/>
                <w:bCs/>
                <w:color w:val="auto"/>
                <w:sz w:val="16"/>
                <w:szCs w:val="16"/>
                <w:lang w:eastAsia="pl-PL"/>
              </w:rPr>
              <w:t>review were included in analyses</w:t>
            </w:r>
            <w:r w:rsidRPr="004829A5">
              <w:rPr>
                <w:rFonts w:ascii="Times New Roman" w:eastAsia="Times New Roman" w:hAnsi="Times New Roman" w:cs="Times New Roman"/>
                <w:b/>
                <w:bCs/>
                <w:color w:val="auto"/>
                <w:sz w:val="16"/>
                <w:szCs w:val="16"/>
                <w:lang w:eastAsia="pl-PL"/>
              </w:rPr>
              <w:t xml:space="preserve"> conducted in this meta-review?</w:t>
            </w:r>
          </w:p>
        </w:tc>
        <w:tc>
          <w:tcPr>
            <w:tcW w:w="993" w:type="dxa"/>
            <w:tcBorders>
              <w:top w:val="single" w:sz="4" w:space="0" w:color="auto"/>
              <w:left w:val="nil"/>
              <w:bottom w:val="single" w:sz="4" w:space="0" w:color="auto"/>
            </w:tcBorders>
            <w:shd w:val="clear" w:color="auto" w:fill="auto"/>
            <w:vAlign w:val="center"/>
          </w:tcPr>
          <w:p w14:paraId="4D84C4F7" w14:textId="130C7CBA"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hAnsi="Times New Roman" w:cs="Times New Roman"/>
                <w:b/>
                <w:bCs/>
                <w:color w:val="auto"/>
                <w:sz w:val="16"/>
                <w:szCs w:val="16"/>
              </w:rPr>
              <w:t xml:space="preserve">Design of original studies (number of experimental studies as reported in the results of the </w:t>
            </w:r>
            <w:r w:rsidR="005E43F3" w:rsidRPr="004829A5">
              <w:rPr>
                <w:rFonts w:ascii="Times New Roman" w:hAnsi="Times New Roman" w:cs="Times New Roman"/>
                <w:b/>
                <w:bCs/>
                <w:color w:val="auto"/>
                <w:sz w:val="16"/>
                <w:szCs w:val="16"/>
              </w:rPr>
              <w:t xml:space="preserve">included </w:t>
            </w:r>
            <w:r w:rsidRPr="004829A5">
              <w:rPr>
                <w:rFonts w:ascii="Times New Roman" w:hAnsi="Times New Roman" w:cs="Times New Roman"/>
                <w:b/>
                <w:bCs/>
                <w:color w:val="auto"/>
                <w:sz w:val="16"/>
                <w:szCs w:val="16"/>
              </w:rPr>
              <w:t>review)</w:t>
            </w:r>
          </w:p>
        </w:tc>
        <w:tc>
          <w:tcPr>
            <w:tcW w:w="1419" w:type="dxa"/>
            <w:tcBorders>
              <w:top w:val="single" w:sz="4" w:space="0" w:color="auto"/>
              <w:left w:val="nil"/>
              <w:bottom w:val="single" w:sz="4" w:space="0" w:color="auto"/>
            </w:tcBorders>
            <w:shd w:val="clear" w:color="auto" w:fill="auto"/>
            <w:vAlign w:val="center"/>
          </w:tcPr>
          <w:p w14:paraId="54C8197A" w14:textId="2E76D5E8"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hAnsi="Times New Roman" w:cs="Times New Roman"/>
                <w:b/>
                <w:bCs/>
                <w:color w:val="auto"/>
                <w:sz w:val="16"/>
                <w:szCs w:val="16"/>
              </w:rPr>
              <w:t xml:space="preserve">Dependent variable: Actual intake/consumption (as reported in the results section of the original review included in </w:t>
            </w:r>
            <w:r w:rsidR="005E43F3" w:rsidRPr="004829A5">
              <w:rPr>
                <w:rFonts w:ascii="Times New Roman" w:hAnsi="Times New Roman" w:cs="Times New Roman"/>
                <w:b/>
                <w:bCs/>
                <w:color w:val="auto"/>
                <w:sz w:val="16"/>
                <w:szCs w:val="16"/>
              </w:rPr>
              <w:t>this meta-review</w:t>
            </w:r>
            <w:r w:rsidRPr="004829A5">
              <w:rPr>
                <w:rFonts w:ascii="Times New Roman" w:hAnsi="Times New Roman" w:cs="Times New Roman"/>
                <w:b/>
                <w:bCs/>
                <w:color w:val="auto"/>
                <w:sz w:val="16"/>
                <w:szCs w:val="16"/>
              </w:rPr>
              <w:t>)</w:t>
            </w:r>
          </w:p>
        </w:tc>
      </w:tr>
      <w:tr w:rsidR="004829A5" w:rsidRPr="004829A5" w14:paraId="199685FB" w14:textId="1B864686" w:rsidTr="00D22016">
        <w:trPr>
          <w:cantSplit/>
          <w:trHeight w:val="1241"/>
        </w:trPr>
        <w:tc>
          <w:tcPr>
            <w:tcW w:w="426" w:type="dxa"/>
            <w:tcBorders>
              <w:top w:val="single" w:sz="4" w:space="0" w:color="auto"/>
            </w:tcBorders>
            <w:shd w:val="clear" w:color="auto" w:fill="auto"/>
            <w:noWrap/>
            <w:vAlign w:val="center"/>
            <w:hideMark/>
          </w:tcPr>
          <w:p w14:paraId="644FDC23"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w:t>
            </w:r>
          </w:p>
        </w:tc>
        <w:tc>
          <w:tcPr>
            <w:tcW w:w="851" w:type="dxa"/>
            <w:tcBorders>
              <w:top w:val="single" w:sz="4" w:space="0" w:color="auto"/>
            </w:tcBorders>
            <w:shd w:val="clear" w:color="auto" w:fill="auto"/>
            <w:vAlign w:val="center"/>
            <w:hideMark/>
          </w:tcPr>
          <w:p w14:paraId="66BD0E98" w14:textId="77777777" w:rsidR="00D22016" w:rsidRPr="004829A5" w:rsidRDefault="00D22016" w:rsidP="00D22016">
            <w:pPr>
              <w:spacing w:line="240" w:lineRule="auto"/>
              <w:ind w:left="-73" w:right="13"/>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Ardoin</w:t>
            </w:r>
            <w:proofErr w:type="spellEnd"/>
            <w:r w:rsidRPr="004829A5">
              <w:rPr>
                <w:rFonts w:ascii="Times New Roman" w:hAnsi="Times New Roman" w:cs="Times New Roman"/>
                <w:color w:val="auto"/>
                <w:sz w:val="16"/>
                <w:szCs w:val="16"/>
              </w:rPr>
              <w:t xml:space="preserve"> &amp; </w:t>
            </w:r>
            <w:proofErr w:type="spellStart"/>
            <w:r w:rsidRPr="004829A5">
              <w:rPr>
                <w:rFonts w:ascii="Times New Roman" w:hAnsi="Times New Roman" w:cs="Times New Roman"/>
                <w:color w:val="auto"/>
                <w:sz w:val="16"/>
                <w:szCs w:val="16"/>
              </w:rPr>
              <w:t>Prinyawiwatkul</w:t>
            </w:r>
            <w:proofErr w:type="spellEnd"/>
            <w:r w:rsidRPr="004829A5">
              <w:rPr>
                <w:rFonts w:ascii="Times New Roman" w:hAnsi="Times New Roman" w:cs="Times New Roman"/>
                <w:color w:val="auto"/>
                <w:sz w:val="16"/>
                <w:szCs w:val="16"/>
              </w:rPr>
              <w:t xml:space="preserve"> (2021)</w:t>
            </w:r>
          </w:p>
        </w:tc>
        <w:tc>
          <w:tcPr>
            <w:tcW w:w="1134" w:type="dxa"/>
            <w:tcBorders>
              <w:top w:val="single" w:sz="4" w:space="0" w:color="auto"/>
            </w:tcBorders>
            <w:shd w:val="clear" w:color="auto" w:fill="auto"/>
            <w:noWrap/>
            <w:vAlign w:val="center"/>
            <w:hideMark/>
          </w:tcPr>
          <w:p w14:paraId="7DE5BBE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w:t>
            </w:r>
          </w:p>
        </w:tc>
        <w:tc>
          <w:tcPr>
            <w:tcW w:w="850" w:type="dxa"/>
            <w:tcBorders>
              <w:top w:val="single" w:sz="4" w:space="0" w:color="auto"/>
            </w:tcBorders>
            <w:shd w:val="clear" w:color="auto" w:fill="auto"/>
            <w:noWrap/>
            <w:vAlign w:val="center"/>
            <w:hideMark/>
          </w:tcPr>
          <w:p w14:paraId="716763B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13</w:t>
            </w:r>
          </w:p>
        </w:tc>
        <w:tc>
          <w:tcPr>
            <w:tcW w:w="851" w:type="dxa"/>
            <w:tcBorders>
              <w:top w:val="single" w:sz="4" w:space="0" w:color="auto"/>
            </w:tcBorders>
            <w:shd w:val="clear" w:color="auto" w:fill="auto"/>
            <w:vAlign w:val="center"/>
            <w:hideMark/>
          </w:tcPr>
          <w:p w14:paraId="26693D9F"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USA, Italy, Switzerland</w:t>
            </w:r>
          </w:p>
        </w:tc>
        <w:tc>
          <w:tcPr>
            <w:tcW w:w="850" w:type="dxa"/>
            <w:tcBorders>
              <w:top w:val="single" w:sz="4" w:space="0" w:color="auto"/>
            </w:tcBorders>
            <w:vAlign w:val="center"/>
          </w:tcPr>
          <w:p w14:paraId="2E6DC40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tcBorders>
              <w:top w:val="single" w:sz="4" w:space="0" w:color="auto"/>
            </w:tcBorders>
            <w:shd w:val="clear" w:color="auto" w:fill="auto"/>
            <w:vAlign w:val="center"/>
            <w:hideMark/>
          </w:tcPr>
          <w:p w14:paraId="4405C3B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tcBorders>
              <w:top w:val="single" w:sz="4" w:space="0" w:color="auto"/>
            </w:tcBorders>
            <w:shd w:val="clear" w:color="auto" w:fill="auto"/>
            <w:vAlign w:val="center"/>
            <w:hideMark/>
          </w:tcPr>
          <w:p w14:paraId="2C3128E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tcBorders>
              <w:top w:val="single" w:sz="4" w:space="0" w:color="auto"/>
            </w:tcBorders>
            <w:shd w:val="clear" w:color="auto" w:fill="auto"/>
            <w:vAlign w:val="center"/>
            <w:hideMark/>
          </w:tcPr>
          <w:p w14:paraId="74FB0A52"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review discusses current trends in perceptual entomophagy research in Australia, Canada, Europe and the USA since 2015, along with an analysis of the guiding theoretical approaches to predicting insect consumption.</w:t>
            </w:r>
          </w:p>
        </w:tc>
        <w:tc>
          <w:tcPr>
            <w:tcW w:w="567" w:type="dxa"/>
            <w:tcBorders>
              <w:top w:val="single" w:sz="4" w:space="0" w:color="auto"/>
            </w:tcBorders>
            <w:shd w:val="clear" w:color="auto" w:fill="auto"/>
            <w:vAlign w:val="center"/>
            <w:hideMark/>
          </w:tcPr>
          <w:p w14:paraId="5DC7D4E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tcBorders>
              <w:top w:val="single" w:sz="4" w:space="0" w:color="auto"/>
            </w:tcBorders>
            <w:shd w:val="clear" w:color="auto" w:fill="auto"/>
            <w:vAlign w:val="center"/>
            <w:hideMark/>
          </w:tcPr>
          <w:p w14:paraId="563FE8DA"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tcBorders>
              <w:top w:val="single" w:sz="4" w:space="0" w:color="auto"/>
            </w:tcBorders>
            <w:shd w:val="clear" w:color="auto" w:fill="auto"/>
            <w:vAlign w:val="center"/>
            <w:hideMark/>
          </w:tcPr>
          <w:p w14:paraId="6CD4D6D9"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tcBorders>
              <w:top w:val="single" w:sz="4" w:space="0" w:color="auto"/>
            </w:tcBorders>
            <w:shd w:val="clear" w:color="auto" w:fill="auto"/>
            <w:vAlign w:val="center"/>
            <w:hideMark/>
          </w:tcPr>
          <w:p w14:paraId="3C43330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2015-2020</w:t>
            </w:r>
          </w:p>
        </w:tc>
        <w:tc>
          <w:tcPr>
            <w:tcW w:w="851" w:type="dxa"/>
            <w:tcBorders>
              <w:top w:val="single" w:sz="4" w:space="0" w:color="auto"/>
            </w:tcBorders>
            <w:vAlign w:val="center"/>
          </w:tcPr>
          <w:p w14:paraId="79085DB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study was supported by the USDA NIFA Hatch</w:t>
            </w:r>
          </w:p>
          <w:p w14:paraId="50FF2F3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project LAB94473, Louisiana State University </w:t>
            </w:r>
            <w:proofErr w:type="spellStart"/>
            <w:r w:rsidRPr="004829A5">
              <w:rPr>
                <w:rFonts w:ascii="Times New Roman" w:eastAsia="Times New Roman" w:hAnsi="Times New Roman" w:cs="Times New Roman"/>
                <w:color w:val="auto"/>
                <w:sz w:val="16"/>
                <w:szCs w:val="16"/>
                <w:lang w:eastAsia="pl-PL"/>
              </w:rPr>
              <w:t>Agricul</w:t>
            </w:r>
            <w:proofErr w:type="spellEnd"/>
            <w:r w:rsidRPr="004829A5">
              <w:rPr>
                <w:rFonts w:ascii="Times New Roman" w:eastAsia="Times New Roman" w:hAnsi="Times New Roman" w:cs="Times New Roman"/>
                <w:color w:val="auto"/>
                <w:sz w:val="16"/>
                <w:szCs w:val="16"/>
                <w:lang w:eastAsia="pl-PL"/>
              </w:rPr>
              <w:t>-</w:t>
            </w:r>
          </w:p>
          <w:p w14:paraId="68C2F14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eastAsia="Times New Roman" w:hAnsi="Times New Roman" w:cs="Times New Roman"/>
                <w:color w:val="auto"/>
                <w:sz w:val="16"/>
                <w:szCs w:val="16"/>
                <w:lang w:eastAsia="pl-PL"/>
              </w:rPr>
              <w:t>tural</w:t>
            </w:r>
            <w:proofErr w:type="spellEnd"/>
            <w:r w:rsidRPr="004829A5">
              <w:rPr>
                <w:rFonts w:ascii="Times New Roman" w:eastAsia="Times New Roman" w:hAnsi="Times New Roman" w:cs="Times New Roman"/>
                <w:color w:val="auto"/>
                <w:sz w:val="16"/>
                <w:szCs w:val="16"/>
                <w:lang w:eastAsia="pl-PL"/>
              </w:rPr>
              <w:t xml:space="preserve"> Center.</w:t>
            </w:r>
          </w:p>
        </w:tc>
        <w:tc>
          <w:tcPr>
            <w:tcW w:w="992" w:type="dxa"/>
            <w:tcBorders>
              <w:top w:val="single" w:sz="4" w:space="0" w:color="auto"/>
            </w:tcBorders>
            <w:vAlign w:val="center"/>
          </w:tcPr>
          <w:p w14:paraId="19AEEF4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tcBorders>
              <w:top w:val="single" w:sz="4" w:space="0" w:color="auto"/>
            </w:tcBorders>
            <w:vAlign w:val="center"/>
          </w:tcPr>
          <w:p w14:paraId="671E89B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w:t>
            </w:r>
          </w:p>
        </w:tc>
        <w:tc>
          <w:tcPr>
            <w:tcW w:w="993" w:type="dxa"/>
            <w:tcBorders>
              <w:top w:val="nil"/>
              <w:left w:val="nil"/>
              <w:bottom w:val="nil"/>
              <w:right w:val="nil"/>
            </w:tcBorders>
            <w:shd w:val="clear" w:color="auto" w:fill="auto"/>
            <w:vAlign w:val="center"/>
          </w:tcPr>
          <w:p w14:paraId="4BE8ECA7" w14:textId="123F1A8A"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781F69B8" w14:textId="4F038DFF"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20BF5239" w14:textId="6827C24F" w:rsidTr="00D22016">
        <w:trPr>
          <w:cantSplit/>
          <w:trHeight w:val="1408"/>
        </w:trPr>
        <w:tc>
          <w:tcPr>
            <w:tcW w:w="426" w:type="dxa"/>
            <w:shd w:val="clear" w:color="auto" w:fill="auto"/>
            <w:noWrap/>
            <w:vAlign w:val="center"/>
            <w:hideMark/>
          </w:tcPr>
          <w:p w14:paraId="3E9EA6C1"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w:t>
            </w:r>
          </w:p>
        </w:tc>
        <w:tc>
          <w:tcPr>
            <w:tcW w:w="851" w:type="dxa"/>
            <w:shd w:val="clear" w:color="auto" w:fill="auto"/>
            <w:vAlign w:val="center"/>
            <w:hideMark/>
          </w:tcPr>
          <w:p w14:paraId="67701945" w14:textId="77777777" w:rsidR="00D22016" w:rsidRPr="004829A5" w:rsidRDefault="00D22016" w:rsidP="00D22016">
            <w:pPr>
              <w:spacing w:line="240" w:lineRule="auto"/>
              <w:ind w:left="-73"/>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Baiano</w:t>
            </w:r>
            <w:proofErr w:type="spellEnd"/>
            <w:r w:rsidRPr="004829A5">
              <w:rPr>
                <w:rFonts w:ascii="Times New Roman" w:hAnsi="Times New Roman" w:cs="Times New Roman"/>
                <w:color w:val="auto"/>
                <w:sz w:val="16"/>
                <w:szCs w:val="16"/>
              </w:rPr>
              <w:t xml:space="preserve"> (2022)</w:t>
            </w:r>
          </w:p>
        </w:tc>
        <w:tc>
          <w:tcPr>
            <w:tcW w:w="1134" w:type="dxa"/>
            <w:shd w:val="clear" w:color="auto" w:fill="auto"/>
            <w:noWrap/>
            <w:vAlign w:val="center"/>
            <w:hideMark/>
          </w:tcPr>
          <w:p w14:paraId="5286602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8</w:t>
            </w:r>
          </w:p>
        </w:tc>
        <w:tc>
          <w:tcPr>
            <w:tcW w:w="850" w:type="dxa"/>
            <w:shd w:val="clear" w:color="auto" w:fill="auto"/>
            <w:noWrap/>
            <w:vAlign w:val="center"/>
            <w:hideMark/>
          </w:tcPr>
          <w:p w14:paraId="0822B9B1"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261</w:t>
            </w:r>
          </w:p>
        </w:tc>
        <w:tc>
          <w:tcPr>
            <w:tcW w:w="851" w:type="dxa"/>
            <w:shd w:val="clear" w:color="auto" w:fill="auto"/>
            <w:vAlign w:val="center"/>
            <w:hideMark/>
          </w:tcPr>
          <w:p w14:paraId="373A7DC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Switzerland, Australia, Canada</w:t>
            </w:r>
          </w:p>
        </w:tc>
        <w:tc>
          <w:tcPr>
            <w:tcW w:w="850" w:type="dxa"/>
            <w:vAlign w:val="center"/>
          </w:tcPr>
          <w:p w14:paraId="59F7801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D) EUR, AUS/NZ, USA, CAN or more than 50% of countries (i.e., mainly these countries) + incl at least </w:t>
            </w:r>
            <w:r w:rsidRPr="004829A5">
              <w:rPr>
                <w:rFonts w:ascii="Times New Roman" w:eastAsia="Times New Roman" w:hAnsi="Times New Roman" w:cs="Times New Roman"/>
                <w:i/>
                <w:iCs/>
                <w:color w:val="auto"/>
                <w:sz w:val="16"/>
                <w:szCs w:val="16"/>
                <w:lang w:eastAsia="pl-PL"/>
              </w:rPr>
              <w:t>n</w:t>
            </w:r>
            <w:r w:rsidRPr="004829A5">
              <w:rPr>
                <w:rFonts w:ascii="Times New Roman" w:eastAsia="Times New Roman" w:hAnsi="Times New Roman" w:cs="Times New Roman"/>
                <w:color w:val="auto"/>
                <w:sz w:val="16"/>
                <w:szCs w:val="16"/>
                <w:lang w:eastAsia="pl-PL"/>
              </w:rPr>
              <w:t xml:space="preserve"> = 1 EUR country</w:t>
            </w:r>
          </w:p>
        </w:tc>
        <w:tc>
          <w:tcPr>
            <w:tcW w:w="1134" w:type="dxa"/>
            <w:shd w:val="clear" w:color="auto" w:fill="auto"/>
            <w:vAlign w:val="center"/>
            <w:hideMark/>
          </w:tcPr>
          <w:p w14:paraId="06FA2C4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4680860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4BA311F6"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work is aimed to</w:t>
            </w:r>
            <w:r w:rsidRPr="004829A5">
              <w:rPr>
                <w:rFonts w:ascii="Times New Roman" w:eastAsia="Times New Roman" w:hAnsi="Times New Roman" w:cs="Times New Roman"/>
                <w:color w:val="auto"/>
                <w:sz w:val="16"/>
                <w:szCs w:val="16"/>
                <w:lang w:eastAsia="pl-PL"/>
              </w:rPr>
              <w:br/>
              <w:t>provide a comprehensive overview of 3D printed foods.</w:t>
            </w:r>
          </w:p>
        </w:tc>
        <w:tc>
          <w:tcPr>
            <w:tcW w:w="567" w:type="dxa"/>
            <w:shd w:val="clear" w:color="auto" w:fill="auto"/>
            <w:vAlign w:val="center"/>
            <w:hideMark/>
          </w:tcPr>
          <w:p w14:paraId="49F4EC8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649</w:t>
            </w:r>
          </w:p>
        </w:tc>
        <w:tc>
          <w:tcPr>
            <w:tcW w:w="992" w:type="dxa"/>
            <w:shd w:val="clear" w:color="auto" w:fill="auto"/>
            <w:vAlign w:val="center"/>
            <w:hideMark/>
          </w:tcPr>
          <w:p w14:paraId="5422A89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50A9C55A"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1C04DF2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2010-2020</w:t>
            </w:r>
          </w:p>
        </w:tc>
        <w:tc>
          <w:tcPr>
            <w:tcW w:w="851" w:type="dxa"/>
            <w:vAlign w:val="center"/>
          </w:tcPr>
          <w:p w14:paraId="01F152E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220728B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07B0B29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w:t>
            </w:r>
          </w:p>
        </w:tc>
        <w:tc>
          <w:tcPr>
            <w:tcW w:w="993" w:type="dxa"/>
            <w:tcBorders>
              <w:top w:val="nil"/>
              <w:left w:val="nil"/>
              <w:bottom w:val="nil"/>
              <w:right w:val="nil"/>
            </w:tcBorders>
            <w:shd w:val="clear" w:color="auto" w:fill="auto"/>
            <w:vAlign w:val="center"/>
          </w:tcPr>
          <w:p w14:paraId="00879552" w14:textId="19E9E226"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231E03E6" w14:textId="566B3EAF"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54FDAC0F" w14:textId="51886612" w:rsidTr="00D22016">
        <w:trPr>
          <w:cantSplit/>
          <w:trHeight w:val="424"/>
        </w:trPr>
        <w:tc>
          <w:tcPr>
            <w:tcW w:w="426" w:type="dxa"/>
            <w:shd w:val="clear" w:color="auto" w:fill="auto"/>
            <w:noWrap/>
            <w:vAlign w:val="center"/>
            <w:hideMark/>
          </w:tcPr>
          <w:p w14:paraId="66C21D9C"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3</w:t>
            </w:r>
          </w:p>
        </w:tc>
        <w:tc>
          <w:tcPr>
            <w:tcW w:w="851" w:type="dxa"/>
            <w:shd w:val="clear" w:color="auto" w:fill="auto"/>
            <w:vAlign w:val="center"/>
            <w:hideMark/>
          </w:tcPr>
          <w:p w14:paraId="3FF6DFC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Batat</w:t>
            </w:r>
            <w:proofErr w:type="spellEnd"/>
            <w:r w:rsidRPr="004829A5">
              <w:rPr>
                <w:rFonts w:ascii="Times New Roman" w:hAnsi="Times New Roman" w:cs="Times New Roman"/>
                <w:color w:val="auto"/>
                <w:sz w:val="16"/>
                <w:szCs w:val="16"/>
              </w:rPr>
              <w:t xml:space="preserve"> &amp; Peter (2020)</w:t>
            </w:r>
          </w:p>
        </w:tc>
        <w:tc>
          <w:tcPr>
            <w:tcW w:w="1134" w:type="dxa"/>
            <w:shd w:val="clear" w:color="auto" w:fill="auto"/>
            <w:noWrap/>
            <w:vAlign w:val="center"/>
            <w:hideMark/>
          </w:tcPr>
          <w:p w14:paraId="7CF2F98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105AB683"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031881C1"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vAlign w:val="center"/>
          </w:tcPr>
          <w:p w14:paraId="5E368B8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1134" w:type="dxa"/>
            <w:shd w:val="clear" w:color="auto" w:fill="auto"/>
            <w:vAlign w:val="center"/>
            <w:hideMark/>
          </w:tcPr>
          <w:p w14:paraId="6D9284C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28FD41A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16CD7346"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purpose of this paper introduces entomophagy as an alternative food consumption (AFC) capable of contributing to food well-being (FWB) among Western consumers. Specifically, it provides a conceptual framework where key factors related to the acceptance and adoption of insects and insect based foods are identified.</w:t>
            </w:r>
          </w:p>
        </w:tc>
        <w:tc>
          <w:tcPr>
            <w:tcW w:w="567" w:type="dxa"/>
            <w:shd w:val="clear" w:color="auto" w:fill="auto"/>
            <w:vAlign w:val="center"/>
            <w:hideMark/>
          </w:tcPr>
          <w:p w14:paraId="62CC0DB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4936CB5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5622D836"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11CD7E2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vAlign w:val="center"/>
          </w:tcPr>
          <w:p w14:paraId="136CDB7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522CE48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1F492AD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w:t>
            </w:r>
          </w:p>
        </w:tc>
        <w:tc>
          <w:tcPr>
            <w:tcW w:w="993" w:type="dxa"/>
            <w:tcBorders>
              <w:top w:val="nil"/>
              <w:left w:val="nil"/>
              <w:bottom w:val="nil"/>
              <w:right w:val="nil"/>
            </w:tcBorders>
            <w:shd w:val="clear" w:color="auto" w:fill="auto"/>
            <w:vAlign w:val="center"/>
          </w:tcPr>
          <w:p w14:paraId="10D54291" w14:textId="3C95804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361CFB19" w14:textId="6B50B19D"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06A1348C" w14:textId="10D9B1AC" w:rsidTr="00D22016">
        <w:trPr>
          <w:cantSplit/>
          <w:trHeight w:val="2071"/>
        </w:trPr>
        <w:tc>
          <w:tcPr>
            <w:tcW w:w="426" w:type="dxa"/>
            <w:shd w:val="clear" w:color="auto" w:fill="auto"/>
            <w:noWrap/>
            <w:vAlign w:val="center"/>
            <w:hideMark/>
          </w:tcPr>
          <w:p w14:paraId="22BEA480"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4</w:t>
            </w:r>
          </w:p>
        </w:tc>
        <w:tc>
          <w:tcPr>
            <w:tcW w:w="851" w:type="dxa"/>
            <w:shd w:val="clear" w:color="auto" w:fill="auto"/>
            <w:vAlign w:val="center"/>
            <w:hideMark/>
          </w:tcPr>
          <w:p w14:paraId="06B98F4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Dagevos</w:t>
            </w:r>
            <w:proofErr w:type="spellEnd"/>
            <w:r w:rsidRPr="004829A5">
              <w:rPr>
                <w:rFonts w:ascii="Times New Roman" w:hAnsi="Times New Roman" w:cs="Times New Roman"/>
                <w:color w:val="auto"/>
                <w:sz w:val="16"/>
                <w:szCs w:val="16"/>
              </w:rPr>
              <w:t xml:space="preserve"> (2021)</w:t>
            </w:r>
          </w:p>
        </w:tc>
        <w:tc>
          <w:tcPr>
            <w:tcW w:w="1134" w:type="dxa"/>
            <w:shd w:val="clear" w:color="auto" w:fill="auto"/>
            <w:noWrap/>
            <w:vAlign w:val="center"/>
            <w:hideMark/>
          </w:tcPr>
          <w:p w14:paraId="17BB5DC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33</w:t>
            </w:r>
          </w:p>
        </w:tc>
        <w:tc>
          <w:tcPr>
            <w:tcW w:w="850" w:type="dxa"/>
            <w:shd w:val="clear" w:color="auto" w:fill="auto"/>
            <w:noWrap/>
            <w:vAlign w:val="center"/>
            <w:hideMark/>
          </w:tcPr>
          <w:p w14:paraId="0A098F3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33</w:t>
            </w:r>
          </w:p>
        </w:tc>
        <w:tc>
          <w:tcPr>
            <w:tcW w:w="851" w:type="dxa"/>
            <w:shd w:val="clear" w:color="auto" w:fill="auto"/>
            <w:vAlign w:val="center"/>
            <w:hideMark/>
          </w:tcPr>
          <w:p w14:paraId="2BC7BE05"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"Western countries"</w:t>
            </w:r>
          </w:p>
        </w:tc>
        <w:tc>
          <w:tcPr>
            <w:tcW w:w="850" w:type="dxa"/>
            <w:vAlign w:val="center"/>
          </w:tcPr>
          <w:p w14:paraId="28D1908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shd w:val="clear" w:color="auto" w:fill="auto"/>
            <w:vAlign w:val="center"/>
            <w:hideMark/>
          </w:tcPr>
          <w:p w14:paraId="0AA21BD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081261D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444150EC"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literature review presents established threads of research about: (1) Westerners’ unfamiliarity with; and (2) fear of eating insects; or (3) consumer reactions to processed or unprocessed insect food products.</w:t>
            </w:r>
          </w:p>
        </w:tc>
        <w:tc>
          <w:tcPr>
            <w:tcW w:w="567" w:type="dxa"/>
            <w:shd w:val="clear" w:color="auto" w:fill="auto"/>
            <w:vAlign w:val="center"/>
            <w:hideMark/>
          </w:tcPr>
          <w:p w14:paraId="18CA4E5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242B5870"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adults and young adults (</w:t>
            </w:r>
            <w:proofErr w:type="spellStart"/>
            <w:r w:rsidRPr="004829A5">
              <w:rPr>
                <w:rFonts w:ascii="Times New Roman" w:eastAsia="Times New Roman" w:hAnsi="Times New Roman" w:cs="Times New Roman"/>
                <w:color w:val="auto"/>
                <w:sz w:val="16"/>
                <w:szCs w:val="16"/>
                <w:lang w:eastAsia="pl-PL"/>
              </w:rPr>
              <w:t>Millenials</w:t>
            </w:r>
            <w:proofErr w:type="spellEnd"/>
            <w:r w:rsidRPr="004829A5">
              <w:rPr>
                <w:rFonts w:ascii="Times New Roman" w:eastAsia="Times New Roman" w:hAnsi="Times New Roman" w:cs="Times New Roman"/>
                <w:color w:val="auto"/>
                <w:sz w:val="16"/>
                <w:szCs w:val="16"/>
                <w:lang w:eastAsia="pl-PL"/>
              </w:rPr>
              <w:t xml:space="preserve"> and Generation Z), university students, vegan and vegetarians</w:t>
            </w:r>
          </w:p>
        </w:tc>
        <w:tc>
          <w:tcPr>
            <w:tcW w:w="968" w:type="dxa"/>
            <w:shd w:val="clear" w:color="auto" w:fill="auto"/>
            <w:vAlign w:val="center"/>
            <w:hideMark/>
          </w:tcPr>
          <w:p w14:paraId="2DEC8074"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noWrap/>
            <w:vAlign w:val="center"/>
            <w:hideMark/>
          </w:tcPr>
          <w:p w14:paraId="6508ABB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2019</w:t>
            </w:r>
          </w:p>
        </w:tc>
        <w:tc>
          <w:tcPr>
            <w:tcW w:w="851" w:type="dxa"/>
            <w:vAlign w:val="center"/>
          </w:tcPr>
          <w:p w14:paraId="18B099E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4A0DB1A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0A66038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15</w:t>
            </w:r>
          </w:p>
        </w:tc>
        <w:tc>
          <w:tcPr>
            <w:tcW w:w="993" w:type="dxa"/>
            <w:tcBorders>
              <w:top w:val="nil"/>
              <w:left w:val="nil"/>
              <w:bottom w:val="nil"/>
              <w:right w:val="nil"/>
            </w:tcBorders>
            <w:shd w:val="clear" w:color="auto" w:fill="auto"/>
            <w:vAlign w:val="center"/>
          </w:tcPr>
          <w:p w14:paraId="2ECEE7A5" w14:textId="4E661D25"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2F9CCAA7" w14:textId="11BABF69"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78826B90" w14:textId="2D1728F5" w:rsidTr="00D22016">
        <w:trPr>
          <w:cantSplit/>
          <w:trHeight w:val="3830"/>
        </w:trPr>
        <w:tc>
          <w:tcPr>
            <w:tcW w:w="426" w:type="dxa"/>
            <w:shd w:val="clear" w:color="auto" w:fill="auto"/>
            <w:noWrap/>
            <w:vAlign w:val="center"/>
            <w:hideMark/>
          </w:tcPr>
          <w:p w14:paraId="716999AD"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5</w:t>
            </w:r>
          </w:p>
        </w:tc>
        <w:tc>
          <w:tcPr>
            <w:tcW w:w="851" w:type="dxa"/>
            <w:shd w:val="clear" w:color="auto" w:fill="auto"/>
            <w:vAlign w:val="center"/>
            <w:hideMark/>
          </w:tcPr>
          <w:p w14:paraId="7B39723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 xml:space="preserve">De </w:t>
            </w:r>
            <w:proofErr w:type="spellStart"/>
            <w:r w:rsidRPr="004829A5">
              <w:rPr>
                <w:rFonts w:ascii="Times New Roman" w:hAnsi="Times New Roman" w:cs="Times New Roman"/>
                <w:color w:val="auto"/>
                <w:sz w:val="16"/>
                <w:szCs w:val="16"/>
              </w:rPr>
              <w:t>Cianni</w:t>
            </w:r>
            <w:proofErr w:type="spellEnd"/>
            <w:r w:rsidRPr="004829A5">
              <w:rPr>
                <w:rFonts w:ascii="Times New Roman" w:hAnsi="Times New Roman" w:cs="Times New Roman"/>
                <w:color w:val="auto"/>
                <w:sz w:val="16"/>
                <w:szCs w:val="16"/>
              </w:rPr>
              <w:t xml:space="preserve"> et al. (2023)</w:t>
            </w:r>
          </w:p>
        </w:tc>
        <w:tc>
          <w:tcPr>
            <w:tcW w:w="1134" w:type="dxa"/>
            <w:shd w:val="clear" w:color="auto" w:fill="auto"/>
            <w:noWrap/>
            <w:vAlign w:val="center"/>
            <w:hideMark/>
          </w:tcPr>
          <w:p w14:paraId="65E079A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27</w:t>
            </w:r>
          </w:p>
        </w:tc>
        <w:tc>
          <w:tcPr>
            <w:tcW w:w="850" w:type="dxa"/>
            <w:shd w:val="clear" w:color="auto" w:fill="auto"/>
            <w:noWrap/>
            <w:vAlign w:val="center"/>
            <w:hideMark/>
          </w:tcPr>
          <w:p w14:paraId="6FA8FB39"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31</w:t>
            </w:r>
          </w:p>
        </w:tc>
        <w:tc>
          <w:tcPr>
            <w:tcW w:w="851" w:type="dxa"/>
            <w:shd w:val="clear" w:color="auto" w:fill="auto"/>
            <w:vAlign w:val="center"/>
            <w:hideMark/>
          </w:tcPr>
          <w:p w14:paraId="40BAB2F1"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Finland, Brazil, Portugal, Hungary, USA, India, Turkey, Malaysia, Nigeria, Brazil, Mexico, Sweden, Thailand</w:t>
            </w:r>
          </w:p>
        </w:tc>
        <w:tc>
          <w:tcPr>
            <w:tcW w:w="850" w:type="dxa"/>
            <w:vAlign w:val="center"/>
          </w:tcPr>
          <w:p w14:paraId="556F9D7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35F9D1B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4BEF961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shd w:val="clear" w:color="auto" w:fill="auto"/>
            <w:vAlign w:val="center"/>
            <w:hideMark/>
          </w:tcPr>
          <w:p w14:paraId="415D3802"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The main objectives are the identification and shaping of the key factors that determine consumption and purchasing </w:t>
            </w:r>
            <w:proofErr w:type="spellStart"/>
            <w:r w:rsidRPr="004829A5">
              <w:rPr>
                <w:rFonts w:ascii="Times New Roman" w:eastAsia="Times New Roman" w:hAnsi="Times New Roman" w:cs="Times New Roman"/>
                <w:color w:val="auto"/>
                <w:sz w:val="16"/>
                <w:szCs w:val="16"/>
                <w:lang w:eastAsia="pl-PL"/>
              </w:rPr>
              <w:t>behaviour</w:t>
            </w:r>
            <w:proofErr w:type="spellEnd"/>
            <w:r w:rsidRPr="004829A5">
              <w:rPr>
                <w:rFonts w:ascii="Times New Roman" w:eastAsia="Times New Roman" w:hAnsi="Times New Roman" w:cs="Times New Roman"/>
                <w:color w:val="auto"/>
                <w:sz w:val="16"/>
                <w:szCs w:val="16"/>
                <w:lang w:eastAsia="pl-PL"/>
              </w:rPr>
              <w:t xml:space="preserve"> toward edible mushrooms and mushroom products, providing an overview of key research issues and approaches and discussing the implications for industries and policymakers, as well as the identification of research gaps to be addressed in future studies.</w:t>
            </w:r>
          </w:p>
        </w:tc>
        <w:tc>
          <w:tcPr>
            <w:tcW w:w="567" w:type="dxa"/>
            <w:shd w:val="clear" w:color="auto" w:fill="auto"/>
            <w:vAlign w:val="center"/>
            <w:hideMark/>
          </w:tcPr>
          <w:p w14:paraId="303A8E2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516C377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3F9802FB"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45B7269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2000-present</w:t>
            </w:r>
          </w:p>
        </w:tc>
        <w:tc>
          <w:tcPr>
            <w:tcW w:w="851" w:type="dxa"/>
            <w:vAlign w:val="center"/>
          </w:tcPr>
          <w:p w14:paraId="1E50F6D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did not receive any specific grant from funding</w:t>
            </w:r>
          </w:p>
          <w:p w14:paraId="2319F9C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agencies in the public, commercial, or not-for-profit sectors.</w:t>
            </w:r>
          </w:p>
        </w:tc>
        <w:tc>
          <w:tcPr>
            <w:tcW w:w="992" w:type="dxa"/>
            <w:vAlign w:val="center"/>
          </w:tcPr>
          <w:p w14:paraId="3690548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5A07CE4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10</w:t>
            </w:r>
          </w:p>
        </w:tc>
        <w:tc>
          <w:tcPr>
            <w:tcW w:w="993" w:type="dxa"/>
            <w:tcBorders>
              <w:top w:val="nil"/>
              <w:left w:val="nil"/>
              <w:bottom w:val="nil"/>
              <w:right w:val="nil"/>
            </w:tcBorders>
            <w:shd w:val="clear" w:color="auto" w:fill="auto"/>
            <w:vAlign w:val="center"/>
          </w:tcPr>
          <w:p w14:paraId="2E64B23B" w14:textId="3E7904FC"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 experimental studies</w:t>
            </w:r>
          </w:p>
        </w:tc>
        <w:tc>
          <w:tcPr>
            <w:tcW w:w="1419" w:type="dxa"/>
            <w:tcBorders>
              <w:top w:val="nil"/>
              <w:left w:val="nil"/>
              <w:bottom w:val="nil"/>
              <w:right w:val="nil"/>
            </w:tcBorders>
            <w:shd w:val="clear" w:color="auto" w:fill="auto"/>
            <w:vAlign w:val="center"/>
          </w:tcPr>
          <w:p w14:paraId="091ED33D" w14:textId="444DDDDC"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538D9FE5" w14:textId="7E9A8D51" w:rsidTr="00D22016">
        <w:trPr>
          <w:cantSplit/>
          <w:trHeight w:val="752"/>
        </w:trPr>
        <w:tc>
          <w:tcPr>
            <w:tcW w:w="426" w:type="dxa"/>
            <w:shd w:val="clear" w:color="auto" w:fill="auto"/>
            <w:noWrap/>
            <w:vAlign w:val="center"/>
            <w:hideMark/>
          </w:tcPr>
          <w:p w14:paraId="3E655C5D"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w:t>
            </w:r>
          </w:p>
        </w:tc>
        <w:tc>
          <w:tcPr>
            <w:tcW w:w="851" w:type="dxa"/>
            <w:shd w:val="clear" w:color="auto" w:fill="auto"/>
            <w:vAlign w:val="center"/>
            <w:hideMark/>
          </w:tcPr>
          <w:p w14:paraId="519528B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Deroy</w:t>
            </w:r>
            <w:proofErr w:type="spellEnd"/>
            <w:r w:rsidRPr="004829A5">
              <w:rPr>
                <w:rFonts w:ascii="Times New Roman" w:hAnsi="Times New Roman" w:cs="Times New Roman"/>
                <w:color w:val="auto"/>
                <w:sz w:val="16"/>
                <w:szCs w:val="16"/>
              </w:rPr>
              <w:t xml:space="preserve"> et al. (2015)</w:t>
            </w:r>
          </w:p>
        </w:tc>
        <w:tc>
          <w:tcPr>
            <w:tcW w:w="1134" w:type="dxa"/>
            <w:shd w:val="clear" w:color="auto" w:fill="auto"/>
            <w:noWrap/>
            <w:vAlign w:val="center"/>
            <w:hideMark/>
          </w:tcPr>
          <w:p w14:paraId="6248A30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17A3A24F"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7B9664D9"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vAlign w:val="center"/>
          </w:tcPr>
          <w:p w14:paraId="53A7C2DB" w14:textId="77777777" w:rsidR="00D22016" w:rsidRPr="004829A5" w:rsidRDefault="00D22016" w:rsidP="00D22016">
            <w:pPr>
              <w:spacing w:line="240" w:lineRule="auto"/>
              <w:ind w:left="0"/>
              <w:jc w:val="center"/>
              <w:rPr>
                <w:rFonts w:ascii="Times New Roman" w:eastAsia="Times New Roman" w:hAnsi="Times New Roman" w:cs="Times New Roman"/>
                <w:b/>
                <w:bCs/>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1134" w:type="dxa"/>
            <w:shd w:val="clear" w:color="auto" w:fill="auto"/>
            <w:vAlign w:val="center"/>
            <w:hideMark/>
          </w:tcPr>
          <w:p w14:paraId="65EB264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09290A2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06782EA7"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This article's aim is to suggest an alternative sensorially-driven strategy, </w:t>
            </w:r>
            <w:r w:rsidRPr="004829A5">
              <w:rPr>
                <w:rFonts w:ascii="Times New Roman" w:eastAsia="Times New Roman" w:hAnsi="Times New Roman" w:cs="Times New Roman"/>
                <w:color w:val="auto"/>
                <w:sz w:val="16"/>
                <w:szCs w:val="16"/>
                <w:lang w:eastAsia="pl-PL"/>
              </w:rPr>
              <w:lastRenderedPageBreak/>
              <w:t>which stands a much greater chance of making people eat insects on a regular basis.</w:t>
            </w:r>
          </w:p>
        </w:tc>
        <w:tc>
          <w:tcPr>
            <w:tcW w:w="567" w:type="dxa"/>
            <w:shd w:val="clear" w:color="auto" w:fill="auto"/>
            <w:vAlign w:val="center"/>
            <w:hideMark/>
          </w:tcPr>
          <w:p w14:paraId="4BA2690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not provided</w:t>
            </w:r>
          </w:p>
        </w:tc>
        <w:tc>
          <w:tcPr>
            <w:tcW w:w="992" w:type="dxa"/>
            <w:shd w:val="clear" w:color="auto" w:fill="auto"/>
            <w:vAlign w:val="center"/>
            <w:hideMark/>
          </w:tcPr>
          <w:p w14:paraId="30A3F967"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1DA39F50"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2923911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vAlign w:val="center"/>
          </w:tcPr>
          <w:p w14:paraId="5480D3D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6D4C1F2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1C53BD3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w:t>
            </w:r>
          </w:p>
        </w:tc>
        <w:tc>
          <w:tcPr>
            <w:tcW w:w="993" w:type="dxa"/>
            <w:tcBorders>
              <w:top w:val="nil"/>
              <w:left w:val="nil"/>
              <w:bottom w:val="nil"/>
              <w:right w:val="nil"/>
            </w:tcBorders>
            <w:shd w:val="clear" w:color="auto" w:fill="auto"/>
            <w:vAlign w:val="center"/>
          </w:tcPr>
          <w:p w14:paraId="65266492" w14:textId="43C10AA4"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474D1EC1" w14:textId="7A451C08"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198FC094" w14:textId="74A1A0DC" w:rsidTr="00D22016">
        <w:trPr>
          <w:cantSplit/>
          <w:trHeight w:val="1787"/>
        </w:trPr>
        <w:tc>
          <w:tcPr>
            <w:tcW w:w="426" w:type="dxa"/>
            <w:shd w:val="clear" w:color="auto" w:fill="auto"/>
            <w:noWrap/>
            <w:vAlign w:val="center"/>
            <w:hideMark/>
          </w:tcPr>
          <w:p w14:paraId="7B3BFCA3"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7</w:t>
            </w:r>
          </w:p>
        </w:tc>
        <w:tc>
          <w:tcPr>
            <w:tcW w:w="851" w:type="dxa"/>
            <w:shd w:val="clear" w:color="auto" w:fill="auto"/>
            <w:vAlign w:val="center"/>
            <w:hideMark/>
          </w:tcPr>
          <w:p w14:paraId="4758015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Eckl</w:t>
            </w:r>
            <w:proofErr w:type="spellEnd"/>
            <w:r w:rsidRPr="004829A5">
              <w:rPr>
                <w:rFonts w:ascii="Times New Roman" w:hAnsi="Times New Roman" w:cs="Times New Roman"/>
                <w:color w:val="auto"/>
                <w:sz w:val="16"/>
                <w:szCs w:val="16"/>
              </w:rPr>
              <w:t xml:space="preserve"> et al. (2021)</w:t>
            </w:r>
          </w:p>
        </w:tc>
        <w:tc>
          <w:tcPr>
            <w:tcW w:w="1134" w:type="dxa"/>
            <w:shd w:val="clear" w:color="auto" w:fill="auto"/>
            <w:noWrap/>
            <w:vAlign w:val="center"/>
            <w:hideMark/>
          </w:tcPr>
          <w:p w14:paraId="163901E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23</w:t>
            </w:r>
          </w:p>
        </w:tc>
        <w:tc>
          <w:tcPr>
            <w:tcW w:w="850" w:type="dxa"/>
            <w:shd w:val="clear" w:color="auto" w:fill="auto"/>
            <w:noWrap/>
            <w:vAlign w:val="center"/>
            <w:hideMark/>
          </w:tcPr>
          <w:p w14:paraId="240B192B"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23</w:t>
            </w:r>
          </w:p>
        </w:tc>
        <w:tc>
          <w:tcPr>
            <w:tcW w:w="851" w:type="dxa"/>
            <w:shd w:val="clear" w:color="auto" w:fill="auto"/>
            <w:vAlign w:val="center"/>
            <w:hideMark/>
          </w:tcPr>
          <w:p w14:paraId="58D1521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UK, Denmark, Finland, Germany, Iceland, Romania, Italy, Netherlands, Hungary, Canada, USA, New Zealand, France, Belgium</w:t>
            </w:r>
          </w:p>
        </w:tc>
        <w:tc>
          <w:tcPr>
            <w:tcW w:w="850" w:type="dxa"/>
            <w:vAlign w:val="center"/>
          </w:tcPr>
          <w:p w14:paraId="7146795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shd w:val="clear" w:color="auto" w:fill="auto"/>
            <w:vAlign w:val="center"/>
            <w:hideMark/>
          </w:tcPr>
          <w:p w14:paraId="37AAFC8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35A6270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4234E20F"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aim of this review is to identify the drivers and inhibitors underlying consumer behavior of replacing meat with non-meat protein sources in omnivores and flexitarians in developed countries.</w:t>
            </w:r>
          </w:p>
        </w:tc>
        <w:tc>
          <w:tcPr>
            <w:tcW w:w="567" w:type="dxa"/>
            <w:shd w:val="clear" w:color="auto" w:fill="auto"/>
            <w:vAlign w:val="center"/>
            <w:hideMark/>
          </w:tcPr>
          <w:p w14:paraId="01D1261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10933</w:t>
            </w:r>
          </w:p>
        </w:tc>
        <w:tc>
          <w:tcPr>
            <w:tcW w:w="992" w:type="dxa"/>
            <w:shd w:val="clear" w:color="auto" w:fill="auto"/>
            <w:vAlign w:val="center"/>
            <w:hideMark/>
          </w:tcPr>
          <w:p w14:paraId="4FAF8651"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adults, meat consumers or flexitarians</w:t>
            </w:r>
          </w:p>
        </w:tc>
        <w:tc>
          <w:tcPr>
            <w:tcW w:w="968" w:type="dxa"/>
            <w:shd w:val="clear" w:color="auto" w:fill="auto"/>
            <w:vAlign w:val="center"/>
            <w:hideMark/>
          </w:tcPr>
          <w:p w14:paraId="1BC0A739"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narrative review</w:t>
            </w:r>
          </w:p>
        </w:tc>
        <w:tc>
          <w:tcPr>
            <w:tcW w:w="733" w:type="dxa"/>
            <w:shd w:val="clear" w:color="auto" w:fill="auto"/>
            <w:vAlign w:val="center"/>
            <w:hideMark/>
          </w:tcPr>
          <w:p w14:paraId="48DBFF5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2011-2021</w:t>
            </w:r>
          </w:p>
        </w:tc>
        <w:tc>
          <w:tcPr>
            <w:tcW w:w="851" w:type="dxa"/>
            <w:vAlign w:val="center"/>
          </w:tcPr>
          <w:p w14:paraId="3AE05B7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work was supported by a research grant provided by the VLAG Graduate School of</w:t>
            </w:r>
          </w:p>
          <w:p w14:paraId="4C21C56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Wageningen University, Wageningen, The Netherlands. VLAG Graduate School had no role in this</w:t>
            </w:r>
          </w:p>
          <w:p w14:paraId="469F3D8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 including its conceptualization, design, execution, interpretation, and writing and revising of</w:t>
            </w:r>
          </w:p>
          <w:p w14:paraId="66089C4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manuscript.</w:t>
            </w:r>
          </w:p>
        </w:tc>
        <w:tc>
          <w:tcPr>
            <w:tcW w:w="992" w:type="dxa"/>
            <w:vAlign w:val="center"/>
          </w:tcPr>
          <w:p w14:paraId="7360B5D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602C2B8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w:t>
            </w:r>
          </w:p>
        </w:tc>
        <w:tc>
          <w:tcPr>
            <w:tcW w:w="993" w:type="dxa"/>
            <w:tcBorders>
              <w:top w:val="nil"/>
              <w:left w:val="nil"/>
              <w:bottom w:val="nil"/>
              <w:right w:val="nil"/>
            </w:tcBorders>
            <w:shd w:val="clear" w:color="auto" w:fill="auto"/>
            <w:vAlign w:val="center"/>
          </w:tcPr>
          <w:p w14:paraId="130E7BC9" w14:textId="5FC22046"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11 experimental studies</w:t>
            </w:r>
          </w:p>
        </w:tc>
        <w:tc>
          <w:tcPr>
            <w:tcW w:w="1419" w:type="dxa"/>
            <w:tcBorders>
              <w:top w:val="nil"/>
              <w:left w:val="nil"/>
              <w:bottom w:val="nil"/>
              <w:right w:val="nil"/>
            </w:tcBorders>
            <w:shd w:val="clear" w:color="auto" w:fill="auto"/>
            <w:vAlign w:val="center"/>
          </w:tcPr>
          <w:p w14:paraId="6E1D8B9A" w14:textId="48515A50"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1 study on consumption of meat substitutes</w:t>
            </w:r>
          </w:p>
        </w:tc>
      </w:tr>
      <w:tr w:rsidR="004829A5" w:rsidRPr="004829A5" w14:paraId="3C1DB26E" w14:textId="7E8193AB" w:rsidTr="00D22016">
        <w:trPr>
          <w:cantSplit/>
          <w:trHeight w:val="3053"/>
        </w:trPr>
        <w:tc>
          <w:tcPr>
            <w:tcW w:w="426" w:type="dxa"/>
            <w:shd w:val="clear" w:color="auto" w:fill="auto"/>
            <w:noWrap/>
            <w:vAlign w:val="center"/>
            <w:hideMark/>
          </w:tcPr>
          <w:p w14:paraId="3ADBA703"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8</w:t>
            </w:r>
          </w:p>
        </w:tc>
        <w:tc>
          <w:tcPr>
            <w:tcW w:w="851" w:type="dxa"/>
            <w:shd w:val="clear" w:color="auto" w:fill="auto"/>
            <w:vAlign w:val="center"/>
            <w:hideMark/>
          </w:tcPr>
          <w:p w14:paraId="17A2EF3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Florença</w:t>
            </w:r>
            <w:proofErr w:type="spellEnd"/>
            <w:r w:rsidRPr="004829A5">
              <w:rPr>
                <w:rFonts w:ascii="Times New Roman" w:hAnsi="Times New Roman" w:cs="Times New Roman"/>
                <w:color w:val="auto"/>
                <w:sz w:val="16"/>
                <w:szCs w:val="16"/>
              </w:rPr>
              <w:t xml:space="preserve"> et al. (2022)</w:t>
            </w:r>
          </w:p>
        </w:tc>
        <w:tc>
          <w:tcPr>
            <w:tcW w:w="1134" w:type="dxa"/>
            <w:shd w:val="clear" w:color="auto" w:fill="auto"/>
            <w:noWrap/>
            <w:vAlign w:val="center"/>
            <w:hideMark/>
          </w:tcPr>
          <w:p w14:paraId="60C0C62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31</w:t>
            </w:r>
          </w:p>
        </w:tc>
        <w:tc>
          <w:tcPr>
            <w:tcW w:w="850" w:type="dxa"/>
            <w:shd w:val="clear" w:color="auto" w:fill="auto"/>
            <w:noWrap/>
            <w:vAlign w:val="center"/>
            <w:hideMark/>
          </w:tcPr>
          <w:p w14:paraId="5E7DF16C"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31</w:t>
            </w:r>
          </w:p>
        </w:tc>
        <w:tc>
          <w:tcPr>
            <w:tcW w:w="851" w:type="dxa"/>
            <w:shd w:val="clear" w:color="auto" w:fill="auto"/>
            <w:vAlign w:val="center"/>
            <w:hideMark/>
          </w:tcPr>
          <w:p w14:paraId="20A3ABBB"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Belgium, Denmark, Finland, Germany, Hungary, Italy, Netherlands, Poland, Russia, Spain, Sweden, Switzerland, UK, Brazil, Canada, Dominican Republic, Mexico, Peru, USA, Kenya, Nigeria, South Africa, China, India, Japan, Thailand, Australia, New Zealand</w:t>
            </w:r>
          </w:p>
        </w:tc>
        <w:tc>
          <w:tcPr>
            <w:tcW w:w="850" w:type="dxa"/>
            <w:vAlign w:val="center"/>
          </w:tcPr>
          <w:p w14:paraId="41FFE33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10BBF33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156D8C9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26B69ADA"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work aims to: (1) examine the determinants positively and negatively influencing the consumption of insects; (2) see if the degree of acceptability differs between eating whole insects and insects incorporated in products; and finally, (3) if the determinants that influence the consumption diverge between insect-eating countries (IEC) and Western countries (WC).</w:t>
            </w:r>
          </w:p>
        </w:tc>
        <w:tc>
          <w:tcPr>
            <w:tcW w:w="567" w:type="dxa"/>
            <w:shd w:val="clear" w:color="auto" w:fill="auto"/>
            <w:noWrap/>
            <w:vAlign w:val="center"/>
            <w:hideMark/>
          </w:tcPr>
          <w:p w14:paraId="465F608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20392</w:t>
            </w:r>
          </w:p>
        </w:tc>
        <w:tc>
          <w:tcPr>
            <w:tcW w:w="992" w:type="dxa"/>
            <w:shd w:val="clear" w:color="auto" w:fill="auto"/>
            <w:vAlign w:val="center"/>
            <w:hideMark/>
          </w:tcPr>
          <w:p w14:paraId="54080CBD"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children, adolescents and adults</w:t>
            </w:r>
          </w:p>
        </w:tc>
        <w:tc>
          <w:tcPr>
            <w:tcW w:w="968" w:type="dxa"/>
            <w:shd w:val="clear" w:color="auto" w:fill="auto"/>
            <w:vAlign w:val="center"/>
            <w:hideMark/>
          </w:tcPr>
          <w:p w14:paraId="53DD90BE"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760699F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2014-2021</w:t>
            </w:r>
          </w:p>
        </w:tc>
        <w:tc>
          <w:tcPr>
            <w:tcW w:w="851" w:type="dxa"/>
            <w:vAlign w:val="center"/>
          </w:tcPr>
          <w:p w14:paraId="764CB95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This work was funded by CERNAS Research Centre (Polytechnic Institute of </w:t>
            </w:r>
            <w:proofErr w:type="spellStart"/>
            <w:r w:rsidRPr="004829A5">
              <w:rPr>
                <w:rFonts w:ascii="Times New Roman" w:eastAsia="Times New Roman" w:hAnsi="Times New Roman" w:cs="Times New Roman"/>
                <w:color w:val="auto"/>
                <w:sz w:val="16"/>
                <w:szCs w:val="16"/>
                <w:lang w:eastAsia="pl-PL"/>
              </w:rPr>
              <w:t>Viseu</w:t>
            </w:r>
            <w:proofErr w:type="spellEnd"/>
            <w:r w:rsidRPr="004829A5">
              <w:rPr>
                <w:rFonts w:ascii="Times New Roman" w:eastAsia="Times New Roman" w:hAnsi="Times New Roman" w:cs="Times New Roman"/>
                <w:color w:val="auto"/>
                <w:sz w:val="16"/>
                <w:szCs w:val="16"/>
                <w:lang w:eastAsia="pl-PL"/>
              </w:rPr>
              <w:t>,</w:t>
            </w:r>
          </w:p>
          <w:p w14:paraId="786F5C7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Portugal) in the ambit of the project </w:t>
            </w:r>
            <w:proofErr w:type="spellStart"/>
            <w:r w:rsidRPr="004829A5">
              <w:rPr>
                <w:rFonts w:ascii="Times New Roman" w:eastAsia="Times New Roman" w:hAnsi="Times New Roman" w:cs="Times New Roman"/>
                <w:color w:val="auto"/>
                <w:sz w:val="16"/>
                <w:szCs w:val="16"/>
                <w:lang w:eastAsia="pl-PL"/>
              </w:rPr>
              <w:t>EISuFood</w:t>
            </w:r>
            <w:proofErr w:type="spellEnd"/>
            <w:r w:rsidRPr="004829A5">
              <w:rPr>
                <w:rFonts w:ascii="Times New Roman" w:eastAsia="Times New Roman" w:hAnsi="Times New Roman" w:cs="Times New Roman"/>
                <w:color w:val="auto"/>
                <w:sz w:val="16"/>
                <w:szCs w:val="16"/>
                <w:lang w:eastAsia="pl-PL"/>
              </w:rPr>
              <w:t xml:space="preserve"> (Ref. CERNAS-IPV/2020/003). We also received</w:t>
            </w:r>
          </w:p>
          <w:p w14:paraId="633BA9B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funding from the FCT—Foundation for Science and Technology (Portugal) through projects Ref.</w:t>
            </w:r>
          </w:p>
          <w:p w14:paraId="02EB5D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UIDB/00681/2020, UIDB/05507/2020, UIDB/007421/2020, UIDB/05748/2020, UIDP/05748/2020</w:t>
            </w:r>
          </w:p>
          <w:p w14:paraId="1A5D87B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and UIDB/00239/2020. The APC was funded by the FCT </w:t>
            </w:r>
            <w:r w:rsidRPr="004829A5">
              <w:rPr>
                <w:rFonts w:ascii="Times New Roman" w:eastAsia="Times New Roman" w:hAnsi="Times New Roman" w:cs="Times New Roman"/>
                <w:color w:val="auto"/>
                <w:sz w:val="16"/>
                <w:szCs w:val="16"/>
                <w:lang w:eastAsia="pl-PL"/>
              </w:rPr>
              <w:lastRenderedPageBreak/>
              <w:t>through project Ref. UIDB/00681/2020,</w:t>
            </w:r>
          </w:p>
          <w:p w14:paraId="112BBEE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project Ref. UIDB/05507/2020 and project Ref. UIDB/007421/2020.</w:t>
            </w:r>
          </w:p>
        </w:tc>
        <w:tc>
          <w:tcPr>
            <w:tcW w:w="992" w:type="dxa"/>
            <w:vAlign w:val="center"/>
          </w:tcPr>
          <w:p w14:paraId="5647DC2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All authors declared no conflicts of interest.</w:t>
            </w:r>
          </w:p>
        </w:tc>
        <w:tc>
          <w:tcPr>
            <w:tcW w:w="992" w:type="dxa"/>
            <w:vAlign w:val="center"/>
          </w:tcPr>
          <w:p w14:paraId="1DD62A3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17</w:t>
            </w:r>
          </w:p>
        </w:tc>
        <w:tc>
          <w:tcPr>
            <w:tcW w:w="993" w:type="dxa"/>
            <w:tcBorders>
              <w:top w:val="nil"/>
              <w:left w:val="nil"/>
              <w:bottom w:val="nil"/>
              <w:right w:val="nil"/>
            </w:tcBorders>
            <w:shd w:val="clear" w:color="auto" w:fill="auto"/>
            <w:vAlign w:val="center"/>
          </w:tcPr>
          <w:p w14:paraId="5E80C8C2" w14:textId="355D107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 experimental studies</w:t>
            </w:r>
          </w:p>
        </w:tc>
        <w:tc>
          <w:tcPr>
            <w:tcW w:w="1419" w:type="dxa"/>
            <w:tcBorders>
              <w:top w:val="nil"/>
              <w:left w:val="nil"/>
              <w:bottom w:val="nil"/>
              <w:right w:val="nil"/>
            </w:tcBorders>
            <w:shd w:val="clear" w:color="auto" w:fill="auto"/>
            <w:vAlign w:val="center"/>
          </w:tcPr>
          <w:p w14:paraId="27370BFF" w14:textId="74028F3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studies examined acceptance only</w:t>
            </w:r>
          </w:p>
        </w:tc>
      </w:tr>
      <w:tr w:rsidR="004829A5" w:rsidRPr="004829A5" w14:paraId="2A4AD0A6" w14:textId="05D40EE1" w:rsidTr="00D22016">
        <w:trPr>
          <w:cantSplit/>
          <w:trHeight w:val="4055"/>
        </w:trPr>
        <w:tc>
          <w:tcPr>
            <w:tcW w:w="426" w:type="dxa"/>
            <w:shd w:val="clear" w:color="auto" w:fill="auto"/>
            <w:noWrap/>
            <w:vAlign w:val="center"/>
            <w:hideMark/>
          </w:tcPr>
          <w:p w14:paraId="5A52FFE0"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9</w:t>
            </w:r>
          </w:p>
        </w:tc>
        <w:tc>
          <w:tcPr>
            <w:tcW w:w="851" w:type="dxa"/>
            <w:shd w:val="clear" w:color="auto" w:fill="auto"/>
            <w:vAlign w:val="center"/>
            <w:hideMark/>
          </w:tcPr>
          <w:p w14:paraId="3D2F0D0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Giordano et al. (2018)</w:t>
            </w:r>
          </w:p>
        </w:tc>
        <w:tc>
          <w:tcPr>
            <w:tcW w:w="1134" w:type="dxa"/>
            <w:shd w:val="clear" w:color="auto" w:fill="auto"/>
            <w:noWrap/>
            <w:vAlign w:val="center"/>
            <w:hideMark/>
          </w:tcPr>
          <w:p w14:paraId="511327B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w:t>
            </w:r>
          </w:p>
        </w:tc>
        <w:tc>
          <w:tcPr>
            <w:tcW w:w="850" w:type="dxa"/>
            <w:shd w:val="clear" w:color="auto" w:fill="auto"/>
            <w:noWrap/>
            <w:vAlign w:val="center"/>
            <w:hideMark/>
          </w:tcPr>
          <w:p w14:paraId="66E7B2CE"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53</w:t>
            </w:r>
          </w:p>
        </w:tc>
        <w:tc>
          <w:tcPr>
            <w:tcW w:w="851" w:type="dxa"/>
            <w:shd w:val="clear" w:color="auto" w:fill="auto"/>
            <w:vAlign w:val="center"/>
            <w:hideMark/>
          </w:tcPr>
          <w:p w14:paraId="61C3776E"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Germany, China, Belgium, USA, Netherlands, UK, Switzerland, Thailand</w:t>
            </w:r>
          </w:p>
        </w:tc>
        <w:tc>
          <w:tcPr>
            <w:tcW w:w="850" w:type="dxa"/>
            <w:vAlign w:val="center"/>
          </w:tcPr>
          <w:p w14:paraId="22C994B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2A5A536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663F192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DB48226"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This systematic review analyses and synthetizes the main results of recent studies dealing with food neophobia and neophilia with regard to new technologies applied to the food sector, both in the context of developed countries and in developing ones. In particular, main factors leading to caution and aversion for food technologies were identified and discussed, as well as different approaches to measure consumers’ resistance to the mentioned technologies and to predict </w:t>
            </w:r>
            <w:r w:rsidRPr="004829A5">
              <w:rPr>
                <w:rFonts w:ascii="Times New Roman" w:eastAsia="Times New Roman" w:hAnsi="Times New Roman" w:cs="Times New Roman"/>
                <w:color w:val="auto"/>
                <w:sz w:val="16"/>
                <w:szCs w:val="16"/>
                <w:lang w:eastAsia="pl-PL"/>
              </w:rPr>
              <w:lastRenderedPageBreak/>
              <w:t>consumers’ behavior.</w:t>
            </w:r>
          </w:p>
        </w:tc>
        <w:tc>
          <w:tcPr>
            <w:tcW w:w="567" w:type="dxa"/>
            <w:shd w:val="clear" w:color="auto" w:fill="auto"/>
            <w:vAlign w:val="center"/>
            <w:hideMark/>
          </w:tcPr>
          <w:p w14:paraId="30F1C04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3482</w:t>
            </w:r>
          </w:p>
        </w:tc>
        <w:tc>
          <w:tcPr>
            <w:tcW w:w="992" w:type="dxa"/>
            <w:shd w:val="clear" w:color="auto" w:fill="auto"/>
            <w:vAlign w:val="center"/>
            <w:hideMark/>
          </w:tcPr>
          <w:p w14:paraId="456925ED"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consumers, habitual meat consumers, students, supermarket shoppers, not vegan or vegetarian, insect eaters and non-eaters</w:t>
            </w:r>
          </w:p>
        </w:tc>
        <w:tc>
          <w:tcPr>
            <w:tcW w:w="968" w:type="dxa"/>
            <w:shd w:val="clear" w:color="auto" w:fill="auto"/>
            <w:vAlign w:val="center"/>
            <w:hideMark/>
          </w:tcPr>
          <w:p w14:paraId="6DE0C44B"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62D7713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2006-2016</w:t>
            </w:r>
          </w:p>
        </w:tc>
        <w:tc>
          <w:tcPr>
            <w:tcW w:w="851" w:type="dxa"/>
            <w:vAlign w:val="center"/>
          </w:tcPr>
          <w:p w14:paraId="7E1F7AD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This work was supported and funded by: (1) EU through </w:t>
            </w:r>
            <w:proofErr w:type="spellStart"/>
            <w:r w:rsidRPr="004829A5">
              <w:rPr>
                <w:rFonts w:ascii="Times New Roman" w:eastAsia="Times New Roman" w:hAnsi="Times New Roman" w:cs="Times New Roman"/>
                <w:color w:val="auto"/>
                <w:sz w:val="16"/>
                <w:szCs w:val="16"/>
                <w:lang w:eastAsia="pl-PL"/>
              </w:rPr>
              <w:t>Regione</w:t>
            </w:r>
            <w:proofErr w:type="spellEnd"/>
            <w:r w:rsidRPr="004829A5">
              <w:rPr>
                <w:rFonts w:ascii="Times New Roman" w:eastAsia="Times New Roman" w:hAnsi="Times New Roman" w:cs="Times New Roman"/>
                <w:color w:val="auto"/>
                <w:sz w:val="16"/>
                <w:szCs w:val="16"/>
                <w:lang w:eastAsia="pl-PL"/>
              </w:rPr>
              <w:t xml:space="preserve"> Puglia: “</w:t>
            </w:r>
            <w:proofErr w:type="spellStart"/>
            <w:r w:rsidRPr="004829A5">
              <w:rPr>
                <w:rFonts w:ascii="Times New Roman" w:eastAsia="Times New Roman" w:hAnsi="Times New Roman" w:cs="Times New Roman"/>
                <w:color w:val="auto"/>
                <w:sz w:val="16"/>
                <w:szCs w:val="16"/>
                <w:lang w:eastAsia="pl-PL"/>
              </w:rPr>
              <w:t>Avviso</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aiuti</w:t>
            </w:r>
            <w:proofErr w:type="spellEnd"/>
            <w:r w:rsidRPr="004829A5">
              <w:rPr>
                <w:rFonts w:ascii="Times New Roman" w:eastAsia="Times New Roman" w:hAnsi="Times New Roman" w:cs="Times New Roman"/>
                <w:color w:val="auto"/>
                <w:sz w:val="16"/>
                <w:szCs w:val="16"/>
                <w:lang w:eastAsia="pl-PL"/>
              </w:rPr>
              <w:t xml:space="preserve"> a </w:t>
            </w:r>
            <w:proofErr w:type="spellStart"/>
            <w:r w:rsidRPr="004829A5">
              <w:rPr>
                <w:rFonts w:ascii="Times New Roman" w:eastAsia="Times New Roman" w:hAnsi="Times New Roman" w:cs="Times New Roman"/>
                <w:color w:val="auto"/>
                <w:sz w:val="16"/>
                <w:szCs w:val="16"/>
                <w:lang w:eastAsia="pl-PL"/>
              </w:rPr>
              <w:t>sostegno</w:t>
            </w:r>
            <w:proofErr w:type="spellEnd"/>
          </w:p>
          <w:p w14:paraId="18B8497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eastAsia="Times New Roman" w:hAnsi="Times New Roman" w:cs="Times New Roman"/>
                <w:color w:val="auto"/>
                <w:sz w:val="16"/>
                <w:szCs w:val="16"/>
                <w:lang w:eastAsia="pl-PL"/>
              </w:rPr>
              <w:t>deiClusterTecnologici</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Regionali</w:t>
            </w:r>
            <w:proofErr w:type="spellEnd"/>
            <w:r w:rsidRPr="004829A5">
              <w:rPr>
                <w:rFonts w:ascii="Times New Roman" w:eastAsia="Times New Roman" w:hAnsi="Times New Roman" w:cs="Times New Roman"/>
                <w:color w:val="auto"/>
                <w:sz w:val="16"/>
                <w:szCs w:val="16"/>
                <w:lang w:eastAsia="pl-PL"/>
              </w:rPr>
              <w:t xml:space="preserve"> per </w:t>
            </w:r>
            <w:proofErr w:type="spellStart"/>
            <w:r w:rsidRPr="004829A5">
              <w:rPr>
                <w:rFonts w:ascii="Times New Roman" w:eastAsia="Times New Roman" w:hAnsi="Times New Roman" w:cs="Times New Roman"/>
                <w:color w:val="auto"/>
                <w:sz w:val="16"/>
                <w:szCs w:val="16"/>
                <w:lang w:eastAsia="pl-PL"/>
              </w:rPr>
              <w:t>l'Innovazione</w:t>
            </w:r>
            <w:proofErr w:type="spellEnd"/>
            <w:r w:rsidRPr="004829A5">
              <w:rPr>
                <w:rFonts w:ascii="Times New Roman" w:eastAsia="Times New Roman" w:hAnsi="Times New Roman" w:cs="Times New Roman"/>
                <w:color w:val="auto"/>
                <w:sz w:val="16"/>
                <w:szCs w:val="16"/>
                <w:lang w:eastAsia="pl-PL"/>
              </w:rPr>
              <w:t>” - Project: “PERFORM TECH (PUGLIA</w:t>
            </w:r>
          </w:p>
          <w:p w14:paraId="70E85A6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EMERGING FOOD TECHNOLOGY) - La </w:t>
            </w:r>
            <w:proofErr w:type="spellStart"/>
            <w:r w:rsidRPr="004829A5">
              <w:rPr>
                <w:rFonts w:ascii="Times New Roman" w:eastAsia="Times New Roman" w:hAnsi="Times New Roman" w:cs="Times New Roman"/>
                <w:color w:val="auto"/>
                <w:sz w:val="16"/>
                <w:szCs w:val="16"/>
                <w:lang w:eastAsia="pl-PL"/>
              </w:rPr>
              <w:t>sicurezza</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alimentare</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mediante</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l’impiego</w:t>
            </w:r>
            <w:proofErr w:type="spellEnd"/>
            <w:r w:rsidRPr="004829A5">
              <w:rPr>
                <w:rFonts w:ascii="Times New Roman" w:eastAsia="Times New Roman" w:hAnsi="Times New Roman" w:cs="Times New Roman"/>
                <w:color w:val="auto"/>
                <w:sz w:val="16"/>
                <w:szCs w:val="16"/>
                <w:lang w:eastAsia="pl-PL"/>
              </w:rPr>
              <w:t xml:space="preserve"> di </w:t>
            </w:r>
            <w:proofErr w:type="spellStart"/>
            <w:r w:rsidRPr="004829A5">
              <w:rPr>
                <w:rFonts w:ascii="Times New Roman" w:eastAsia="Times New Roman" w:hAnsi="Times New Roman" w:cs="Times New Roman"/>
                <w:color w:val="auto"/>
                <w:sz w:val="16"/>
                <w:szCs w:val="16"/>
                <w:lang w:eastAsia="pl-PL"/>
              </w:rPr>
              <w:t>tecnologie</w:t>
            </w:r>
            <w:proofErr w:type="spellEnd"/>
          </w:p>
          <w:p w14:paraId="1CE06C3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eastAsia="Times New Roman" w:hAnsi="Times New Roman" w:cs="Times New Roman"/>
                <w:color w:val="auto"/>
                <w:sz w:val="16"/>
                <w:szCs w:val="16"/>
                <w:lang w:eastAsia="pl-PL"/>
              </w:rPr>
              <w:t>emergenti</w:t>
            </w:r>
            <w:proofErr w:type="spellEnd"/>
            <w:r w:rsidRPr="004829A5">
              <w:rPr>
                <w:rFonts w:ascii="Times New Roman" w:eastAsia="Times New Roman" w:hAnsi="Times New Roman" w:cs="Times New Roman"/>
                <w:color w:val="auto"/>
                <w:sz w:val="16"/>
                <w:szCs w:val="16"/>
                <w:lang w:eastAsia="pl-PL"/>
              </w:rPr>
              <w:t xml:space="preserve"> per </w:t>
            </w:r>
            <w:proofErr w:type="spellStart"/>
            <w:r w:rsidRPr="004829A5">
              <w:rPr>
                <w:rFonts w:ascii="Times New Roman" w:eastAsia="Times New Roman" w:hAnsi="Times New Roman" w:cs="Times New Roman"/>
                <w:color w:val="auto"/>
                <w:sz w:val="16"/>
                <w:szCs w:val="16"/>
                <w:lang w:eastAsia="pl-PL"/>
              </w:rPr>
              <w:t>l’elaborazione</w:t>
            </w:r>
            <w:proofErr w:type="spellEnd"/>
            <w:r w:rsidRPr="004829A5">
              <w:rPr>
                <w:rFonts w:ascii="Times New Roman" w:eastAsia="Times New Roman" w:hAnsi="Times New Roman" w:cs="Times New Roman"/>
                <w:color w:val="auto"/>
                <w:sz w:val="16"/>
                <w:szCs w:val="16"/>
                <w:lang w:eastAsia="pl-PL"/>
              </w:rPr>
              <w:t xml:space="preserve"> di </w:t>
            </w:r>
            <w:proofErr w:type="spellStart"/>
            <w:r w:rsidRPr="004829A5">
              <w:rPr>
                <w:rFonts w:ascii="Times New Roman" w:eastAsia="Times New Roman" w:hAnsi="Times New Roman" w:cs="Times New Roman"/>
                <w:color w:val="auto"/>
                <w:sz w:val="16"/>
                <w:szCs w:val="16"/>
                <w:lang w:eastAsia="pl-PL"/>
              </w:rPr>
              <w:t>prodotti</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funzionali</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recupero</w:t>
            </w:r>
            <w:proofErr w:type="spellEnd"/>
            <w:r w:rsidRPr="004829A5">
              <w:rPr>
                <w:rFonts w:ascii="Times New Roman" w:eastAsia="Times New Roman" w:hAnsi="Times New Roman" w:cs="Times New Roman"/>
                <w:color w:val="auto"/>
                <w:sz w:val="16"/>
                <w:szCs w:val="16"/>
                <w:lang w:eastAsia="pl-PL"/>
              </w:rPr>
              <w:t xml:space="preserve"> di </w:t>
            </w:r>
            <w:proofErr w:type="spellStart"/>
            <w:r w:rsidRPr="004829A5">
              <w:rPr>
                <w:rFonts w:ascii="Times New Roman" w:eastAsia="Times New Roman" w:hAnsi="Times New Roman" w:cs="Times New Roman"/>
                <w:color w:val="auto"/>
                <w:sz w:val="16"/>
                <w:szCs w:val="16"/>
                <w:lang w:eastAsia="pl-PL"/>
              </w:rPr>
              <w:t>sostanze</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nutraceutiche</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dai</w:t>
            </w:r>
            <w:proofErr w:type="spellEnd"/>
          </w:p>
          <w:p w14:paraId="68A47BA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eastAsia="Times New Roman" w:hAnsi="Times New Roman" w:cs="Times New Roman"/>
                <w:color w:val="auto"/>
                <w:sz w:val="16"/>
                <w:szCs w:val="16"/>
                <w:lang w:eastAsia="pl-PL"/>
              </w:rPr>
              <w:t>sottoprodotti</w:t>
            </w:r>
            <w:proofErr w:type="spellEnd"/>
            <w:r w:rsidRPr="004829A5">
              <w:rPr>
                <w:rFonts w:ascii="Times New Roman" w:eastAsia="Times New Roman" w:hAnsi="Times New Roman" w:cs="Times New Roman"/>
                <w:color w:val="auto"/>
                <w:sz w:val="16"/>
                <w:szCs w:val="16"/>
                <w:lang w:eastAsia="pl-PL"/>
              </w:rPr>
              <w:t xml:space="preserve"> e </w:t>
            </w:r>
            <w:proofErr w:type="spellStart"/>
            <w:r w:rsidRPr="004829A5">
              <w:rPr>
                <w:rFonts w:ascii="Times New Roman" w:eastAsia="Times New Roman" w:hAnsi="Times New Roman" w:cs="Times New Roman"/>
                <w:color w:val="auto"/>
                <w:sz w:val="16"/>
                <w:szCs w:val="16"/>
                <w:lang w:eastAsia="pl-PL"/>
              </w:rPr>
              <w:t>valorizzazione</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energetica</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degli</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lastRenderedPageBreak/>
              <w:t>scarti</w:t>
            </w:r>
            <w:proofErr w:type="spellEnd"/>
            <w:r w:rsidRPr="004829A5">
              <w:rPr>
                <w:rFonts w:ascii="Times New Roman" w:eastAsia="Times New Roman" w:hAnsi="Times New Roman" w:cs="Times New Roman"/>
                <w:color w:val="auto"/>
                <w:sz w:val="16"/>
                <w:szCs w:val="16"/>
                <w:lang w:eastAsia="pl-PL"/>
              </w:rPr>
              <w:t>” - code LPIJ9P2; (2) AGER Foundation -</w:t>
            </w:r>
          </w:p>
          <w:p w14:paraId="0929AC2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OLIVE TREE and OIL: COMPETITIVE – Claims of Olive oil to </w:t>
            </w:r>
            <w:proofErr w:type="spellStart"/>
            <w:r w:rsidRPr="004829A5">
              <w:rPr>
                <w:rFonts w:ascii="Times New Roman" w:eastAsia="Times New Roman" w:hAnsi="Times New Roman" w:cs="Times New Roman"/>
                <w:color w:val="auto"/>
                <w:sz w:val="16"/>
                <w:szCs w:val="16"/>
                <w:lang w:eastAsia="pl-PL"/>
              </w:rPr>
              <w:t>iMProvE</w:t>
            </w:r>
            <w:proofErr w:type="spellEnd"/>
            <w:r w:rsidRPr="004829A5">
              <w:rPr>
                <w:rFonts w:ascii="Times New Roman" w:eastAsia="Times New Roman" w:hAnsi="Times New Roman" w:cs="Times New Roman"/>
                <w:color w:val="auto"/>
                <w:sz w:val="16"/>
                <w:szCs w:val="16"/>
                <w:lang w:eastAsia="pl-PL"/>
              </w:rPr>
              <w:t xml:space="preserve"> The market </w:t>
            </w:r>
            <w:proofErr w:type="spellStart"/>
            <w:r w:rsidRPr="004829A5">
              <w:rPr>
                <w:rFonts w:ascii="Times New Roman" w:eastAsia="Times New Roman" w:hAnsi="Times New Roman" w:cs="Times New Roman"/>
                <w:color w:val="auto"/>
                <w:sz w:val="16"/>
                <w:szCs w:val="16"/>
                <w:lang w:eastAsia="pl-PL"/>
              </w:rPr>
              <w:t>ValuE</w:t>
            </w:r>
            <w:proofErr w:type="spellEnd"/>
            <w:r w:rsidRPr="004829A5">
              <w:rPr>
                <w:rFonts w:ascii="Times New Roman" w:eastAsia="Times New Roman" w:hAnsi="Times New Roman" w:cs="Times New Roman"/>
                <w:color w:val="auto"/>
                <w:sz w:val="16"/>
                <w:szCs w:val="16"/>
                <w:lang w:eastAsia="pl-PL"/>
              </w:rPr>
              <w:t xml:space="preserve"> of</w:t>
            </w:r>
          </w:p>
          <w:p w14:paraId="1EBE749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product.</w:t>
            </w:r>
          </w:p>
        </w:tc>
        <w:tc>
          <w:tcPr>
            <w:tcW w:w="992" w:type="dxa"/>
            <w:vAlign w:val="center"/>
          </w:tcPr>
          <w:p w14:paraId="0B8B9A9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not provided</w:t>
            </w:r>
          </w:p>
        </w:tc>
        <w:tc>
          <w:tcPr>
            <w:tcW w:w="992" w:type="dxa"/>
            <w:vAlign w:val="center"/>
          </w:tcPr>
          <w:p w14:paraId="05B5CB7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7</w:t>
            </w:r>
          </w:p>
        </w:tc>
        <w:tc>
          <w:tcPr>
            <w:tcW w:w="993" w:type="dxa"/>
            <w:tcBorders>
              <w:top w:val="nil"/>
              <w:left w:val="nil"/>
              <w:bottom w:val="nil"/>
              <w:right w:val="nil"/>
            </w:tcBorders>
            <w:shd w:val="clear" w:color="auto" w:fill="auto"/>
            <w:vAlign w:val="center"/>
          </w:tcPr>
          <w:p w14:paraId="74947689" w14:textId="4E4CB849"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1 experimental study</w:t>
            </w:r>
          </w:p>
        </w:tc>
        <w:tc>
          <w:tcPr>
            <w:tcW w:w="1419" w:type="dxa"/>
            <w:tcBorders>
              <w:top w:val="nil"/>
              <w:left w:val="nil"/>
              <w:bottom w:val="nil"/>
              <w:right w:val="nil"/>
            </w:tcBorders>
            <w:shd w:val="clear" w:color="auto" w:fill="auto"/>
            <w:vAlign w:val="center"/>
          </w:tcPr>
          <w:p w14:paraId="32FA4418" w14:textId="213C4CBB"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studies examined only cognitive factors</w:t>
            </w:r>
          </w:p>
        </w:tc>
      </w:tr>
      <w:tr w:rsidR="004829A5" w:rsidRPr="004829A5" w14:paraId="0BC64A18" w14:textId="461321FD" w:rsidTr="00D22016">
        <w:trPr>
          <w:cantSplit/>
          <w:trHeight w:val="3488"/>
        </w:trPr>
        <w:tc>
          <w:tcPr>
            <w:tcW w:w="426" w:type="dxa"/>
            <w:shd w:val="clear" w:color="auto" w:fill="auto"/>
            <w:noWrap/>
            <w:vAlign w:val="center"/>
            <w:hideMark/>
          </w:tcPr>
          <w:p w14:paraId="133329ED"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10</w:t>
            </w:r>
          </w:p>
        </w:tc>
        <w:tc>
          <w:tcPr>
            <w:tcW w:w="851" w:type="dxa"/>
            <w:shd w:val="clear" w:color="auto" w:fill="auto"/>
            <w:vAlign w:val="center"/>
            <w:hideMark/>
          </w:tcPr>
          <w:p w14:paraId="2CDC36B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Graça</w:t>
            </w:r>
            <w:proofErr w:type="spellEnd"/>
            <w:r w:rsidRPr="004829A5">
              <w:rPr>
                <w:rFonts w:ascii="Times New Roman" w:hAnsi="Times New Roman" w:cs="Times New Roman"/>
                <w:color w:val="auto"/>
                <w:sz w:val="16"/>
                <w:szCs w:val="16"/>
              </w:rPr>
              <w:t xml:space="preserve"> et al. (2019)</w:t>
            </w:r>
          </w:p>
        </w:tc>
        <w:tc>
          <w:tcPr>
            <w:tcW w:w="1134" w:type="dxa"/>
            <w:shd w:val="clear" w:color="auto" w:fill="auto"/>
            <w:vAlign w:val="center"/>
            <w:hideMark/>
          </w:tcPr>
          <w:p w14:paraId="172C37F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66 (articles concerning plant-based diets and not meat reduction)</w:t>
            </w:r>
          </w:p>
        </w:tc>
        <w:tc>
          <w:tcPr>
            <w:tcW w:w="850" w:type="dxa"/>
            <w:shd w:val="clear" w:color="auto" w:fill="auto"/>
            <w:noWrap/>
            <w:vAlign w:val="center"/>
            <w:hideMark/>
          </w:tcPr>
          <w:p w14:paraId="166ADF23"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110</w:t>
            </w:r>
          </w:p>
        </w:tc>
        <w:tc>
          <w:tcPr>
            <w:tcW w:w="851" w:type="dxa"/>
            <w:shd w:val="clear" w:color="auto" w:fill="auto"/>
            <w:vAlign w:val="center"/>
            <w:hideMark/>
          </w:tcPr>
          <w:p w14:paraId="1CFEF93D"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USA, UK, Croatia, Sweden, China, Greece, Australia, Belgium, Netherlands, Germany, Portugal, Canada, India, Finland, Italy, Hungary, Austria, Spain, Malaysia, Norway</w:t>
            </w:r>
          </w:p>
        </w:tc>
        <w:tc>
          <w:tcPr>
            <w:tcW w:w="850" w:type="dxa"/>
            <w:vAlign w:val="center"/>
          </w:tcPr>
          <w:p w14:paraId="7CAC637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7C71937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YES - The COM-B Theoretical Model</w:t>
            </w:r>
          </w:p>
        </w:tc>
        <w:tc>
          <w:tcPr>
            <w:tcW w:w="851" w:type="dxa"/>
            <w:shd w:val="clear" w:color="auto" w:fill="auto"/>
            <w:vAlign w:val="center"/>
            <w:hideMark/>
          </w:tcPr>
          <w:p w14:paraId="2C32389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b &amp; c</w:t>
            </w:r>
          </w:p>
        </w:tc>
        <w:tc>
          <w:tcPr>
            <w:tcW w:w="992" w:type="dxa"/>
            <w:shd w:val="clear" w:color="auto" w:fill="auto"/>
            <w:vAlign w:val="center"/>
            <w:hideMark/>
          </w:tcPr>
          <w:p w14:paraId="1DB18093"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present review aims to address this limitation and has two specific objectives: (1) to map the variables (i.e., actual or potential barriers and enablers) known to be associated with meat curtailment, meat substitution and adherence to plant-based diets; (2) to integrate the current body of knowledge into a coherent overarching theoretical framework of behavior change (COM-B system).</w:t>
            </w:r>
          </w:p>
        </w:tc>
        <w:tc>
          <w:tcPr>
            <w:tcW w:w="567" w:type="dxa"/>
            <w:shd w:val="clear" w:color="auto" w:fill="auto"/>
            <w:noWrap/>
            <w:vAlign w:val="center"/>
            <w:hideMark/>
          </w:tcPr>
          <w:p w14:paraId="3D9E561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241529</w:t>
            </w:r>
          </w:p>
        </w:tc>
        <w:tc>
          <w:tcPr>
            <w:tcW w:w="992" w:type="dxa"/>
            <w:shd w:val="clear" w:color="auto" w:fill="auto"/>
            <w:vAlign w:val="center"/>
            <w:hideMark/>
          </w:tcPr>
          <w:p w14:paraId="7E590C76"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convenience sample, university students, meat eaters, meat reducers, vegetarians, university students, urban sample, general population, business students, adolescents, </w:t>
            </w:r>
            <w:proofErr w:type="spellStart"/>
            <w:r w:rsidRPr="004829A5">
              <w:rPr>
                <w:rFonts w:ascii="Times New Roman" w:eastAsia="Times New Roman" w:hAnsi="Times New Roman" w:cs="Times New Roman"/>
                <w:color w:val="auto"/>
                <w:sz w:val="16"/>
                <w:szCs w:val="16"/>
                <w:lang w:eastAsia="pl-PL"/>
              </w:rPr>
              <w:t>Mturk</w:t>
            </w:r>
            <w:proofErr w:type="spellEnd"/>
            <w:r w:rsidRPr="004829A5">
              <w:rPr>
                <w:rFonts w:ascii="Times New Roman" w:eastAsia="Times New Roman" w:hAnsi="Times New Roman" w:cs="Times New Roman"/>
                <w:color w:val="auto"/>
                <w:sz w:val="16"/>
                <w:szCs w:val="16"/>
                <w:lang w:eastAsia="pl-PL"/>
              </w:rPr>
              <w:t xml:space="preserve"> population, vegans, food shoppers, internet users, soldiers, ethnic minorities, students of environmental studies, medical students, food retail representatives, psychology students, flexitarians</w:t>
            </w:r>
          </w:p>
        </w:tc>
        <w:tc>
          <w:tcPr>
            <w:tcW w:w="968" w:type="dxa"/>
            <w:shd w:val="clear" w:color="auto" w:fill="auto"/>
            <w:vAlign w:val="center"/>
            <w:hideMark/>
          </w:tcPr>
          <w:p w14:paraId="39400AD8"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68ECE39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1989-2018</w:t>
            </w:r>
          </w:p>
        </w:tc>
        <w:tc>
          <w:tcPr>
            <w:tcW w:w="851" w:type="dxa"/>
            <w:vAlign w:val="center"/>
          </w:tcPr>
          <w:p w14:paraId="62E44A5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work was supported by</w:t>
            </w:r>
          </w:p>
          <w:p w14:paraId="6B04925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eastAsia="Times New Roman" w:hAnsi="Times New Roman" w:cs="Times New Roman"/>
                <w:color w:val="auto"/>
                <w:sz w:val="16"/>
                <w:szCs w:val="16"/>
                <w:lang w:eastAsia="pl-PL"/>
              </w:rPr>
              <w:t>Programa</w:t>
            </w:r>
            <w:proofErr w:type="spellEnd"/>
            <w:r w:rsidRPr="004829A5">
              <w:rPr>
                <w:rFonts w:ascii="Times New Roman" w:eastAsia="Times New Roman" w:hAnsi="Times New Roman" w:cs="Times New Roman"/>
                <w:color w:val="auto"/>
                <w:sz w:val="16"/>
                <w:szCs w:val="16"/>
                <w:lang w:eastAsia="pl-PL"/>
              </w:rPr>
              <w:t xml:space="preserve"> </w:t>
            </w:r>
            <w:proofErr w:type="spellStart"/>
            <w:r w:rsidRPr="004829A5">
              <w:rPr>
                <w:rFonts w:ascii="Times New Roman" w:eastAsia="Times New Roman" w:hAnsi="Times New Roman" w:cs="Times New Roman"/>
                <w:color w:val="auto"/>
                <w:sz w:val="16"/>
                <w:szCs w:val="16"/>
                <w:lang w:eastAsia="pl-PL"/>
              </w:rPr>
              <w:t>Lisboa</w:t>
            </w:r>
            <w:proofErr w:type="spellEnd"/>
            <w:r w:rsidRPr="004829A5">
              <w:rPr>
                <w:rFonts w:ascii="Times New Roman" w:eastAsia="Times New Roman" w:hAnsi="Times New Roman" w:cs="Times New Roman"/>
                <w:color w:val="auto"/>
                <w:sz w:val="16"/>
                <w:szCs w:val="16"/>
                <w:lang w:eastAsia="pl-PL"/>
              </w:rPr>
              <w:t xml:space="preserve"> 2020, Portugal 2020 and the European Union through the European Regional Development Fund (LISBOA-01-0145-FEDER-</w:t>
            </w:r>
          </w:p>
          <w:p w14:paraId="296F104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029348), by the state budget through the Portuguese Foundation for</w:t>
            </w:r>
          </w:p>
          <w:p w14:paraId="24D0A3F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Science and Technology (PTDC/PSI-GER/29348/2017), and by a grant</w:t>
            </w:r>
          </w:p>
          <w:p w14:paraId="732E7C8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from the Portuguese Foundation for Science and Technology (SFRH/</w:t>
            </w:r>
          </w:p>
          <w:p w14:paraId="596C9D1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BPD/115110/2016) awarded to the first author.</w:t>
            </w:r>
          </w:p>
        </w:tc>
        <w:tc>
          <w:tcPr>
            <w:tcW w:w="992" w:type="dxa"/>
            <w:vAlign w:val="center"/>
          </w:tcPr>
          <w:p w14:paraId="36D4396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not provided</w:t>
            </w:r>
          </w:p>
        </w:tc>
        <w:tc>
          <w:tcPr>
            <w:tcW w:w="992" w:type="dxa"/>
            <w:vAlign w:val="center"/>
          </w:tcPr>
          <w:p w14:paraId="06ABE6E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22</w:t>
            </w:r>
          </w:p>
        </w:tc>
        <w:tc>
          <w:tcPr>
            <w:tcW w:w="993" w:type="dxa"/>
            <w:tcBorders>
              <w:top w:val="nil"/>
              <w:left w:val="nil"/>
              <w:bottom w:val="nil"/>
              <w:right w:val="nil"/>
            </w:tcBorders>
            <w:shd w:val="clear" w:color="auto" w:fill="auto"/>
            <w:vAlign w:val="center"/>
          </w:tcPr>
          <w:p w14:paraId="473F2AD2" w14:textId="70469E4F"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 xml:space="preserve">21.3% of the </w:t>
            </w:r>
            <w:proofErr w:type="spellStart"/>
            <w:r w:rsidRPr="004829A5">
              <w:rPr>
                <w:rFonts w:ascii="Times New Roman" w:hAnsi="Times New Roman" w:cs="Times New Roman"/>
                <w:color w:val="auto"/>
                <w:sz w:val="16"/>
                <w:szCs w:val="16"/>
              </w:rPr>
              <w:t>sudies</w:t>
            </w:r>
            <w:proofErr w:type="spellEnd"/>
            <w:r w:rsidRPr="004829A5">
              <w:rPr>
                <w:rFonts w:ascii="Times New Roman" w:hAnsi="Times New Roman" w:cs="Times New Roman"/>
                <w:color w:val="auto"/>
                <w:sz w:val="16"/>
                <w:szCs w:val="16"/>
              </w:rPr>
              <w:t xml:space="preserve"> were experiments or randomized controlled trial</w:t>
            </w:r>
          </w:p>
        </w:tc>
        <w:tc>
          <w:tcPr>
            <w:tcW w:w="1419" w:type="dxa"/>
            <w:tcBorders>
              <w:top w:val="nil"/>
              <w:left w:val="nil"/>
              <w:bottom w:val="nil"/>
              <w:right w:val="nil"/>
            </w:tcBorders>
            <w:shd w:val="clear" w:color="auto" w:fill="auto"/>
            <w:vAlign w:val="center"/>
          </w:tcPr>
          <w:p w14:paraId="22C40A87" w14:textId="21585436"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71001C08" w14:textId="55D49A7C" w:rsidTr="00D22016">
        <w:trPr>
          <w:cantSplit/>
          <w:trHeight w:val="2548"/>
        </w:trPr>
        <w:tc>
          <w:tcPr>
            <w:tcW w:w="426" w:type="dxa"/>
            <w:shd w:val="clear" w:color="auto" w:fill="auto"/>
            <w:noWrap/>
            <w:vAlign w:val="center"/>
            <w:hideMark/>
          </w:tcPr>
          <w:p w14:paraId="51153F34"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11</w:t>
            </w:r>
          </w:p>
        </w:tc>
        <w:tc>
          <w:tcPr>
            <w:tcW w:w="851" w:type="dxa"/>
            <w:shd w:val="clear" w:color="auto" w:fill="auto"/>
            <w:vAlign w:val="center"/>
            <w:hideMark/>
          </w:tcPr>
          <w:p w14:paraId="3726887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Hartmann &amp; Siegrist (2017)</w:t>
            </w:r>
          </w:p>
        </w:tc>
        <w:tc>
          <w:tcPr>
            <w:tcW w:w="1134" w:type="dxa"/>
            <w:shd w:val="clear" w:color="auto" w:fill="auto"/>
            <w:noWrap/>
            <w:vAlign w:val="center"/>
            <w:hideMark/>
          </w:tcPr>
          <w:p w14:paraId="5C4EA15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38</w:t>
            </w:r>
          </w:p>
        </w:tc>
        <w:tc>
          <w:tcPr>
            <w:tcW w:w="850" w:type="dxa"/>
            <w:shd w:val="clear" w:color="auto" w:fill="auto"/>
            <w:noWrap/>
            <w:vAlign w:val="center"/>
            <w:hideMark/>
          </w:tcPr>
          <w:p w14:paraId="4F8F509B"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38</w:t>
            </w:r>
          </w:p>
        </w:tc>
        <w:tc>
          <w:tcPr>
            <w:tcW w:w="851" w:type="dxa"/>
            <w:shd w:val="clear" w:color="auto" w:fill="auto"/>
            <w:vAlign w:val="center"/>
            <w:hideMark/>
          </w:tcPr>
          <w:p w14:paraId="48141C48"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USA, UK, Netherlands, Portugal, Australia (Victoria), Switzerland, Belgium, Germany, Turkish/Kurdish &amp; Chinese/ Hong Kongese migrants from Netherlands, France, China, Canada, Denmark, Italy</w:t>
            </w:r>
          </w:p>
        </w:tc>
        <w:tc>
          <w:tcPr>
            <w:tcW w:w="850" w:type="dxa"/>
            <w:vAlign w:val="center"/>
          </w:tcPr>
          <w:p w14:paraId="468DC5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47CD8E3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33D4BB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shd w:val="clear" w:color="auto" w:fill="auto"/>
            <w:vAlign w:val="center"/>
            <w:hideMark/>
          </w:tcPr>
          <w:p w14:paraId="0318C5FB"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Research questions: 1) Are consumers aware that meat consumption has a large environmental impact? 2) Are consumers willing to reduce meat consumption or substitute meat with an alternative? 3) Are consumers willing to accept meat substitutes and alternative proteins, such as insects or cultured meat?</w:t>
            </w:r>
          </w:p>
        </w:tc>
        <w:tc>
          <w:tcPr>
            <w:tcW w:w="567" w:type="dxa"/>
            <w:shd w:val="clear" w:color="auto" w:fill="auto"/>
            <w:vAlign w:val="center"/>
            <w:hideMark/>
          </w:tcPr>
          <w:p w14:paraId="686FE30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38947</w:t>
            </w:r>
          </w:p>
        </w:tc>
        <w:tc>
          <w:tcPr>
            <w:tcW w:w="992" w:type="dxa"/>
            <w:shd w:val="clear" w:color="auto" w:fill="auto"/>
            <w:vAlign w:val="center"/>
            <w:hideMark/>
          </w:tcPr>
          <w:p w14:paraId="27649FBE"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convenience sample, students, visitors to an Insectarium, students interested in insect-food, Christian school students, university students, second-generation migrants in the Netherlands</w:t>
            </w:r>
          </w:p>
        </w:tc>
        <w:tc>
          <w:tcPr>
            <w:tcW w:w="968" w:type="dxa"/>
            <w:shd w:val="clear" w:color="auto" w:fill="auto"/>
            <w:vAlign w:val="center"/>
            <w:hideMark/>
          </w:tcPr>
          <w:p w14:paraId="5A510899"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71C3C7D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1997-2016</w:t>
            </w:r>
          </w:p>
        </w:tc>
        <w:tc>
          <w:tcPr>
            <w:tcW w:w="851" w:type="dxa"/>
            <w:vAlign w:val="center"/>
          </w:tcPr>
          <w:p w14:paraId="7ED6A9B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did not receive any specific grant from funding agencies in the public, commercial, or not-for-profit sectors.</w:t>
            </w:r>
          </w:p>
        </w:tc>
        <w:tc>
          <w:tcPr>
            <w:tcW w:w="992" w:type="dxa"/>
            <w:vAlign w:val="center"/>
          </w:tcPr>
          <w:p w14:paraId="0C3ADD0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493E2AE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w:t>
            </w:r>
          </w:p>
        </w:tc>
        <w:tc>
          <w:tcPr>
            <w:tcW w:w="993" w:type="dxa"/>
            <w:tcBorders>
              <w:top w:val="nil"/>
              <w:left w:val="nil"/>
              <w:bottom w:val="nil"/>
              <w:right w:val="nil"/>
            </w:tcBorders>
            <w:shd w:val="clear" w:color="auto" w:fill="auto"/>
            <w:vAlign w:val="center"/>
          </w:tcPr>
          <w:p w14:paraId="5F3C39C2" w14:textId="60343C1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7 experimental studies</w:t>
            </w:r>
          </w:p>
        </w:tc>
        <w:tc>
          <w:tcPr>
            <w:tcW w:w="1419" w:type="dxa"/>
            <w:tcBorders>
              <w:top w:val="nil"/>
              <w:left w:val="nil"/>
              <w:bottom w:val="nil"/>
              <w:right w:val="nil"/>
            </w:tcBorders>
            <w:shd w:val="clear" w:color="auto" w:fill="auto"/>
            <w:vAlign w:val="center"/>
          </w:tcPr>
          <w:p w14:paraId="65DD8698" w14:textId="54A370E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4 studies on actual consumption</w:t>
            </w:r>
          </w:p>
        </w:tc>
      </w:tr>
      <w:tr w:rsidR="004829A5" w:rsidRPr="004829A5" w14:paraId="1D912B9A" w14:textId="7E815A85" w:rsidTr="00D22016">
        <w:trPr>
          <w:cantSplit/>
          <w:trHeight w:val="1045"/>
        </w:trPr>
        <w:tc>
          <w:tcPr>
            <w:tcW w:w="426" w:type="dxa"/>
            <w:shd w:val="clear" w:color="auto" w:fill="auto"/>
            <w:noWrap/>
            <w:vAlign w:val="center"/>
            <w:hideMark/>
          </w:tcPr>
          <w:p w14:paraId="2C404962"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12</w:t>
            </w:r>
          </w:p>
        </w:tc>
        <w:tc>
          <w:tcPr>
            <w:tcW w:w="851" w:type="dxa"/>
            <w:shd w:val="clear" w:color="auto" w:fill="auto"/>
            <w:vAlign w:val="center"/>
            <w:hideMark/>
          </w:tcPr>
          <w:p w14:paraId="394BEC6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He et al. (2020)</w:t>
            </w:r>
          </w:p>
        </w:tc>
        <w:tc>
          <w:tcPr>
            <w:tcW w:w="1134" w:type="dxa"/>
            <w:shd w:val="clear" w:color="auto" w:fill="auto"/>
            <w:noWrap/>
            <w:vAlign w:val="center"/>
            <w:hideMark/>
          </w:tcPr>
          <w:p w14:paraId="30B9D17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63A4863C"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39BE8FC0"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vAlign w:val="center"/>
          </w:tcPr>
          <w:p w14:paraId="5E9D9E6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1134" w:type="dxa"/>
            <w:shd w:val="clear" w:color="auto" w:fill="auto"/>
            <w:vAlign w:val="center"/>
            <w:hideMark/>
          </w:tcPr>
          <w:p w14:paraId="5FD3A81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55E47B2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39559096"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aim of this review was to gather current knowledge on plant-based meat alternatives</w:t>
            </w:r>
          </w:p>
        </w:tc>
        <w:tc>
          <w:tcPr>
            <w:tcW w:w="567" w:type="dxa"/>
            <w:shd w:val="clear" w:color="auto" w:fill="auto"/>
            <w:vAlign w:val="center"/>
            <w:hideMark/>
          </w:tcPr>
          <w:p w14:paraId="2298A94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55A2DA04"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6392A165"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0B4686A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vAlign w:val="center"/>
          </w:tcPr>
          <w:p w14:paraId="2BA8317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Education department of Hunan province China, Grant/Award Number: 18B399; China Scholarship Council (CSC), Grant/Award Number: CSC</w:t>
            </w:r>
          </w:p>
          <w:p w14:paraId="6E7DC38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201908430017; Agriculture Agri-Food</w:t>
            </w:r>
          </w:p>
          <w:p w14:paraId="69C2AEB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Canada, Grant/Award Number: J-000991</w:t>
            </w:r>
          </w:p>
        </w:tc>
        <w:tc>
          <w:tcPr>
            <w:tcW w:w="992" w:type="dxa"/>
            <w:vAlign w:val="center"/>
          </w:tcPr>
          <w:p w14:paraId="6CB6786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2F34F46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w:t>
            </w:r>
          </w:p>
        </w:tc>
        <w:tc>
          <w:tcPr>
            <w:tcW w:w="993" w:type="dxa"/>
            <w:tcBorders>
              <w:top w:val="nil"/>
              <w:left w:val="nil"/>
              <w:bottom w:val="nil"/>
              <w:right w:val="nil"/>
            </w:tcBorders>
            <w:shd w:val="clear" w:color="auto" w:fill="auto"/>
            <w:vAlign w:val="center"/>
          </w:tcPr>
          <w:p w14:paraId="4FFFFBFF" w14:textId="4EF19D0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1AA69D76" w14:textId="1D2E831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131003AE" w14:textId="04F36BCC" w:rsidTr="00D22016">
        <w:trPr>
          <w:cantSplit/>
          <w:trHeight w:val="1919"/>
        </w:trPr>
        <w:tc>
          <w:tcPr>
            <w:tcW w:w="426" w:type="dxa"/>
            <w:shd w:val="clear" w:color="auto" w:fill="auto"/>
            <w:noWrap/>
            <w:vAlign w:val="center"/>
            <w:hideMark/>
          </w:tcPr>
          <w:p w14:paraId="6542630C"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13</w:t>
            </w:r>
          </w:p>
        </w:tc>
        <w:tc>
          <w:tcPr>
            <w:tcW w:w="851" w:type="dxa"/>
            <w:shd w:val="clear" w:color="auto" w:fill="auto"/>
            <w:vAlign w:val="center"/>
            <w:hideMark/>
          </w:tcPr>
          <w:p w14:paraId="3EDEB4B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Kauppi et al. (2019)</w:t>
            </w:r>
          </w:p>
        </w:tc>
        <w:tc>
          <w:tcPr>
            <w:tcW w:w="1134" w:type="dxa"/>
            <w:shd w:val="clear" w:color="auto" w:fill="auto"/>
            <w:noWrap/>
            <w:vAlign w:val="center"/>
            <w:hideMark/>
          </w:tcPr>
          <w:p w14:paraId="00C8169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1717829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7BF9854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"Western countries"</w:t>
            </w:r>
          </w:p>
        </w:tc>
        <w:tc>
          <w:tcPr>
            <w:tcW w:w="850" w:type="dxa"/>
            <w:vAlign w:val="center"/>
          </w:tcPr>
          <w:p w14:paraId="2E7A5FB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shd w:val="clear" w:color="auto" w:fill="auto"/>
            <w:vAlign w:val="center"/>
            <w:hideMark/>
          </w:tcPr>
          <w:p w14:paraId="27B63E1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157950C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6A1B9F67"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literature review focuses on the following questions:</w:t>
            </w:r>
            <w:r w:rsidRPr="004829A5">
              <w:rPr>
                <w:rFonts w:ascii="Times New Roman" w:eastAsia="Times New Roman" w:hAnsi="Times New Roman" w:cs="Times New Roman"/>
                <w:color w:val="auto"/>
                <w:sz w:val="16"/>
                <w:szCs w:val="16"/>
                <w:lang w:eastAsia="pl-PL"/>
              </w:rPr>
              <w:br/>
              <w:t>• What are the justifications for insect-eating presented in current literature and how do they reflect consumers’ concerns?</w:t>
            </w:r>
            <w:r w:rsidRPr="004829A5">
              <w:rPr>
                <w:rFonts w:ascii="Times New Roman" w:eastAsia="Times New Roman" w:hAnsi="Times New Roman" w:cs="Times New Roman"/>
                <w:color w:val="auto"/>
                <w:sz w:val="16"/>
                <w:szCs w:val="16"/>
                <w:lang w:eastAsia="pl-PL"/>
              </w:rPr>
              <w:br/>
              <w:t>• What factors are understood as influencing consumer acceptance of insects as food?</w:t>
            </w:r>
            <w:r w:rsidRPr="004829A5">
              <w:rPr>
                <w:rFonts w:ascii="Times New Roman" w:eastAsia="Times New Roman" w:hAnsi="Times New Roman" w:cs="Times New Roman"/>
                <w:color w:val="auto"/>
                <w:sz w:val="16"/>
                <w:szCs w:val="16"/>
                <w:lang w:eastAsia="pl-PL"/>
              </w:rPr>
              <w:br/>
              <w:t>• How can design interventions address these factors and support the adoption of edible insects?</w:t>
            </w:r>
          </w:p>
        </w:tc>
        <w:tc>
          <w:tcPr>
            <w:tcW w:w="567" w:type="dxa"/>
            <w:shd w:val="clear" w:color="auto" w:fill="auto"/>
            <w:vAlign w:val="center"/>
            <w:hideMark/>
          </w:tcPr>
          <w:p w14:paraId="40BF217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7F738D0C"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0EF6F5C1"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333EB24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2005-2018</w:t>
            </w:r>
          </w:p>
        </w:tc>
        <w:tc>
          <w:tcPr>
            <w:tcW w:w="851" w:type="dxa"/>
            <w:vAlign w:val="center"/>
          </w:tcPr>
          <w:p w14:paraId="0749F40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article is a result of the ENTOWASTE project ‘Design of insect and</w:t>
            </w:r>
          </w:p>
          <w:p w14:paraId="3B22BCA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insect-based food products’, funded by the Norwegian Research Council NFR</w:t>
            </w:r>
          </w:p>
          <w:p w14:paraId="3EAB466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(project number 271053/E50) under the ERA-NET LAC II scheme, a Network</w:t>
            </w:r>
          </w:p>
          <w:p w14:paraId="4BB8B60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of the European Union (EU), Latin America and the Caribbean Countries</w:t>
            </w:r>
          </w:p>
          <w:p w14:paraId="082D32B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(LAC) on Join Innovation and Research Activities.</w:t>
            </w:r>
          </w:p>
        </w:tc>
        <w:tc>
          <w:tcPr>
            <w:tcW w:w="992" w:type="dxa"/>
            <w:vAlign w:val="center"/>
          </w:tcPr>
          <w:p w14:paraId="48FF8B7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0E955CA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w:t>
            </w:r>
          </w:p>
        </w:tc>
        <w:tc>
          <w:tcPr>
            <w:tcW w:w="993" w:type="dxa"/>
            <w:tcBorders>
              <w:top w:val="nil"/>
              <w:left w:val="nil"/>
              <w:bottom w:val="nil"/>
              <w:right w:val="nil"/>
            </w:tcBorders>
            <w:shd w:val="clear" w:color="auto" w:fill="auto"/>
            <w:vAlign w:val="center"/>
          </w:tcPr>
          <w:p w14:paraId="53824850" w14:textId="26215C7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2C36F772" w14:textId="1C66EB69"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4D0A17B7" w14:textId="53BF9AF8" w:rsidTr="00D22016">
        <w:trPr>
          <w:cantSplit/>
          <w:trHeight w:val="2638"/>
        </w:trPr>
        <w:tc>
          <w:tcPr>
            <w:tcW w:w="426" w:type="dxa"/>
            <w:shd w:val="clear" w:color="auto" w:fill="auto"/>
            <w:noWrap/>
            <w:vAlign w:val="center"/>
            <w:hideMark/>
          </w:tcPr>
          <w:p w14:paraId="6869E69A"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14</w:t>
            </w:r>
          </w:p>
        </w:tc>
        <w:tc>
          <w:tcPr>
            <w:tcW w:w="851" w:type="dxa"/>
            <w:shd w:val="clear" w:color="auto" w:fill="auto"/>
            <w:vAlign w:val="center"/>
            <w:hideMark/>
          </w:tcPr>
          <w:p w14:paraId="41C08B3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Kröger</w:t>
            </w:r>
            <w:proofErr w:type="spellEnd"/>
            <w:r w:rsidRPr="004829A5">
              <w:rPr>
                <w:rFonts w:ascii="Times New Roman" w:hAnsi="Times New Roman" w:cs="Times New Roman"/>
                <w:color w:val="auto"/>
                <w:sz w:val="16"/>
                <w:szCs w:val="16"/>
              </w:rPr>
              <w:t xml:space="preserve"> et al. (2021)</w:t>
            </w:r>
          </w:p>
        </w:tc>
        <w:tc>
          <w:tcPr>
            <w:tcW w:w="1134" w:type="dxa"/>
            <w:shd w:val="clear" w:color="auto" w:fill="auto"/>
            <w:noWrap/>
            <w:vAlign w:val="center"/>
            <w:hideMark/>
          </w:tcPr>
          <w:p w14:paraId="12A9C5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119</w:t>
            </w:r>
          </w:p>
        </w:tc>
        <w:tc>
          <w:tcPr>
            <w:tcW w:w="850" w:type="dxa"/>
            <w:shd w:val="clear" w:color="auto" w:fill="auto"/>
            <w:noWrap/>
            <w:vAlign w:val="center"/>
            <w:hideMark/>
          </w:tcPr>
          <w:p w14:paraId="15F9582B"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119</w:t>
            </w:r>
          </w:p>
        </w:tc>
        <w:tc>
          <w:tcPr>
            <w:tcW w:w="851" w:type="dxa"/>
            <w:shd w:val="clear" w:color="auto" w:fill="auto"/>
            <w:vAlign w:val="center"/>
            <w:hideMark/>
          </w:tcPr>
          <w:p w14:paraId="19B8384C"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Czech Republic, USA, Italy, Belgium, Poland, Canada, Switzerland, Germany, Hungary, UK, Spain, Australia, Denmark, Netherlands, Finland, France, Sweden, New Zealand</w:t>
            </w:r>
          </w:p>
        </w:tc>
        <w:tc>
          <w:tcPr>
            <w:tcW w:w="850" w:type="dxa"/>
            <w:vAlign w:val="center"/>
          </w:tcPr>
          <w:p w14:paraId="4B548AC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shd w:val="clear" w:color="auto" w:fill="auto"/>
            <w:vAlign w:val="center"/>
            <w:hideMark/>
          </w:tcPr>
          <w:p w14:paraId="055E00D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02520EB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shd w:val="clear" w:color="auto" w:fill="auto"/>
            <w:vAlign w:val="center"/>
            <w:hideMark/>
          </w:tcPr>
          <w:p w14:paraId="210A820E"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systematic review sought to identify, analyze, and synthesize the findings of empirical studies on consumer acceptance of insect-based food products in Western countries.</w:t>
            </w:r>
          </w:p>
        </w:tc>
        <w:tc>
          <w:tcPr>
            <w:tcW w:w="567" w:type="dxa"/>
            <w:shd w:val="clear" w:color="auto" w:fill="auto"/>
            <w:noWrap/>
            <w:vAlign w:val="center"/>
            <w:hideMark/>
          </w:tcPr>
          <w:p w14:paraId="2B2C203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53493</w:t>
            </w:r>
          </w:p>
        </w:tc>
        <w:tc>
          <w:tcPr>
            <w:tcW w:w="992" w:type="dxa"/>
            <w:shd w:val="clear" w:color="auto" w:fill="auto"/>
            <w:vAlign w:val="center"/>
            <w:hideMark/>
          </w:tcPr>
          <w:p w14:paraId="56DBBEC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adults, young adults, university students, undergraduate students, school children, both from urban and rural areas</w:t>
            </w:r>
          </w:p>
        </w:tc>
        <w:tc>
          <w:tcPr>
            <w:tcW w:w="968" w:type="dxa"/>
            <w:shd w:val="clear" w:color="auto" w:fill="auto"/>
            <w:vAlign w:val="center"/>
            <w:hideMark/>
          </w:tcPr>
          <w:p w14:paraId="4731F2D7"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623DFE3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2013-2021</w:t>
            </w:r>
          </w:p>
        </w:tc>
        <w:tc>
          <w:tcPr>
            <w:tcW w:w="851" w:type="dxa"/>
            <w:vAlign w:val="center"/>
          </w:tcPr>
          <w:p w14:paraId="7F4D80B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We acknowledge support by Deutsche </w:t>
            </w:r>
            <w:proofErr w:type="spellStart"/>
            <w:r w:rsidRPr="004829A5">
              <w:rPr>
                <w:rFonts w:ascii="Times New Roman" w:eastAsia="Times New Roman" w:hAnsi="Times New Roman" w:cs="Times New Roman"/>
                <w:color w:val="auto"/>
                <w:sz w:val="16"/>
                <w:szCs w:val="16"/>
                <w:lang w:eastAsia="pl-PL"/>
              </w:rPr>
              <w:t>Forschungsgemeinschaft</w:t>
            </w:r>
            <w:proofErr w:type="spellEnd"/>
          </w:p>
          <w:p w14:paraId="5B4F709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(DFG) and Open Access Publishing Fund of</w:t>
            </w:r>
          </w:p>
          <w:p w14:paraId="119F9D7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Osnabrück University.</w:t>
            </w:r>
          </w:p>
        </w:tc>
        <w:tc>
          <w:tcPr>
            <w:tcW w:w="992" w:type="dxa"/>
            <w:vAlign w:val="center"/>
          </w:tcPr>
          <w:p w14:paraId="33697A3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70822D2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23</w:t>
            </w:r>
          </w:p>
        </w:tc>
        <w:tc>
          <w:tcPr>
            <w:tcW w:w="993" w:type="dxa"/>
            <w:tcBorders>
              <w:top w:val="nil"/>
              <w:left w:val="nil"/>
              <w:bottom w:val="nil"/>
              <w:right w:val="nil"/>
            </w:tcBorders>
            <w:shd w:val="clear" w:color="auto" w:fill="auto"/>
            <w:vAlign w:val="center"/>
          </w:tcPr>
          <w:p w14:paraId="06D84D84" w14:textId="68E471E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34 experimental studies</w:t>
            </w:r>
          </w:p>
        </w:tc>
        <w:tc>
          <w:tcPr>
            <w:tcW w:w="1419" w:type="dxa"/>
            <w:tcBorders>
              <w:top w:val="nil"/>
              <w:left w:val="nil"/>
              <w:bottom w:val="nil"/>
              <w:right w:val="nil"/>
            </w:tcBorders>
            <w:shd w:val="clear" w:color="auto" w:fill="auto"/>
            <w:vAlign w:val="center"/>
          </w:tcPr>
          <w:p w14:paraId="566BE1B9" w14:textId="3361D285"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3 studies on actual consumption as dependent variable</w:t>
            </w:r>
          </w:p>
        </w:tc>
      </w:tr>
      <w:tr w:rsidR="004829A5" w:rsidRPr="004829A5" w14:paraId="3B40FF52" w14:textId="03BF4CD4" w:rsidTr="00D22016">
        <w:trPr>
          <w:cantSplit/>
          <w:trHeight w:val="360"/>
        </w:trPr>
        <w:tc>
          <w:tcPr>
            <w:tcW w:w="426" w:type="dxa"/>
            <w:shd w:val="clear" w:color="auto" w:fill="auto"/>
            <w:vAlign w:val="center"/>
            <w:hideMark/>
          </w:tcPr>
          <w:p w14:paraId="173CA153"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15</w:t>
            </w:r>
          </w:p>
        </w:tc>
        <w:tc>
          <w:tcPr>
            <w:tcW w:w="851" w:type="dxa"/>
            <w:shd w:val="clear" w:color="auto" w:fill="auto"/>
            <w:vAlign w:val="center"/>
            <w:hideMark/>
          </w:tcPr>
          <w:p w14:paraId="0C05987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Onwezen et al. (2021)</w:t>
            </w:r>
          </w:p>
        </w:tc>
        <w:tc>
          <w:tcPr>
            <w:tcW w:w="1134" w:type="dxa"/>
            <w:shd w:val="clear" w:color="auto" w:fill="auto"/>
            <w:vAlign w:val="center"/>
            <w:hideMark/>
          </w:tcPr>
          <w:p w14:paraId="4DB6C04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91</w:t>
            </w:r>
          </w:p>
        </w:tc>
        <w:tc>
          <w:tcPr>
            <w:tcW w:w="850" w:type="dxa"/>
            <w:shd w:val="clear" w:color="auto" w:fill="auto"/>
            <w:vAlign w:val="center"/>
            <w:hideMark/>
          </w:tcPr>
          <w:p w14:paraId="76FA7233"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91</w:t>
            </w:r>
          </w:p>
        </w:tc>
        <w:tc>
          <w:tcPr>
            <w:tcW w:w="851" w:type="dxa"/>
            <w:shd w:val="clear" w:color="auto" w:fill="auto"/>
            <w:vAlign w:val="center"/>
            <w:hideMark/>
          </w:tcPr>
          <w:p w14:paraId="00FC00A6"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majority of the studies were conducted in the Netherlands (20 studies), Italy (17 studies), Germany (13 studies), the United States (9 studies), Australia (8 studies), Belgium (7 studies), the United Kingdom</w:t>
            </w:r>
            <w:r w:rsidRPr="004829A5">
              <w:rPr>
                <w:rFonts w:ascii="Times New Roman" w:eastAsia="Times New Roman" w:hAnsi="Times New Roman" w:cs="Times New Roman"/>
                <w:color w:val="auto"/>
                <w:sz w:val="16"/>
                <w:szCs w:val="16"/>
                <w:lang w:eastAsia="pl-PL"/>
              </w:rPr>
              <w:br/>
              <w:t>(5 studies), and Switzerland (6 studies). Other countries, such as the Czech Republic, are only represented once or twice.</w:t>
            </w:r>
          </w:p>
        </w:tc>
        <w:tc>
          <w:tcPr>
            <w:tcW w:w="850" w:type="dxa"/>
            <w:vAlign w:val="center"/>
          </w:tcPr>
          <w:p w14:paraId="5EB185F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 EUR, AUS/NZ, USA, CAN</w:t>
            </w:r>
          </w:p>
        </w:tc>
        <w:tc>
          <w:tcPr>
            <w:tcW w:w="1134" w:type="dxa"/>
            <w:shd w:val="clear" w:color="auto" w:fill="auto"/>
            <w:vAlign w:val="center"/>
            <w:hideMark/>
          </w:tcPr>
          <w:p w14:paraId="5B6E492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30F82C7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3BCF8569"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Overview of drivers of acceptance of a wide range of alternative proteins.</w:t>
            </w:r>
          </w:p>
        </w:tc>
        <w:tc>
          <w:tcPr>
            <w:tcW w:w="567" w:type="dxa"/>
            <w:shd w:val="clear" w:color="auto" w:fill="auto"/>
            <w:vAlign w:val="center"/>
            <w:hideMark/>
          </w:tcPr>
          <w:p w14:paraId="233DEA5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51333</w:t>
            </w:r>
          </w:p>
        </w:tc>
        <w:tc>
          <w:tcPr>
            <w:tcW w:w="992" w:type="dxa"/>
            <w:shd w:val="clear" w:color="auto" w:fill="auto"/>
            <w:vAlign w:val="center"/>
            <w:hideMark/>
          </w:tcPr>
          <w:p w14:paraId="19547D67"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particular age range, gender or socio-economic status was not specified</w:t>
            </w:r>
          </w:p>
        </w:tc>
        <w:tc>
          <w:tcPr>
            <w:tcW w:w="968" w:type="dxa"/>
            <w:shd w:val="clear" w:color="auto" w:fill="auto"/>
            <w:vAlign w:val="center"/>
            <w:hideMark/>
          </w:tcPr>
          <w:p w14:paraId="595B91D0"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28F5B7A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2005-2020</w:t>
            </w:r>
          </w:p>
        </w:tc>
        <w:tc>
          <w:tcPr>
            <w:tcW w:w="851" w:type="dxa"/>
            <w:vAlign w:val="center"/>
          </w:tcPr>
          <w:p w14:paraId="7593220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review is conducted in a research project on alternative</w:t>
            </w:r>
          </w:p>
          <w:p w14:paraId="288D9F1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proteins funded by the Dutch Ministry of Agriculture, Nature and Food</w:t>
            </w:r>
          </w:p>
          <w:p w14:paraId="5C1D1DE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Quality.</w:t>
            </w:r>
          </w:p>
        </w:tc>
        <w:tc>
          <w:tcPr>
            <w:tcW w:w="992" w:type="dxa"/>
            <w:vAlign w:val="center"/>
          </w:tcPr>
          <w:p w14:paraId="6410297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5B1477B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24</w:t>
            </w:r>
          </w:p>
        </w:tc>
        <w:tc>
          <w:tcPr>
            <w:tcW w:w="993" w:type="dxa"/>
            <w:tcBorders>
              <w:top w:val="nil"/>
              <w:left w:val="nil"/>
              <w:bottom w:val="nil"/>
              <w:right w:val="nil"/>
            </w:tcBorders>
            <w:shd w:val="clear" w:color="auto" w:fill="auto"/>
            <w:vAlign w:val="center"/>
          </w:tcPr>
          <w:p w14:paraId="744378FF" w14:textId="1EF1B73B"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40 experimental studies</w:t>
            </w:r>
          </w:p>
        </w:tc>
        <w:tc>
          <w:tcPr>
            <w:tcW w:w="1419" w:type="dxa"/>
            <w:tcBorders>
              <w:top w:val="nil"/>
              <w:left w:val="nil"/>
              <w:bottom w:val="nil"/>
              <w:right w:val="nil"/>
            </w:tcBorders>
            <w:shd w:val="clear" w:color="auto" w:fill="auto"/>
            <w:vAlign w:val="center"/>
          </w:tcPr>
          <w:p w14:paraId="798D9FE2" w14:textId="4AD5F4B5"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8 studies on actual consumption</w:t>
            </w:r>
          </w:p>
        </w:tc>
      </w:tr>
      <w:tr w:rsidR="004829A5" w:rsidRPr="004829A5" w14:paraId="7FC4BE7B" w14:textId="493B9BAF" w:rsidTr="00D22016">
        <w:trPr>
          <w:cantSplit/>
          <w:trHeight w:val="1778"/>
        </w:trPr>
        <w:tc>
          <w:tcPr>
            <w:tcW w:w="426" w:type="dxa"/>
            <w:shd w:val="clear" w:color="auto" w:fill="auto"/>
            <w:noWrap/>
            <w:vAlign w:val="center"/>
            <w:hideMark/>
          </w:tcPr>
          <w:p w14:paraId="478FB8D7"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16</w:t>
            </w:r>
          </w:p>
        </w:tc>
        <w:tc>
          <w:tcPr>
            <w:tcW w:w="851" w:type="dxa"/>
            <w:shd w:val="clear" w:color="auto" w:fill="auto"/>
            <w:vAlign w:val="center"/>
            <w:hideMark/>
          </w:tcPr>
          <w:p w14:paraId="6FB2F7F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Mancini et al. (2019)</w:t>
            </w:r>
          </w:p>
        </w:tc>
        <w:tc>
          <w:tcPr>
            <w:tcW w:w="1134" w:type="dxa"/>
            <w:shd w:val="clear" w:color="auto" w:fill="auto"/>
            <w:noWrap/>
            <w:vAlign w:val="center"/>
            <w:hideMark/>
          </w:tcPr>
          <w:p w14:paraId="3FDF426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41</w:t>
            </w:r>
          </w:p>
        </w:tc>
        <w:tc>
          <w:tcPr>
            <w:tcW w:w="850" w:type="dxa"/>
            <w:shd w:val="clear" w:color="auto" w:fill="auto"/>
            <w:noWrap/>
            <w:vAlign w:val="center"/>
            <w:hideMark/>
          </w:tcPr>
          <w:p w14:paraId="73033F82"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41</w:t>
            </w:r>
          </w:p>
        </w:tc>
        <w:tc>
          <w:tcPr>
            <w:tcW w:w="851" w:type="dxa"/>
            <w:shd w:val="clear" w:color="auto" w:fill="auto"/>
            <w:vAlign w:val="center"/>
            <w:hideMark/>
          </w:tcPr>
          <w:p w14:paraId="5EA8531D"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Czech Republic, Italy, Belgium, Poland, Netherlands, Hungary, Switzerland, Germany, China, Denmark, France, Australia, Sweden, Ireland, Thailand</w:t>
            </w:r>
          </w:p>
        </w:tc>
        <w:tc>
          <w:tcPr>
            <w:tcW w:w="850" w:type="dxa"/>
            <w:vAlign w:val="center"/>
          </w:tcPr>
          <w:p w14:paraId="7A89672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044771C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43E3B54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1AE5F87"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review article analyzed different methodologies conducted on European consumers and categorized the studies in relation to the type of analysis chosen, data collection and results obtained.</w:t>
            </w:r>
          </w:p>
        </w:tc>
        <w:tc>
          <w:tcPr>
            <w:tcW w:w="567" w:type="dxa"/>
            <w:shd w:val="clear" w:color="auto" w:fill="auto"/>
            <w:noWrap/>
            <w:vAlign w:val="center"/>
            <w:hideMark/>
          </w:tcPr>
          <w:p w14:paraId="699385B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12930</w:t>
            </w:r>
          </w:p>
        </w:tc>
        <w:tc>
          <w:tcPr>
            <w:tcW w:w="992" w:type="dxa"/>
            <w:shd w:val="clear" w:color="auto" w:fill="auto"/>
            <w:vAlign w:val="center"/>
            <w:hideMark/>
          </w:tcPr>
          <w:p w14:paraId="5B7EEA1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students with part-time occupation plus employees in several jobs, undergraduate students, students, university students and employees, consumers from outside the university, staff and students of </w:t>
            </w:r>
            <w:proofErr w:type="spellStart"/>
            <w:r w:rsidRPr="004829A5">
              <w:rPr>
                <w:rFonts w:ascii="Times New Roman" w:eastAsia="Times New Roman" w:hAnsi="Times New Roman" w:cs="Times New Roman"/>
                <w:color w:val="auto"/>
                <w:sz w:val="16"/>
                <w:szCs w:val="16"/>
                <w:lang w:eastAsia="pl-PL"/>
              </w:rPr>
              <w:t>AgroParisTech</w:t>
            </w:r>
            <w:proofErr w:type="spellEnd"/>
            <w:r w:rsidRPr="004829A5">
              <w:rPr>
                <w:rFonts w:ascii="Times New Roman" w:eastAsia="Times New Roman" w:hAnsi="Times New Roman" w:cs="Times New Roman"/>
                <w:color w:val="auto"/>
                <w:sz w:val="16"/>
                <w:szCs w:val="16"/>
                <w:lang w:eastAsia="pl-PL"/>
              </w:rPr>
              <w:t>, participants at a “bug banquet”, university students of Gastronomy and Food Science courses of the Department of Food Science, adults with various education level</w:t>
            </w:r>
          </w:p>
        </w:tc>
        <w:tc>
          <w:tcPr>
            <w:tcW w:w="968" w:type="dxa"/>
            <w:shd w:val="clear" w:color="auto" w:fill="auto"/>
            <w:vAlign w:val="center"/>
            <w:hideMark/>
          </w:tcPr>
          <w:p w14:paraId="2EE68DC8"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5DD9F1F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2012-2019</w:t>
            </w:r>
          </w:p>
        </w:tc>
        <w:tc>
          <w:tcPr>
            <w:tcW w:w="851" w:type="dxa"/>
            <w:vAlign w:val="center"/>
          </w:tcPr>
          <w:p w14:paraId="0D23A4E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did not receive any specific grant from funding</w:t>
            </w:r>
          </w:p>
          <w:p w14:paraId="2B7A49E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agencies in the public, commercial, or not-for-profit sectors.</w:t>
            </w:r>
          </w:p>
        </w:tc>
        <w:tc>
          <w:tcPr>
            <w:tcW w:w="992" w:type="dxa"/>
            <w:vAlign w:val="center"/>
          </w:tcPr>
          <w:p w14:paraId="0D70D7F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3D18E98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w:t>
            </w:r>
          </w:p>
        </w:tc>
        <w:tc>
          <w:tcPr>
            <w:tcW w:w="993" w:type="dxa"/>
            <w:tcBorders>
              <w:top w:val="nil"/>
              <w:left w:val="nil"/>
              <w:bottom w:val="nil"/>
              <w:right w:val="nil"/>
            </w:tcBorders>
            <w:shd w:val="clear" w:color="auto" w:fill="auto"/>
            <w:vAlign w:val="center"/>
          </w:tcPr>
          <w:p w14:paraId="6C4DC350" w14:textId="3A0F1AE4"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8 experimental studies</w:t>
            </w:r>
          </w:p>
        </w:tc>
        <w:tc>
          <w:tcPr>
            <w:tcW w:w="1419" w:type="dxa"/>
            <w:tcBorders>
              <w:top w:val="nil"/>
              <w:left w:val="nil"/>
              <w:bottom w:val="nil"/>
              <w:right w:val="nil"/>
            </w:tcBorders>
            <w:shd w:val="clear" w:color="auto" w:fill="auto"/>
            <w:vAlign w:val="center"/>
          </w:tcPr>
          <w:p w14:paraId="34A48966" w14:textId="0D19AD08"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9 studies examined actual consumption via tasting</w:t>
            </w:r>
          </w:p>
        </w:tc>
      </w:tr>
      <w:tr w:rsidR="004829A5" w:rsidRPr="004829A5" w14:paraId="220DDED0" w14:textId="2737DC0F" w:rsidTr="00D22016">
        <w:trPr>
          <w:cantSplit/>
          <w:trHeight w:val="785"/>
        </w:trPr>
        <w:tc>
          <w:tcPr>
            <w:tcW w:w="426" w:type="dxa"/>
            <w:shd w:val="clear" w:color="auto" w:fill="auto"/>
            <w:noWrap/>
            <w:vAlign w:val="center"/>
            <w:hideMark/>
          </w:tcPr>
          <w:p w14:paraId="39CC62FB"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17</w:t>
            </w:r>
          </w:p>
        </w:tc>
        <w:tc>
          <w:tcPr>
            <w:tcW w:w="851" w:type="dxa"/>
            <w:shd w:val="clear" w:color="auto" w:fill="auto"/>
            <w:vAlign w:val="center"/>
            <w:hideMark/>
          </w:tcPr>
          <w:p w14:paraId="70FDF90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Mina et al. (2023)</w:t>
            </w:r>
          </w:p>
        </w:tc>
        <w:tc>
          <w:tcPr>
            <w:tcW w:w="1134" w:type="dxa"/>
            <w:shd w:val="clear" w:color="auto" w:fill="auto"/>
            <w:noWrap/>
            <w:vAlign w:val="center"/>
            <w:hideMark/>
          </w:tcPr>
          <w:p w14:paraId="5A480E3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62</w:t>
            </w:r>
          </w:p>
        </w:tc>
        <w:tc>
          <w:tcPr>
            <w:tcW w:w="850" w:type="dxa"/>
            <w:shd w:val="clear" w:color="auto" w:fill="auto"/>
            <w:noWrap/>
            <w:vAlign w:val="center"/>
            <w:hideMark/>
          </w:tcPr>
          <w:p w14:paraId="1956FBBA"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98</w:t>
            </w:r>
          </w:p>
        </w:tc>
        <w:tc>
          <w:tcPr>
            <w:tcW w:w="851" w:type="dxa"/>
            <w:shd w:val="clear" w:color="auto" w:fill="auto"/>
            <w:vAlign w:val="center"/>
            <w:hideMark/>
          </w:tcPr>
          <w:p w14:paraId="3903BF9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Italy, Germany, Netherlands, Belgium, Poland, UK, Switzerland, Finland, France, Romania, Portugal, Sweden, Hungary, Ireland, Denmark, Spain, Norway, Czech Republic</w:t>
            </w:r>
          </w:p>
        </w:tc>
        <w:tc>
          <w:tcPr>
            <w:tcW w:w="850" w:type="dxa"/>
            <w:vAlign w:val="center"/>
          </w:tcPr>
          <w:p w14:paraId="5FD93C4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B) Europe only</w:t>
            </w:r>
          </w:p>
        </w:tc>
        <w:tc>
          <w:tcPr>
            <w:tcW w:w="1134" w:type="dxa"/>
            <w:shd w:val="clear" w:color="auto" w:fill="auto"/>
            <w:vAlign w:val="center"/>
            <w:hideMark/>
          </w:tcPr>
          <w:p w14:paraId="2BEB1DE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75E70F2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3C3CCB52"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Research Question 1 (RQ1): Among the variables analyzed in the literature, which appear to be barriers and which drivers for the consumption of insects in Europe? Research Question 2 (RQ2): Considering what emerged from the first research question, which are the most promising strategies to convince European consumers to eat insects?</w:t>
            </w:r>
          </w:p>
        </w:tc>
        <w:tc>
          <w:tcPr>
            <w:tcW w:w="567" w:type="dxa"/>
            <w:shd w:val="clear" w:color="auto" w:fill="auto"/>
            <w:vAlign w:val="center"/>
            <w:hideMark/>
          </w:tcPr>
          <w:p w14:paraId="0350CA5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4D6FB610"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general consumers, university students, minors, </w:t>
            </w:r>
            <w:proofErr w:type="spellStart"/>
            <w:r w:rsidRPr="004829A5">
              <w:rPr>
                <w:rFonts w:ascii="Times New Roman" w:eastAsia="Times New Roman" w:hAnsi="Times New Roman" w:cs="Times New Roman"/>
                <w:color w:val="auto"/>
                <w:sz w:val="16"/>
                <w:szCs w:val="16"/>
                <w:lang w:eastAsia="pl-PL"/>
              </w:rPr>
              <w:t>millenials</w:t>
            </w:r>
            <w:proofErr w:type="spellEnd"/>
            <w:r w:rsidRPr="004829A5">
              <w:rPr>
                <w:rFonts w:ascii="Times New Roman" w:eastAsia="Times New Roman" w:hAnsi="Times New Roman" w:cs="Times New Roman"/>
                <w:color w:val="auto"/>
                <w:sz w:val="16"/>
                <w:szCs w:val="16"/>
                <w:lang w:eastAsia="pl-PL"/>
              </w:rPr>
              <w:t>, gen z, older people, consumers who have already eaten insects, participants in a health fair, university staff</w:t>
            </w:r>
          </w:p>
        </w:tc>
        <w:tc>
          <w:tcPr>
            <w:tcW w:w="968" w:type="dxa"/>
            <w:shd w:val="clear" w:color="auto" w:fill="auto"/>
            <w:vAlign w:val="center"/>
            <w:hideMark/>
          </w:tcPr>
          <w:p w14:paraId="51A855B6"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41ED060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2015-2022</w:t>
            </w:r>
          </w:p>
        </w:tc>
        <w:tc>
          <w:tcPr>
            <w:tcW w:w="851" w:type="dxa"/>
            <w:vAlign w:val="center"/>
          </w:tcPr>
          <w:p w14:paraId="3D0DFFE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received no external funding.</w:t>
            </w:r>
          </w:p>
        </w:tc>
        <w:tc>
          <w:tcPr>
            <w:tcW w:w="992" w:type="dxa"/>
            <w:vAlign w:val="center"/>
          </w:tcPr>
          <w:p w14:paraId="5D1E4EC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6EC1F62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11</w:t>
            </w:r>
          </w:p>
        </w:tc>
        <w:tc>
          <w:tcPr>
            <w:tcW w:w="993" w:type="dxa"/>
            <w:tcBorders>
              <w:top w:val="nil"/>
              <w:left w:val="nil"/>
              <w:bottom w:val="nil"/>
              <w:right w:val="nil"/>
            </w:tcBorders>
            <w:shd w:val="clear" w:color="auto" w:fill="auto"/>
            <w:vAlign w:val="center"/>
          </w:tcPr>
          <w:p w14:paraId="545355F3" w14:textId="7087691A"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5 experimental studies</w:t>
            </w:r>
          </w:p>
        </w:tc>
        <w:tc>
          <w:tcPr>
            <w:tcW w:w="1419" w:type="dxa"/>
            <w:tcBorders>
              <w:top w:val="nil"/>
              <w:left w:val="nil"/>
              <w:bottom w:val="nil"/>
              <w:right w:val="nil"/>
            </w:tcBorders>
            <w:shd w:val="clear" w:color="auto" w:fill="auto"/>
            <w:vAlign w:val="center"/>
          </w:tcPr>
          <w:p w14:paraId="0D44854A" w14:textId="2D0FC740"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6 studies examined previous consumption</w:t>
            </w:r>
          </w:p>
        </w:tc>
      </w:tr>
      <w:tr w:rsidR="004829A5" w:rsidRPr="004829A5" w14:paraId="6844C406" w14:textId="18BA1AB0" w:rsidTr="00D22016">
        <w:trPr>
          <w:cantSplit/>
          <w:trHeight w:val="3383"/>
        </w:trPr>
        <w:tc>
          <w:tcPr>
            <w:tcW w:w="426" w:type="dxa"/>
            <w:shd w:val="clear" w:color="auto" w:fill="auto"/>
            <w:noWrap/>
            <w:vAlign w:val="center"/>
            <w:hideMark/>
          </w:tcPr>
          <w:p w14:paraId="0929898A"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18</w:t>
            </w:r>
          </w:p>
        </w:tc>
        <w:tc>
          <w:tcPr>
            <w:tcW w:w="851" w:type="dxa"/>
            <w:shd w:val="clear" w:color="auto" w:fill="auto"/>
            <w:vAlign w:val="center"/>
            <w:hideMark/>
          </w:tcPr>
          <w:p w14:paraId="198E1A8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Nguyen et al. (2022)</w:t>
            </w:r>
          </w:p>
        </w:tc>
        <w:tc>
          <w:tcPr>
            <w:tcW w:w="1134" w:type="dxa"/>
            <w:shd w:val="clear" w:color="auto" w:fill="auto"/>
            <w:noWrap/>
            <w:vAlign w:val="center"/>
            <w:hideMark/>
          </w:tcPr>
          <w:p w14:paraId="7B9D352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64</w:t>
            </w:r>
          </w:p>
        </w:tc>
        <w:tc>
          <w:tcPr>
            <w:tcW w:w="850" w:type="dxa"/>
            <w:shd w:val="clear" w:color="auto" w:fill="auto"/>
            <w:noWrap/>
            <w:vAlign w:val="center"/>
            <w:hideMark/>
          </w:tcPr>
          <w:p w14:paraId="590D70F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64</w:t>
            </w:r>
          </w:p>
        </w:tc>
        <w:tc>
          <w:tcPr>
            <w:tcW w:w="851" w:type="dxa"/>
            <w:shd w:val="clear" w:color="auto" w:fill="auto"/>
            <w:vAlign w:val="center"/>
            <w:hideMark/>
          </w:tcPr>
          <w:p w14:paraId="73B36C00"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Netherlands, United States, Finland, Sweden, Germany, Czech Republic, Belgium, France, Switzerland, Australia, New Zealand, Denmark, United Kingdom, Canada, Italy, Brazil, Spain, Dominican Republic, Scotland, Poland, Portugal, South Korea, China</w:t>
            </w:r>
          </w:p>
        </w:tc>
        <w:tc>
          <w:tcPr>
            <w:tcW w:w="850" w:type="dxa"/>
            <w:vAlign w:val="center"/>
          </w:tcPr>
          <w:p w14:paraId="454325A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D) EUR, AUS/NZ, USA, CAN</w:t>
            </w:r>
          </w:p>
        </w:tc>
        <w:tc>
          <w:tcPr>
            <w:tcW w:w="1134" w:type="dxa"/>
            <w:shd w:val="clear" w:color="auto" w:fill="auto"/>
            <w:vAlign w:val="center"/>
            <w:hideMark/>
          </w:tcPr>
          <w:p w14:paraId="3C082FA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YES - The COM-B Theoretical Model</w:t>
            </w:r>
          </w:p>
        </w:tc>
        <w:tc>
          <w:tcPr>
            <w:tcW w:w="851" w:type="dxa"/>
            <w:shd w:val="clear" w:color="auto" w:fill="auto"/>
            <w:vAlign w:val="center"/>
            <w:hideMark/>
          </w:tcPr>
          <w:p w14:paraId="2118745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42348F5D"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To review existing literature and identify key factors influencing alternative proteins consumption; to extrapolate the relevance of these factors to the marketing domain.</w:t>
            </w:r>
          </w:p>
        </w:tc>
        <w:tc>
          <w:tcPr>
            <w:tcW w:w="567" w:type="dxa"/>
            <w:shd w:val="clear" w:color="auto" w:fill="auto"/>
            <w:vAlign w:val="center"/>
            <w:hideMark/>
          </w:tcPr>
          <w:p w14:paraId="756CC77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48443</w:t>
            </w:r>
          </w:p>
        </w:tc>
        <w:tc>
          <w:tcPr>
            <w:tcW w:w="992" w:type="dxa"/>
            <w:shd w:val="clear" w:color="auto" w:fill="auto"/>
            <w:vAlign w:val="center"/>
            <w:hideMark/>
          </w:tcPr>
          <w:p w14:paraId="692DE50B"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both men and women, age range - 15-100; children, students, adults and older adults</w:t>
            </w:r>
          </w:p>
        </w:tc>
        <w:tc>
          <w:tcPr>
            <w:tcW w:w="968" w:type="dxa"/>
            <w:shd w:val="clear" w:color="auto" w:fill="auto"/>
            <w:vAlign w:val="center"/>
            <w:hideMark/>
          </w:tcPr>
          <w:p w14:paraId="20B8C0B9"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6AC637F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2004-2021</w:t>
            </w:r>
          </w:p>
        </w:tc>
        <w:tc>
          <w:tcPr>
            <w:tcW w:w="851" w:type="dxa"/>
            <w:vAlign w:val="center"/>
          </w:tcPr>
          <w:p w14:paraId="515F13B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research did not receive any</w:t>
            </w:r>
          </w:p>
          <w:p w14:paraId="47844AD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specific grant from funding agencies in the public, commercial, or</w:t>
            </w:r>
          </w:p>
          <w:p w14:paraId="3938018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not-for-profit sectors.</w:t>
            </w:r>
          </w:p>
        </w:tc>
        <w:tc>
          <w:tcPr>
            <w:tcW w:w="992" w:type="dxa"/>
            <w:vAlign w:val="center"/>
          </w:tcPr>
          <w:p w14:paraId="349EA52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45339E1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23</w:t>
            </w:r>
          </w:p>
        </w:tc>
        <w:tc>
          <w:tcPr>
            <w:tcW w:w="993" w:type="dxa"/>
            <w:tcBorders>
              <w:top w:val="nil"/>
              <w:left w:val="nil"/>
              <w:bottom w:val="nil"/>
              <w:right w:val="nil"/>
            </w:tcBorders>
            <w:shd w:val="clear" w:color="auto" w:fill="auto"/>
            <w:vAlign w:val="center"/>
          </w:tcPr>
          <w:p w14:paraId="7B513B17" w14:textId="15D80734"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13 experimental articles</w:t>
            </w:r>
          </w:p>
        </w:tc>
        <w:tc>
          <w:tcPr>
            <w:tcW w:w="1419" w:type="dxa"/>
            <w:tcBorders>
              <w:top w:val="nil"/>
              <w:left w:val="nil"/>
              <w:bottom w:val="nil"/>
              <w:right w:val="nil"/>
            </w:tcBorders>
            <w:shd w:val="clear" w:color="auto" w:fill="auto"/>
            <w:vAlign w:val="center"/>
          </w:tcPr>
          <w:p w14:paraId="59279C2F" w14:textId="515BB6B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17 studies examined actual consumption and consumption decision making</w:t>
            </w:r>
          </w:p>
        </w:tc>
      </w:tr>
      <w:tr w:rsidR="004829A5" w:rsidRPr="004829A5" w14:paraId="0C77C3B0" w14:textId="5F9FA3F2" w:rsidTr="00D22016">
        <w:trPr>
          <w:cantSplit/>
          <w:trHeight w:val="1352"/>
        </w:trPr>
        <w:tc>
          <w:tcPr>
            <w:tcW w:w="426" w:type="dxa"/>
            <w:shd w:val="clear" w:color="auto" w:fill="auto"/>
            <w:noWrap/>
            <w:vAlign w:val="center"/>
            <w:hideMark/>
          </w:tcPr>
          <w:p w14:paraId="31211B0F"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19</w:t>
            </w:r>
          </w:p>
        </w:tc>
        <w:tc>
          <w:tcPr>
            <w:tcW w:w="851" w:type="dxa"/>
            <w:shd w:val="clear" w:color="auto" w:fill="auto"/>
            <w:vAlign w:val="center"/>
            <w:hideMark/>
          </w:tcPr>
          <w:p w14:paraId="5E17D21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 xml:space="preserve">Siddiqui, </w:t>
            </w:r>
            <w:proofErr w:type="spellStart"/>
            <w:r w:rsidRPr="004829A5">
              <w:rPr>
                <w:rFonts w:ascii="Times New Roman" w:hAnsi="Times New Roman" w:cs="Times New Roman"/>
                <w:color w:val="auto"/>
                <w:sz w:val="16"/>
                <w:szCs w:val="16"/>
              </w:rPr>
              <w:t>Bahmid</w:t>
            </w:r>
            <w:proofErr w:type="spellEnd"/>
            <w:r w:rsidRPr="004829A5">
              <w:rPr>
                <w:rFonts w:ascii="Times New Roman" w:hAnsi="Times New Roman" w:cs="Times New Roman"/>
                <w:color w:val="auto"/>
                <w:sz w:val="16"/>
                <w:szCs w:val="16"/>
              </w:rPr>
              <w:t xml:space="preserve"> et al. (2023)</w:t>
            </w:r>
          </w:p>
        </w:tc>
        <w:tc>
          <w:tcPr>
            <w:tcW w:w="1134" w:type="dxa"/>
            <w:shd w:val="clear" w:color="auto" w:fill="auto"/>
            <w:noWrap/>
            <w:vAlign w:val="center"/>
            <w:hideMark/>
          </w:tcPr>
          <w:p w14:paraId="52E456D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76</w:t>
            </w:r>
          </w:p>
        </w:tc>
        <w:tc>
          <w:tcPr>
            <w:tcW w:w="850" w:type="dxa"/>
            <w:shd w:val="clear" w:color="auto" w:fill="auto"/>
            <w:noWrap/>
            <w:vAlign w:val="center"/>
            <w:hideMark/>
          </w:tcPr>
          <w:p w14:paraId="1CE42157"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76</w:t>
            </w:r>
          </w:p>
        </w:tc>
        <w:tc>
          <w:tcPr>
            <w:tcW w:w="851" w:type="dxa"/>
            <w:shd w:val="clear" w:color="auto" w:fill="auto"/>
            <w:vAlign w:val="center"/>
            <w:hideMark/>
          </w:tcPr>
          <w:p w14:paraId="76DFD906"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UK, Portugal, The Netherlands, Italy, Belgium, Switzerland, Germany, China, Denmark, USA, France, Spain, Romania, New Zealand, Australia, Finland, Sweden, Czech Republic, Poland, Hungary</w:t>
            </w:r>
          </w:p>
        </w:tc>
        <w:tc>
          <w:tcPr>
            <w:tcW w:w="850" w:type="dxa"/>
            <w:vAlign w:val="center"/>
          </w:tcPr>
          <w:p w14:paraId="0495B3E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7E22FD4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1F5B89A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5BB8A48"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paper focuses on in-depth understanding of consumer perception and acceptability of plant-, seaweed-, and insect-based meat products to get insights on their current situation and future implementation.</w:t>
            </w:r>
          </w:p>
        </w:tc>
        <w:tc>
          <w:tcPr>
            <w:tcW w:w="567" w:type="dxa"/>
            <w:shd w:val="clear" w:color="auto" w:fill="auto"/>
            <w:noWrap/>
            <w:vAlign w:val="center"/>
            <w:hideMark/>
          </w:tcPr>
          <w:p w14:paraId="56B4A6C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50 664</w:t>
            </w:r>
          </w:p>
        </w:tc>
        <w:tc>
          <w:tcPr>
            <w:tcW w:w="992" w:type="dxa"/>
            <w:shd w:val="clear" w:color="auto" w:fill="auto"/>
            <w:vAlign w:val="center"/>
            <w:hideMark/>
          </w:tcPr>
          <w:p w14:paraId="6B6DEF3C"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adult consumers</w:t>
            </w:r>
          </w:p>
        </w:tc>
        <w:tc>
          <w:tcPr>
            <w:tcW w:w="968" w:type="dxa"/>
            <w:shd w:val="clear" w:color="auto" w:fill="auto"/>
            <w:vAlign w:val="center"/>
            <w:hideMark/>
          </w:tcPr>
          <w:p w14:paraId="737FC8AE"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0842AD0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2012-2021</w:t>
            </w:r>
          </w:p>
        </w:tc>
        <w:tc>
          <w:tcPr>
            <w:tcW w:w="851" w:type="dxa"/>
            <w:vAlign w:val="center"/>
          </w:tcPr>
          <w:p w14:paraId="00F4BC1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author(s) reported there is no funding associated with the work</w:t>
            </w:r>
          </w:p>
          <w:p w14:paraId="47E069F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featured in this article.</w:t>
            </w:r>
          </w:p>
        </w:tc>
        <w:tc>
          <w:tcPr>
            <w:tcW w:w="992" w:type="dxa"/>
            <w:vAlign w:val="center"/>
          </w:tcPr>
          <w:p w14:paraId="074DF7A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5521CB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17</w:t>
            </w:r>
          </w:p>
        </w:tc>
        <w:tc>
          <w:tcPr>
            <w:tcW w:w="993" w:type="dxa"/>
            <w:tcBorders>
              <w:top w:val="nil"/>
              <w:left w:val="nil"/>
              <w:bottom w:val="nil"/>
              <w:right w:val="nil"/>
            </w:tcBorders>
            <w:shd w:val="clear" w:color="auto" w:fill="auto"/>
            <w:vAlign w:val="center"/>
          </w:tcPr>
          <w:p w14:paraId="528D26D4" w14:textId="1B991A0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3 experimental studies</w:t>
            </w:r>
          </w:p>
        </w:tc>
        <w:tc>
          <w:tcPr>
            <w:tcW w:w="1419" w:type="dxa"/>
            <w:tcBorders>
              <w:top w:val="nil"/>
              <w:left w:val="nil"/>
              <w:bottom w:val="nil"/>
              <w:right w:val="nil"/>
            </w:tcBorders>
            <w:shd w:val="clear" w:color="auto" w:fill="auto"/>
            <w:vAlign w:val="center"/>
          </w:tcPr>
          <w:p w14:paraId="5315573E" w14:textId="467C995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2 studies examined actual consumption</w:t>
            </w:r>
          </w:p>
        </w:tc>
      </w:tr>
      <w:tr w:rsidR="004829A5" w:rsidRPr="004829A5" w14:paraId="2F6A0504" w14:textId="74C0C6C7" w:rsidTr="00D22016">
        <w:trPr>
          <w:cantSplit/>
          <w:trHeight w:val="698"/>
        </w:trPr>
        <w:tc>
          <w:tcPr>
            <w:tcW w:w="426" w:type="dxa"/>
            <w:shd w:val="clear" w:color="auto" w:fill="auto"/>
            <w:noWrap/>
            <w:vAlign w:val="center"/>
            <w:hideMark/>
          </w:tcPr>
          <w:p w14:paraId="699AE41E"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20</w:t>
            </w:r>
          </w:p>
        </w:tc>
        <w:tc>
          <w:tcPr>
            <w:tcW w:w="851" w:type="dxa"/>
            <w:shd w:val="clear" w:color="auto" w:fill="auto"/>
            <w:vAlign w:val="center"/>
            <w:hideMark/>
          </w:tcPr>
          <w:p w14:paraId="762E410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 xml:space="preserve">Siddiqui, </w:t>
            </w:r>
            <w:proofErr w:type="spellStart"/>
            <w:r w:rsidRPr="004829A5">
              <w:rPr>
                <w:rFonts w:ascii="Times New Roman" w:hAnsi="Times New Roman" w:cs="Times New Roman"/>
                <w:color w:val="auto"/>
                <w:sz w:val="16"/>
                <w:szCs w:val="16"/>
              </w:rPr>
              <w:t>Zannou</w:t>
            </w:r>
            <w:proofErr w:type="spellEnd"/>
            <w:r w:rsidRPr="004829A5">
              <w:rPr>
                <w:rFonts w:ascii="Times New Roman" w:hAnsi="Times New Roman" w:cs="Times New Roman"/>
                <w:color w:val="auto"/>
                <w:sz w:val="16"/>
                <w:szCs w:val="16"/>
              </w:rPr>
              <w:t>, et al. (2022)</w:t>
            </w:r>
          </w:p>
        </w:tc>
        <w:tc>
          <w:tcPr>
            <w:tcW w:w="1134" w:type="dxa"/>
            <w:shd w:val="clear" w:color="auto" w:fill="auto"/>
            <w:noWrap/>
            <w:vAlign w:val="center"/>
            <w:hideMark/>
          </w:tcPr>
          <w:p w14:paraId="67821D4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133</w:t>
            </w:r>
          </w:p>
        </w:tc>
        <w:tc>
          <w:tcPr>
            <w:tcW w:w="850" w:type="dxa"/>
            <w:shd w:val="clear" w:color="auto" w:fill="auto"/>
            <w:noWrap/>
            <w:vAlign w:val="center"/>
            <w:hideMark/>
          </w:tcPr>
          <w:p w14:paraId="05AA4EB8"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133</w:t>
            </w:r>
          </w:p>
        </w:tc>
        <w:tc>
          <w:tcPr>
            <w:tcW w:w="851" w:type="dxa"/>
            <w:shd w:val="clear" w:color="auto" w:fill="auto"/>
            <w:vAlign w:val="center"/>
            <w:hideMark/>
          </w:tcPr>
          <w:p w14:paraId="719A8A1C"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Europe, Asia, North America</w:t>
            </w:r>
          </w:p>
        </w:tc>
        <w:tc>
          <w:tcPr>
            <w:tcW w:w="850" w:type="dxa"/>
            <w:vAlign w:val="center"/>
          </w:tcPr>
          <w:p w14:paraId="50B146E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3BF94FE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667B17C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B4CE6DF"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paper reviews articles to arrange appropriate strategies for reducing neophobia and increasing consumer acceptance of novel foods and new food technologies.</w:t>
            </w:r>
          </w:p>
        </w:tc>
        <w:tc>
          <w:tcPr>
            <w:tcW w:w="567" w:type="dxa"/>
            <w:shd w:val="clear" w:color="auto" w:fill="auto"/>
            <w:vAlign w:val="center"/>
            <w:hideMark/>
          </w:tcPr>
          <w:p w14:paraId="7041B2D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23775E17"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children, young adults &amp; adults; urban and rural</w:t>
            </w:r>
          </w:p>
        </w:tc>
        <w:tc>
          <w:tcPr>
            <w:tcW w:w="968" w:type="dxa"/>
            <w:shd w:val="clear" w:color="auto" w:fill="auto"/>
            <w:vAlign w:val="center"/>
            <w:hideMark/>
          </w:tcPr>
          <w:p w14:paraId="35616CCD"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7597C32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2012-2021</w:t>
            </w:r>
          </w:p>
        </w:tc>
        <w:tc>
          <w:tcPr>
            <w:tcW w:w="851" w:type="dxa"/>
            <w:vAlign w:val="center"/>
          </w:tcPr>
          <w:p w14:paraId="5A26580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study was supported by the research project entitled “Sustainable up-cycling of</w:t>
            </w:r>
          </w:p>
          <w:p w14:paraId="0C0AF80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agricultural residues: modular cascading waste conversion system” (research grant agreement</w:t>
            </w:r>
          </w:p>
          <w:p w14:paraId="1BDAF4D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 FACCE SURPLUS/III/</w:t>
            </w:r>
            <w:proofErr w:type="spellStart"/>
            <w:r w:rsidRPr="004829A5">
              <w:rPr>
                <w:rFonts w:ascii="Times New Roman" w:eastAsia="Times New Roman" w:hAnsi="Times New Roman" w:cs="Times New Roman"/>
                <w:color w:val="auto"/>
                <w:sz w:val="16"/>
                <w:szCs w:val="16"/>
                <w:lang w:eastAsia="pl-PL"/>
              </w:rPr>
              <w:t>UpWaste</w:t>
            </w:r>
            <w:proofErr w:type="spellEnd"/>
            <w:r w:rsidRPr="004829A5">
              <w:rPr>
                <w:rFonts w:ascii="Times New Roman" w:eastAsia="Times New Roman" w:hAnsi="Times New Roman" w:cs="Times New Roman"/>
                <w:color w:val="auto"/>
                <w:sz w:val="16"/>
                <w:szCs w:val="16"/>
                <w:lang w:eastAsia="pl-PL"/>
              </w:rPr>
              <w:t>/02/2020) funded by the National (Polish) Center for Research</w:t>
            </w:r>
          </w:p>
          <w:p w14:paraId="39EEFDE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and Development (</w:t>
            </w:r>
            <w:proofErr w:type="spellStart"/>
            <w:r w:rsidRPr="004829A5">
              <w:rPr>
                <w:rFonts w:ascii="Times New Roman" w:eastAsia="Times New Roman" w:hAnsi="Times New Roman" w:cs="Times New Roman"/>
                <w:color w:val="auto"/>
                <w:sz w:val="16"/>
                <w:szCs w:val="16"/>
                <w:lang w:eastAsia="pl-PL"/>
              </w:rPr>
              <w:t>NCBiR</w:t>
            </w:r>
            <w:proofErr w:type="spellEnd"/>
            <w:r w:rsidRPr="004829A5">
              <w:rPr>
                <w:rFonts w:ascii="Times New Roman" w:eastAsia="Times New Roman" w:hAnsi="Times New Roman" w:cs="Times New Roman"/>
                <w:color w:val="auto"/>
                <w:sz w:val="16"/>
                <w:szCs w:val="16"/>
                <w:lang w:eastAsia="pl-PL"/>
              </w:rPr>
              <w:t>) (FACCE SURPLUS/III/</w:t>
            </w:r>
            <w:proofErr w:type="spellStart"/>
            <w:r w:rsidRPr="004829A5">
              <w:rPr>
                <w:rFonts w:ascii="Times New Roman" w:eastAsia="Times New Roman" w:hAnsi="Times New Roman" w:cs="Times New Roman"/>
                <w:color w:val="auto"/>
                <w:sz w:val="16"/>
                <w:szCs w:val="16"/>
                <w:lang w:eastAsia="pl-PL"/>
              </w:rPr>
              <w:t>UpWaste</w:t>
            </w:r>
            <w:proofErr w:type="spellEnd"/>
            <w:r w:rsidRPr="004829A5">
              <w:rPr>
                <w:rFonts w:ascii="Times New Roman" w:eastAsia="Times New Roman" w:hAnsi="Times New Roman" w:cs="Times New Roman"/>
                <w:color w:val="auto"/>
                <w:sz w:val="16"/>
                <w:szCs w:val="16"/>
                <w:lang w:eastAsia="pl-PL"/>
              </w:rPr>
              <w:t xml:space="preserve">/02/2020 project). Research is partially funded by the German Federal Ministry of Education and </w:t>
            </w:r>
            <w:r w:rsidRPr="004829A5">
              <w:rPr>
                <w:rFonts w:ascii="Times New Roman" w:eastAsia="Times New Roman" w:hAnsi="Times New Roman" w:cs="Times New Roman"/>
                <w:color w:val="auto"/>
                <w:sz w:val="16"/>
                <w:szCs w:val="16"/>
                <w:lang w:eastAsia="pl-PL"/>
              </w:rPr>
              <w:lastRenderedPageBreak/>
              <w:t>Research (BMBF), in the frame of FACCE-</w:t>
            </w:r>
          </w:p>
          <w:p w14:paraId="2090143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SURPLUS/FACCE-JPI project </w:t>
            </w:r>
            <w:proofErr w:type="spellStart"/>
            <w:r w:rsidRPr="004829A5">
              <w:rPr>
                <w:rFonts w:ascii="Times New Roman" w:eastAsia="Times New Roman" w:hAnsi="Times New Roman" w:cs="Times New Roman"/>
                <w:color w:val="auto"/>
                <w:sz w:val="16"/>
                <w:szCs w:val="16"/>
                <w:lang w:eastAsia="pl-PL"/>
              </w:rPr>
              <w:t>UpWaste</w:t>
            </w:r>
            <w:proofErr w:type="spellEnd"/>
            <w:r w:rsidRPr="004829A5">
              <w:rPr>
                <w:rFonts w:ascii="Times New Roman" w:eastAsia="Times New Roman" w:hAnsi="Times New Roman" w:cs="Times New Roman"/>
                <w:color w:val="auto"/>
                <w:sz w:val="16"/>
                <w:szCs w:val="16"/>
                <w:lang w:eastAsia="pl-PL"/>
              </w:rPr>
              <w:t>, grant number 031B0934A.</w:t>
            </w:r>
          </w:p>
        </w:tc>
        <w:tc>
          <w:tcPr>
            <w:tcW w:w="992" w:type="dxa"/>
            <w:vAlign w:val="center"/>
          </w:tcPr>
          <w:p w14:paraId="52642E6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All authors declared no conflicts of interest.</w:t>
            </w:r>
          </w:p>
        </w:tc>
        <w:tc>
          <w:tcPr>
            <w:tcW w:w="992" w:type="dxa"/>
            <w:vAlign w:val="center"/>
          </w:tcPr>
          <w:p w14:paraId="6855675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6</w:t>
            </w:r>
          </w:p>
        </w:tc>
        <w:tc>
          <w:tcPr>
            <w:tcW w:w="993" w:type="dxa"/>
            <w:tcBorders>
              <w:top w:val="nil"/>
              <w:left w:val="nil"/>
              <w:bottom w:val="nil"/>
              <w:right w:val="nil"/>
            </w:tcBorders>
            <w:shd w:val="clear" w:color="auto" w:fill="auto"/>
            <w:vAlign w:val="center"/>
          </w:tcPr>
          <w:p w14:paraId="0B106926" w14:textId="5B87501C"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2A91E761" w14:textId="35136DCE"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319E717E" w14:textId="3A66374D" w:rsidTr="00D22016">
        <w:trPr>
          <w:cantSplit/>
          <w:trHeight w:val="2071"/>
        </w:trPr>
        <w:tc>
          <w:tcPr>
            <w:tcW w:w="426" w:type="dxa"/>
            <w:shd w:val="clear" w:color="auto" w:fill="auto"/>
            <w:noWrap/>
            <w:vAlign w:val="center"/>
            <w:hideMark/>
          </w:tcPr>
          <w:p w14:paraId="114F3BD4"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21</w:t>
            </w:r>
          </w:p>
        </w:tc>
        <w:tc>
          <w:tcPr>
            <w:tcW w:w="851" w:type="dxa"/>
            <w:shd w:val="clear" w:color="auto" w:fill="auto"/>
            <w:vAlign w:val="center"/>
            <w:hideMark/>
          </w:tcPr>
          <w:p w14:paraId="27B6F18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 xml:space="preserve">Siddiqui, </w:t>
            </w:r>
            <w:proofErr w:type="spellStart"/>
            <w:r w:rsidRPr="004829A5">
              <w:rPr>
                <w:rFonts w:ascii="Times New Roman" w:hAnsi="Times New Roman" w:cs="Times New Roman"/>
                <w:color w:val="auto"/>
                <w:sz w:val="16"/>
                <w:szCs w:val="16"/>
              </w:rPr>
              <w:t>Alvi</w:t>
            </w:r>
            <w:proofErr w:type="spellEnd"/>
            <w:r w:rsidRPr="004829A5">
              <w:rPr>
                <w:rFonts w:ascii="Times New Roman" w:hAnsi="Times New Roman" w:cs="Times New Roman"/>
                <w:color w:val="auto"/>
                <w:sz w:val="16"/>
                <w:szCs w:val="16"/>
              </w:rPr>
              <w:t>, et al. (2022)</w:t>
            </w:r>
          </w:p>
        </w:tc>
        <w:tc>
          <w:tcPr>
            <w:tcW w:w="1134" w:type="dxa"/>
            <w:shd w:val="clear" w:color="auto" w:fill="auto"/>
            <w:noWrap/>
            <w:vAlign w:val="center"/>
            <w:hideMark/>
          </w:tcPr>
          <w:p w14:paraId="305CCD1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28</w:t>
            </w:r>
          </w:p>
        </w:tc>
        <w:tc>
          <w:tcPr>
            <w:tcW w:w="850" w:type="dxa"/>
            <w:shd w:val="clear" w:color="auto" w:fill="auto"/>
            <w:noWrap/>
            <w:vAlign w:val="center"/>
            <w:hideMark/>
          </w:tcPr>
          <w:p w14:paraId="7335C22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33</w:t>
            </w:r>
          </w:p>
        </w:tc>
        <w:tc>
          <w:tcPr>
            <w:tcW w:w="851" w:type="dxa"/>
            <w:shd w:val="clear" w:color="auto" w:fill="auto"/>
            <w:vAlign w:val="center"/>
            <w:hideMark/>
          </w:tcPr>
          <w:p w14:paraId="70662C3B"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Finland, Belgium, Canada, Germany, China, USA, UK, Italy, Japan, Switzerland, India, Columbia, Denmark, Australia, Chile, Sweden, The Netherlands</w:t>
            </w:r>
          </w:p>
        </w:tc>
        <w:tc>
          <w:tcPr>
            <w:tcW w:w="850" w:type="dxa"/>
            <w:vAlign w:val="center"/>
          </w:tcPr>
          <w:p w14:paraId="1ABBBA2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2EE191E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1EA84BE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39749ABC"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systemic review highlights different varieties of alternative proteins and interventions adopted to increase the acceptance of alternative protein sources.</w:t>
            </w:r>
          </w:p>
        </w:tc>
        <w:tc>
          <w:tcPr>
            <w:tcW w:w="567" w:type="dxa"/>
            <w:shd w:val="clear" w:color="auto" w:fill="auto"/>
            <w:vAlign w:val="center"/>
            <w:hideMark/>
          </w:tcPr>
          <w:p w14:paraId="4960F28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11337</w:t>
            </w:r>
          </w:p>
        </w:tc>
        <w:tc>
          <w:tcPr>
            <w:tcW w:w="992" w:type="dxa"/>
            <w:shd w:val="clear" w:color="auto" w:fill="auto"/>
            <w:vAlign w:val="center"/>
            <w:hideMark/>
          </w:tcPr>
          <w:p w14:paraId="27449217"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adults, children, adolescents</w:t>
            </w:r>
          </w:p>
        </w:tc>
        <w:tc>
          <w:tcPr>
            <w:tcW w:w="968" w:type="dxa"/>
            <w:shd w:val="clear" w:color="auto" w:fill="auto"/>
            <w:vAlign w:val="center"/>
            <w:hideMark/>
          </w:tcPr>
          <w:p w14:paraId="0CA5318F"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shd w:val="clear" w:color="auto" w:fill="auto"/>
            <w:vAlign w:val="center"/>
            <w:hideMark/>
          </w:tcPr>
          <w:p w14:paraId="386AED1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2016-2022</w:t>
            </w:r>
          </w:p>
        </w:tc>
        <w:tc>
          <w:tcPr>
            <w:tcW w:w="851" w:type="dxa"/>
            <w:vAlign w:val="center"/>
          </w:tcPr>
          <w:p w14:paraId="7915DF9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review is partly conducted in a funded project by the Dutch Ministry of Agriculture,</w:t>
            </w:r>
          </w:p>
          <w:p w14:paraId="572FC76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Nature and Food Quality (KB37-Healthy and safe food systems).</w:t>
            </w:r>
          </w:p>
        </w:tc>
        <w:tc>
          <w:tcPr>
            <w:tcW w:w="992" w:type="dxa"/>
            <w:vAlign w:val="center"/>
          </w:tcPr>
          <w:p w14:paraId="5F02682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7A628BE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16</w:t>
            </w:r>
          </w:p>
        </w:tc>
        <w:tc>
          <w:tcPr>
            <w:tcW w:w="993" w:type="dxa"/>
            <w:tcBorders>
              <w:top w:val="nil"/>
              <w:left w:val="nil"/>
              <w:bottom w:val="nil"/>
              <w:right w:val="nil"/>
            </w:tcBorders>
            <w:shd w:val="clear" w:color="auto" w:fill="auto"/>
            <w:vAlign w:val="center"/>
          </w:tcPr>
          <w:p w14:paraId="691ADFD0" w14:textId="7119216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4 experimental studies</w:t>
            </w:r>
          </w:p>
        </w:tc>
        <w:tc>
          <w:tcPr>
            <w:tcW w:w="1419" w:type="dxa"/>
            <w:tcBorders>
              <w:top w:val="nil"/>
              <w:left w:val="nil"/>
              <w:bottom w:val="nil"/>
              <w:right w:val="nil"/>
            </w:tcBorders>
            <w:shd w:val="clear" w:color="auto" w:fill="auto"/>
            <w:vAlign w:val="center"/>
          </w:tcPr>
          <w:p w14:paraId="76B83171" w14:textId="4568517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 studies on actual consumption</w:t>
            </w:r>
          </w:p>
        </w:tc>
      </w:tr>
      <w:tr w:rsidR="004829A5" w:rsidRPr="004829A5" w14:paraId="29AB2968" w14:textId="134DAB19" w:rsidTr="00D22016">
        <w:trPr>
          <w:cantSplit/>
          <w:trHeight w:val="927"/>
        </w:trPr>
        <w:tc>
          <w:tcPr>
            <w:tcW w:w="426" w:type="dxa"/>
            <w:shd w:val="clear" w:color="auto" w:fill="auto"/>
            <w:noWrap/>
            <w:vAlign w:val="center"/>
            <w:hideMark/>
          </w:tcPr>
          <w:p w14:paraId="2674AE64"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22</w:t>
            </w:r>
          </w:p>
        </w:tc>
        <w:tc>
          <w:tcPr>
            <w:tcW w:w="851" w:type="dxa"/>
            <w:shd w:val="clear" w:color="auto" w:fill="auto"/>
            <w:vAlign w:val="center"/>
            <w:hideMark/>
          </w:tcPr>
          <w:p w14:paraId="6552EDF8" w14:textId="77777777" w:rsidR="00D22016" w:rsidRPr="004829A5" w:rsidRDefault="00D22016" w:rsidP="00D22016">
            <w:pPr>
              <w:spacing w:line="240" w:lineRule="auto"/>
              <w:ind w:left="68"/>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Szenderák</w:t>
            </w:r>
            <w:proofErr w:type="spellEnd"/>
            <w:r w:rsidRPr="004829A5">
              <w:rPr>
                <w:rFonts w:ascii="Times New Roman" w:hAnsi="Times New Roman" w:cs="Times New Roman"/>
                <w:color w:val="auto"/>
                <w:sz w:val="16"/>
                <w:szCs w:val="16"/>
              </w:rPr>
              <w:t xml:space="preserve"> et al. (2022)</w:t>
            </w:r>
          </w:p>
        </w:tc>
        <w:tc>
          <w:tcPr>
            <w:tcW w:w="1134" w:type="dxa"/>
            <w:shd w:val="clear" w:color="auto" w:fill="auto"/>
            <w:noWrap/>
            <w:vAlign w:val="center"/>
            <w:hideMark/>
          </w:tcPr>
          <w:p w14:paraId="3980336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28</w:t>
            </w:r>
          </w:p>
        </w:tc>
        <w:tc>
          <w:tcPr>
            <w:tcW w:w="850" w:type="dxa"/>
            <w:shd w:val="clear" w:color="auto" w:fill="auto"/>
            <w:noWrap/>
            <w:vAlign w:val="center"/>
            <w:hideMark/>
          </w:tcPr>
          <w:p w14:paraId="064127B4"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28</w:t>
            </w:r>
          </w:p>
        </w:tc>
        <w:tc>
          <w:tcPr>
            <w:tcW w:w="851" w:type="dxa"/>
            <w:shd w:val="clear" w:color="auto" w:fill="auto"/>
            <w:vAlign w:val="center"/>
            <w:hideMark/>
          </w:tcPr>
          <w:p w14:paraId="0C9CCEBB"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India, Europe, USA, China, Korea, Germany, Japan, Belgium, Canada, South Africa, Turkey</w:t>
            </w:r>
          </w:p>
        </w:tc>
        <w:tc>
          <w:tcPr>
            <w:tcW w:w="850" w:type="dxa"/>
            <w:vAlign w:val="center"/>
          </w:tcPr>
          <w:p w14:paraId="76B3811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5F6C798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5F7EAA4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95719CC"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In this review, the factors affecting the consumer acceptance of plant-based meat substitutes were analyzed and systematically summarized.</w:t>
            </w:r>
          </w:p>
        </w:tc>
        <w:tc>
          <w:tcPr>
            <w:tcW w:w="567" w:type="dxa"/>
            <w:shd w:val="clear" w:color="auto" w:fill="auto"/>
            <w:noWrap/>
            <w:vAlign w:val="center"/>
            <w:hideMark/>
          </w:tcPr>
          <w:p w14:paraId="3D855CD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37332</w:t>
            </w:r>
          </w:p>
        </w:tc>
        <w:tc>
          <w:tcPr>
            <w:tcW w:w="992" w:type="dxa"/>
            <w:shd w:val="clear" w:color="auto" w:fill="auto"/>
            <w:vAlign w:val="center"/>
            <w:hideMark/>
          </w:tcPr>
          <w:p w14:paraId="40473A49"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0793D35F"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narrative review</w:t>
            </w:r>
          </w:p>
        </w:tc>
        <w:tc>
          <w:tcPr>
            <w:tcW w:w="733" w:type="dxa"/>
            <w:shd w:val="clear" w:color="auto" w:fill="auto"/>
            <w:vAlign w:val="center"/>
            <w:hideMark/>
          </w:tcPr>
          <w:p w14:paraId="4D20969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2016-2022</w:t>
            </w:r>
          </w:p>
        </w:tc>
        <w:tc>
          <w:tcPr>
            <w:tcW w:w="851" w:type="dxa"/>
            <w:vAlign w:val="center"/>
          </w:tcPr>
          <w:p w14:paraId="763EDA3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received no external funding.</w:t>
            </w:r>
          </w:p>
        </w:tc>
        <w:tc>
          <w:tcPr>
            <w:tcW w:w="992" w:type="dxa"/>
            <w:vAlign w:val="center"/>
          </w:tcPr>
          <w:p w14:paraId="6446D11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0BCF458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22</w:t>
            </w:r>
          </w:p>
        </w:tc>
        <w:tc>
          <w:tcPr>
            <w:tcW w:w="993" w:type="dxa"/>
            <w:tcBorders>
              <w:top w:val="nil"/>
              <w:left w:val="nil"/>
              <w:bottom w:val="nil"/>
              <w:right w:val="nil"/>
            </w:tcBorders>
            <w:shd w:val="clear" w:color="auto" w:fill="auto"/>
            <w:vAlign w:val="center"/>
          </w:tcPr>
          <w:p w14:paraId="76615FAF" w14:textId="6C23677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5CDFECED" w14:textId="4E098BE8"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29B151D6" w14:textId="159126D4" w:rsidTr="00D22016">
        <w:trPr>
          <w:cantSplit/>
          <w:trHeight w:val="943"/>
        </w:trPr>
        <w:tc>
          <w:tcPr>
            <w:tcW w:w="426" w:type="dxa"/>
            <w:shd w:val="clear" w:color="auto" w:fill="auto"/>
            <w:noWrap/>
            <w:vAlign w:val="center"/>
            <w:hideMark/>
          </w:tcPr>
          <w:p w14:paraId="26603AB2"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23</w:t>
            </w:r>
          </w:p>
        </w:tc>
        <w:tc>
          <w:tcPr>
            <w:tcW w:w="851" w:type="dxa"/>
            <w:shd w:val="clear" w:color="auto" w:fill="auto"/>
            <w:vAlign w:val="center"/>
            <w:hideMark/>
          </w:tcPr>
          <w:p w14:paraId="54B8962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Toti</w:t>
            </w:r>
            <w:proofErr w:type="spellEnd"/>
            <w:r w:rsidRPr="004829A5">
              <w:rPr>
                <w:rFonts w:ascii="Times New Roman" w:hAnsi="Times New Roman" w:cs="Times New Roman"/>
                <w:color w:val="auto"/>
                <w:sz w:val="16"/>
                <w:szCs w:val="16"/>
              </w:rPr>
              <w:t xml:space="preserve"> et al. (2020)</w:t>
            </w:r>
          </w:p>
        </w:tc>
        <w:tc>
          <w:tcPr>
            <w:tcW w:w="1134" w:type="dxa"/>
            <w:shd w:val="clear" w:color="auto" w:fill="auto"/>
            <w:noWrap/>
            <w:vAlign w:val="center"/>
            <w:hideMark/>
          </w:tcPr>
          <w:p w14:paraId="4866428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w:t>
            </w:r>
          </w:p>
        </w:tc>
        <w:tc>
          <w:tcPr>
            <w:tcW w:w="850" w:type="dxa"/>
            <w:shd w:val="clear" w:color="auto" w:fill="auto"/>
            <w:noWrap/>
            <w:vAlign w:val="center"/>
            <w:hideMark/>
          </w:tcPr>
          <w:p w14:paraId="1613B48D"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w:t>
            </w:r>
          </w:p>
        </w:tc>
        <w:tc>
          <w:tcPr>
            <w:tcW w:w="851" w:type="dxa"/>
            <w:shd w:val="clear" w:color="auto" w:fill="auto"/>
            <w:vAlign w:val="center"/>
            <w:hideMark/>
          </w:tcPr>
          <w:p w14:paraId="0D0247D6"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Italy, Denmark</w:t>
            </w:r>
          </w:p>
        </w:tc>
        <w:tc>
          <w:tcPr>
            <w:tcW w:w="850" w:type="dxa"/>
            <w:vAlign w:val="center"/>
          </w:tcPr>
          <w:p w14:paraId="2B8AA29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B) Europe only</w:t>
            </w:r>
          </w:p>
        </w:tc>
        <w:tc>
          <w:tcPr>
            <w:tcW w:w="1134" w:type="dxa"/>
            <w:shd w:val="clear" w:color="auto" w:fill="auto"/>
            <w:vAlign w:val="center"/>
            <w:hideMark/>
          </w:tcPr>
          <w:p w14:paraId="008BC65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0D44780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16BE8E60"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purpose of this narrative paper is to provide an overview of the main topics related to entomophagy.</w:t>
            </w:r>
          </w:p>
        </w:tc>
        <w:tc>
          <w:tcPr>
            <w:tcW w:w="567" w:type="dxa"/>
            <w:shd w:val="clear" w:color="auto" w:fill="auto"/>
            <w:noWrap/>
            <w:vAlign w:val="center"/>
            <w:hideMark/>
          </w:tcPr>
          <w:p w14:paraId="2768BD5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39179</w:t>
            </w:r>
          </w:p>
        </w:tc>
        <w:tc>
          <w:tcPr>
            <w:tcW w:w="992" w:type="dxa"/>
            <w:shd w:val="clear" w:color="auto" w:fill="auto"/>
            <w:vAlign w:val="center"/>
            <w:hideMark/>
          </w:tcPr>
          <w:p w14:paraId="7833DD12"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international university students,  Italian university students, employees and consumers from outside the university, university students with part-time occupation,  employees in several jobs, individuals recruited in a "bug banquet", university staff, just graduates</w:t>
            </w:r>
          </w:p>
        </w:tc>
        <w:tc>
          <w:tcPr>
            <w:tcW w:w="968" w:type="dxa"/>
            <w:shd w:val="clear" w:color="auto" w:fill="auto"/>
            <w:vAlign w:val="center"/>
            <w:hideMark/>
          </w:tcPr>
          <w:p w14:paraId="78B501C5"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narrative review</w:t>
            </w:r>
          </w:p>
        </w:tc>
        <w:tc>
          <w:tcPr>
            <w:tcW w:w="733" w:type="dxa"/>
            <w:shd w:val="clear" w:color="auto" w:fill="auto"/>
            <w:vAlign w:val="center"/>
            <w:hideMark/>
          </w:tcPr>
          <w:p w14:paraId="5311DF5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vAlign w:val="center"/>
          </w:tcPr>
          <w:p w14:paraId="6FB1374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received no external funding.</w:t>
            </w:r>
          </w:p>
        </w:tc>
        <w:tc>
          <w:tcPr>
            <w:tcW w:w="992" w:type="dxa"/>
            <w:vAlign w:val="center"/>
          </w:tcPr>
          <w:p w14:paraId="7CA1E37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699F920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15</w:t>
            </w:r>
          </w:p>
        </w:tc>
        <w:tc>
          <w:tcPr>
            <w:tcW w:w="993" w:type="dxa"/>
            <w:tcBorders>
              <w:top w:val="nil"/>
              <w:left w:val="nil"/>
              <w:bottom w:val="nil"/>
              <w:right w:val="nil"/>
            </w:tcBorders>
            <w:shd w:val="clear" w:color="auto" w:fill="auto"/>
            <w:vAlign w:val="center"/>
          </w:tcPr>
          <w:p w14:paraId="06473F82" w14:textId="25448A8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2 experimental studies</w:t>
            </w:r>
          </w:p>
        </w:tc>
        <w:tc>
          <w:tcPr>
            <w:tcW w:w="1419" w:type="dxa"/>
            <w:tcBorders>
              <w:top w:val="nil"/>
              <w:left w:val="nil"/>
              <w:bottom w:val="nil"/>
              <w:right w:val="nil"/>
            </w:tcBorders>
            <w:shd w:val="clear" w:color="auto" w:fill="auto"/>
            <w:vAlign w:val="center"/>
          </w:tcPr>
          <w:p w14:paraId="5FC3468E" w14:textId="5F492908"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5 studies that examined actual consumption via tasting sessions</w:t>
            </w:r>
          </w:p>
        </w:tc>
      </w:tr>
      <w:tr w:rsidR="004829A5" w:rsidRPr="004829A5" w14:paraId="11D2F69F" w14:textId="6176A17B" w:rsidTr="00D22016">
        <w:trPr>
          <w:cantSplit/>
          <w:trHeight w:val="1069"/>
        </w:trPr>
        <w:tc>
          <w:tcPr>
            <w:tcW w:w="426" w:type="dxa"/>
            <w:shd w:val="clear" w:color="auto" w:fill="auto"/>
            <w:noWrap/>
            <w:vAlign w:val="center"/>
            <w:hideMark/>
          </w:tcPr>
          <w:p w14:paraId="129D42EE"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24</w:t>
            </w:r>
          </w:p>
        </w:tc>
        <w:tc>
          <w:tcPr>
            <w:tcW w:w="851" w:type="dxa"/>
            <w:shd w:val="clear" w:color="auto" w:fill="auto"/>
            <w:vAlign w:val="center"/>
            <w:hideMark/>
          </w:tcPr>
          <w:p w14:paraId="361D632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Wang et al. (2023)</w:t>
            </w:r>
          </w:p>
        </w:tc>
        <w:tc>
          <w:tcPr>
            <w:tcW w:w="1134" w:type="dxa"/>
            <w:shd w:val="clear" w:color="auto" w:fill="auto"/>
            <w:noWrap/>
            <w:vAlign w:val="center"/>
            <w:hideMark/>
          </w:tcPr>
          <w:p w14:paraId="2072907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661CD3E9"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7AFA71B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vAlign w:val="center"/>
          </w:tcPr>
          <w:p w14:paraId="74E8DAFB"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1134" w:type="dxa"/>
            <w:shd w:val="clear" w:color="auto" w:fill="auto"/>
            <w:vAlign w:val="center"/>
            <w:hideMark/>
          </w:tcPr>
          <w:p w14:paraId="2425D23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59FF15C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29F41052"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review summarizes the potential applications of algae-derived bioactive compounds, as well as their application status to improve the quality of meat and meat products.</w:t>
            </w:r>
          </w:p>
        </w:tc>
        <w:tc>
          <w:tcPr>
            <w:tcW w:w="567" w:type="dxa"/>
            <w:shd w:val="clear" w:color="auto" w:fill="auto"/>
            <w:vAlign w:val="center"/>
            <w:hideMark/>
          </w:tcPr>
          <w:p w14:paraId="1322F22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3EAFBBBF"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76C26D78"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1BEE81B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vAlign w:val="center"/>
          </w:tcPr>
          <w:p w14:paraId="27F228C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Min Wang and </w:t>
            </w:r>
            <w:proofErr w:type="spellStart"/>
            <w:r w:rsidRPr="004829A5">
              <w:rPr>
                <w:rFonts w:ascii="Times New Roman" w:eastAsia="Times New Roman" w:hAnsi="Times New Roman" w:cs="Times New Roman"/>
                <w:color w:val="auto"/>
                <w:sz w:val="16"/>
                <w:szCs w:val="16"/>
                <w:lang w:eastAsia="pl-PL"/>
              </w:rPr>
              <w:t>Jianjun</w:t>
            </w:r>
            <w:proofErr w:type="spellEnd"/>
            <w:r w:rsidRPr="004829A5">
              <w:rPr>
                <w:rFonts w:ascii="Times New Roman" w:eastAsia="Times New Roman" w:hAnsi="Times New Roman" w:cs="Times New Roman"/>
                <w:color w:val="auto"/>
                <w:sz w:val="16"/>
                <w:szCs w:val="16"/>
                <w:lang w:eastAsia="pl-PL"/>
              </w:rPr>
              <w:t xml:space="preserve"> Zhou were supported by a PhD fellowship from the China Scholarship Council (CSC) (No. 201908420245 and</w:t>
            </w:r>
          </w:p>
          <w:p w14:paraId="101282E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 201908420246, respectively). Thanks are due to the University of Aveiro and FCT/MCT for the financial support for the LAQV research</w:t>
            </w:r>
          </w:p>
          <w:p w14:paraId="31359FE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unit (UIDB/50006/2020) through national funds and, where applicable, co-financed by the FEDER, within the PT2020 Partnership Agreement,</w:t>
            </w:r>
          </w:p>
          <w:p w14:paraId="7143562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 xml:space="preserve">and to the Portuguese NMR Network, and for financing the PhD grant of </w:t>
            </w:r>
            <w:proofErr w:type="spellStart"/>
            <w:r w:rsidRPr="004829A5">
              <w:rPr>
                <w:rFonts w:ascii="Times New Roman" w:eastAsia="Times New Roman" w:hAnsi="Times New Roman" w:cs="Times New Roman"/>
                <w:color w:val="auto"/>
                <w:sz w:val="16"/>
                <w:szCs w:val="16"/>
                <w:lang w:eastAsia="pl-PL"/>
              </w:rPr>
              <w:t>Jéssica</w:t>
            </w:r>
            <w:proofErr w:type="spellEnd"/>
            <w:r w:rsidRPr="004829A5">
              <w:rPr>
                <w:rFonts w:ascii="Times New Roman" w:eastAsia="Times New Roman" w:hAnsi="Times New Roman" w:cs="Times New Roman"/>
                <w:color w:val="auto"/>
                <w:sz w:val="16"/>
                <w:szCs w:val="16"/>
                <w:lang w:eastAsia="pl-PL"/>
              </w:rPr>
              <w:t xml:space="preserve"> Tavares and Carlos A. Pinto (2021.07264.BD and SFRH/BD/137036/2018, respectively).</w:t>
            </w:r>
          </w:p>
        </w:tc>
        <w:tc>
          <w:tcPr>
            <w:tcW w:w="992" w:type="dxa"/>
            <w:vAlign w:val="center"/>
          </w:tcPr>
          <w:p w14:paraId="3F4CE0B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All authors declared no conflicts of interest.</w:t>
            </w:r>
          </w:p>
        </w:tc>
        <w:tc>
          <w:tcPr>
            <w:tcW w:w="992" w:type="dxa"/>
            <w:vAlign w:val="center"/>
          </w:tcPr>
          <w:p w14:paraId="0355E8DC"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w:t>
            </w:r>
          </w:p>
        </w:tc>
        <w:tc>
          <w:tcPr>
            <w:tcW w:w="993" w:type="dxa"/>
            <w:tcBorders>
              <w:top w:val="nil"/>
              <w:left w:val="nil"/>
              <w:bottom w:val="nil"/>
              <w:right w:val="nil"/>
            </w:tcBorders>
            <w:shd w:val="clear" w:color="auto" w:fill="auto"/>
            <w:vAlign w:val="center"/>
          </w:tcPr>
          <w:p w14:paraId="576B521B" w14:textId="51826E13"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7FCCCDEE" w14:textId="14B80B60"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0ECC0F26" w14:textId="6F052875" w:rsidTr="00D22016">
        <w:trPr>
          <w:cantSplit/>
          <w:trHeight w:val="927"/>
        </w:trPr>
        <w:tc>
          <w:tcPr>
            <w:tcW w:w="426" w:type="dxa"/>
            <w:shd w:val="clear" w:color="auto" w:fill="auto"/>
            <w:noWrap/>
            <w:vAlign w:val="center"/>
            <w:hideMark/>
          </w:tcPr>
          <w:p w14:paraId="654BFC2A"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25</w:t>
            </w:r>
          </w:p>
        </w:tc>
        <w:tc>
          <w:tcPr>
            <w:tcW w:w="851" w:type="dxa"/>
            <w:shd w:val="clear" w:color="auto" w:fill="auto"/>
            <w:vAlign w:val="center"/>
            <w:hideMark/>
          </w:tcPr>
          <w:p w14:paraId="2F15BF4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Wassmann</w:t>
            </w:r>
            <w:proofErr w:type="spellEnd"/>
            <w:r w:rsidRPr="004829A5">
              <w:rPr>
                <w:rFonts w:ascii="Times New Roman" w:hAnsi="Times New Roman" w:cs="Times New Roman"/>
                <w:color w:val="auto"/>
                <w:sz w:val="16"/>
                <w:szCs w:val="16"/>
              </w:rPr>
              <w:t xml:space="preserve"> et al. (2021)</w:t>
            </w:r>
          </w:p>
        </w:tc>
        <w:tc>
          <w:tcPr>
            <w:tcW w:w="1134" w:type="dxa"/>
            <w:shd w:val="clear" w:color="auto" w:fill="auto"/>
            <w:noWrap/>
            <w:vAlign w:val="center"/>
            <w:hideMark/>
          </w:tcPr>
          <w:p w14:paraId="7057254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37</w:t>
            </w:r>
          </w:p>
        </w:tc>
        <w:tc>
          <w:tcPr>
            <w:tcW w:w="850" w:type="dxa"/>
            <w:shd w:val="clear" w:color="auto" w:fill="auto"/>
            <w:noWrap/>
            <w:vAlign w:val="center"/>
            <w:hideMark/>
          </w:tcPr>
          <w:p w14:paraId="5A3F3BD6"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37</w:t>
            </w:r>
          </w:p>
        </w:tc>
        <w:tc>
          <w:tcPr>
            <w:tcW w:w="851" w:type="dxa"/>
            <w:shd w:val="clear" w:color="auto" w:fill="auto"/>
            <w:vAlign w:val="center"/>
            <w:hideMark/>
          </w:tcPr>
          <w:p w14:paraId="46E76F90"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USA, Switzerland, Thailand, Netherlands, Germany, Finland, Hungary, China, Denmark, Italy, Belgium, UK, India</w:t>
            </w:r>
          </w:p>
        </w:tc>
        <w:tc>
          <w:tcPr>
            <w:tcW w:w="850" w:type="dxa"/>
            <w:vAlign w:val="center"/>
          </w:tcPr>
          <w:p w14:paraId="37AFB39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6A897E3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37BD214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shd w:val="clear" w:color="auto" w:fill="auto"/>
            <w:vAlign w:val="center"/>
            <w:hideMark/>
          </w:tcPr>
          <w:p w14:paraId="6DB2C4A9"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Our findings aim to consolidate the existing body of knowledge on the barriers to and potential avenues for the acceptance of edible insects and may also illuminate the next steps appropriate for entomophagy acceptance research.</w:t>
            </w:r>
          </w:p>
        </w:tc>
        <w:tc>
          <w:tcPr>
            <w:tcW w:w="567" w:type="dxa"/>
            <w:shd w:val="clear" w:color="auto" w:fill="auto"/>
            <w:vAlign w:val="center"/>
            <w:hideMark/>
          </w:tcPr>
          <w:p w14:paraId="7E2F6AB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18255</w:t>
            </w:r>
          </w:p>
        </w:tc>
        <w:tc>
          <w:tcPr>
            <w:tcW w:w="992" w:type="dxa"/>
            <w:shd w:val="clear" w:color="auto" w:fill="auto"/>
            <w:vAlign w:val="center"/>
            <w:hideMark/>
          </w:tcPr>
          <w:p w14:paraId="7C1F1C31"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508978EA"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meta-analysis</w:t>
            </w:r>
          </w:p>
        </w:tc>
        <w:tc>
          <w:tcPr>
            <w:tcW w:w="733" w:type="dxa"/>
            <w:shd w:val="clear" w:color="auto" w:fill="auto"/>
            <w:vAlign w:val="center"/>
            <w:hideMark/>
          </w:tcPr>
          <w:p w14:paraId="44F07F4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2012-2020</w:t>
            </w:r>
          </w:p>
        </w:tc>
        <w:tc>
          <w:tcPr>
            <w:tcW w:w="851" w:type="dxa"/>
            <w:vAlign w:val="center"/>
          </w:tcPr>
          <w:p w14:paraId="594E96B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vAlign w:val="center"/>
          </w:tcPr>
          <w:p w14:paraId="36F8A380"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7BA5481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17</w:t>
            </w:r>
          </w:p>
        </w:tc>
        <w:tc>
          <w:tcPr>
            <w:tcW w:w="993" w:type="dxa"/>
            <w:tcBorders>
              <w:top w:val="nil"/>
              <w:left w:val="nil"/>
              <w:bottom w:val="nil"/>
              <w:right w:val="nil"/>
            </w:tcBorders>
            <w:shd w:val="clear" w:color="auto" w:fill="auto"/>
            <w:vAlign w:val="center"/>
          </w:tcPr>
          <w:p w14:paraId="4BA5684C" w14:textId="13C5A85F"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8 experimental studies</w:t>
            </w:r>
          </w:p>
        </w:tc>
        <w:tc>
          <w:tcPr>
            <w:tcW w:w="1419" w:type="dxa"/>
            <w:tcBorders>
              <w:top w:val="nil"/>
              <w:left w:val="nil"/>
              <w:bottom w:val="nil"/>
              <w:right w:val="nil"/>
            </w:tcBorders>
            <w:shd w:val="clear" w:color="auto" w:fill="auto"/>
            <w:vAlign w:val="center"/>
          </w:tcPr>
          <w:p w14:paraId="7E72E980" w14:textId="739911D4"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review researched only willingness to consume</w:t>
            </w:r>
          </w:p>
        </w:tc>
      </w:tr>
      <w:tr w:rsidR="004829A5" w:rsidRPr="004829A5" w14:paraId="71D51525" w14:textId="1974BE20" w:rsidTr="00D22016">
        <w:trPr>
          <w:cantSplit/>
          <w:trHeight w:val="589"/>
        </w:trPr>
        <w:tc>
          <w:tcPr>
            <w:tcW w:w="426" w:type="dxa"/>
            <w:shd w:val="clear" w:color="auto" w:fill="auto"/>
            <w:noWrap/>
            <w:vAlign w:val="center"/>
            <w:hideMark/>
          </w:tcPr>
          <w:p w14:paraId="456DE877"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26</w:t>
            </w:r>
          </w:p>
        </w:tc>
        <w:tc>
          <w:tcPr>
            <w:tcW w:w="851" w:type="dxa"/>
            <w:shd w:val="clear" w:color="auto" w:fill="auto"/>
            <w:vAlign w:val="center"/>
            <w:hideMark/>
          </w:tcPr>
          <w:p w14:paraId="247BF7E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Weinrich (2019)</w:t>
            </w:r>
          </w:p>
        </w:tc>
        <w:tc>
          <w:tcPr>
            <w:tcW w:w="1134" w:type="dxa"/>
            <w:shd w:val="clear" w:color="auto" w:fill="auto"/>
            <w:noWrap/>
            <w:vAlign w:val="center"/>
            <w:hideMark/>
          </w:tcPr>
          <w:p w14:paraId="42E1DDC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27</w:t>
            </w:r>
          </w:p>
        </w:tc>
        <w:tc>
          <w:tcPr>
            <w:tcW w:w="850" w:type="dxa"/>
            <w:shd w:val="clear" w:color="auto" w:fill="auto"/>
            <w:noWrap/>
            <w:vAlign w:val="center"/>
            <w:hideMark/>
          </w:tcPr>
          <w:p w14:paraId="6E0660CD"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27</w:t>
            </w:r>
          </w:p>
        </w:tc>
        <w:tc>
          <w:tcPr>
            <w:tcW w:w="851" w:type="dxa"/>
            <w:shd w:val="clear" w:color="auto" w:fill="auto"/>
            <w:vAlign w:val="center"/>
            <w:hideMark/>
          </w:tcPr>
          <w:p w14:paraId="05BC9130"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UK, Belgium, South Africa, Italy, The Netherlands, Malaysia, Taiwan, USA, Canada</w:t>
            </w:r>
          </w:p>
        </w:tc>
        <w:tc>
          <w:tcPr>
            <w:tcW w:w="850" w:type="dxa"/>
            <w:vAlign w:val="center"/>
          </w:tcPr>
          <w:p w14:paraId="2E1A838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shd w:val="clear" w:color="auto" w:fill="auto"/>
            <w:vAlign w:val="center"/>
            <w:hideMark/>
          </w:tcPr>
          <w:p w14:paraId="4A34A88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YES - innovation-decision process</w:t>
            </w:r>
          </w:p>
        </w:tc>
        <w:tc>
          <w:tcPr>
            <w:tcW w:w="851" w:type="dxa"/>
            <w:shd w:val="clear" w:color="auto" w:fill="auto"/>
            <w:vAlign w:val="center"/>
            <w:hideMark/>
          </w:tcPr>
          <w:p w14:paraId="6131749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 &amp; b</w:t>
            </w:r>
          </w:p>
        </w:tc>
        <w:tc>
          <w:tcPr>
            <w:tcW w:w="992" w:type="dxa"/>
            <w:shd w:val="clear" w:color="auto" w:fill="auto"/>
            <w:vAlign w:val="center"/>
            <w:hideMark/>
          </w:tcPr>
          <w:p w14:paraId="4152BE3D"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aim of this paper is to review consumer research dealing with consumers’ adoption of meat substitutes.</w:t>
            </w:r>
          </w:p>
        </w:tc>
        <w:tc>
          <w:tcPr>
            <w:tcW w:w="567" w:type="dxa"/>
            <w:shd w:val="clear" w:color="auto" w:fill="auto"/>
            <w:noWrap/>
            <w:vAlign w:val="center"/>
            <w:hideMark/>
          </w:tcPr>
          <w:p w14:paraId="1E590DE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16514</w:t>
            </w:r>
          </w:p>
        </w:tc>
        <w:tc>
          <w:tcPr>
            <w:tcW w:w="992" w:type="dxa"/>
            <w:shd w:val="clear" w:color="auto" w:fill="auto"/>
            <w:vAlign w:val="center"/>
            <w:hideMark/>
          </w:tcPr>
          <w:p w14:paraId="5976B499"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consumers, students, meat-eaters, users of meat substitutes, vegetarians, general population</w:t>
            </w:r>
          </w:p>
        </w:tc>
        <w:tc>
          <w:tcPr>
            <w:tcW w:w="968" w:type="dxa"/>
            <w:shd w:val="clear" w:color="auto" w:fill="auto"/>
            <w:vAlign w:val="center"/>
            <w:hideMark/>
          </w:tcPr>
          <w:p w14:paraId="39FB4A71"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7863AA5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1975-2017</w:t>
            </w:r>
          </w:p>
        </w:tc>
        <w:tc>
          <w:tcPr>
            <w:tcW w:w="851" w:type="dxa"/>
            <w:vAlign w:val="center"/>
          </w:tcPr>
          <w:p w14:paraId="228B9F6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 xml:space="preserve">The publication was funded by the Lower Saxony </w:t>
            </w:r>
            <w:proofErr w:type="spellStart"/>
            <w:r w:rsidRPr="004829A5">
              <w:rPr>
                <w:rFonts w:ascii="Times New Roman" w:eastAsia="Times New Roman" w:hAnsi="Times New Roman" w:cs="Times New Roman"/>
                <w:color w:val="auto"/>
                <w:sz w:val="16"/>
                <w:szCs w:val="16"/>
                <w:lang w:eastAsia="pl-PL"/>
              </w:rPr>
              <w:t>Vorab</w:t>
            </w:r>
            <w:proofErr w:type="spellEnd"/>
            <w:r w:rsidRPr="004829A5">
              <w:rPr>
                <w:rFonts w:ascii="Times New Roman" w:eastAsia="Times New Roman" w:hAnsi="Times New Roman" w:cs="Times New Roman"/>
                <w:color w:val="auto"/>
                <w:sz w:val="16"/>
                <w:szCs w:val="16"/>
                <w:lang w:eastAsia="pl-PL"/>
              </w:rPr>
              <w:t xml:space="preserve"> by the Ministry of Science and Culture (MWK).</w:t>
            </w:r>
          </w:p>
        </w:tc>
        <w:tc>
          <w:tcPr>
            <w:tcW w:w="992" w:type="dxa"/>
            <w:vAlign w:val="center"/>
          </w:tcPr>
          <w:p w14:paraId="616F28BA"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tcPr>
          <w:p w14:paraId="007A6082"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
        </w:tc>
        <w:tc>
          <w:tcPr>
            <w:tcW w:w="993" w:type="dxa"/>
            <w:tcBorders>
              <w:top w:val="nil"/>
              <w:left w:val="nil"/>
              <w:bottom w:val="nil"/>
              <w:right w:val="nil"/>
            </w:tcBorders>
            <w:shd w:val="clear" w:color="auto" w:fill="auto"/>
            <w:vAlign w:val="center"/>
          </w:tcPr>
          <w:p w14:paraId="7AF2688F" w14:textId="20D8F358"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3 experimental studies</w:t>
            </w:r>
          </w:p>
        </w:tc>
        <w:tc>
          <w:tcPr>
            <w:tcW w:w="1419" w:type="dxa"/>
            <w:tcBorders>
              <w:top w:val="nil"/>
              <w:left w:val="nil"/>
              <w:bottom w:val="nil"/>
              <w:right w:val="nil"/>
            </w:tcBorders>
            <w:shd w:val="clear" w:color="auto" w:fill="auto"/>
            <w:vAlign w:val="center"/>
          </w:tcPr>
          <w:p w14:paraId="50A53036" w14:textId="524DD57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6 studies that examined actual consumption via tasting sessions and 1 study that examined experience with previous consumption</w:t>
            </w:r>
          </w:p>
        </w:tc>
      </w:tr>
      <w:tr w:rsidR="004829A5" w:rsidRPr="004829A5" w14:paraId="1D57EEBD" w14:textId="6C37723D" w:rsidTr="00D22016">
        <w:trPr>
          <w:cantSplit/>
          <w:trHeight w:val="1929"/>
        </w:trPr>
        <w:tc>
          <w:tcPr>
            <w:tcW w:w="426" w:type="dxa"/>
            <w:shd w:val="clear" w:color="auto" w:fill="auto"/>
            <w:noWrap/>
            <w:vAlign w:val="center"/>
            <w:hideMark/>
          </w:tcPr>
          <w:p w14:paraId="169915F2" w14:textId="77777777" w:rsidR="00D22016" w:rsidRPr="004829A5" w:rsidRDefault="00D22016" w:rsidP="00D22016">
            <w:pPr>
              <w:spacing w:line="240" w:lineRule="auto"/>
              <w:ind w:right="-20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27</w:t>
            </w:r>
          </w:p>
        </w:tc>
        <w:tc>
          <w:tcPr>
            <w:tcW w:w="851" w:type="dxa"/>
            <w:shd w:val="clear" w:color="auto" w:fill="auto"/>
            <w:vAlign w:val="center"/>
            <w:hideMark/>
          </w:tcPr>
          <w:p w14:paraId="09EB9A5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proofErr w:type="spellStart"/>
            <w:r w:rsidRPr="004829A5">
              <w:rPr>
                <w:rFonts w:ascii="Times New Roman" w:hAnsi="Times New Roman" w:cs="Times New Roman"/>
                <w:color w:val="auto"/>
                <w:sz w:val="16"/>
                <w:szCs w:val="16"/>
              </w:rPr>
              <w:t>Wendin</w:t>
            </w:r>
            <w:proofErr w:type="spellEnd"/>
            <w:r w:rsidRPr="004829A5">
              <w:rPr>
                <w:rFonts w:ascii="Times New Roman" w:hAnsi="Times New Roman" w:cs="Times New Roman"/>
                <w:color w:val="auto"/>
                <w:sz w:val="16"/>
                <w:szCs w:val="16"/>
              </w:rPr>
              <w:t xml:space="preserve"> &amp; Nyberg (2021)</w:t>
            </w:r>
          </w:p>
        </w:tc>
        <w:tc>
          <w:tcPr>
            <w:tcW w:w="1134" w:type="dxa"/>
            <w:shd w:val="clear" w:color="auto" w:fill="auto"/>
            <w:noWrap/>
            <w:vAlign w:val="center"/>
            <w:hideMark/>
          </w:tcPr>
          <w:p w14:paraId="2E8CC2A4"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shd w:val="clear" w:color="auto" w:fill="auto"/>
            <w:noWrap/>
            <w:vAlign w:val="center"/>
            <w:hideMark/>
          </w:tcPr>
          <w:p w14:paraId="6913C88B" w14:textId="77777777" w:rsidR="00D22016" w:rsidRPr="004829A5" w:rsidRDefault="00D22016" w:rsidP="00D22016">
            <w:pPr>
              <w:spacing w:line="240" w:lineRule="auto"/>
              <w:ind w:left="23"/>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1" w:type="dxa"/>
            <w:shd w:val="clear" w:color="auto" w:fill="auto"/>
            <w:vAlign w:val="center"/>
            <w:hideMark/>
          </w:tcPr>
          <w:p w14:paraId="37017AD3"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850" w:type="dxa"/>
            <w:vAlign w:val="center"/>
          </w:tcPr>
          <w:p w14:paraId="4ED1D3E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1134" w:type="dxa"/>
            <w:shd w:val="clear" w:color="auto" w:fill="auto"/>
            <w:vAlign w:val="center"/>
            <w:hideMark/>
          </w:tcPr>
          <w:p w14:paraId="62BC452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shd w:val="clear" w:color="auto" w:fill="auto"/>
            <w:vAlign w:val="center"/>
            <w:hideMark/>
          </w:tcPr>
          <w:p w14:paraId="6BB5AE0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33E2199C"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The main objective of this review was to identify the key factors influencing consumer perception and acceptability of insect-based foods described in the literature published in recent years.</w:t>
            </w:r>
          </w:p>
        </w:tc>
        <w:tc>
          <w:tcPr>
            <w:tcW w:w="567" w:type="dxa"/>
            <w:shd w:val="clear" w:color="auto" w:fill="auto"/>
            <w:vAlign w:val="center"/>
            <w:hideMark/>
          </w:tcPr>
          <w:p w14:paraId="03FD523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92" w:type="dxa"/>
            <w:shd w:val="clear" w:color="auto" w:fill="auto"/>
            <w:vAlign w:val="center"/>
            <w:hideMark/>
          </w:tcPr>
          <w:p w14:paraId="2847A19C"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not provided</w:t>
            </w:r>
          </w:p>
        </w:tc>
        <w:tc>
          <w:tcPr>
            <w:tcW w:w="968" w:type="dxa"/>
            <w:shd w:val="clear" w:color="auto" w:fill="auto"/>
            <w:vAlign w:val="center"/>
            <w:hideMark/>
          </w:tcPr>
          <w:p w14:paraId="5F0F95CB"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review</w:t>
            </w:r>
          </w:p>
        </w:tc>
        <w:tc>
          <w:tcPr>
            <w:tcW w:w="733" w:type="dxa"/>
            <w:shd w:val="clear" w:color="auto" w:fill="auto"/>
            <w:vAlign w:val="center"/>
            <w:hideMark/>
          </w:tcPr>
          <w:p w14:paraId="73F2687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2019-2020</w:t>
            </w:r>
          </w:p>
        </w:tc>
        <w:tc>
          <w:tcPr>
            <w:tcW w:w="851" w:type="dxa"/>
            <w:vAlign w:val="center"/>
          </w:tcPr>
          <w:p w14:paraId="359E36E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Funded by the research environment MEAL (Food and Meals in Everyday</w:t>
            </w:r>
          </w:p>
          <w:p w14:paraId="11AE2DFE"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Life), Kristianstad University, Sweden.</w:t>
            </w:r>
          </w:p>
        </w:tc>
        <w:tc>
          <w:tcPr>
            <w:tcW w:w="992" w:type="dxa"/>
            <w:vAlign w:val="center"/>
          </w:tcPr>
          <w:p w14:paraId="6227217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vAlign w:val="center"/>
          </w:tcPr>
          <w:p w14:paraId="123BDB47"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23</w:t>
            </w:r>
          </w:p>
        </w:tc>
        <w:tc>
          <w:tcPr>
            <w:tcW w:w="993" w:type="dxa"/>
            <w:tcBorders>
              <w:top w:val="nil"/>
              <w:left w:val="nil"/>
              <w:bottom w:val="nil"/>
              <w:right w:val="nil"/>
            </w:tcBorders>
            <w:shd w:val="clear" w:color="auto" w:fill="auto"/>
            <w:vAlign w:val="center"/>
          </w:tcPr>
          <w:p w14:paraId="2D2B1A66" w14:textId="3DFC3E9A"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not discussed in detail</w:t>
            </w:r>
          </w:p>
        </w:tc>
        <w:tc>
          <w:tcPr>
            <w:tcW w:w="1419" w:type="dxa"/>
            <w:tcBorders>
              <w:top w:val="nil"/>
              <w:left w:val="nil"/>
              <w:bottom w:val="nil"/>
              <w:right w:val="nil"/>
            </w:tcBorders>
            <w:shd w:val="clear" w:color="auto" w:fill="auto"/>
            <w:vAlign w:val="center"/>
          </w:tcPr>
          <w:p w14:paraId="3F3DFD4C" w14:textId="0F0251C1"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r w:rsidR="004829A5" w:rsidRPr="004829A5" w14:paraId="2A4E8CF7" w14:textId="482B203B" w:rsidTr="00D22016">
        <w:trPr>
          <w:cantSplit/>
          <w:trHeight w:val="1907"/>
        </w:trPr>
        <w:tc>
          <w:tcPr>
            <w:tcW w:w="426" w:type="dxa"/>
            <w:tcBorders>
              <w:bottom w:val="single" w:sz="4" w:space="0" w:color="auto"/>
            </w:tcBorders>
            <w:shd w:val="clear" w:color="auto" w:fill="auto"/>
            <w:noWrap/>
            <w:vAlign w:val="center"/>
            <w:hideMark/>
          </w:tcPr>
          <w:p w14:paraId="516E8820" w14:textId="77777777" w:rsidR="00D22016" w:rsidRPr="004829A5" w:rsidRDefault="00D22016" w:rsidP="00D22016">
            <w:pPr>
              <w:spacing w:line="240" w:lineRule="auto"/>
              <w:ind w:left="-300" w:right="-209" w:firstLine="17"/>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lastRenderedPageBreak/>
              <w:t>28</w:t>
            </w:r>
          </w:p>
        </w:tc>
        <w:tc>
          <w:tcPr>
            <w:tcW w:w="851" w:type="dxa"/>
            <w:tcBorders>
              <w:bottom w:val="single" w:sz="4" w:space="0" w:color="auto"/>
            </w:tcBorders>
            <w:shd w:val="clear" w:color="auto" w:fill="auto"/>
            <w:vAlign w:val="center"/>
            <w:hideMark/>
          </w:tcPr>
          <w:p w14:paraId="186907B3"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Wendt &amp; Weinrich (2023)</w:t>
            </w:r>
          </w:p>
        </w:tc>
        <w:tc>
          <w:tcPr>
            <w:tcW w:w="1134" w:type="dxa"/>
            <w:tcBorders>
              <w:bottom w:val="single" w:sz="4" w:space="0" w:color="auto"/>
            </w:tcBorders>
            <w:shd w:val="clear" w:color="auto" w:fill="auto"/>
            <w:noWrap/>
            <w:vAlign w:val="center"/>
            <w:hideMark/>
          </w:tcPr>
          <w:p w14:paraId="105909DD"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49</w:t>
            </w:r>
          </w:p>
        </w:tc>
        <w:tc>
          <w:tcPr>
            <w:tcW w:w="850" w:type="dxa"/>
            <w:tcBorders>
              <w:bottom w:val="single" w:sz="4" w:space="0" w:color="auto"/>
            </w:tcBorders>
            <w:shd w:val="clear" w:color="auto" w:fill="auto"/>
            <w:noWrap/>
            <w:vAlign w:val="center"/>
            <w:hideMark/>
          </w:tcPr>
          <w:p w14:paraId="42DC20BA" w14:textId="77777777" w:rsidR="00D22016" w:rsidRPr="004829A5" w:rsidRDefault="00D22016" w:rsidP="00D22016">
            <w:pPr>
              <w:spacing w:line="240" w:lineRule="auto"/>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49</w:t>
            </w:r>
          </w:p>
        </w:tc>
        <w:tc>
          <w:tcPr>
            <w:tcW w:w="851" w:type="dxa"/>
            <w:tcBorders>
              <w:bottom w:val="single" w:sz="4" w:space="0" w:color="auto"/>
            </w:tcBorders>
            <w:shd w:val="clear" w:color="auto" w:fill="auto"/>
            <w:vAlign w:val="center"/>
            <w:hideMark/>
          </w:tcPr>
          <w:p w14:paraId="11E05751" w14:textId="77777777" w:rsidR="00D22016" w:rsidRPr="004829A5" w:rsidRDefault="00D22016" w:rsidP="00D22016">
            <w:pPr>
              <w:spacing w:line="240" w:lineRule="auto"/>
              <w:ind w:left="58"/>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Australia, Canada, Italy, South Korea, Belgium, Poland, Brazil, Finland, Chile, Uganda, Switzerland, Mexico, China, Germany, USA, Netherlands, Spain, Dominican Republic</w:t>
            </w:r>
          </w:p>
        </w:tc>
        <w:tc>
          <w:tcPr>
            <w:tcW w:w="850" w:type="dxa"/>
            <w:tcBorders>
              <w:bottom w:val="single" w:sz="4" w:space="0" w:color="auto"/>
            </w:tcBorders>
            <w:vAlign w:val="center"/>
          </w:tcPr>
          <w:p w14:paraId="6682666F"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C) Countries apart from EUR, AUS/NZ, USA, CAN &amp; D) EUR, AUS/NZ, USA, CAN</w:t>
            </w:r>
          </w:p>
        </w:tc>
        <w:tc>
          <w:tcPr>
            <w:tcW w:w="1134" w:type="dxa"/>
            <w:tcBorders>
              <w:bottom w:val="single" w:sz="4" w:space="0" w:color="auto"/>
            </w:tcBorders>
            <w:shd w:val="clear" w:color="auto" w:fill="auto"/>
            <w:vAlign w:val="center"/>
            <w:hideMark/>
          </w:tcPr>
          <w:p w14:paraId="33A0B06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NO</w:t>
            </w:r>
          </w:p>
        </w:tc>
        <w:tc>
          <w:tcPr>
            <w:tcW w:w="851" w:type="dxa"/>
            <w:tcBorders>
              <w:bottom w:val="single" w:sz="4" w:space="0" w:color="auto"/>
            </w:tcBorders>
            <w:shd w:val="clear" w:color="auto" w:fill="auto"/>
            <w:vAlign w:val="center"/>
            <w:hideMark/>
          </w:tcPr>
          <w:p w14:paraId="369B3CF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w:t>
            </w:r>
          </w:p>
        </w:tc>
        <w:tc>
          <w:tcPr>
            <w:tcW w:w="992" w:type="dxa"/>
            <w:tcBorders>
              <w:bottom w:val="single" w:sz="4" w:space="0" w:color="auto"/>
            </w:tcBorders>
            <w:shd w:val="clear" w:color="auto" w:fill="auto"/>
            <w:vAlign w:val="center"/>
            <w:hideMark/>
          </w:tcPr>
          <w:p w14:paraId="7C7EFE16" w14:textId="77777777" w:rsidR="00D22016" w:rsidRPr="004829A5" w:rsidRDefault="00D22016" w:rsidP="00D22016">
            <w:pPr>
              <w:spacing w:line="240" w:lineRule="auto"/>
              <w:ind w:left="49"/>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 Is the FTNS a suitable tool to measure consumer acceptance of novel food technologies?</w:t>
            </w:r>
            <w:r w:rsidRPr="004829A5">
              <w:rPr>
                <w:rFonts w:ascii="Times New Roman" w:eastAsia="Times New Roman" w:hAnsi="Times New Roman" w:cs="Times New Roman"/>
                <w:color w:val="auto"/>
                <w:sz w:val="16"/>
                <w:szCs w:val="16"/>
                <w:lang w:eastAsia="pl-PL"/>
              </w:rPr>
              <w:br/>
              <w:t>2) What is the impact of FTN on willingness to try products created using novel technologies?</w:t>
            </w:r>
            <w:r w:rsidRPr="004829A5">
              <w:rPr>
                <w:rFonts w:ascii="Times New Roman" w:eastAsia="Times New Roman" w:hAnsi="Times New Roman" w:cs="Times New Roman"/>
                <w:color w:val="auto"/>
                <w:sz w:val="16"/>
                <w:szCs w:val="16"/>
                <w:lang w:eastAsia="pl-PL"/>
              </w:rPr>
              <w:br/>
              <w:t>3) What research areas should be addressed in future studies?</w:t>
            </w:r>
          </w:p>
        </w:tc>
        <w:tc>
          <w:tcPr>
            <w:tcW w:w="567" w:type="dxa"/>
            <w:tcBorders>
              <w:bottom w:val="single" w:sz="4" w:space="0" w:color="auto"/>
            </w:tcBorders>
            <w:shd w:val="clear" w:color="auto" w:fill="auto"/>
            <w:noWrap/>
            <w:vAlign w:val="center"/>
            <w:hideMark/>
          </w:tcPr>
          <w:p w14:paraId="2EE685D5"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24557</w:t>
            </w:r>
          </w:p>
        </w:tc>
        <w:tc>
          <w:tcPr>
            <w:tcW w:w="992" w:type="dxa"/>
            <w:tcBorders>
              <w:bottom w:val="single" w:sz="4" w:space="0" w:color="auto"/>
            </w:tcBorders>
            <w:shd w:val="clear" w:color="auto" w:fill="auto"/>
            <w:vAlign w:val="center"/>
            <w:hideMark/>
          </w:tcPr>
          <w:p w14:paraId="5CA90F53" w14:textId="77777777" w:rsidR="00D22016" w:rsidRPr="004829A5" w:rsidRDefault="00D22016" w:rsidP="00D22016">
            <w:pPr>
              <w:spacing w:line="240" w:lineRule="auto"/>
              <w:ind w:left="-14"/>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in most studies (except one) participants were from well-developed countries, majority of the studies (43) had non-representative sample</w:t>
            </w:r>
          </w:p>
        </w:tc>
        <w:tc>
          <w:tcPr>
            <w:tcW w:w="968" w:type="dxa"/>
            <w:tcBorders>
              <w:bottom w:val="single" w:sz="4" w:space="0" w:color="auto"/>
            </w:tcBorders>
            <w:shd w:val="clear" w:color="auto" w:fill="auto"/>
            <w:vAlign w:val="center"/>
            <w:hideMark/>
          </w:tcPr>
          <w:p w14:paraId="5CBDBFEA" w14:textId="77777777" w:rsidR="00D22016" w:rsidRPr="004829A5" w:rsidRDefault="00D22016" w:rsidP="00D22016">
            <w:pPr>
              <w:spacing w:line="240" w:lineRule="auto"/>
              <w:ind w:left="21"/>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systematic review</w:t>
            </w:r>
          </w:p>
        </w:tc>
        <w:tc>
          <w:tcPr>
            <w:tcW w:w="733" w:type="dxa"/>
            <w:tcBorders>
              <w:bottom w:val="single" w:sz="4" w:space="0" w:color="auto"/>
            </w:tcBorders>
            <w:shd w:val="clear" w:color="auto" w:fill="auto"/>
            <w:vAlign w:val="center"/>
            <w:hideMark/>
          </w:tcPr>
          <w:p w14:paraId="767848E6"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2008-2022</w:t>
            </w:r>
          </w:p>
        </w:tc>
        <w:tc>
          <w:tcPr>
            <w:tcW w:w="851" w:type="dxa"/>
            <w:tcBorders>
              <w:bottom w:val="single" w:sz="4" w:space="0" w:color="auto"/>
            </w:tcBorders>
            <w:vAlign w:val="center"/>
          </w:tcPr>
          <w:p w14:paraId="7F91980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This research did not receive any specific grant from funding</w:t>
            </w:r>
          </w:p>
          <w:p w14:paraId="0F829479"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agencies in the public, commercial, or not-for-profit sectors.</w:t>
            </w:r>
          </w:p>
        </w:tc>
        <w:tc>
          <w:tcPr>
            <w:tcW w:w="992" w:type="dxa"/>
            <w:tcBorders>
              <w:bottom w:val="single" w:sz="4" w:space="0" w:color="auto"/>
            </w:tcBorders>
            <w:vAlign w:val="center"/>
          </w:tcPr>
          <w:p w14:paraId="1F869B88"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All authors declared no conflicts of interest.</w:t>
            </w:r>
          </w:p>
        </w:tc>
        <w:tc>
          <w:tcPr>
            <w:tcW w:w="992" w:type="dxa"/>
            <w:tcBorders>
              <w:bottom w:val="single" w:sz="4" w:space="0" w:color="auto"/>
            </w:tcBorders>
            <w:vAlign w:val="center"/>
          </w:tcPr>
          <w:p w14:paraId="0A098561" w14:textId="77777777"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eastAsia="Times New Roman" w:hAnsi="Times New Roman" w:cs="Times New Roman"/>
                <w:color w:val="auto"/>
                <w:sz w:val="16"/>
                <w:szCs w:val="16"/>
                <w:lang w:eastAsia="pl-PL"/>
              </w:rPr>
              <w:t>1</w:t>
            </w:r>
          </w:p>
        </w:tc>
        <w:tc>
          <w:tcPr>
            <w:tcW w:w="993" w:type="dxa"/>
            <w:tcBorders>
              <w:top w:val="nil"/>
              <w:left w:val="nil"/>
              <w:bottom w:val="nil"/>
              <w:right w:val="nil"/>
            </w:tcBorders>
            <w:shd w:val="clear" w:color="auto" w:fill="auto"/>
            <w:vAlign w:val="center"/>
          </w:tcPr>
          <w:p w14:paraId="09114F3F" w14:textId="10FA664D"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no experimental studies</w:t>
            </w:r>
          </w:p>
        </w:tc>
        <w:tc>
          <w:tcPr>
            <w:tcW w:w="1419" w:type="dxa"/>
            <w:tcBorders>
              <w:top w:val="nil"/>
              <w:left w:val="nil"/>
              <w:bottom w:val="nil"/>
              <w:right w:val="nil"/>
            </w:tcBorders>
            <w:shd w:val="clear" w:color="auto" w:fill="auto"/>
            <w:vAlign w:val="center"/>
          </w:tcPr>
          <w:p w14:paraId="29223CED" w14:textId="67071CB2" w:rsidR="00D22016" w:rsidRPr="004829A5" w:rsidRDefault="00D22016" w:rsidP="00D22016">
            <w:pPr>
              <w:spacing w:line="240" w:lineRule="auto"/>
              <w:ind w:left="0"/>
              <w:jc w:val="center"/>
              <w:rPr>
                <w:rFonts w:ascii="Times New Roman" w:eastAsia="Times New Roman" w:hAnsi="Times New Roman" w:cs="Times New Roman"/>
                <w:color w:val="auto"/>
                <w:sz w:val="16"/>
                <w:szCs w:val="16"/>
                <w:lang w:eastAsia="pl-PL"/>
              </w:rPr>
            </w:pPr>
            <w:r w:rsidRPr="004829A5">
              <w:rPr>
                <w:rFonts w:ascii="Times New Roman" w:hAnsi="Times New Roman" w:cs="Times New Roman"/>
                <w:color w:val="auto"/>
                <w:sz w:val="16"/>
                <w:szCs w:val="16"/>
              </w:rPr>
              <w:t>operationalization of dependent variable not discussed in details</w:t>
            </w:r>
          </w:p>
        </w:tc>
      </w:tr>
    </w:tbl>
    <w:p w14:paraId="36581CF1" w14:textId="77777777" w:rsidR="00A75A9E" w:rsidRPr="004829A5" w:rsidRDefault="00A75A9E" w:rsidP="00EE39AD">
      <w:pPr>
        <w:spacing w:line="480" w:lineRule="auto"/>
        <w:ind w:left="0"/>
        <w:rPr>
          <w:rFonts w:ascii="Times New Roman" w:eastAsia="Times New Roman" w:hAnsi="Times New Roman" w:cs="Times New Roman"/>
          <w:i/>
          <w:iCs/>
          <w:color w:val="auto"/>
          <w:sz w:val="24"/>
          <w:szCs w:val="24"/>
        </w:rPr>
      </w:pPr>
    </w:p>
    <w:p w14:paraId="76935435" w14:textId="06C1EAD6" w:rsidR="008A1F58" w:rsidRPr="004829A5" w:rsidRDefault="008A1F58" w:rsidP="00EE39AD">
      <w:pPr>
        <w:ind w:left="0"/>
        <w:rPr>
          <w:rFonts w:ascii="Times New Roman" w:eastAsia="Times New Roman" w:hAnsi="Times New Roman" w:cs="Times New Roman"/>
          <w:color w:val="auto"/>
          <w:sz w:val="16"/>
          <w:szCs w:val="16"/>
          <w:lang w:eastAsia="pl-PL"/>
        </w:rPr>
      </w:pPr>
      <w:r w:rsidRPr="004829A5">
        <w:rPr>
          <w:rFonts w:ascii="Times New Roman" w:hAnsi="Times New Roman" w:cs="Times New Roman"/>
          <w:i/>
          <w:iCs/>
          <w:color w:val="auto"/>
          <w:sz w:val="16"/>
          <w:szCs w:val="16"/>
        </w:rPr>
        <w:t>Note.</w:t>
      </w:r>
      <w:r w:rsidRPr="004829A5">
        <w:rPr>
          <w:rFonts w:ascii="Times New Roman" w:hAnsi="Times New Roman" w:cs="Times New Roman"/>
          <w:color w:val="auto"/>
          <w:sz w:val="16"/>
          <w:szCs w:val="16"/>
        </w:rPr>
        <w:t xml:space="preserve"> </w:t>
      </w:r>
      <w:r w:rsidRPr="004829A5">
        <w:rPr>
          <w:rFonts w:ascii="Times New Roman" w:hAnsi="Times New Roman" w:cs="Times New Roman"/>
          <w:b/>
          <w:bCs/>
          <w:color w:val="auto"/>
          <w:sz w:val="16"/>
          <w:szCs w:val="16"/>
        </w:rPr>
        <w:t xml:space="preserve"> </w:t>
      </w:r>
      <w:r w:rsidRPr="004829A5">
        <w:rPr>
          <w:rFonts w:ascii="Times New Roman" w:hAnsi="Times New Roman" w:cs="Times New Roman"/>
          <w:b/>
          <w:bCs/>
          <w:color w:val="auto"/>
          <w:sz w:val="16"/>
          <w:szCs w:val="16"/>
          <w:vertAlign w:val="superscript"/>
        </w:rPr>
        <w:t xml:space="preserve">* </w:t>
      </w:r>
      <w:r w:rsidRPr="004829A5">
        <w:rPr>
          <w:rFonts w:ascii="Times New Roman" w:hAnsi="Times New Roman" w:cs="Times New Roman"/>
          <w:b/>
          <w:bCs/>
          <w:color w:val="auto"/>
          <w:sz w:val="16"/>
          <w:szCs w:val="16"/>
        </w:rPr>
        <w:t>-</w:t>
      </w:r>
      <w:r w:rsidRPr="004829A5">
        <w:rPr>
          <w:rFonts w:ascii="Times New Roman" w:hAnsi="Times New Roman" w:cs="Times New Roman"/>
          <w:b/>
          <w:bCs/>
          <w:color w:val="auto"/>
          <w:sz w:val="16"/>
          <w:szCs w:val="16"/>
          <w:vertAlign w:val="superscript"/>
        </w:rPr>
        <w:t xml:space="preserve"> </w:t>
      </w:r>
      <w:r w:rsidRPr="004829A5">
        <w:rPr>
          <w:rFonts w:ascii="Times New Roman" w:eastAsia="Times New Roman" w:hAnsi="Times New Roman" w:cs="Times New Roman"/>
          <w:color w:val="auto"/>
          <w:sz w:val="16"/>
          <w:szCs w:val="16"/>
          <w:lang w:eastAsia="pl-PL"/>
        </w:rPr>
        <w:t xml:space="preserve">Regions were grouped: A) USA, Canada, AUS/NZ only or more than 50% of countries (i.e., mainly these countries) WITHOUT ANY EUR country; B) Europe only; C) Countries apart from EUR, AUS/NZ, USA, CAN; D) EUR, AUS/NZ, USA, CAN or more than 50% of countries (i.e., mainly these countries) + incl at least n = 1 EUR country; E) USA only or Canada only; </w:t>
      </w:r>
      <w:r w:rsidR="00D55A2B" w:rsidRPr="004829A5">
        <w:rPr>
          <w:rFonts w:ascii="Times New Roman" w:eastAsia="Times New Roman" w:hAnsi="Times New Roman" w:cs="Times New Roman"/>
          <w:color w:val="auto"/>
          <w:sz w:val="16"/>
          <w:szCs w:val="16"/>
          <w:lang w:eastAsia="pl-PL"/>
        </w:rPr>
        <w:t xml:space="preserve">AP – alternative proteins; </w:t>
      </w:r>
      <w:r w:rsidRPr="004829A5">
        <w:rPr>
          <w:rFonts w:ascii="Times New Roman" w:eastAsia="Times New Roman" w:hAnsi="Times New Roman" w:cs="Times New Roman"/>
          <w:color w:val="auto"/>
          <w:sz w:val="16"/>
          <w:szCs w:val="16"/>
          <w:lang w:eastAsia="pl-PL"/>
        </w:rPr>
        <w:t>AUS/NS – Australia/New Zealand; CAN – Canada</w:t>
      </w:r>
      <w:r w:rsidR="004B5A47" w:rsidRPr="004829A5">
        <w:rPr>
          <w:rFonts w:ascii="Times New Roman" w:eastAsia="Times New Roman" w:hAnsi="Times New Roman" w:cs="Times New Roman"/>
          <w:color w:val="auto"/>
          <w:sz w:val="16"/>
          <w:szCs w:val="16"/>
          <w:lang w:eastAsia="pl-PL"/>
        </w:rPr>
        <w:t xml:space="preserve">; </w:t>
      </w:r>
      <w:r w:rsidRPr="004829A5">
        <w:rPr>
          <w:rFonts w:ascii="Times New Roman" w:eastAsia="Times New Roman" w:hAnsi="Times New Roman" w:cs="Times New Roman"/>
          <w:color w:val="auto"/>
          <w:sz w:val="16"/>
          <w:szCs w:val="16"/>
          <w:lang w:eastAsia="pl-PL"/>
        </w:rPr>
        <w:t>EUR – Europe; USA – United States of America</w:t>
      </w:r>
      <w:r w:rsidR="00D55A2B" w:rsidRPr="004829A5">
        <w:rPr>
          <w:rFonts w:ascii="Times New Roman" w:eastAsia="Times New Roman" w:hAnsi="Times New Roman" w:cs="Times New Roman"/>
          <w:color w:val="auto"/>
          <w:sz w:val="16"/>
          <w:szCs w:val="16"/>
          <w:lang w:eastAsia="pl-PL"/>
        </w:rPr>
        <w:t>.</w:t>
      </w:r>
    </w:p>
    <w:p w14:paraId="37E76F35" w14:textId="77777777" w:rsidR="005E43F3" w:rsidRPr="004829A5" w:rsidRDefault="005E43F3" w:rsidP="00EE39AD">
      <w:pPr>
        <w:pStyle w:val="Caption"/>
        <w:spacing w:after="0"/>
        <w:jc w:val="left"/>
        <w:rPr>
          <w:rFonts w:ascii="Times New Roman" w:hAnsi="Times New Roman" w:cs="Times New Roman"/>
          <w:b/>
          <w:bCs/>
          <w:sz w:val="24"/>
          <w:szCs w:val="24"/>
          <w:lang w:val="en-US"/>
        </w:rPr>
      </w:pPr>
    </w:p>
    <w:p w14:paraId="184CE8B5" w14:textId="77777777" w:rsidR="005E43F3" w:rsidRPr="004829A5" w:rsidRDefault="005E43F3" w:rsidP="00EE39AD">
      <w:pPr>
        <w:pStyle w:val="Caption"/>
        <w:spacing w:after="0"/>
        <w:jc w:val="left"/>
        <w:rPr>
          <w:rFonts w:ascii="Times New Roman" w:hAnsi="Times New Roman" w:cs="Times New Roman"/>
          <w:b/>
          <w:bCs/>
          <w:sz w:val="24"/>
          <w:szCs w:val="24"/>
          <w:lang w:val="en-US"/>
        </w:rPr>
      </w:pPr>
    </w:p>
    <w:p w14:paraId="5697ABF3" w14:textId="77777777" w:rsidR="005E43F3" w:rsidRPr="004829A5" w:rsidRDefault="005E43F3" w:rsidP="00EE39AD">
      <w:pPr>
        <w:pStyle w:val="Caption"/>
        <w:spacing w:after="0"/>
        <w:jc w:val="left"/>
        <w:rPr>
          <w:rFonts w:ascii="Times New Roman" w:hAnsi="Times New Roman" w:cs="Times New Roman"/>
          <w:b/>
          <w:bCs/>
          <w:sz w:val="24"/>
          <w:szCs w:val="24"/>
          <w:lang w:val="en-US"/>
        </w:rPr>
      </w:pPr>
    </w:p>
    <w:p w14:paraId="56C24ED0" w14:textId="77777777" w:rsidR="005E43F3" w:rsidRPr="004829A5" w:rsidRDefault="005E43F3" w:rsidP="00EE39AD">
      <w:pPr>
        <w:pStyle w:val="Caption"/>
        <w:spacing w:after="0"/>
        <w:jc w:val="left"/>
        <w:rPr>
          <w:rFonts w:ascii="Times New Roman" w:hAnsi="Times New Roman" w:cs="Times New Roman"/>
          <w:b/>
          <w:bCs/>
          <w:sz w:val="24"/>
          <w:szCs w:val="24"/>
          <w:lang w:val="en-US"/>
        </w:rPr>
      </w:pPr>
    </w:p>
    <w:p w14:paraId="77A20663" w14:textId="13AC5EEC" w:rsidR="00511F7C" w:rsidRPr="004829A5" w:rsidRDefault="00C21011" w:rsidP="00EE39AD">
      <w:pPr>
        <w:pStyle w:val="Caption"/>
        <w:spacing w:after="0"/>
        <w:jc w:val="left"/>
        <w:rPr>
          <w:rFonts w:ascii="Times New Roman" w:hAnsi="Times New Roman" w:cs="Times New Roman"/>
          <w:b/>
          <w:bCs/>
          <w:sz w:val="24"/>
          <w:szCs w:val="24"/>
          <w:lang w:val="en-US"/>
        </w:rPr>
      </w:pPr>
      <w:r w:rsidRPr="004829A5">
        <w:rPr>
          <w:rFonts w:ascii="Times New Roman" w:hAnsi="Times New Roman" w:cs="Times New Roman"/>
          <w:b/>
          <w:bCs/>
          <w:sz w:val="24"/>
          <w:szCs w:val="24"/>
          <w:lang w:val="en-US"/>
        </w:rPr>
        <w:lastRenderedPageBreak/>
        <w:t xml:space="preserve">Table </w:t>
      </w:r>
      <w:r w:rsidR="00AD6BA3" w:rsidRPr="004829A5">
        <w:rPr>
          <w:rFonts w:ascii="Times New Roman" w:hAnsi="Times New Roman" w:cs="Times New Roman"/>
          <w:b/>
          <w:bCs/>
          <w:sz w:val="24"/>
          <w:szCs w:val="24"/>
          <w:lang w:val="en-US"/>
        </w:rPr>
        <w:t>S</w:t>
      </w:r>
      <w:bookmarkEnd w:id="7"/>
      <w:r w:rsidR="00D55A2B" w:rsidRPr="004829A5">
        <w:rPr>
          <w:rFonts w:ascii="Times New Roman" w:hAnsi="Times New Roman" w:cs="Times New Roman"/>
          <w:b/>
          <w:bCs/>
          <w:sz w:val="24"/>
          <w:szCs w:val="24"/>
          <w:lang w:val="en-US"/>
        </w:rPr>
        <w:t>2</w:t>
      </w:r>
      <w:r w:rsidRPr="004829A5">
        <w:rPr>
          <w:rFonts w:ascii="Times New Roman" w:hAnsi="Times New Roman" w:cs="Times New Roman"/>
          <w:b/>
          <w:bCs/>
          <w:sz w:val="24"/>
          <w:szCs w:val="24"/>
          <w:lang w:val="en-US"/>
        </w:rPr>
        <w:t xml:space="preserve"> </w:t>
      </w:r>
    </w:p>
    <w:p w14:paraId="2E6019EF" w14:textId="77777777" w:rsidR="005E43F3" w:rsidRPr="004829A5" w:rsidRDefault="005E43F3" w:rsidP="005E43F3">
      <w:pPr>
        <w:ind w:left="0"/>
        <w:rPr>
          <w:color w:val="auto"/>
          <w:lang w:eastAsia="en-US"/>
        </w:rPr>
      </w:pPr>
    </w:p>
    <w:p w14:paraId="0029FC8E" w14:textId="793D5574" w:rsidR="00412C1D" w:rsidRPr="004829A5" w:rsidRDefault="00B0553E" w:rsidP="00EE39AD">
      <w:pPr>
        <w:pStyle w:val="Caption"/>
        <w:spacing w:after="0"/>
        <w:jc w:val="left"/>
        <w:rPr>
          <w:rFonts w:ascii="Times New Roman" w:hAnsi="Times New Roman" w:cs="Times New Roman"/>
          <w:i/>
          <w:sz w:val="24"/>
          <w:szCs w:val="24"/>
          <w:lang w:val="en-US"/>
        </w:rPr>
      </w:pPr>
      <w:r w:rsidRPr="004829A5">
        <w:rPr>
          <w:rFonts w:ascii="Times New Roman" w:hAnsi="Times New Roman" w:cs="Times New Roman"/>
          <w:i/>
          <w:sz w:val="24"/>
          <w:szCs w:val="24"/>
          <w:lang w:val="en-US"/>
        </w:rPr>
        <w:t>Results of Coding of the Associations Between the Determinants (the COM-B Model Dimensions and Sociodemographic Characteristics) and Alternative Protein Food (APF) Choice Indicators Among Consumers</w:t>
      </w:r>
    </w:p>
    <w:tbl>
      <w:tblPr>
        <w:tblpPr w:leftFromText="141" w:rightFromText="141" w:vertAnchor="text" w:tblpXSpec="center" w:tblpY="1"/>
        <w:tblOverlap w:val="never"/>
        <w:tblW w:w="5000" w:type="pct"/>
        <w:tblBorders>
          <w:top w:val="single" w:sz="4" w:space="0" w:color="1C3001" w:themeColor="text1"/>
          <w:left w:val="single" w:sz="4" w:space="0" w:color="1C3001" w:themeColor="text1"/>
          <w:bottom w:val="single" w:sz="4" w:space="0" w:color="1C3001" w:themeColor="text1"/>
          <w:right w:val="single" w:sz="4" w:space="0" w:color="1C3001" w:themeColor="text1"/>
        </w:tblBorders>
        <w:tblLook w:val="0400" w:firstRow="0" w:lastRow="0" w:firstColumn="0" w:lastColumn="0" w:noHBand="0" w:noVBand="1"/>
      </w:tblPr>
      <w:tblGrid>
        <w:gridCol w:w="3350"/>
        <w:gridCol w:w="2438"/>
        <w:gridCol w:w="3202"/>
        <w:gridCol w:w="3202"/>
        <w:gridCol w:w="3202"/>
      </w:tblGrid>
      <w:tr w:rsidR="004829A5" w:rsidRPr="004829A5" w14:paraId="20E29708" w14:textId="77777777" w:rsidTr="00053232">
        <w:trPr>
          <w:tblHeader/>
        </w:trPr>
        <w:tc>
          <w:tcPr>
            <w:tcW w:w="1088" w:type="pct"/>
            <w:tcBorders>
              <w:top w:val="single" w:sz="4" w:space="0" w:color="1C3001" w:themeColor="text1"/>
              <w:left w:val="nil"/>
              <w:bottom w:val="single" w:sz="4" w:space="0" w:color="1C3001" w:themeColor="text1"/>
            </w:tcBorders>
            <w:shd w:val="clear" w:color="auto" w:fill="auto"/>
            <w:vAlign w:val="center"/>
          </w:tcPr>
          <w:p w14:paraId="65CA7347" w14:textId="1C8F9286" w:rsidR="00412C1D" w:rsidRPr="004829A5" w:rsidRDefault="005F42E1" w:rsidP="00EE39AD">
            <w:pPr>
              <w:spacing w:line="240" w:lineRule="auto"/>
              <w:ind w:left="90"/>
              <w:jc w:val="center"/>
              <w:rPr>
                <w:rFonts w:ascii="Times New Roman" w:eastAsia="Times New Roman" w:hAnsi="Times New Roman" w:cs="Times New Roman"/>
                <w:b/>
                <w:color w:val="auto"/>
                <w:sz w:val="18"/>
                <w:szCs w:val="18"/>
              </w:rPr>
            </w:pPr>
            <w:sdt>
              <w:sdtPr>
                <w:rPr>
                  <w:rFonts w:ascii="Times New Roman" w:hAnsi="Times New Roman" w:cs="Times New Roman"/>
                  <w:b/>
                  <w:bCs/>
                  <w:color w:val="auto"/>
                  <w:sz w:val="18"/>
                  <w:szCs w:val="18"/>
                </w:rPr>
                <w:tag w:val="goog_rdk_0"/>
                <w:id w:val="-1684272565"/>
              </w:sdtPr>
              <w:sdtEndPr/>
              <w:sdtContent>
                <w:r w:rsidR="00412C1D" w:rsidRPr="004829A5">
                  <w:rPr>
                    <w:rFonts w:ascii="Times New Roman" w:eastAsia="Times New Roman" w:hAnsi="Times New Roman" w:cs="Times New Roman"/>
                    <w:b/>
                    <w:color w:val="auto"/>
                    <w:sz w:val="18"/>
                    <w:szCs w:val="18"/>
                  </w:rPr>
                  <w:t xml:space="preserve">COM-B model and </w:t>
                </w:r>
                <w:proofErr w:type="spellStart"/>
                <w:r w:rsidR="00412C1D" w:rsidRPr="004829A5">
                  <w:rPr>
                    <w:rFonts w:ascii="Times New Roman" w:eastAsia="Times New Roman" w:hAnsi="Times New Roman" w:cs="Times New Roman"/>
                    <w:b/>
                    <w:color w:val="auto"/>
                    <w:sz w:val="18"/>
                    <w:szCs w:val="18"/>
                  </w:rPr>
                  <w:t>sociodemografic</w:t>
                </w:r>
                <w:proofErr w:type="spellEnd"/>
                <w:r w:rsidR="00412C1D" w:rsidRPr="004829A5">
                  <w:rPr>
                    <w:rFonts w:ascii="Times New Roman" w:eastAsia="Times New Roman" w:hAnsi="Times New Roman" w:cs="Times New Roman"/>
                    <w:b/>
                    <w:color w:val="auto"/>
                    <w:sz w:val="18"/>
                    <w:szCs w:val="18"/>
                  </w:rPr>
                  <w:t xml:space="preserve"> individual-level determinants of APF choice</w:t>
                </w:r>
              </w:sdtContent>
            </w:sdt>
          </w:p>
        </w:tc>
        <w:tc>
          <w:tcPr>
            <w:tcW w:w="792" w:type="pct"/>
            <w:tcBorders>
              <w:top w:val="single" w:sz="4" w:space="0" w:color="1C3001" w:themeColor="text1"/>
              <w:bottom w:val="single" w:sz="4" w:space="0" w:color="1C3001" w:themeColor="text1"/>
            </w:tcBorders>
            <w:shd w:val="clear" w:color="auto" w:fill="auto"/>
            <w:vAlign w:val="center"/>
          </w:tcPr>
          <w:p w14:paraId="22B564A1" w14:textId="499A08A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APF choice</w:t>
            </w:r>
          </w:p>
          <w:p w14:paraId="23E243B1"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indicators</w:t>
            </w:r>
          </w:p>
        </w:tc>
        <w:tc>
          <w:tcPr>
            <w:tcW w:w="1040" w:type="pct"/>
            <w:tcBorders>
              <w:top w:val="single" w:sz="4" w:space="0" w:color="1C3001" w:themeColor="text1"/>
              <w:bottom w:val="single" w:sz="4" w:space="0" w:color="1C3001" w:themeColor="text1"/>
            </w:tcBorders>
            <w:shd w:val="clear" w:color="auto" w:fill="auto"/>
            <w:vAlign w:val="center"/>
          </w:tcPr>
          <w:p w14:paraId="1A790267" w14:textId="77777777" w:rsidR="0076065F"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Plant-based APF</w:t>
            </w:r>
            <w:r w:rsidR="0076065F" w:rsidRPr="004829A5">
              <w:rPr>
                <w:rFonts w:ascii="Times New Roman" w:eastAsia="Times New Roman" w:hAnsi="Times New Roman" w:cs="Times New Roman"/>
                <w:b/>
                <w:color w:val="auto"/>
                <w:sz w:val="18"/>
                <w:szCs w:val="18"/>
              </w:rPr>
              <w:t>:</w:t>
            </w:r>
          </w:p>
          <w:p w14:paraId="3A4B908D" w14:textId="354ABF4B" w:rsidR="00412C1D" w:rsidRPr="004829A5" w:rsidRDefault="0076065F"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reviews providing evidence for the association</w:t>
            </w:r>
          </w:p>
        </w:tc>
        <w:tc>
          <w:tcPr>
            <w:tcW w:w="1040" w:type="pct"/>
            <w:tcBorders>
              <w:top w:val="single" w:sz="4" w:space="0" w:color="1C3001" w:themeColor="text1"/>
              <w:bottom w:val="single" w:sz="4" w:space="0" w:color="1C3001" w:themeColor="text1"/>
            </w:tcBorders>
            <w:shd w:val="clear" w:color="auto" w:fill="auto"/>
            <w:vAlign w:val="center"/>
          </w:tcPr>
          <w:p w14:paraId="5922AB74" w14:textId="0F9964CF" w:rsidR="0076065F"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Insect-based APF</w:t>
            </w:r>
            <w:r w:rsidR="0076065F" w:rsidRPr="004829A5">
              <w:rPr>
                <w:rFonts w:ascii="Times New Roman" w:eastAsia="Times New Roman" w:hAnsi="Times New Roman" w:cs="Times New Roman"/>
                <w:b/>
                <w:color w:val="auto"/>
                <w:sz w:val="18"/>
                <w:szCs w:val="18"/>
              </w:rPr>
              <w:t>:</w:t>
            </w:r>
          </w:p>
          <w:p w14:paraId="7FF55459" w14:textId="199A8D12" w:rsidR="00412C1D" w:rsidRPr="004829A5" w:rsidRDefault="0076065F"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reviews providing evidence for the association</w:t>
            </w:r>
          </w:p>
        </w:tc>
        <w:tc>
          <w:tcPr>
            <w:tcW w:w="1040" w:type="pct"/>
            <w:tcBorders>
              <w:top w:val="single" w:sz="4" w:space="0" w:color="1C3001" w:themeColor="text1"/>
              <w:right w:val="nil"/>
            </w:tcBorders>
            <w:shd w:val="clear" w:color="auto" w:fill="auto"/>
            <w:vAlign w:val="center"/>
          </w:tcPr>
          <w:p w14:paraId="625E6437" w14:textId="0ABD1465" w:rsidR="00412C1D" w:rsidRPr="004829A5" w:rsidRDefault="007C55FA"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Food made with a</w:t>
            </w:r>
            <w:r w:rsidR="00412C1D" w:rsidRPr="004829A5">
              <w:rPr>
                <w:rFonts w:ascii="Times New Roman" w:eastAsia="Times New Roman" w:hAnsi="Times New Roman" w:cs="Times New Roman"/>
                <w:b/>
                <w:color w:val="auto"/>
                <w:sz w:val="18"/>
                <w:szCs w:val="18"/>
              </w:rPr>
              <w:t xml:space="preserve">ny alternative proteins (e.g., </w:t>
            </w:r>
            <w:r w:rsidRPr="004829A5">
              <w:rPr>
                <w:rFonts w:ascii="Times New Roman" w:eastAsia="Times New Roman" w:hAnsi="Times New Roman" w:cs="Times New Roman"/>
                <w:b/>
                <w:color w:val="auto"/>
                <w:sz w:val="18"/>
                <w:szCs w:val="18"/>
              </w:rPr>
              <w:t xml:space="preserve">based on sources from </w:t>
            </w:r>
            <w:r w:rsidR="00412C1D" w:rsidRPr="004829A5">
              <w:rPr>
                <w:rFonts w:ascii="Times New Roman" w:eastAsia="Times New Roman" w:hAnsi="Times New Roman" w:cs="Times New Roman"/>
                <w:b/>
                <w:color w:val="auto"/>
                <w:sz w:val="18"/>
                <w:szCs w:val="18"/>
              </w:rPr>
              <w:t>plant</w:t>
            </w:r>
            <w:r w:rsidRPr="004829A5">
              <w:rPr>
                <w:rFonts w:ascii="Times New Roman" w:eastAsia="Times New Roman" w:hAnsi="Times New Roman" w:cs="Times New Roman"/>
                <w:b/>
                <w:color w:val="auto"/>
                <w:sz w:val="18"/>
                <w:szCs w:val="18"/>
              </w:rPr>
              <w:t>s</w:t>
            </w:r>
            <w:r w:rsidR="00412C1D" w:rsidRPr="004829A5">
              <w:rPr>
                <w:rFonts w:ascii="Times New Roman" w:eastAsia="Times New Roman" w:hAnsi="Times New Roman" w:cs="Times New Roman"/>
                <w:b/>
                <w:color w:val="auto"/>
                <w:sz w:val="18"/>
                <w:szCs w:val="18"/>
              </w:rPr>
              <w:t xml:space="preserve">, insects, mycoproteins, </w:t>
            </w:r>
            <w:r w:rsidRPr="004829A5">
              <w:rPr>
                <w:rFonts w:ascii="Times New Roman" w:eastAsia="Times New Roman" w:hAnsi="Times New Roman" w:cs="Times New Roman"/>
                <w:b/>
                <w:color w:val="auto"/>
                <w:sz w:val="18"/>
                <w:szCs w:val="18"/>
              </w:rPr>
              <w:t>etc.)</w:t>
            </w:r>
            <w:r w:rsidR="0076065F" w:rsidRPr="004829A5">
              <w:rPr>
                <w:rFonts w:ascii="Times New Roman" w:eastAsia="Times New Roman" w:hAnsi="Times New Roman" w:cs="Times New Roman"/>
                <w:b/>
                <w:color w:val="auto"/>
                <w:sz w:val="18"/>
                <w:szCs w:val="18"/>
              </w:rPr>
              <w:t>:</w:t>
            </w:r>
          </w:p>
          <w:p w14:paraId="01B1E674" w14:textId="5A377E2D" w:rsidR="0076065F" w:rsidRPr="004829A5" w:rsidRDefault="0076065F"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reviews providing evidence for the association</w:t>
            </w:r>
          </w:p>
        </w:tc>
      </w:tr>
      <w:tr w:rsidR="004829A5" w:rsidRPr="004829A5" w14:paraId="453F434D" w14:textId="77777777" w:rsidTr="00D55A2B">
        <w:trPr>
          <w:trHeight w:val="155"/>
        </w:trPr>
        <w:tc>
          <w:tcPr>
            <w:tcW w:w="5000" w:type="pct"/>
            <w:gridSpan w:val="5"/>
            <w:tcBorders>
              <w:top w:val="single" w:sz="4" w:space="0" w:color="1C3001" w:themeColor="text1"/>
              <w:left w:val="nil"/>
              <w:right w:val="nil"/>
            </w:tcBorders>
            <w:shd w:val="clear" w:color="auto" w:fill="F2F2F2" w:themeFill="background1" w:themeFillShade="F2"/>
            <w:vAlign w:val="center"/>
          </w:tcPr>
          <w:p w14:paraId="2FC8CB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b/>
                <w:color w:val="auto"/>
                <w:sz w:val="18"/>
                <w:szCs w:val="18"/>
              </w:rPr>
              <w:t>COM-B: CAPABILITIES</w:t>
            </w:r>
          </w:p>
        </w:tc>
      </w:tr>
      <w:tr w:rsidR="004829A5" w:rsidRPr="004829A5" w14:paraId="777A9C2C" w14:textId="77777777" w:rsidTr="00053232">
        <w:tc>
          <w:tcPr>
            <w:tcW w:w="1088" w:type="pct"/>
            <w:vMerge w:val="restart"/>
            <w:tcBorders>
              <w:top w:val="single" w:sz="4" w:space="0" w:color="1C3001" w:themeColor="text1"/>
              <w:left w:val="nil"/>
            </w:tcBorders>
            <w:shd w:val="clear" w:color="auto" w:fill="auto"/>
            <w:vAlign w:val="center"/>
          </w:tcPr>
          <w:p w14:paraId="2705B3EC"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cooking skills (referring to preparing meals with respective alternative protein components)</w:t>
            </w:r>
          </w:p>
        </w:tc>
        <w:tc>
          <w:tcPr>
            <w:tcW w:w="792" w:type="pct"/>
            <w:tcBorders>
              <w:top w:val="single" w:sz="4" w:space="0" w:color="1C3001" w:themeColor="text1"/>
              <w:bottom w:val="single" w:sz="4" w:space="0" w:color="1C3001" w:themeColor="text1"/>
            </w:tcBorders>
            <w:shd w:val="clear" w:color="auto" w:fill="auto"/>
            <w:vAlign w:val="center"/>
          </w:tcPr>
          <w:p w14:paraId="20D41B2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0421BC4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D3F8F0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A5E1C90"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201FE199" w14:textId="77777777" w:rsidTr="00053232">
        <w:tc>
          <w:tcPr>
            <w:tcW w:w="1088" w:type="pct"/>
            <w:vMerge/>
            <w:tcBorders>
              <w:left w:val="nil"/>
            </w:tcBorders>
            <w:shd w:val="clear" w:color="auto" w:fill="auto"/>
            <w:vAlign w:val="center"/>
          </w:tcPr>
          <w:p w14:paraId="35C63859" w14:textId="77777777" w:rsidR="00412C1D" w:rsidRPr="004829A5" w:rsidRDefault="00412C1D" w:rsidP="00EE39AD">
            <w:pPr>
              <w:spacing w:line="240" w:lineRule="auto"/>
              <w:ind w:left="90"/>
              <w:jc w:val="center"/>
              <w:rPr>
                <w:rFonts w:ascii="Times New Roman" w:eastAsia="Calibri"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06C8B9F" w14:textId="12C42D3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2F350BB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210EFA6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56A8ADC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3B2279D" w14:textId="77777777" w:rsidTr="00053232">
        <w:tc>
          <w:tcPr>
            <w:tcW w:w="1088" w:type="pct"/>
            <w:vMerge/>
            <w:tcBorders>
              <w:left w:val="nil"/>
              <w:bottom w:val="single" w:sz="4" w:space="0" w:color="1C3001" w:themeColor="text1"/>
            </w:tcBorders>
            <w:shd w:val="clear" w:color="auto" w:fill="auto"/>
            <w:vAlign w:val="center"/>
          </w:tcPr>
          <w:p w14:paraId="021E5B70"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1A69BA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or adoption of a diet</w:t>
            </w:r>
          </w:p>
        </w:tc>
        <w:tc>
          <w:tcPr>
            <w:tcW w:w="1040" w:type="pct"/>
            <w:tcBorders>
              <w:top w:val="single" w:sz="4" w:space="0" w:color="1C3001" w:themeColor="text1"/>
              <w:bottom w:val="single" w:sz="4" w:space="0" w:color="1C3001" w:themeColor="text1"/>
            </w:tcBorders>
            <w:shd w:val="clear" w:color="auto" w:fill="auto"/>
            <w:vAlign w:val="center"/>
          </w:tcPr>
          <w:p w14:paraId="4FADFF7B" w14:textId="0B06D47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8" w:name="_heading=h.2xcytpi" w:colFirst="0" w:colLast="0"/>
            <w:bookmarkEnd w:id="8"/>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612EE9CC" w14:textId="2010E7D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p w14:paraId="5FCC285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(He et al., 2020)</w:t>
            </w:r>
          </w:p>
        </w:tc>
        <w:tc>
          <w:tcPr>
            <w:tcW w:w="1040" w:type="pct"/>
            <w:tcBorders>
              <w:top w:val="single" w:sz="4" w:space="0" w:color="1C3001" w:themeColor="text1"/>
              <w:bottom w:val="single" w:sz="4" w:space="0" w:color="1C3001" w:themeColor="text1"/>
            </w:tcBorders>
            <w:shd w:val="clear" w:color="auto" w:fill="auto"/>
            <w:vAlign w:val="center"/>
          </w:tcPr>
          <w:p w14:paraId="3633E39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7FAF50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5E6517A8"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4A66536"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Purchase activism (a trait describing customers’ motivation to express opinions and influence the marketplace via purchases)</w:t>
            </w:r>
          </w:p>
        </w:tc>
        <w:tc>
          <w:tcPr>
            <w:tcW w:w="792" w:type="pct"/>
            <w:tcBorders>
              <w:top w:val="single" w:sz="4" w:space="0" w:color="1C3001" w:themeColor="text1"/>
              <w:bottom w:val="single" w:sz="4" w:space="0" w:color="1C3001" w:themeColor="text1"/>
            </w:tcBorders>
            <w:shd w:val="clear" w:color="auto" w:fill="auto"/>
            <w:vAlign w:val="center"/>
          </w:tcPr>
          <w:p w14:paraId="5E85A4C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480F502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E834E5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5E61862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BE1461A"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749616B"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Mindfulness</w:t>
            </w:r>
          </w:p>
        </w:tc>
        <w:tc>
          <w:tcPr>
            <w:tcW w:w="792" w:type="pct"/>
            <w:tcBorders>
              <w:top w:val="single" w:sz="4" w:space="0" w:color="1C3001" w:themeColor="text1"/>
              <w:bottom w:val="single" w:sz="4" w:space="0" w:color="1C3001" w:themeColor="text1"/>
            </w:tcBorders>
            <w:shd w:val="clear" w:color="auto" w:fill="auto"/>
            <w:vAlign w:val="center"/>
          </w:tcPr>
          <w:p w14:paraId="052B3A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666E8C9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A157BBD" w14:textId="439BE9F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6538E28A" w14:textId="4F6AA88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5257C30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19D3112" w14:textId="77777777" w:rsidTr="00053232">
        <w:tc>
          <w:tcPr>
            <w:tcW w:w="1088" w:type="pct"/>
            <w:vMerge w:val="restart"/>
            <w:tcBorders>
              <w:top w:val="single" w:sz="4" w:space="0" w:color="1C3001" w:themeColor="text1"/>
              <w:left w:val="nil"/>
            </w:tcBorders>
            <w:shd w:val="clear" w:color="auto" w:fill="auto"/>
            <w:vAlign w:val="center"/>
          </w:tcPr>
          <w:p w14:paraId="5C4AF829" w14:textId="25B0A663"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 xml:space="preserve">Easiness to replace meat with </w:t>
            </w:r>
            <w:r w:rsidR="00F05F76" w:rsidRPr="004829A5">
              <w:rPr>
                <w:rFonts w:ascii="Times New Roman" w:eastAsia="Times New Roman" w:hAnsi="Times New Roman" w:cs="Times New Roman"/>
                <w:b/>
                <w:color w:val="auto"/>
                <w:sz w:val="18"/>
                <w:szCs w:val="18"/>
              </w:rPr>
              <w:t>APF</w:t>
            </w:r>
            <w:r w:rsidRPr="004829A5">
              <w:rPr>
                <w:rFonts w:ascii="Times New Roman" w:eastAsia="Times New Roman" w:hAnsi="Times New Roman" w:cs="Times New Roman"/>
                <w:b/>
                <w:color w:val="auto"/>
                <w:sz w:val="18"/>
                <w:szCs w:val="18"/>
              </w:rPr>
              <w:t xml:space="preserve"> (perceived convenience)</w:t>
            </w:r>
          </w:p>
        </w:tc>
        <w:tc>
          <w:tcPr>
            <w:tcW w:w="792" w:type="pct"/>
            <w:tcBorders>
              <w:top w:val="single" w:sz="4" w:space="0" w:color="1C3001" w:themeColor="text1"/>
              <w:bottom w:val="single" w:sz="4" w:space="0" w:color="1C3001" w:themeColor="text1"/>
            </w:tcBorders>
            <w:shd w:val="clear" w:color="auto" w:fill="auto"/>
            <w:vAlign w:val="center"/>
          </w:tcPr>
          <w:p w14:paraId="431F16E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1ABDBBB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BD7064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03182DAE" w14:textId="5612A81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tc>
      </w:tr>
      <w:tr w:rsidR="004829A5" w:rsidRPr="004829A5" w14:paraId="7050F470" w14:textId="77777777" w:rsidTr="00053232">
        <w:tc>
          <w:tcPr>
            <w:tcW w:w="1088" w:type="pct"/>
            <w:vMerge/>
            <w:tcBorders>
              <w:left w:val="nil"/>
            </w:tcBorders>
            <w:shd w:val="clear" w:color="auto" w:fill="auto"/>
            <w:vAlign w:val="center"/>
          </w:tcPr>
          <w:p w14:paraId="1670569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EB76BB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0DAB816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78F278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19EB3B5C" w14:textId="0988E6A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9" w:name="_heading=h.1ci93xb" w:colFirst="0" w:colLast="0"/>
            <w:bookmarkEnd w:id="9"/>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tc>
      </w:tr>
      <w:tr w:rsidR="004829A5" w:rsidRPr="004829A5" w14:paraId="0C729343" w14:textId="77777777" w:rsidTr="00053232">
        <w:tc>
          <w:tcPr>
            <w:tcW w:w="1088" w:type="pct"/>
            <w:vMerge/>
            <w:tcBorders>
              <w:left w:val="nil"/>
            </w:tcBorders>
            <w:shd w:val="clear" w:color="auto" w:fill="auto"/>
            <w:vAlign w:val="center"/>
          </w:tcPr>
          <w:p w14:paraId="6CBE597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D7BB9F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6E9B3E4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4B1376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DA7764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6A05D74" w14:textId="77777777" w:rsidTr="00053232">
        <w:tc>
          <w:tcPr>
            <w:tcW w:w="1088" w:type="pct"/>
            <w:vMerge/>
            <w:tcBorders>
              <w:left w:val="nil"/>
              <w:bottom w:val="single" w:sz="4" w:space="0" w:color="1C3001" w:themeColor="text1"/>
            </w:tcBorders>
            <w:shd w:val="clear" w:color="auto" w:fill="auto"/>
            <w:vAlign w:val="center"/>
          </w:tcPr>
          <w:p w14:paraId="22882DA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D4C685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574B911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0909339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410DB9D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6498BF2" w14:textId="77777777" w:rsidTr="00053232">
        <w:tc>
          <w:tcPr>
            <w:tcW w:w="1088" w:type="pct"/>
            <w:vMerge w:val="restart"/>
            <w:tcBorders>
              <w:top w:val="single" w:sz="4" w:space="0" w:color="1C3001" w:themeColor="text1"/>
              <w:left w:val="nil"/>
            </w:tcBorders>
            <w:shd w:val="clear" w:color="auto" w:fill="auto"/>
            <w:vAlign w:val="center"/>
          </w:tcPr>
          <w:p w14:paraId="112E02E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Formal knowledge about the positive effects of food consumption and the respective types of food</w:t>
            </w:r>
          </w:p>
        </w:tc>
        <w:tc>
          <w:tcPr>
            <w:tcW w:w="792" w:type="pct"/>
            <w:tcBorders>
              <w:top w:val="single" w:sz="4" w:space="0" w:color="1C3001" w:themeColor="text1"/>
              <w:bottom w:val="single" w:sz="4" w:space="0" w:color="1C3001" w:themeColor="text1"/>
            </w:tcBorders>
            <w:shd w:val="clear" w:color="auto" w:fill="auto"/>
            <w:vAlign w:val="center"/>
          </w:tcPr>
          <w:p w14:paraId="2D31667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5B35300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227FA6D4" w14:textId="512A2DA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0" w:name="_heading=h.3whwml4" w:colFirst="0" w:colLast="0"/>
            <w:bookmarkEnd w:id="10"/>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162FCE49" w14:textId="5A272A6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(Kauppi et al., 2019)</w:t>
            </w:r>
          </w:p>
          <w:p w14:paraId="430993FF" w14:textId="2B92821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(Mancini et al., 2019)</w:t>
            </w:r>
          </w:p>
          <w:p w14:paraId="617F706E" w14:textId="2E96846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7109212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1B7BA0F" w14:textId="77777777" w:rsidTr="00053232">
        <w:tc>
          <w:tcPr>
            <w:tcW w:w="1088" w:type="pct"/>
            <w:vMerge/>
            <w:tcBorders>
              <w:left w:val="nil"/>
            </w:tcBorders>
            <w:shd w:val="clear" w:color="auto" w:fill="auto"/>
            <w:vAlign w:val="center"/>
          </w:tcPr>
          <w:p w14:paraId="4E8A6DFF"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FAABA7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43C101A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tcBorders>
            <w:shd w:val="clear" w:color="auto" w:fill="auto"/>
            <w:vAlign w:val="center"/>
          </w:tcPr>
          <w:p w14:paraId="5E6894D8" w14:textId="5F63270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6D22F90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8E6E574" w14:textId="77777777" w:rsidTr="00053232">
        <w:tc>
          <w:tcPr>
            <w:tcW w:w="1088" w:type="pct"/>
            <w:vMerge/>
            <w:tcBorders>
              <w:left w:val="nil"/>
            </w:tcBorders>
            <w:shd w:val="clear" w:color="auto" w:fill="auto"/>
            <w:vAlign w:val="center"/>
          </w:tcPr>
          <w:p w14:paraId="3069C6DD"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4FED80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w:t>
            </w:r>
          </w:p>
        </w:tc>
        <w:tc>
          <w:tcPr>
            <w:tcW w:w="1040" w:type="pct"/>
            <w:tcBorders>
              <w:top w:val="single" w:sz="4" w:space="0" w:color="1C3001" w:themeColor="text1"/>
              <w:bottom w:val="single" w:sz="4" w:space="0" w:color="1C3001" w:themeColor="text1"/>
            </w:tcBorders>
            <w:shd w:val="clear" w:color="auto" w:fill="auto"/>
            <w:vAlign w:val="center"/>
          </w:tcPr>
          <w:p w14:paraId="1FB2C39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tcBorders>
            <w:shd w:val="clear" w:color="auto" w:fill="auto"/>
            <w:vAlign w:val="center"/>
          </w:tcPr>
          <w:p w14:paraId="2807188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3345D41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188BEAB" w14:textId="77777777" w:rsidTr="00053232">
        <w:tc>
          <w:tcPr>
            <w:tcW w:w="1088" w:type="pct"/>
            <w:vMerge/>
            <w:tcBorders>
              <w:left w:val="nil"/>
            </w:tcBorders>
            <w:shd w:val="clear" w:color="auto" w:fill="auto"/>
            <w:vAlign w:val="center"/>
          </w:tcPr>
          <w:p w14:paraId="6CFD5E37"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F14645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5C59F090" w14:textId="79DD4B2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Baiano</w:t>
            </w:r>
            <w:proofErr w:type="spellEnd"/>
            <w:r w:rsidRPr="004829A5">
              <w:rPr>
                <w:rFonts w:ascii="Times New Roman" w:eastAsia="Times New Roman" w:hAnsi="Times New Roman" w:cs="Times New Roman"/>
                <w:color w:val="auto"/>
                <w:sz w:val="18"/>
                <w:szCs w:val="18"/>
              </w:rPr>
              <w:t>, 2020)</w:t>
            </w:r>
          </w:p>
          <w:p w14:paraId="016E9C6F" w14:textId="3998EA9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tcBorders>
            <w:shd w:val="clear" w:color="auto" w:fill="auto"/>
            <w:vAlign w:val="center"/>
          </w:tcPr>
          <w:p w14:paraId="0B73F2D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1" w:name="_heading=h.2bn6wsx" w:colFirst="0" w:colLast="0"/>
            <w:bookmarkEnd w:id="11"/>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Batat</w:t>
            </w:r>
            <w:proofErr w:type="spellEnd"/>
            <w:r w:rsidRPr="004829A5">
              <w:rPr>
                <w:rFonts w:ascii="Times New Roman" w:eastAsia="Times New Roman" w:hAnsi="Times New Roman" w:cs="Times New Roman"/>
                <w:color w:val="auto"/>
                <w:sz w:val="18"/>
                <w:szCs w:val="18"/>
              </w:rPr>
              <w:t xml:space="preserve"> &amp; Peter, 2020)</w:t>
            </w:r>
          </w:p>
          <w:p w14:paraId="7A370102" w14:textId="3A6B769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2B2EA134" w14:textId="47B18EB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36EB0050" w14:textId="01BCF91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(Weinrich, 2019)</w:t>
            </w:r>
          </w:p>
          <w:p w14:paraId="7077CE48" w14:textId="49ACD5C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3F319C76" w14:textId="0692E94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2" w:name="_heading=h.qsh70q" w:colFirst="0" w:colLast="0"/>
            <w:bookmarkEnd w:id="12"/>
            <w:r w:rsidRPr="004829A5">
              <w:rPr>
                <w:rFonts w:ascii="Times New Roman" w:eastAsia="Times New Roman" w:hAnsi="Times New Roman" w:cs="Times New Roman"/>
                <w:color w:val="auto"/>
                <w:sz w:val="18"/>
                <w:szCs w:val="18"/>
              </w:rPr>
              <w:t xml:space="preserve">+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6D4C41E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(novel food; Giordano et al., 2017)</w:t>
            </w:r>
          </w:p>
        </w:tc>
      </w:tr>
      <w:tr w:rsidR="004829A5" w:rsidRPr="004829A5" w14:paraId="6B651EFB" w14:textId="77777777" w:rsidTr="00053232">
        <w:tc>
          <w:tcPr>
            <w:tcW w:w="1088" w:type="pct"/>
            <w:vMerge/>
            <w:tcBorders>
              <w:left w:val="nil"/>
            </w:tcBorders>
            <w:shd w:val="clear" w:color="auto" w:fill="auto"/>
            <w:vAlign w:val="center"/>
          </w:tcPr>
          <w:p w14:paraId="16075CE6"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tcBorders>
            <w:shd w:val="clear" w:color="auto" w:fill="auto"/>
            <w:vAlign w:val="center"/>
          </w:tcPr>
          <w:p w14:paraId="33838E9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tcBorders>
            <w:shd w:val="clear" w:color="auto" w:fill="auto"/>
            <w:vAlign w:val="center"/>
          </w:tcPr>
          <w:p w14:paraId="59010E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188A4C83" w14:textId="4D0BFE1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3" w:name="_heading=h.3as4poj" w:colFirst="0" w:colLast="0"/>
            <w:bookmarkEnd w:id="13"/>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0CA607D9" w14:textId="601EB1A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right w:val="nil"/>
            </w:tcBorders>
            <w:shd w:val="clear" w:color="auto" w:fill="auto"/>
            <w:vAlign w:val="center"/>
          </w:tcPr>
          <w:p w14:paraId="5887C38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2079AA8"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21627693" w14:textId="14917D6E"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process of getting more information</w:t>
            </w:r>
          </w:p>
        </w:tc>
        <w:tc>
          <w:tcPr>
            <w:tcW w:w="792" w:type="pct"/>
            <w:tcBorders>
              <w:top w:val="single" w:sz="4" w:space="0" w:color="1C3001" w:themeColor="text1"/>
              <w:bottom w:val="single" w:sz="4" w:space="0" w:color="1C3001" w:themeColor="text1"/>
            </w:tcBorders>
            <w:shd w:val="clear" w:color="auto" w:fill="auto"/>
            <w:vAlign w:val="center"/>
          </w:tcPr>
          <w:p w14:paraId="596BB4C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adoption of a diet</w:t>
            </w:r>
          </w:p>
        </w:tc>
        <w:tc>
          <w:tcPr>
            <w:tcW w:w="1040" w:type="pct"/>
            <w:tcBorders>
              <w:top w:val="single" w:sz="4" w:space="0" w:color="1C3001" w:themeColor="text1"/>
              <w:bottom w:val="single" w:sz="4" w:space="0" w:color="1C3001" w:themeColor="text1"/>
            </w:tcBorders>
            <w:shd w:val="clear" w:color="auto" w:fill="auto"/>
            <w:vAlign w:val="center"/>
          </w:tcPr>
          <w:p w14:paraId="1402114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2E5E91D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7D0E8B6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77E2B51"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8C4F29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lastRenderedPageBreak/>
              <w:t>Information provided to those interested in nutritional or ecological benefits of eating behavior (information provided to susceptible people)</w:t>
            </w:r>
          </w:p>
        </w:tc>
        <w:tc>
          <w:tcPr>
            <w:tcW w:w="792" w:type="pct"/>
            <w:tcBorders>
              <w:top w:val="single" w:sz="4" w:space="0" w:color="1C3001" w:themeColor="text1"/>
              <w:bottom w:val="single" w:sz="4" w:space="0" w:color="1C3001" w:themeColor="text1"/>
            </w:tcBorders>
            <w:shd w:val="clear" w:color="auto" w:fill="auto"/>
            <w:vAlign w:val="center"/>
          </w:tcPr>
          <w:p w14:paraId="669ADF8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5E7ED82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336FEE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2FDE8AC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7E4C24A" w14:textId="77777777" w:rsidTr="00053232">
        <w:tc>
          <w:tcPr>
            <w:tcW w:w="1088" w:type="pct"/>
            <w:vMerge w:val="restart"/>
            <w:tcBorders>
              <w:top w:val="single" w:sz="4" w:space="0" w:color="1C3001" w:themeColor="text1"/>
              <w:left w:val="nil"/>
            </w:tcBorders>
            <w:shd w:val="clear" w:color="auto" w:fill="auto"/>
            <w:vAlign w:val="center"/>
          </w:tcPr>
          <w:p w14:paraId="0E50790D"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familiarity/multiple exposures to APF</w:t>
            </w:r>
          </w:p>
        </w:tc>
        <w:tc>
          <w:tcPr>
            <w:tcW w:w="792" w:type="pct"/>
            <w:tcBorders>
              <w:top w:val="single" w:sz="4" w:space="0" w:color="1C3001" w:themeColor="text1"/>
              <w:bottom w:val="single" w:sz="4" w:space="0" w:color="1C3001" w:themeColor="text1"/>
            </w:tcBorders>
            <w:shd w:val="clear" w:color="auto" w:fill="auto"/>
            <w:vAlign w:val="center"/>
          </w:tcPr>
          <w:p w14:paraId="4040AB29" w14:textId="2C8595D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0BF309A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5C629A2" w14:textId="1BD136E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4" w:name="_heading=h.1pxezwc" w:colFirst="0" w:colLast="0"/>
            <w:bookmarkEnd w:id="14"/>
            <w:r w:rsidRPr="004829A5">
              <w:rPr>
                <w:rFonts w:ascii="Times New Roman" w:eastAsia="Times New Roman" w:hAnsi="Times New Roman" w:cs="Times New Roman"/>
                <w:color w:val="auto"/>
                <w:sz w:val="18"/>
                <w:szCs w:val="18"/>
              </w:rPr>
              <w:t>+ (Kauppi et al., 2019)</w:t>
            </w:r>
          </w:p>
          <w:p w14:paraId="1E37D6CA" w14:textId="443372A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5F37B9E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7B4720A" w14:textId="77777777" w:rsidTr="00053232">
        <w:tc>
          <w:tcPr>
            <w:tcW w:w="1088" w:type="pct"/>
            <w:vMerge/>
            <w:tcBorders>
              <w:left w:val="nil"/>
            </w:tcBorders>
            <w:shd w:val="clear" w:color="auto" w:fill="auto"/>
            <w:vAlign w:val="center"/>
          </w:tcPr>
          <w:p w14:paraId="1DFE812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7AC865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40AB5A2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5" w:name="_heading=h.49x2ik5" w:colFirst="0" w:colLast="0"/>
            <w:bookmarkEnd w:id="15"/>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08AF59A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A0E0A7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AA0B228" w14:textId="77777777" w:rsidTr="00053232">
        <w:tc>
          <w:tcPr>
            <w:tcW w:w="1088" w:type="pct"/>
            <w:vMerge/>
            <w:tcBorders>
              <w:left w:val="nil"/>
            </w:tcBorders>
            <w:shd w:val="clear" w:color="auto" w:fill="auto"/>
            <w:vAlign w:val="center"/>
          </w:tcPr>
          <w:p w14:paraId="0087B85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1B67DE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0108BA2D" w14:textId="04C1BEB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6" w:name="_heading=h.2p2csry" w:colFirst="0" w:colLast="0"/>
            <w:bookmarkEnd w:id="16"/>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Baiano</w:t>
            </w:r>
            <w:proofErr w:type="spellEnd"/>
            <w:r w:rsidRPr="004829A5">
              <w:rPr>
                <w:rFonts w:ascii="Times New Roman" w:eastAsia="Times New Roman" w:hAnsi="Times New Roman" w:cs="Times New Roman"/>
                <w:color w:val="auto"/>
                <w:sz w:val="18"/>
                <w:szCs w:val="18"/>
              </w:rPr>
              <w:t>, 2020)</w:t>
            </w:r>
          </w:p>
          <w:p w14:paraId="46DAF24A" w14:textId="17BD603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(He et al., 2020)</w:t>
            </w:r>
          </w:p>
          <w:p w14:paraId="588DE59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56AD9597" w14:textId="57212EF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7" w:name="_heading=h.147n2zr" w:colFirst="0" w:colLast="0"/>
            <w:bookmarkEnd w:id="17"/>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5C50A37C" w14:textId="2F13A5C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1C9CBFE3" w14:textId="1FCB9A4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(Hartmann &amp; Siegrist, 2017)</w:t>
            </w:r>
          </w:p>
          <w:p w14:paraId="447A3A43" w14:textId="60EAB7F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2019EB2B" w14:textId="279F4EB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(Mancini et al., 2019)</w:t>
            </w:r>
          </w:p>
          <w:p w14:paraId="1D5F8765" w14:textId="259BF59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74D9FF10" w14:textId="6B284D6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6A1AECB1" w14:textId="042F770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25F72116" w14:textId="2BF67AB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14BD1A3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35A385ED" w14:textId="29CDE41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(Hartmann &amp; Siegrist, 2017)</w:t>
            </w:r>
          </w:p>
          <w:p w14:paraId="5D5595AF" w14:textId="148E193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375C4A71" w14:textId="732BE43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tc>
      </w:tr>
      <w:tr w:rsidR="004829A5" w:rsidRPr="004829A5" w14:paraId="011DA01F" w14:textId="77777777" w:rsidTr="00053232">
        <w:tc>
          <w:tcPr>
            <w:tcW w:w="1088" w:type="pct"/>
            <w:vMerge/>
            <w:tcBorders>
              <w:left w:val="nil"/>
            </w:tcBorders>
            <w:shd w:val="clear" w:color="auto" w:fill="auto"/>
            <w:vAlign w:val="center"/>
          </w:tcPr>
          <w:p w14:paraId="31DF91F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8EF2D4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3AA915B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3B329A3" w14:textId="75DECD8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8" w:name="_heading=h.3o7alnk" w:colFirst="0" w:colLast="0"/>
            <w:bookmarkEnd w:id="18"/>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p w14:paraId="0B50F40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p w14:paraId="3BADC77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(for past experience;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p w14:paraId="14CB13A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(for mere familiarity;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4DBDB03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6A38503" w14:textId="77777777" w:rsidTr="00053232">
        <w:tc>
          <w:tcPr>
            <w:tcW w:w="1088" w:type="pct"/>
            <w:vMerge/>
            <w:tcBorders>
              <w:left w:val="nil"/>
            </w:tcBorders>
            <w:shd w:val="clear" w:color="auto" w:fill="auto"/>
            <w:vAlign w:val="center"/>
          </w:tcPr>
          <w:p w14:paraId="689487F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530421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intake/adoption of a diet</w:t>
            </w:r>
          </w:p>
        </w:tc>
        <w:tc>
          <w:tcPr>
            <w:tcW w:w="1040" w:type="pct"/>
            <w:tcBorders>
              <w:top w:val="single" w:sz="4" w:space="0" w:color="1C3001" w:themeColor="text1"/>
              <w:bottom w:val="single" w:sz="4" w:space="0" w:color="1C3001" w:themeColor="text1"/>
            </w:tcBorders>
            <w:shd w:val="clear" w:color="auto" w:fill="auto"/>
            <w:vAlign w:val="center"/>
          </w:tcPr>
          <w:p w14:paraId="4763E58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19" w:name="_heading=h.23ckvvd" w:colFirst="0" w:colLast="0"/>
            <w:bookmarkEnd w:id="19"/>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5E69A4AA" w14:textId="7F805D4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5DEFD2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DD3EDD0" w14:textId="77777777" w:rsidTr="00053232">
        <w:tc>
          <w:tcPr>
            <w:tcW w:w="1088" w:type="pct"/>
            <w:vMerge/>
            <w:tcBorders>
              <w:left w:val="nil"/>
            </w:tcBorders>
            <w:shd w:val="clear" w:color="auto" w:fill="auto"/>
            <w:vAlign w:val="center"/>
          </w:tcPr>
          <w:p w14:paraId="6A32798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D6C83F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Reduced neophobia</w:t>
            </w:r>
          </w:p>
        </w:tc>
        <w:tc>
          <w:tcPr>
            <w:tcW w:w="1040" w:type="pct"/>
            <w:tcBorders>
              <w:top w:val="single" w:sz="4" w:space="0" w:color="1C3001" w:themeColor="text1"/>
              <w:bottom w:val="single" w:sz="4" w:space="0" w:color="1C3001" w:themeColor="text1"/>
            </w:tcBorders>
            <w:shd w:val="clear" w:color="auto" w:fill="auto"/>
            <w:vAlign w:val="center"/>
          </w:tcPr>
          <w:p w14:paraId="37103BE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4D5FEB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09922A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77F908E" w14:textId="77777777" w:rsidTr="00053232">
        <w:tc>
          <w:tcPr>
            <w:tcW w:w="1088" w:type="pct"/>
            <w:vMerge/>
            <w:tcBorders>
              <w:left w:val="nil"/>
            </w:tcBorders>
            <w:shd w:val="clear" w:color="auto" w:fill="auto"/>
            <w:vAlign w:val="center"/>
          </w:tcPr>
          <w:p w14:paraId="3657096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4114B4D" w14:textId="7A8782D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6682A55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D0E92D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732402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0B810238" w14:textId="77777777" w:rsidTr="00053232">
        <w:tc>
          <w:tcPr>
            <w:tcW w:w="1088" w:type="pct"/>
            <w:vMerge/>
            <w:tcBorders>
              <w:left w:val="nil"/>
              <w:bottom w:val="single" w:sz="4" w:space="0" w:color="1C3001" w:themeColor="text1"/>
            </w:tcBorders>
            <w:shd w:val="clear" w:color="auto" w:fill="auto"/>
            <w:vAlign w:val="center"/>
          </w:tcPr>
          <w:p w14:paraId="03D9853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AD8122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(intention to try, but not necessarily maintain)</w:t>
            </w:r>
          </w:p>
        </w:tc>
        <w:tc>
          <w:tcPr>
            <w:tcW w:w="1040" w:type="pct"/>
            <w:tcBorders>
              <w:top w:val="single" w:sz="4" w:space="0" w:color="1C3001" w:themeColor="text1"/>
              <w:bottom w:val="single" w:sz="4" w:space="0" w:color="1C3001" w:themeColor="text1"/>
            </w:tcBorders>
            <w:shd w:val="clear" w:color="auto" w:fill="auto"/>
            <w:vAlign w:val="center"/>
          </w:tcPr>
          <w:p w14:paraId="5E3C479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993504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right w:val="nil"/>
            </w:tcBorders>
            <w:shd w:val="clear" w:color="auto" w:fill="auto"/>
            <w:vAlign w:val="center"/>
          </w:tcPr>
          <w:p w14:paraId="337ADD1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871720C" w14:textId="77777777" w:rsidTr="00D55A2B">
        <w:tc>
          <w:tcPr>
            <w:tcW w:w="5000" w:type="pct"/>
            <w:gridSpan w:val="5"/>
            <w:tcBorders>
              <w:top w:val="single" w:sz="4" w:space="0" w:color="1C3001" w:themeColor="text1"/>
              <w:left w:val="nil"/>
              <w:bottom w:val="single" w:sz="4" w:space="0" w:color="1C3001" w:themeColor="text1"/>
              <w:right w:val="nil"/>
            </w:tcBorders>
            <w:shd w:val="clear" w:color="auto" w:fill="F2F2F2" w:themeFill="background1" w:themeFillShade="F2"/>
            <w:vAlign w:val="center"/>
          </w:tcPr>
          <w:p w14:paraId="6F3ED4A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b/>
                <w:color w:val="auto"/>
                <w:sz w:val="18"/>
                <w:szCs w:val="18"/>
              </w:rPr>
              <w:t>COM-B: OPPORTUNITIES</w:t>
            </w:r>
          </w:p>
        </w:tc>
      </w:tr>
      <w:tr w:rsidR="004829A5" w:rsidRPr="004829A5" w14:paraId="636205CF" w14:textId="77777777" w:rsidTr="00053232">
        <w:tc>
          <w:tcPr>
            <w:tcW w:w="1088" w:type="pct"/>
            <w:vMerge w:val="restart"/>
            <w:tcBorders>
              <w:top w:val="single" w:sz="4" w:space="0" w:color="1C3001" w:themeColor="text1"/>
              <w:left w:val="nil"/>
            </w:tcBorders>
            <w:shd w:val="clear" w:color="auto" w:fill="auto"/>
            <w:vAlign w:val="center"/>
          </w:tcPr>
          <w:p w14:paraId="13310C9B"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bookmarkStart w:id="20" w:name="_heading=h.ihv636" w:colFirst="0" w:colLast="0"/>
            <w:bookmarkEnd w:id="20"/>
            <w:r w:rsidRPr="004829A5">
              <w:rPr>
                <w:rFonts w:ascii="Times New Roman" w:eastAsia="Times New Roman" w:hAnsi="Times New Roman" w:cs="Times New Roman"/>
                <w:b/>
                <w:color w:val="auto"/>
                <w:sz w:val="18"/>
                <w:szCs w:val="18"/>
              </w:rPr>
              <w:t>Positive social norms (food accepted by peers, family or experts)</w:t>
            </w:r>
          </w:p>
        </w:tc>
        <w:tc>
          <w:tcPr>
            <w:tcW w:w="792" w:type="pct"/>
            <w:tcBorders>
              <w:top w:val="single" w:sz="4" w:space="0" w:color="1C3001" w:themeColor="text1"/>
              <w:bottom w:val="single" w:sz="4" w:space="0" w:color="1C3001" w:themeColor="text1"/>
            </w:tcBorders>
            <w:shd w:val="clear" w:color="auto" w:fill="auto"/>
            <w:vAlign w:val="center"/>
          </w:tcPr>
          <w:p w14:paraId="5BBD4C6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try</w:t>
            </w:r>
          </w:p>
        </w:tc>
        <w:tc>
          <w:tcPr>
            <w:tcW w:w="1040" w:type="pct"/>
            <w:tcBorders>
              <w:top w:val="single" w:sz="4" w:space="0" w:color="1C3001" w:themeColor="text1"/>
              <w:bottom w:val="single" w:sz="4" w:space="0" w:color="1C3001" w:themeColor="text1"/>
            </w:tcBorders>
            <w:shd w:val="clear" w:color="auto" w:fill="auto"/>
            <w:vAlign w:val="center"/>
          </w:tcPr>
          <w:p w14:paraId="0829112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2A845ADD" w14:textId="3BB49E9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1" w:name="_heading=h.32hioqz" w:colFirst="0" w:colLast="0"/>
            <w:bookmarkEnd w:id="21"/>
            <w:r w:rsidRPr="004829A5">
              <w:rPr>
                <w:rFonts w:ascii="Times New Roman" w:eastAsia="Times New Roman" w:hAnsi="Times New Roman" w:cs="Times New Roman"/>
                <w:color w:val="auto"/>
                <w:sz w:val="18"/>
                <w:szCs w:val="18"/>
              </w:rPr>
              <w:t>+ (Mina et al., 2023)</w:t>
            </w:r>
          </w:p>
          <w:p w14:paraId="329EABA0" w14:textId="1B360C1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0C2ADCB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F265FCE" w14:textId="77777777" w:rsidTr="00053232">
        <w:tc>
          <w:tcPr>
            <w:tcW w:w="1088" w:type="pct"/>
            <w:vMerge/>
            <w:tcBorders>
              <w:left w:val="nil"/>
            </w:tcBorders>
            <w:shd w:val="clear" w:color="auto" w:fill="auto"/>
            <w:vAlign w:val="center"/>
          </w:tcPr>
          <w:p w14:paraId="4285D24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tcBorders>
            <w:shd w:val="clear" w:color="auto" w:fill="auto"/>
            <w:vAlign w:val="center"/>
          </w:tcPr>
          <w:p w14:paraId="22E0E634" w14:textId="037B598E" w:rsidR="00412C1D" w:rsidRPr="004829A5" w:rsidRDefault="00412C1D" w:rsidP="00EE39AD">
            <w:pPr>
              <w:tabs>
                <w:tab w:val="left" w:pos="1149"/>
              </w:tabs>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tcBorders>
            <w:shd w:val="clear" w:color="auto" w:fill="auto"/>
            <w:vAlign w:val="center"/>
          </w:tcPr>
          <w:p w14:paraId="28EC2EC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07CAA877" w14:textId="2E2745B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2" w:name="_heading=h.1hmsyys" w:colFirst="0" w:colLast="0"/>
            <w:bookmarkEnd w:id="22"/>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04AD847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(Kauppi et al., 2019)</w:t>
            </w:r>
          </w:p>
        </w:tc>
        <w:tc>
          <w:tcPr>
            <w:tcW w:w="1040" w:type="pct"/>
            <w:tcBorders>
              <w:top w:val="single" w:sz="4" w:space="0" w:color="1C3001" w:themeColor="text1"/>
              <w:right w:val="nil"/>
            </w:tcBorders>
            <w:shd w:val="clear" w:color="auto" w:fill="auto"/>
            <w:vAlign w:val="center"/>
          </w:tcPr>
          <w:p w14:paraId="0FC0B68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7C77196" w14:textId="77777777" w:rsidTr="00053232">
        <w:tc>
          <w:tcPr>
            <w:tcW w:w="1088" w:type="pct"/>
            <w:vMerge/>
            <w:tcBorders>
              <w:left w:val="nil"/>
            </w:tcBorders>
            <w:shd w:val="clear" w:color="auto" w:fill="auto"/>
            <w:vAlign w:val="center"/>
          </w:tcPr>
          <w:p w14:paraId="2E36661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7F7246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specific types of food</w:t>
            </w:r>
          </w:p>
        </w:tc>
        <w:tc>
          <w:tcPr>
            <w:tcW w:w="1040" w:type="pct"/>
            <w:tcBorders>
              <w:top w:val="single" w:sz="4" w:space="0" w:color="1C3001" w:themeColor="text1"/>
              <w:bottom w:val="single" w:sz="4" w:space="0" w:color="1C3001" w:themeColor="text1"/>
            </w:tcBorders>
            <w:shd w:val="clear" w:color="auto" w:fill="auto"/>
            <w:vAlign w:val="center"/>
          </w:tcPr>
          <w:p w14:paraId="5F3C1EB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20724AA3" w14:textId="33AA995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3" w:name="_heading=h.41mghml" w:colFirst="0" w:colLast="0"/>
            <w:bookmarkEnd w:id="23"/>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5BA61CFD" w14:textId="32C9248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(Mancini et al., 2019)</w:t>
            </w:r>
          </w:p>
          <w:p w14:paraId="0EB30495" w14:textId="698B0FE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04C38679" w14:textId="16EF02D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4" w:name="_heading=h.4zetp1fqskci" w:colFirst="0" w:colLast="0"/>
            <w:bookmarkEnd w:id="24"/>
            <w:r w:rsidRPr="004829A5">
              <w:rPr>
                <w:rFonts w:ascii="Times New Roman" w:eastAsia="Times New Roman" w:hAnsi="Times New Roman" w:cs="Times New Roman"/>
                <w:color w:val="auto"/>
                <w:sz w:val="18"/>
                <w:szCs w:val="18"/>
              </w:rPr>
              <w:t>+ (Onwezen et al., 2021)</w:t>
            </w:r>
          </w:p>
          <w:p w14:paraId="5C0A883A" w14:textId="6A4CC2B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1B1902B9" w14:textId="1DD7447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98A2B0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5" w:name="_heading=h.2grqrue" w:colFirst="0" w:colLast="0"/>
            <w:bookmarkEnd w:id="25"/>
            <w:r w:rsidRPr="004829A5">
              <w:rPr>
                <w:rFonts w:ascii="Times New Roman" w:eastAsia="Times New Roman" w:hAnsi="Times New Roman" w:cs="Times New Roman"/>
                <w:color w:val="auto"/>
                <w:sz w:val="18"/>
                <w:szCs w:val="18"/>
              </w:rPr>
              <w:t xml:space="preserve">+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34A191BF" w14:textId="666B775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(mushroom-based product;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35611CF0" w14:textId="43CDBE6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6" w:name="_heading=h.u6tlwdoz8v62" w:colFirst="0" w:colLast="0"/>
            <w:bookmarkEnd w:id="26"/>
            <w:r w:rsidRPr="004829A5">
              <w:rPr>
                <w:rFonts w:ascii="Times New Roman" w:eastAsia="Times New Roman" w:hAnsi="Times New Roman" w:cs="Times New Roman"/>
                <w:color w:val="auto"/>
                <w:sz w:val="18"/>
                <w:szCs w:val="18"/>
              </w:rPr>
              <w:t>+ (Giordano et al., 2017)</w:t>
            </w:r>
          </w:p>
          <w:p w14:paraId="699FE0C7" w14:textId="470DB2E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p w14:paraId="357F17F9" w14:textId="2F122DC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tc>
      </w:tr>
      <w:tr w:rsidR="004829A5" w:rsidRPr="004829A5" w14:paraId="48C7640C" w14:textId="77777777" w:rsidTr="00053232">
        <w:tc>
          <w:tcPr>
            <w:tcW w:w="1088" w:type="pct"/>
            <w:vMerge/>
            <w:tcBorders>
              <w:left w:val="nil"/>
            </w:tcBorders>
            <w:shd w:val="clear" w:color="auto" w:fill="auto"/>
            <w:vAlign w:val="center"/>
          </w:tcPr>
          <w:p w14:paraId="695D884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442884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4773D0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11C73B3" w14:textId="1CC93FE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7" w:name="_heading=h.vx1227" w:colFirst="0" w:colLast="0"/>
            <w:bookmarkEnd w:id="27"/>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7B8F6FF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013966E" w14:textId="77777777" w:rsidTr="00053232">
        <w:tc>
          <w:tcPr>
            <w:tcW w:w="1088" w:type="pct"/>
            <w:vMerge/>
            <w:tcBorders>
              <w:left w:val="nil"/>
            </w:tcBorders>
            <w:shd w:val="clear" w:color="auto" w:fill="auto"/>
            <w:vAlign w:val="center"/>
          </w:tcPr>
          <w:p w14:paraId="2455EA0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EFF642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76B14D8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AF84A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725A5FA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CE60AB6" w14:textId="77777777" w:rsidTr="00053232">
        <w:tc>
          <w:tcPr>
            <w:tcW w:w="1088" w:type="pct"/>
            <w:tcBorders>
              <w:left w:val="nil"/>
              <w:bottom w:val="single" w:sz="4" w:space="0" w:color="1C3001" w:themeColor="text1"/>
            </w:tcBorders>
            <w:shd w:val="clear" w:color="auto" w:fill="auto"/>
            <w:vAlign w:val="center"/>
          </w:tcPr>
          <w:p w14:paraId="5A7EC60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Positive social norm regarding eating meat</w:t>
            </w:r>
          </w:p>
        </w:tc>
        <w:tc>
          <w:tcPr>
            <w:tcW w:w="792" w:type="pct"/>
            <w:tcBorders>
              <w:top w:val="single" w:sz="4" w:space="0" w:color="1C3001" w:themeColor="text1"/>
              <w:bottom w:val="single" w:sz="4" w:space="0" w:color="1C3001" w:themeColor="text1"/>
            </w:tcBorders>
            <w:shd w:val="clear" w:color="auto" w:fill="auto"/>
            <w:vAlign w:val="center"/>
          </w:tcPr>
          <w:p w14:paraId="4C7F48F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intake</w:t>
            </w:r>
          </w:p>
        </w:tc>
        <w:tc>
          <w:tcPr>
            <w:tcW w:w="1040" w:type="pct"/>
            <w:tcBorders>
              <w:top w:val="single" w:sz="4" w:space="0" w:color="1C3001" w:themeColor="text1"/>
              <w:bottom w:val="single" w:sz="4" w:space="0" w:color="1C3001" w:themeColor="text1"/>
            </w:tcBorders>
            <w:shd w:val="clear" w:color="auto" w:fill="auto"/>
            <w:vAlign w:val="center"/>
          </w:tcPr>
          <w:p w14:paraId="4A1E15F3" w14:textId="6FA480D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(He et al., 2020)</w:t>
            </w:r>
          </w:p>
          <w:p w14:paraId="7F3CE14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D9BE82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1267F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0094CC60"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2035F044"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Social support from family and friends to follow a meatless diet</w:t>
            </w:r>
          </w:p>
        </w:tc>
        <w:tc>
          <w:tcPr>
            <w:tcW w:w="792" w:type="pct"/>
            <w:tcBorders>
              <w:top w:val="single" w:sz="4" w:space="0" w:color="1C3001" w:themeColor="text1"/>
              <w:bottom w:val="single" w:sz="4" w:space="0" w:color="1C3001" w:themeColor="text1"/>
            </w:tcBorders>
            <w:shd w:val="clear" w:color="auto" w:fill="auto"/>
            <w:vAlign w:val="center"/>
          </w:tcPr>
          <w:p w14:paraId="504F15D4" w14:textId="14F08E3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w:t>
            </w:r>
          </w:p>
        </w:tc>
        <w:tc>
          <w:tcPr>
            <w:tcW w:w="1040" w:type="pct"/>
            <w:tcBorders>
              <w:top w:val="single" w:sz="4" w:space="0" w:color="1C3001" w:themeColor="text1"/>
              <w:bottom w:val="single" w:sz="4" w:space="0" w:color="1C3001" w:themeColor="text1"/>
            </w:tcBorders>
            <w:shd w:val="clear" w:color="auto" w:fill="auto"/>
            <w:vAlign w:val="center"/>
          </w:tcPr>
          <w:p w14:paraId="0505378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3430749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1F574F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FD63AC0"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7712B88"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Social identity (sociability and positive social image of non-eating meat)</w:t>
            </w:r>
          </w:p>
        </w:tc>
        <w:tc>
          <w:tcPr>
            <w:tcW w:w="792" w:type="pct"/>
            <w:tcBorders>
              <w:top w:val="single" w:sz="4" w:space="0" w:color="1C3001" w:themeColor="text1"/>
              <w:bottom w:val="single" w:sz="4" w:space="0" w:color="1C3001" w:themeColor="text1"/>
            </w:tcBorders>
            <w:shd w:val="clear" w:color="auto" w:fill="auto"/>
            <w:vAlign w:val="center"/>
          </w:tcPr>
          <w:p w14:paraId="7B9FE42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3FFFEEF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87ED1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42C3AB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05866EF5" w14:textId="77777777" w:rsidTr="00053232">
        <w:tc>
          <w:tcPr>
            <w:tcW w:w="1088" w:type="pct"/>
            <w:vMerge w:val="restart"/>
            <w:tcBorders>
              <w:top w:val="single" w:sz="4" w:space="0" w:color="1C3001" w:themeColor="text1"/>
              <w:left w:val="nil"/>
            </w:tcBorders>
            <w:shd w:val="clear" w:color="auto" w:fill="auto"/>
            <w:vAlign w:val="center"/>
          </w:tcPr>
          <w:p w14:paraId="5898CCA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Positive cultural norms</w:t>
            </w:r>
          </w:p>
        </w:tc>
        <w:tc>
          <w:tcPr>
            <w:tcW w:w="792" w:type="pct"/>
            <w:tcBorders>
              <w:top w:val="single" w:sz="4" w:space="0" w:color="1C3001" w:themeColor="text1"/>
              <w:bottom w:val="single" w:sz="4" w:space="0" w:color="1C3001" w:themeColor="text1"/>
            </w:tcBorders>
            <w:shd w:val="clear" w:color="auto" w:fill="auto"/>
            <w:vAlign w:val="center"/>
          </w:tcPr>
          <w:p w14:paraId="78EF70D6" w14:textId="77777777" w:rsidR="00412C1D" w:rsidRPr="004829A5" w:rsidRDefault="005F42E1" w:rsidP="00EE39AD">
            <w:pPr>
              <w:spacing w:line="240" w:lineRule="auto"/>
              <w:ind w:left="90"/>
              <w:jc w:val="center"/>
              <w:rPr>
                <w:rFonts w:ascii="Times New Roman" w:eastAsia="Times New Roman" w:hAnsi="Times New Roman" w:cs="Times New Roman"/>
                <w:color w:val="auto"/>
                <w:sz w:val="18"/>
                <w:szCs w:val="18"/>
              </w:rPr>
            </w:pPr>
            <w:sdt>
              <w:sdtPr>
                <w:rPr>
                  <w:rFonts w:ascii="Times New Roman" w:hAnsi="Times New Roman" w:cs="Times New Roman"/>
                  <w:color w:val="auto"/>
                  <w:sz w:val="18"/>
                  <w:szCs w:val="18"/>
                </w:rPr>
                <w:tag w:val="goog_rdk_2"/>
                <w:id w:val="248393511"/>
              </w:sdtPr>
              <w:sdtEndPr/>
              <w:sdtContent/>
            </w:sdt>
            <w:r w:rsidR="00412C1D"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14C8C9F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5F8C4E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63A67FE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7F75A7C" w14:textId="77777777" w:rsidTr="00053232">
        <w:trPr>
          <w:trHeight w:val="237"/>
        </w:trPr>
        <w:tc>
          <w:tcPr>
            <w:tcW w:w="1088" w:type="pct"/>
            <w:vMerge/>
            <w:tcBorders>
              <w:left w:val="nil"/>
            </w:tcBorders>
            <w:shd w:val="clear" w:color="auto" w:fill="auto"/>
            <w:vAlign w:val="center"/>
          </w:tcPr>
          <w:p w14:paraId="115B67E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AADB3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74CE0F9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203A3A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74D2D9B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8A2B5F7" w14:textId="77777777" w:rsidTr="00053232">
        <w:tc>
          <w:tcPr>
            <w:tcW w:w="1088" w:type="pct"/>
            <w:vMerge/>
            <w:tcBorders>
              <w:left w:val="nil"/>
            </w:tcBorders>
            <w:shd w:val="clear" w:color="auto" w:fill="auto"/>
            <w:vAlign w:val="center"/>
          </w:tcPr>
          <w:p w14:paraId="47571D9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416FBD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30C7C2E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A8D6F2F" w14:textId="4895D3F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Batat</w:t>
            </w:r>
            <w:proofErr w:type="spellEnd"/>
            <w:r w:rsidRPr="004829A5">
              <w:rPr>
                <w:rFonts w:ascii="Times New Roman" w:eastAsia="Times New Roman" w:hAnsi="Times New Roman" w:cs="Times New Roman"/>
                <w:color w:val="auto"/>
                <w:sz w:val="18"/>
                <w:szCs w:val="18"/>
              </w:rPr>
              <w:t xml:space="preserve"> &amp; Peter, 2020)</w:t>
            </w:r>
          </w:p>
          <w:p w14:paraId="1EEF58A9" w14:textId="36F1CED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(novel insect-based food; Giordano et al., 2017)</w:t>
            </w:r>
          </w:p>
          <w:p w14:paraId="5F29052A" w14:textId="7598468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(Kauppi et al., 2019)</w:t>
            </w:r>
          </w:p>
          <w:p w14:paraId="43B7F7D2" w14:textId="6DD7572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(Hartmann &amp; Siegrist, 2017)</w:t>
            </w:r>
          </w:p>
          <w:p w14:paraId="03AB0BC9" w14:textId="79375B6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(Mancini et al., 2019)</w:t>
            </w:r>
          </w:p>
          <w:p w14:paraId="53EFBEFD" w14:textId="5BB9FEA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2F7EC6C1" w14:textId="096AC86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2D9BA199" w14:textId="6096BD5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469328FF" w14:textId="11EA3C4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8" w:name="_heading=h.3fwokq0" w:colFirst="0" w:colLast="0"/>
            <w:bookmarkEnd w:id="28"/>
            <w:r w:rsidRPr="004829A5">
              <w:rPr>
                <w:rFonts w:ascii="Times New Roman" w:eastAsia="Times New Roman" w:hAnsi="Times New Roman" w:cs="Times New Roman"/>
                <w:color w:val="auto"/>
                <w:sz w:val="18"/>
                <w:szCs w:val="18"/>
              </w:rPr>
              <w:t xml:space="preserve">+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1698A43E" w14:textId="62170D7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p w14:paraId="78E19DA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p w14:paraId="026B478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ABF657A" w14:textId="77777777" w:rsidTr="00053232">
        <w:tc>
          <w:tcPr>
            <w:tcW w:w="1088" w:type="pct"/>
            <w:vMerge/>
            <w:tcBorders>
              <w:left w:val="nil"/>
            </w:tcBorders>
            <w:shd w:val="clear" w:color="auto" w:fill="auto"/>
            <w:vAlign w:val="center"/>
          </w:tcPr>
          <w:p w14:paraId="452BB4F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8CAA90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w:t>
            </w:r>
          </w:p>
        </w:tc>
        <w:tc>
          <w:tcPr>
            <w:tcW w:w="1040" w:type="pct"/>
            <w:tcBorders>
              <w:top w:val="single" w:sz="4" w:space="0" w:color="1C3001" w:themeColor="text1"/>
              <w:bottom w:val="single" w:sz="4" w:space="0" w:color="1C3001" w:themeColor="text1"/>
            </w:tcBorders>
            <w:shd w:val="clear" w:color="auto" w:fill="auto"/>
            <w:vAlign w:val="center"/>
          </w:tcPr>
          <w:p w14:paraId="51C3FD1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6D20D8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235D3B7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6CB6C18" w14:textId="77777777" w:rsidTr="00053232">
        <w:tc>
          <w:tcPr>
            <w:tcW w:w="1088" w:type="pct"/>
            <w:vMerge/>
            <w:tcBorders>
              <w:left w:val="nil"/>
              <w:bottom w:val="single" w:sz="4" w:space="0" w:color="1C3001" w:themeColor="text1"/>
            </w:tcBorders>
            <w:shd w:val="clear" w:color="auto" w:fill="auto"/>
            <w:vAlign w:val="center"/>
          </w:tcPr>
          <w:p w14:paraId="2BA4CEF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CA4A4C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035373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376D81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714DF56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7DCE48A"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54FEB740" w14:textId="296C6560"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Incompatibility with local food</w:t>
            </w:r>
          </w:p>
        </w:tc>
        <w:tc>
          <w:tcPr>
            <w:tcW w:w="792" w:type="pct"/>
            <w:tcBorders>
              <w:top w:val="single" w:sz="4" w:space="0" w:color="1C3001" w:themeColor="text1"/>
              <w:bottom w:val="single" w:sz="4" w:space="0" w:color="1C3001" w:themeColor="text1"/>
            </w:tcBorders>
            <w:shd w:val="clear" w:color="auto" w:fill="auto"/>
            <w:vAlign w:val="center"/>
          </w:tcPr>
          <w:p w14:paraId="4AC8E69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w:t>
            </w:r>
          </w:p>
        </w:tc>
        <w:tc>
          <w:tcPr>
            <w:tcW w:w="1040" w:type="pct"/>
            <w:tcBorders>
              <w:top w:val="single" w:sz="4" w:space="0" w:color="1C3001" w:themeColor="text1"/>
              <w:bottom w:val="single" w:sz="4" w:space="0" w:color="1C3001" w:themeColor="text1"/>
            </w:tcBorders>
            <w:shd w:val="clear" w:color="auto" w:fill="auto"/>
            <w:vAlign w:val="center"/>
          </w:tcPr>
          <w:p w14:paraId="1844297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9F7B3E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7EBDF13E" w14:textId="3E79D0D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(Weinrich, 2019)</w:t>
            </w:r>
          </w:p>
        </w:tc>
      </w:tr>
      <w:tr w:rsidR="004829A5" w:rsidRPr="004829A5" w14:paraId="42F619B6"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50385647"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as unsafe</w:t>
            </w:r>
          </w:p>
        </w:tc>
        <w:tc>
          <w:tcPr>
            <w:tcW w:w="792" w:type="pct"/>
            <w:tcBorders>
              <w:top w:val="single" w:sz="4" w:space="0" w:color="1C3001" w:themeColor="text1"/>
              <w:bottom w:val="single" w:sz="4" w:space="0" w:color="1C3001" w:themeColor="text1"/>
            </w:tcBorders>
            <w:shd w:val="clear" w:color="auto" w:fill="auto"/>
            <w:vAlign w:val="center"/>
          </w:tcPr>
          <w:p w14:paraId="1C52BAF6" w14:textId="624EA8F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2CDB28B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Baiano</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tcBorders>
            <w:shd w:val="clear" w:color="auto" w:fill="auto"/>
            <w:vAlign w:val="center"/>
          </w:tcPr>
          <w:p w14:paraId="6EB4C00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738A3F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tc>
      </w:tr>
      <w:tr w:rsidR="004829A5" w:rsidRPr="004829A5" w14:paraId="566FF595" w14:textId="77777777" w:rsidTr="00053232">
        <w:tc>
          <w:tcPr>
            <w:tcW w:w="1088" w:type="pct"/>
            <w:vMerge w:val="restart"/>
            <w:tcBorders>
              <w:top w:val="single" w:sz="4" w:space="0" w:color="1C3001" w:themeColor="text1"/>
              <w:left w:val="nil"/>
            </w:tcBorders>
            <w:shd w:val="clear" w:color="auto" w:fill="auto"/>
            <w:vAlign w:val="center"/>
          </w:tcPr>
          <w:p w14:paraId="764527B1" w14:textId="7EB40CA6"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as safe</w:t>
            </w:r>
          </w:p>
        </w:tc>
        <w:tc>
          <w:tcPr>
            <w:tcW w:w="792" w:type="pct"/>
            <w:tcBorders>
              <w:top w:val="single" w:sz="4" w:space="0" w:color="1C3001" w:themeColor="text1"/>
              <w:bottom w:val="single" w:sz="4" w:space="0" w:color="1C3001" w:themeColor="text1"/>
            </w:tcBorders>
            <w:shd w:val="clear" w:color="auto" w:fill="auto"/>
            <w:vAlign w:val="center"/>
          </w:tcPr>
          <w:p w14:paraId="5610A39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575FCBA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115185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71549F4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A5DAB30" w14:textId="77777777" w:rsidTr="00053232">
        <w:tc>
          <w:tcPr>
            <w:tcW w:w="1088" w:type="pct"/>
            <w:vMerge/>
            <w:tcBorders>
              <w:left w:val="nil"/>
              <w:bottom w:val="single" w:sz="4" w:space="0" w:color="1C3001" w:themeColor="text1"/>
            </w:tcBorders>
            <w:shd w:val="clear" w:color="auto" w:fill="auto"/>
            <w:vAlign w:val="center"/>
          </w:tcPr>
          <w:p w14:paraId="202D405B"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30A93C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47D37C3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751957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FE0B3C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2979632" w14:textId="77777777" w:rsidTr="00053232">
        <w:tc>
          <w:tcPr>
            <w:tcW w:w="1088" w:type="pct"/>
            <w:vMerge w:val="restart"/>
            <w:tcBorders>
              <w:top w:val="single" w:sz="4" w:space="0" w:color="1C3001" w:themeColor="text1"/>
              <w:left w:val="nil"/>
            </w:tcBorders>
            <w:shd w:val="clear" w:color="auto" w:fill="auto"/>
            <w:vAlign w:val="center"/>
          </w:tcPr>
          <w:p w14:paraId="567D3EBB"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artificialness, technology distrust/food technology neophobia</w:t>
            </w:r>
          </w:p>
        </w:tc>
        <w:tc>
          <w:tcPr>
            <w:tcW w:w="792" w:type="pct"/>
            <w:tcBorders>
              <w:top w:val="single" w:sz="4" w:space="0" w:color="1C3001" w:themeColor="text1"/>
              <w:bottom w:val="single" w:sz="4" w:space="0" w:color="1C3001" w:themeColor="text1"/>
            </w:tcBorders>
            <w:shd w:val="clear" w:color="auto" w:fill="auto"/>
            <w:vAlign w:val="center"/>
          </w:tcPr>
          <w:p w14:paraId="1DDC742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purchase</w:t>
            </w:r>
          </w:p>
        </w:tc>
        <w:tc>
          <w:tcPr>
            <w:tcW w:w="1040" w:type="pct"/>
            <w:tcBorders>
              <w:top w:val="single" w:sz="4" w:space="0" w:color="1C3001" w:themeColor="text1"/>
              <w:bottom w:val="single" w:sz="4" w:space="0" w:color="1C3001" w:themeColor="text1"/>
            </w:tcBorders>
            <w:shd w:val="clear" w:color="auto" w:fill="auto"/>
            <w:vAlign w:val="center"/>
          </w:tcPr>
          <w:p w14:paraId="2D6115C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008D0E5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3E6C0F6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tc>
      </w:tr>
      <w:tr w:rsidR="004829A5" w:rsidRPr="004829A5" w14:paraId="42C6AF84" w14:textId="77777777" w:rsidTr="00053232">
        <w:tc>
          <w:tcPr>
            <w:tcW w:w="1088" w:type="pct"/>
            <w:vMerge/>
            <w:tcBorders>
              <w:left w:val="nil"/>
            </w:tcBorders>
            <w:shd w:val="clear" w:color="auto" w:fill="auto"/>
            <w:vAlign w:val="center"/>
          </w:tcPr>
          <w:p w14:paraId="1C69CED0"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tcBorders>
            <w:shd w:val="clear" w:color="auto" w:fill="auto"/>
            <w:vAlign w:val="center"/>
          </w:tcPr>
          <w:p w14:paraId="222FC27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tcBorders>
            <w:shd w:val="clear" w:color="auto" w:fill="auto"/>
            <w:vAlign w:val="center"/>
          </w:tcPr>
          <w:p w14:paraId="1D439B28" w14:textId="5C563A1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tcBorders>
            <w:shd w:val="clear" w:color="auto" w:fill="auto"/>
            <w:vAlign w:val="center"/>
          </w:tcPr>
          <w:p w14:paraId="45A41E2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right w:val="nil"/>
            </w:tcBorders>
            <w:shd w:val="clear" w:color="auto" w:fill="auto"/>
            <w:vAlign w:val="center"/>
          </w:tcPr>
          <w:p w14:paraId="4425A917" w14:textId="73001D1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73D4B8E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(Giordano et al., 2017)</w:t>
            </w:r>
          </w:p>
        </w:tc>
      </w:tr>
      <w:tr w:rsidR="004829A5" w:rsidRPr="004829A5" w14:paraId="020C6463" w14:textId="77777777" w:rsidTr="00053232">
        <w:tc>
          <w:tcPr>
            <w:tcW w:w="1088" w:type="pct"/>
            <w:vMerge/>
            <w:tcBorders>
              <w:left w:val="nil"/>
            </w:tcBorders>
            <w:shd w:val="clear" w:color="auto" w:fill="auto"/>
            <w:vAlign w:val="center"/>
          </w:tcPr>
          <w:p w14:paraId="5B4831F2"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BB0E65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4C81276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1D1F3F0" w14:textId="6669AC5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3E87FD4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2AC9949" w14:textId="77777777" w:rsidTr="00053232">
        <w:tc>
          <w:tcPr>
            <w:tcW w:w="1088" w:type="pct"/>
            <w:vMerge/>
            <w:tcBorders>
              <w:left w:val="nil"/>
            </w:tcBorders>
            <w:shd w:val="clear" w:color="auto" w:fill="auto"/>
            <w:vAlign w:val="center"/>
          </w:tcPr>
          <w:p w14:paraId="3073EA68"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tcBorders>
            <w:shd w:val="clear" w:color="auto" w:fill="auto"/>
            <w:vAlign w:val="center"/>
          </w:tcPr>
          <w:p w14:paraId="69F4535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tcBorders>
            <w:shd w:val="clear" w:color="auto" w:fill="auto"/>
            <w:vAlign w:val="center"/>
          </w:tcPr>
          <w:p w14:paraId="5D2E7DA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5B98822E" w14:textId="7F045DB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p w14:paraId="04C7163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(Wendt &amp; Weinrich, 2023)</w:t>
            </w:r>
          </w:p>
        </w:tc>
        <w:tc>
          <w:tcPr>
            <w:tcW w:w="1040" w:type="pct"/>
            <w:tcBorders>
              <w:top w:val="single" w:sz="4" w:space="0" w:color="1C3001" w:themeColor="text1"/>
              <w:right w:val="nil"/>
            </w:tcBorders>
            <w:shd w:val="clear" w:color="auto" w:fill="auto"/>
            <w:vAlign w:val="center"/>
          </w:tcPr>
          <w:p w14:paraId="64AC57A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2498D28"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72814EA6"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Low perceived uncertainty/high trust (in research, science, independent promoters/organizations)</w:t>
            </w:r>
          </w:p>
        </w:tc>
        <w:tc>
          <w:tcPr>
            <w:tcW w:w="792" w:type="pct"/>
            <w:tcBorders>
              <w:top w:val="single" w:sz="4" w:space="0" w:color="1C3001" w:themeColor="text1"/>
              <w:bottom w:val="single" w:sz="4" w:space="0" w:color="1C3001" w:themeColor="text1"/>
            </w:tcBorders>
            <w:shd w:val="clear" w:color="auto" w:fill="auto"/>
            <w:vAlign w:val="center"/>
          </w:tcPr>
          <w:p w14:paraId="65B31AEE" w14:textId="658B26F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231D1A91" w14:textId="2662BFA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(algae-based only; Onwezen et al., 2021)</w:t>
            </w:r>
          </w:p>
        </w:tc>
        <w:tc>
          <w:tcPr>
            <w:tcW w:w="1040" w:type="pct"/>
            <w:tcBorders>
              <w:top w:val="single" w:sz="4" w:space="0" w:color="1C3001" w:themeColor="text1"/>
              <w:bottom w:val="single" w:sz="4" w:space="0" w:color="1C3001" w:themeColor="text1"/>
            </w:tcBorders>
            <w:shd w:val="clear" w:color="auto" w:fill="auto"/>
            <w:vAlign w:val="center"/>
          </w:tcPr>
          <w:p w14:paraId="2E90FB0D" w14:textId="355F2F0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right w:val="nil"/>
            </w:tcBorders>
            <w:shd w:val="clear" w:color="auto" w:fill="auto"/>
            <w:vAlign w:val="center"/>
          </w:tcPr>
          <w:p w14:paraId="0AFBFB6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(novel food; Giordano et al., 2017)</w:t>
            </w:r>
          </w:p>
          <w:p w14:paraId="7FE8D53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tc>
      </w:tr>
      <w:tr w:rsidR="004829A5" w:rsidRPr="004829A5" w14:paraId="2704D065" w14:textId="77777777" w:rsidTr="00D55A2B">
        <w:tc>
          <w:tcPr>
            <w:tcW w:w="5000" w:type="pct"/>
            <w:gridSpan w:val="5"/>
            <w:tcBorders>
              <w:top w:val="single" w:sz="4" w:space="0" w:color="1C3001" w:themeColor="text1"/>
              <w:left w:val="nil"/>
              <w:right w:val="nil"/>
            </w:tcBorders>
            <w:shd w:val="clear" w:color="auto" w:fill="F2F2F2" w:themeFill="background1" w:themeFillShade="F2"/>
            <w:vAlign w:val="center"/>
          </w:tcPr>
          <w:p w14:paraId="7AB905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b/>
                <w:color w:val="auto"/>
                <w:sz w:val="18"/>
                <w:szCs w:val="18"/>
              </w:rPr>
              <w:t>COM-B: MOTIVATIONS</w:t>
            </w:r>
          </w:p>
        </w:tc>
      </w:tr>
      <w:tr w:rsidR="004829A5" w:rsidRPr="004829A5" w14:paraId="5D9BB411" w14:textId="77777777" w:rsidTr="00053232">
        <w:tc>
          <w:tcPr>
            <w:tcW w:w="1088" w:type="pct"/>
            <w:vMerge w:val="restart"/>
            <w:tcBorders>
              <w:top w:val="single" w:sz="4" w:space="0" w:color="1C3001" w:themeColor="text1"/>
              <w:left w:val="nil"/>
            </w:tcBorders>
            <w:shd w:val="clear" w:color="auto" w:fill="auto"/>
            <w:vAlign w:val="center"/>
          </w:tcPr>
          <w:p w14:paraId="7EBB7D8B"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Health benefits, perceived healthiness</w:t>
            </w:r>
          </w:p>
        </w:tc>
        <w:tc>
          <w:tcPr>
            <w:tcW w:w="792" w:type="pct"/>
            <w:tcBorders>
              <w:top w:val="single" w:sz="4" w:space="0" w:color="1C3001" w:themeColor="text1"/>
              <w:bottom w:val="single" w:sz="4" w:space="0" w:color="1C3001" w:themeColor="text1"/>
            </w:tcBorders>
            <w:shd w:val="clear" w:color="auto" w:fill="auto"/>
            <w:vAlign w:val="center"/>
          </w:tcPr>
          <w:p w14:paraId="79CC28F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284B91A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620518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29" w:name="_heading=h.1v1yuxt" w:colFirst="0" w:colLast="0"/>
            <w:bookmarkEnd w:id="29"/>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50E43395" w14:textId="77F3D53B"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32F3127C" w14:textId="77777777" w:rsidTr="00053232">
        <w:tc>
          <w:tcPr>
            <w:tcW w:w="1088" w:type="pct"/>
            <w:vMerge/>
            <w:tcBorders>
              <w:left w:val="nil"/>
            </w:tcBorders>
            <w:shd w:val="clear" w:color="auto" w:fill="auto"/>
            <w:vAlign w:val="center"/>
          </w:tcPr>
          <w:p w14:paraId="3957E151" w14:textId="77777777" w:rsidR="00412C1D" w:rsidRPr="004829A5" w:rsidRDefault="00412C1D" w:rsidP="00EE39AD">
            <w:pPr>
              <w:spacing w:line="240" w:lineRule="auto"/>
              <w:ind w:left="90" w:firstLine="72"/>
              <w:jc w:val="center"/>
              <w:rPr>
                <w:rFonts w:ascii="Times New Roman" w:eastAsia="Calibri"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B6BC4E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706DC20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3DB8BCB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732D7BCB" w14:textId="4BAB0760"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76121DFD" w14:textId="77777777" w:rsidTr="00053232">
        <w:tc>
          <w:tcPr>
            <w:tcW w:w="1088" w:type="pct"/>
            <w:vMerge/>
            <w:tcBorders>
              <w:left w:val="nil"/>
            </w:tcBorders>
            <w:shd w:val="clear" w:color="auto" w:fill="auto"/>
            <w:vAlign w:val="center"/>
          </w:tcPr>
          <w:p w14:paraId="3218DCB7" w14:textId="77777777" w:rsidR="00412C1D" w:rsidRPr="004829A5" w:rsidRDefault="00412C1D" w:rsidP="00EE39AD">
            <w:pPr>
              <w:spacing w:line="240" w:lineRule="auto"/>
              <w:ind w:left="90" w:firstLine="72"/>
              <w:jc w:val="center"/>
              <w:rPr>
                <w:rFonts w:ascii="Times New Roman" w:eastAsia="Calibri"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ED81E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44210737" w14:textId="1F9CE735"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Graça</w:t>
            </w:r>
            <w:proofErr w:type="spellEnd"/>
            <w:r w:rsidRPr="004829A5">
              <w:rPr>
                <w:rFonts w:ascii="Times New Roman" w:eastAsia="Calibri" w:hAnsi="Times New Roman" w:cs="Times New Roman"/>
                <w:color w:val="auto"/>
                <w:sz w:val="18"/>
                <w:szCs w:val="18"/>
              </w:rPr>
              <w:t xml:space="preserve"> et al., 2019)</w:t>
            </w:r>
          </w:p>
          <w:p w14:paraId="421EA3DE" w14:textId="615E9BCB"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(Onwezen et al., 2021)</w:t>
            </w:r>
          </w:p>
          <w:p w14:paraId="2C81622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p w14:paraId="7A9F3839" w14:textId="04EBED5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(algae-based only; Wang et al., 202</w:t>
            </w:r>
            <w:r w:rsidR="000D604D"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493CDC8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EE58176" w14:textId="058B95C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0" w:name="_heading=h.4f1mdlm" w:colFirst="0" w:colLast="0"/>
            <w:bookmarkEnd w:id="30"/>
            <w:r w:rsidRPr="004829A5">
              <w:rPr>
                <w:rFonts w:ascii="Times New Roman" w:eastAsia="Times New Roman" w:hAnsi="Times New Roman" w:cs="Times New Roman"/>
                <w:color w:val="auto"/>
                <w:sz w:val="18"/>
                <w:szCs w:val="18"/>
              </w:rPr>
              <w:lastRenderedPageBreak/>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05A451DB" w14:textId="56FE0E1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0BE4E4B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67266BF6" w14:textId="6B6F92E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48089A67" w14:textId="326355C6"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(Onwezen et al., 2021)</w:t>
            </w:r>
          </w:p>
          <w:p w14:paraId="0D1839B0" w14:textId="27DE6D11"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(Nguyen et al., 2022)</w:t>
            </w:r>
          </w:p>
          <w:p w14:paraId="7569C75C" w14:textId="1B242F94"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3B3BB68C" w14:textId="77777777" w:rsidTr="00053232">
        <w:tc>
          <w:tcPr>
            <w:tcW w:w="1088" w:type="pct"/>
            <w:vMerge/>
            <w:tcBorders>
              <w:left w:val="nil"/>
            </w:tcBorders>
            <w:shd w:val="clear" w:color="auto" w:fill="auto"/>
            <w:vAlign w:val="center"/>
          </w:tcPr>
          <w:p w14:paraId="30155FA2" w14:textId="77777777" w:rsidR="00412C1D" w:rsidRPr="004829A5" w:rsidRDefault="00412C1D" w:rsidP="00EE39AD">
            <w:pPr>
              <w:spacing w:line="240" w:lineRule="auto"/>
              <w:ind w:left="90" w:firstLine="72"/>
              <w:jc w:val="center"/>
              <w:rPr>
                <w:rFonts w:ascii="Times New Roman" w:eastAsia="Calibri"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F0292E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60CAABF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A331856" w14:textId="1B0ADA6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1" w:name="_heading=h.2u6wntf" w:colFirst="0" w:colLast="0"/>
            <w:bookmarkEnd w:id="31"/>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753988A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042735E" w14:textId="77777777" w:rsidTr="00053232">
        <w:trPr>
          <w:trHeight w:val="319"/>
        </w:trPr>
        <w:tc>
          <w:tcPr>
            <w:tcW w:w="1088" w:type="pct"/>
            <w:vMerge/>
            <w:tcBorders>
              <w:left w:val="nil"/>
            </w:tcBorders>
            <w:shd w:val="clear" w:color="auto" w:fill="auto"/>
            <w:vAlign w:val="center"/>
          </w:tcPr>
          <w:p w14:paraId="7CD6F0E6"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CE491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w:t>
            </w:r>
          </w:p>
        </w:tc>
        <w:tc>
          <w:tcPr>
            <w:tcW w:w="1040" w:type="pct"/>
            <w:tcBorders>
              <w:top w:val="single" w:sz="4" w:space="0" w:color="1C3001" w:themeColor="text1"/>
              <w:bottom w:val="single" w:sz="4" w:space="0" w:color="1C3001" w:themeColor="text1"/>
            </w:tcBorders>
            <w:shd w:val="clear" w:color="auto" w:fill="auto"/>
            <w:vAlign w:val="center"/>
          </w:tcPr>
          <w:p w14:paraId="47BA55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52630BF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3CCF1AC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Calibri" w:hAnsi="Times New Roman" w:cs="Times New Roman"/>
                <w:color w:val="auto"/>
                <w:sz w:val="18"/>
                <w:szCs w:val="18"/>
              </w:rPr>
              <w:t xml:space="preserve">+ </w:t>
            </w:r>
            <w:r w:rsidRPr="004829A5">
              <w:rPr>
                <w:rFonts w:ascii="Times New Roman" w:eastAsia="Times New Roman" w:hAnsi="Times New Roman" w:cs="Times New Roman"/>
                <w:color w:val="auto"/>
                <w:sz w:val="18"/>
                <w:szCs w:val="18"/>
              </w:rPr>
              <w:t xml:space="preserve">(mushroom-based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tc>
      </w:tr>
      <w:tr w:rsidR="004829A5" w:rsidRPr="004829A5" w14:paraId="5F309BC1" w14:textId="77777777" w:rsidTr="00053232">
        <w:tc>
          <w:tcPr>
            <w:tcW w:w="1088" w:type="pct"/>
            <w:vMerge/>
            <w:tcBorders>
              <w:left w:val="nil"/>
              <w:bottom w:val="single" w:sz="4" w:space="0" w:color="1C3001" w:themeColor="text1"/>
            </w:tcBorders>
            <w:shd w:val="clear" w:color="auto" w:fill="auto"/>
            <w:vAlign w:val="center"/>
          </w:tcPr>
          <w:p w14:paraId="4050D6C2"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84BA2D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w:t>
            </w:r>
          </w:p>
        </w:tc>
        <w:tc>
          <w:tcPr>
            <w:tcW w:w="1040" w:type="pct"/>
            <w:tcBorders>
              <w:top w:val="single" w:sz="4" w:space="0" w:color="1C3001" w:themeColor="text1"/>
              <w:bottom w:val="single" w:sz="4" w:space="0" w:color="1C3001" w:themeColor="text1"/>
            </w:tcBorders>
            <w:shd w:val="clear" w:color="auto" w:fill="auto"/>
            <w:vAlign w:val="center"/>
          </w:tcPr>
          <w:p w14:paraId="08B24409" w14:textId="0A686D5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39E8B68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(Weinrich, 2019)</w:t>
            </w:r>
          </w:p>
        </w:tc>
        <w:tc>
          <w:tcPr>
            <w:tcW w:w="1040" w:type="pct"/>
            <w:tcBorders>
              <w:top w:val="single" w:sz="4" w:space="0" w:color="1C3001" w:themeColor="text1"/>
              <w:bottom w:val="single" w:sz="4" w:space="0" w:color="1C3001" w:themeColor="text1"/>
            </w:tcBorders>
            <w:shd w:val="clear" w:color="auto" w:fill="auto"/>
            <w:vAlign w:val="center"/>
          </w:tcPr>
          <w:p w14:paraId="2FB042A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2" w:name="_heading=h.19c6y18" w:colFirst="0" w:colLast="0"/>
            <w:bookmarkEnd w:id="32"/>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17F9A4B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72CA32C"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6D41972"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Positive expected outcomes (well-being related)</w:t>
            </w:r>
          </w:p>
        </w:tc>
        <w:tc>
          <w:tcPr>
            <w:tcW w:w="792" w:type="pct"/>
            <w:tcBorders>
              <w:top w:val="single" w:sz="4" w:space="0" w:color="1C3001" w:themeColor="text1"/>
              <w:bottom w:val="single" w:sz="4" w:space="0" w:color="1C3001" w:themeColor="text1"/>
            </w:tcBorders>
            <w:shd w:val="clear" w:color="auto" w:fill="auto"/>
            <w:vAlign w:val="center"/>
          </w:tcPr>
          <w:p w14:paraId="71E11E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645DF5E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03AF109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E1CEFE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6B9EE5B" w14:textId="77777777" w:rsidTr="00053232">
        <w:tc>
          <w:tcPr>
            <w:tcW w:w="1088" w:type="pct"/>
            <w:vMerge w:val="restart"/>
            <w:tcBorders>
              <w:top w:val="single" w:sz="4" w:space="0" w:color="1C3001" w:themeColor="text1"/>
              <w:left w:val="nil"/>
            </w:tcBorders>
            <w:shd w:val="clear" w:color="auto" w:fill="auto"/>
            <w:vAlign w:val="center"/>
          </w:tcPr>
          <w:p w14:paraId="367CAD9F"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High nutritional value</w:t>
            </w:r>
          </w:p>
        </w:tc>
        <w:tc>
          <w:tcPr>
            <w:tcW w:w="792" w:type="pct"/>
            <w:tcBorders>
              <w:top w:val="single" w:sz="4" w:space="0" w:color="1C3001" w:themeColor="text1"/>
              <w:bottom w:val="single" w:sz="4" w:space="0" w:color="1C3001" w:themeColor="text1"/>
            </w:tcBorders>
            <w:shd w:val="clear" w:color="auto" w:fill="auto"/>
            <w:vAlign w:val="center"/>
          </w:tcPr>
          <w:p w14:paraId="681D700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4C605A8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277E6CB3" w14:textId="6338767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381CDF9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6E3391D" w14:textId="77777777" w:rsidTr="00053232">
        <w:tc>
          <w:tcPr>
            <w:tcW w:w="1088" w:type="pct"/>
            <w:vMerge/>
            <w:tcBorders>
              <w:left w:val="nil"/>
              <w:bottom w:val="single" w:sz="4" w:space="0" w:color="1C3001" w:themeColor="text1"/>
            </w:tcBorders>
            <w:shd w:val="clear" w:color="auto" w:fill="auto"/>
          </w:tcPr>
          <w:p w14:paraId="65F9FEBC"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2AE5EC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36776C2F" w14:textId="69FC4CF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3" w:name="_heading=h.3tbugp1" w:colFirst="0" w:colLast="0"/>
            <w:bookmarkEnd w:id="33"/>
            <w:r w:rsidRPr="004829A5">
              <w:rPr>
                <w:rFonts w:ascii="Times New Roman" w:eastAsia="Times New Roman" w:hAnsi="Times New Roman" w:cs="Times New Roman"/>
                <w:color w:val="auto"/>
                <w:sz w:val="18"/>
                <w:szCs w:val="18"/>
              </w:rPr>
              <w:t>+ (algae-based only; Wang et al., 202</w:t>
            </w:r>
            <w:r w:rsidR="000D604D"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tcBorders>
            <w:shd w:val="clear" w:color="auto" w:fill="auto"/>
            <w:vAlign w:val="center"/>
          </w:tcPr>
          <w:p w14:paraId="1E7E2A22" w14:textId="0F2161F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4" w:name="_heading=h.28h4qwu" w:colFirst="0" w:colLast="0"/>
            <w:bookmarkEnd w:id="34"/>
            <w:r w:rsidRPr="004829A5">
              <w:rPr>
                <w:rFonts w:ascii="Times New Roman" w:eastAsia="Times New Roman" w:hAnsi="Times New Roman" w:cs="Times New Roman"/>
                <w:color w:val="auto"/>
                <w:sz w:val="18"/>
                <w:szCs w:val="18"/>
              </w:rPr>
              <w:t>0 (Wang et al., 202</w:t>
            </w:r>
            <w:r w:rsidR="000D604D"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692312C5" w14:textId="0826238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0194072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1CC30DB" w14:textId="77777777" w:rsidTr="00053232">
        <w:tc>
          <w:tcPr>
            <w:tcW w:w="1088" w:type="pct"/>
            <w:vMerge w:val="restart"/>
            <w:tcBorders>
              <w:top w:val="single" w:sz="4" w:space="0" w:color="1C3001" w:themeColor="text1"/>
              <w:left w:val="nil"/>
            </w:tcBorders>
            <w:shd w:val="clear" w:color="auto" w:fill="auto"/>
            <w:vAlign w:val="center"/>
          </w:tcPr>
          <w:p w14:paraId="7612CE1F" w14:textId="3A2DB986"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health risks</w:t>
            </w:r>
          </w:p>
        </w:tc>
        <w:tc>
          <w:tcPr>
            <w:tcW w:w="792" w:type="pct"/>
            <w:tcBorders>
              <w:top w:val="single" w:sz="4" w:space="0" w:color="1C3001" w:themeColor="text1"/>
              <w:bottom w:val="single" w:sz="4" w:space="0" w:color="1C3001" w:themeColor="text1"/>
            </w:tcBorders>
            <w:shd w:val="clear" w:color="auto" w:fill="auto"/>
            <w:vAlign w:val="center"/>
          </w:tcPr>
          <w:p w14:paraId="4A7A76A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 perceived barrier for intake</w:t>
            </w:r>
          </w:p>
        </w:tc>
        <w:tc>
          <w:tcPr>
            <w:tcW w:w="1040" w:type="pct"/>
            <w:tcBorders>
              <w:top w:val="single" w:sz="4" w:space="0" w:color="1C3001" w:themeColor="text1"/>
              <w:bottom w:val="single" w:sz="4" w:space="0" w:color="1C3001" w:themeColor="text1"/>
            </w:tcBorders>
            <w:shd w:val="clear" w:color="auto" w:fill="auto"/>
            <w:vAlign w:val="center"/>
          </w:tcPr>
          <w:p w14:paraId="5725EE5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535FA2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5" w:name="_heading=h.nmf14n" w:colFirst="0" w:colLast="0"/>
            <w:bookmarkEnd w:id="35"/>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62CB06A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A5BD8F8" w14:textId="77777777" w:rsidTr="00053232">
        <w:tc>
          <w:tcPr>
            <w:tcW w:w="1088" w:type="pct"/>
            <w:vMerge/>
            <w:tcBorders>
              <w:left w:val="nil"/>
            </w:tcBorders>
            <w:shd w:val="clear" w:color="auto" w:fill="auto"/>
            <w:vAlign w:val="center"/>
          </w:tcPr>
          <w:p w14:paraId="317B0DC3"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8CBC14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1BC215D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FCD6FAF" w14:textId="07332E7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Batat</w:t>
            </w:r>
            <w:proofErr w:type="spellEnd"/>
            <w:r w:rsidRPr="004829A5">
              <w:rPr>
                <w:rFonts w:ascii="Times New Roman" w:eastAsia="Times New Roman" w:hAnsi="Times New Roman" w:cs="Times New Roman"/>
                <w:color w:val="auto"/>
                <w:sz w:val="18"/>
                <w:szCs w:val="18"/>
              </w:rPr>
              <w:t xml:space="preserve"> &amp; Peter, 2020)</w:t>
            </w:r>
          </w:p>
          <w:p w14:paraId="074299D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113A98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EB23060" w14:textId="77777777" w:rsidTr="00053232">
        <w:tc>
          <w:tcPr>
            <w:tcW w:w="1088" w:type="pct"/>
            <w:vMerge/>
            <w:tcBorders>
              <w:left w:val="nil"/>
            </w:tcBorders>
            <w:shd w:val="clear" w:color="auto" w:fill="auto"/>
            <w:vAlign w:val="center"/>
          </w:tcPr>
          <w:p w14:paraId="009F60AA"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tcBorders>
            <w:shd w:val="clear" w:color="auto" w:fill="auto"/>
            <w:vAlign w:val="center"/>
          </w:tcPr>
          <w:p w14:paraId="7D4C009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tcBorders>
            <w:shd w:val="clear" w:color="auto" w:fill="auto"/>
            <w:vAlign w:val="center"/>
          </w:tcPr>
          <w:p w14:paraId="67BEBE5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1B9861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6" w:name="_heading=h.37m2jsg" w:colFirst="0" w:colLast="0"/>
            <w:bookmarkEnd w:id="36"/>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right w:val="nil"/>
            </w:tcBorders>
            <w:shd w:val="clear" w:color="auto" w:fill="auto"/>
            <w:vAlign w:val="center"/>
          </w:tcPr>
          <w:p w14:paraId="3FD0F77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(Giordano et al., 2017)</w:t>
            </w:r>
          </w:p>
        </w:tc>
      </w:tr>
      <w:tr w:rsidR="004829A5" w:rsidRPr="004829A5" w14:paraId="105E0D13" w14:textId="77777777" w:rsidTr="00053232">
        <w:tc>
          <w:tcPr>
            <w:tcW w:w="1088" w:type="pct"/>
            <w:vMerge/>
            <w:tcBorders>
              <w:left w:val="nil"/>
            </w:tcBorders>
            <w:shd w:val="clear" w:color="auto" w:fill="auto"/>
            <w:vAlign w:val="center"/>
          </w:tcPr>
          <w:p w14:paraId="24F6A9CB"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shd w:val="clear" w:color="auto" w:fill="auto"/>
            <w:vAlign w:val="center"/>
          </w:tcPr>
          <w:p w14:paraId="25DC9F3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shd w:val="clear" w:color="auto" w:fill="auto"/>
            <w:vAlign w:val="center"/>
          </w:tcPr>
          <w:p w14:paraId="1BD421D3" w14:textId="518A241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(He et al., 2020)</w:t>
            </w:r>
          </w:p>
        </w:tc>
        <w:tc>
          <w:tcPr>
            <w:tcW w:w="1040" w:type="pct"/>
            <w:shd w:val="clear" w:color="auto" w:fill="auto"/>
            <w:vAlign w:val="center"/>
          </w:tcPr>
          <w:p w14:paraId="34225B4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7" w:name="_heading=h.1mrcu09" w:colFirst="0" w:colLast="0"/>
            <w:bookmarkEnd w:id="37"/>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right w:val="nil"/>
            </w:tcBorders>
            <w:shd w:val="clear" w:color="auto" w:fill="auto"/>
            <w:vAlign w:val="center"/>
          </w:tcPr>
          <w:p w14:paraId="251421B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515C7EF"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03285019"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unhealthiness</w:t>
            </w:r>
          </w:p>
        </w:tc>
        <w:tc>
          <w:tcPr>
            <w:tcW w:w="792" w:type="pct"/>
            <w:tcBorders>
              <w:top w:val="single" w:sz="4" w:space="0" w:color="1C3001" w:themeColor="text1"/>
              <w:bottom w:val="single" w:sz="4" w:space="0" w:color="1C3001" w:themeColor="text1"/>
            </w:tcBorders>
            <w:shd w:val="clear" w:color="auto" w:fill="auto"/>
            <w:vAlign w:val="center"/>
          </w:tcPr>
          <w:p w14:paraId="3C95796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4D5FC96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Baiano</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tcBorders>
            <w:shd w:val="clear" w:color="auto" w:fill="auto"/>
            <w:vAlign w:val="center"/>
          </w:tcPr>
          <w:p w14:paraId="6EBE427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409BFF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2CF7DD3"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3FA402ED"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Beliefs about meat healthiness</w:t>
            </w:r>
          </w:p>
        </w:tc>
        <w:tc>
          <w:tcPr>
            <w:tcW w:w="792" w:type="pct"/>
            <w:tcBorders>
              <w:top w:val="single" w:sz="4" w:space="0" w:color="1C3001" w:themeColor="text1"/>
              <w:bottom w:val="single" w:sz="4" w:space="0" w:color="1C3001" w:themeColor="text1"/>
            </w:tcBorders>
            <w:shd w:val="clear" w:color="auto" w:fill="auto"/>
            <w:vAlign w:val="center"/>
          </w:tcPr>
          <w:p w14:paraId="1211158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3474280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72F4BC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C7C2C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w:t>
            </w:r>
            <w:r w:rsidRPr="004829A5">
              <w:rPr>
                <w:rFonts w:ascii="Times New Roman" w:eastAsia="Calibri" w:hAnsi="Times New Roman" w:cs="Times New Roman"/>
                <w:color w:val="auto"/>
                <w:sz w:val="18"/>
                <w:szCs w:val="18"/>
              </w:rPr>
              <w:t xml:space="preserve"> (Nguyen et al., 2022)</w:t>
            </w:r>
          </w:p>
        </w:tc>
      </w:tr>
      <w:tr w:rsidR="004829A5" w:rsidRPr="004829A5" w14:paraId="564BD2DD" w14:textId="77777777" w:rsidTr="00053232">
        <w:tc>
          <w:tcPr>
            <w:tcW w:w="1088" w:type="pct"/>
            <w:vMerge w:val="restart"/>
            <w:tcBorders>
              <w:top w:val="single" w:sz="4" w:space="0" w:color="1C3001" w:themeColor="text1"/>
              <w:left w:val="nil"/>
            </w:tcBorders>
            <w:shd w:val="clear" w:color="auto" w:fill="auto"/>
            <w:vAlign w:val="center"/>
          </w:tcPr>
          <w:p w14:paraId="4D1B0130" w14:textId="3B980556"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Perceived pro-environmental beliefs and sustainability motives</w:t>
            </w:r>
          </w:p>
        </w:tc>
        <w:tc>
          <w:tcPr>
            <w:tcW w:w="792" w:type="pct"/>
            <w:tcBorders>
              <w:top w:val="single" w:sz="4" w:space="0" w:color="1C3001" w:themeColor="text1"/>
              <w:bottom w:val="single" w:sz="4" w:space="0" w:color="1C3001" w:themeColor="text1"/>
            </w:tcBorders>
            <w:shd w:val="clear" w:color="auto" w:fill="auto"/>
            <w:vAlign w:val="center"/>
          </w:tcPr>
          <w:p w14:paraId="200959BE" w14:textId="3FAB7C0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w:t>
            </w:r>
            <w:r w:rsidR="0076065F" w:rsidRPr="004829A5">
              <w:rPr>
                <w:rFonts w:ascii="Times New Roman" w:eastAsia="Times New Roman" w:hAnsi="Times New Roman" w:cs="Times New Roman"/>
                <w:color w:val="auto"/>
                <w:sz w:val="18"/>
                <w:szCs w:val="18"/>
              </w:rPr>
              <w:t>n</w:t>
            </w:r>
            <w:r w:rsidRPr="004829A5">
              <w:rPr>
                <w:rFonts w:ascii="Times New Roman" w:eastAsia="Times New Roman" w:hAnsi="Times New Roman" w:cs="Times New Roman"/>
                <w:color w:val="auto"/>
                <w:sz w:val="18"/>
                <w:szCs w:val="18"/>
              </w:rPr>
              <w:t xml:space="preserve"> to eat</w:t>
            </w:r>
          </w:p>
        </w:tc>
        <w:tc>
          <w:tcPr>
            <w:tcW w:w="1040" w:type="pct"/>
            <w:tcBorders>
              <w:top w:val="single" w:sz="4" w:space="0" w:color="1C3001" w:themeColor="text1"/>
              <w:bottom w:val="single" w:sz="4" w:space="0" w:color="1C3001" w:themeColor="text1"/>
            </w:tcBorders>
            <w:shd w:val="clear" w:color="auto" w:fill="auto"/>
            <w:vAlign w:val="center"/>
          </w:tcPr>
          <w:p w14:paraId="21C4968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0DD098D6" w14:textId="521192CD"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1683F5A7" w14:textId="0739A52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(Mina et al., 2023)</w:t>
            </w:r>
          </w:p>
          <w:p w14:paraId="5F73CC13" w14:textId="4981AB7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7868EEE2" w14:textId="0E9C26C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(Weinrich, 2019)</w:t>
            </w:r>
          </w:p>
          <w:p w14:paraId="6CA14936" w14:textId="1788C11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0282993A" w14:textId="7464618D"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w:t>
            </w:r>
            <w:r w:rsidRPr="004829A5">
              <w:rPr>
                <w:rFonts w:ascii="Times New Roman" w:eastAsia="Times New Roman" w:hAnsi="Times New Roman" w:cs="Times New Roman"/>
                <w:color w:val="auto"/>
                <w:sz w:val="18"/>
                <w:szCs w:val="18"/>
              </w:rPr>
              <w:t xml:space="preserve">(mushroom-based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673CFC3E" w14:textId="49FF420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(Nguyen et al., 2022)</w:t>
            </w:r>
          </w:p>
          <w:p w14:paraId="29A5BCE1" w14:textId="55B88755"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67C86E8A" w14:textId="77777777" w:rsidTr="00053232">
        <w:tc>
          <w:tcPr>
            <w:tcW w:w="1088" w:type="pct"/>
            <w:vMerge/>
            <w:tcBorders>
              <w:left w:val="nil"/>
            </w:tcBorders>
            <w:shd w:val="clear" w:color="auto" w:fill="auto"/>
            <w:vAlign w:val="center"/>
          </w:tcPr>
          <w:p w14:paraId="35E53AEF" w14:textId="77777777" w:rsidR="00412C1D" w:rsidRPr="004829A5" w:rsidRDefault="00412C1D" w:rsidP="00EE39AD">
            <w:pPr>
              <w:spacing w:line="240" w:lineRule="auto"/>
              <w:ind w:left="90" w:firstLine="72"/>
              <w:jc w:val="center"/>
              <w:rPr>
                <w:rFonts w:ascii="Times New Roman" w:eastAsia="Calibri"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612A3B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041F628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431272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35C96766" w14:textId="4A2064E5"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w:t>
            </w:r>
            <w:r w:rsidRPr="004829A5">
              <w:rPr>
                <w:rFonts w:ascii="Times New Roman" w:eastAsia="Times New Roman" w:hAnsi="Times New Roman" w:cs="Times New Roman"/>
                <w:color w:val="auto"/>
                <w:sz w:val="18"/>
                <w:szCs w:val="18"/>
              </w:rPr>
              <w:t xml:space="preserve">(mushroom-based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0A90959D" w14:textId="4F1778D9"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02F0E30E" w14:textId="77777777" w:rsidTr="00053232">
        <w:tc>
          <w:tcPr>
            <w:tcW w:w="1088" w:type="pct"/>
            <w:vMerge/>
            <w:tcBorders>
              <w:left w:val="nil"/>
            </w:tcBorders>
            <w:shd w:val="clear" w:color="auto" w:fill="auto"/>
            <w:vAlign w:val="center"/>
          </w:tcPr>
          <w:p w14:paraId="0F45A16B" w14:textId="77777777" w:rsidR="00412C1D" w:rsidRPr="004829A5" w:rsidRDefault="00412C1D" w:rsidP="00EE39AD">
            <w:pPr>
              <w:spacing w:line="240" w:lineRule="auto"/>
              <w:ind w:left="90" w:firstLine="72"/>
              <w:jc w:val="center"/>
              <w:rPr>
                <w:rFonts w:ascii="Times New Roman" w:eastAsia="Calibri"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D4E2DF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w:t>
            </w:r>
          </w:p>
        </w:tc>
        <w:tc>
          <w:tcPr>
            <w:tcW w:w="1040" w:type="pct"/>
            <w:tcBorders>
              <w:top w:val="single" w:sz="4" w:space="0" w:color="1C3001" w:themeColor="text1"/>
              <w:bottom w:val="single" w:sz="4" w:space="0" w:color="1C3001" w:themeColor="text1"/>
            </w:tcBorders>
            <w:shd w:val="clear" w:color="auto" w:fill="auto"/>
            <w:vAlign w:val="center"/>
          </w:tcPr>
          <w:p w14:paraId="3B45F0A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52E698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6093034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2816704" w14:textId="77777777" w:rsidTr="00053232">
        <w:tc>
          <w:tcPr>
            <w:tcW w:w="1088" w:type="pct"/>
            <w:vMerge/>
            <w:tcBorders>
              <w:left w:val="nil"/>
            </w:tcBorders>
            <w:shd w:val="clear" w:color="auto" w:fill="auto"/>
            <w:vAlign w:val="center"/>
          </w:tcPr>
          <w:p w14:paraId="6E434F06"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73B893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 of food</w:t>
            </w:r>
          </w:p>
        </w:tc>
        <w:tc>
          <w:tcPr>
            <w:tcW w:w="1040" w:type="pct"/>
            <w:tcBorders>
              <w:top w:val="single" w:sz="4" w:space="0" w:color="1C3001" w:themeColor="text1"/>
              <w:bottom w:val="single" w:sz="4" w:space="0" w:color="1C3001" w:themeColor="text1"/>
            </w:tcBorders>
            <w:shd w:val="clear" w:color="auto" w:fill="auto"/>
            <w:vAlign w:val="center"/>
          </w:tcPr>
          <w:p w14:paraId="320B493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760474BB" w14:textId="34CF67D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23FF1B27" w14:textId="13CF5E6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0CC16C55" w14:textId="1564565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(Mancini et al., 2019)</w:t>
            </w:r>
          </w:p>
          <w:p w14:paraId="73659F17" w14:textId="45518D7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(Mina et al., 2023)</w:t>
            </w:r>
          </w:p>
          <w:p w14:paraId="1C9527A0" w14:textId="64ADE99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211DD8C1" w14:textId="7EE76FB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11111D5D" w14:textId="0FB5B73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58A02391" w14:textId="158C1A5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662220D2" w14:textId="77777777" w:rsidTr="00053232">
        <w:tc>
          <w:tcPr>
            <w:tcW w:w="1088" w:type="pct"/>
            <w:vMerge/>
            <w:tcBorders>
              <w:left w:val="nil"/>
            </w:tcBorders>
            <w:shd w:val="clear" w:color="auto" w:fill="auto"/>
            <w:vAlign w:val="center"/>
          </w:tcPr>
          <w:p w14:paraId="0959C92B"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487196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5DE5CF9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459D1E2" w14:textId="49429D0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14D5B8E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DAE1C0F" w14:textId="77777777" w:rsidTr="00053232">
        <w:tc>
          <w:tcPr>
            <w:tcW w:w="1088" w:type="pct"/>
            <w:vMerge/>
            <w:tcBorders>
              <w:left w:val="nil"/>
            </w:tcBorders>
            <w:shd w:val="clear" w:color="auto" w:fill="auto"/>
            <w:vAlign w:val="center"/>
          </w:tcPr>
          <w:p w14:paraId="46520203"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324123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Higher intake</w:t>
            </w:r>
          </w:p>
        </w:tc>
        <w:tc>
          <w:tcPr>
            <w:tcW w:w="1040" w:type="pct"/>
            <w:tcBorders>
              <w:top w:val="single" w:sz="4" w:space="0" w:color="1C3001" w:themeColor="text1"/>
              <w:bottom w:val="single" w:sz="4" w:space="0" w:color="1C3001" w:themeColor="text1"/>
            </w:tcBorders>
            <w:shd w:val="clear" w:color="auto" w:fill="auto"/>
            <w:vAlign w:val="center"/>
          </w:tcPr>
          <w:p w14:paraId="29DCB69B" w14:textId="1B8E426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Eckl</w:t>
            </w:r>
            <w:proofErr w:type="spellEnd"/>
            <w:r w:rsidRPr="004829A5">
              <w:rPr>
                <w:rFonts w:ascii="Times New Roman" w:eastAsia="Calibri" w:hAnsi="Times New Roman" w:cs="Times New Roman"/>
                <w:color w:val="auto"/>
                <w:sz w:val="18"/>
                <w:szCs w:val="18"/>
              </w:rPr>
              <w:t xml:space="preserve"> et al., 2021</w:t>
            </w:r>
            <w:r w:rsidRPr="004829A5">
              <w:rPr>
                <w:rFonts w:ascii="Times New Roman" w:eastAsia="Times New Roman" w:hAnsi="Times New Roman" w:cs="Times New Roman"/>
                <w:color w:val="auto"/>
                <w:sz w:val="18"/>
                <w:szCs w:val="18"/>
              </w:rPr>
              <w:t>)</w:t>
            </w:r>
          </w:p>
          <w:p w14:paraId="1356293C" w14:textId="3B951EE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6B789CDD" w14:textId="62CEC54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0D26C1B9" w14:textId="3173145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22E29E5D" w14:textId="26DFA4B2"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Eckl</w:t>
            </w:r>
            <w:proofErr w:type="spellEnd"/>
            <w:r w:rsidRPr="004829A5">
              <w:rPr>
                <w:rFonts w:ascii="Times New Roman" w:eastAsia="Calibri" w:hAnsi="Times New Roman" w:cs="Times New Roman"/>
                <w:color w:val="auto"/>
                <w:sz w:val="18"/>
                <w:szCs w:val="18"/>
              </w:rPr>
              <w:t xml:space="preserve"> et al., 2021)</w:t>
            </w:r>
          </w:p>
          <w:p w14:paraId="6AE22C8D" w14:textId="6CBE13C2"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(Nguyen et al., 2022)</w:t>
            </w:r>
          </w:p>
          <w:p w14:paraId="01D4041A" w14:textId="56369BD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Calibri" w:hAnsi="Times New Roman" w:cs="Times New Roman"/>
                <w:color w:val="auto"/>
                <w:sz w:val="18"/>
                <w:szCs w:val="18"/>
              </w:rPr>
              <w:t xml:space="preserve">+ (Siddiqui, </w:t>
            </w:r>
            <w:proofErr w:type="spellStart"/>
            <w:r w:rsidRPr="004829A5">
              <w:rPr>
                <w:rFonts w:ascii="Times New Roman" w:eastAsia="Calibri" w:hAnsi="Times New Roman" w:cs="Times New Roman"/>
                <w:color w:val="auto"/>
                <w:sz w:val="18"/>
                <w:szCs w:val="18"/>
              </w:rPr>
              <w:t>Bahmid</w:t>
            </w:r>
            <w:proofErr w:type="spellEnd"/>
            <w:r w:rsidRPr="004829A5">
              <w:rPr>
                <w:rFonts w:ascii="Times New Roman" w:eastAsia="Calibri" w:hAnsi="Times New Roman" w:cs="Times New Roman"/>
                <w:color w:val="auto"/>
                <w:sz w:val="18"/>
                <w:szCs w:val="18"/>
              </w:rPr>
              <w:t xml:space="preserve"> et al., 202</w:t>
            </w:r>
            <w:r w:rsidR="006A4201" w:rsidRPr="004829A5">
              <w:rPr>
                <w:rFonts w:ascii="Times New Roman" w:eastAsia="Calibri" w:hAnsi="Times New Roman" w:cs="Times New Roman"/>
                <w:color w:val="auto"/>
                <w:sz w:val="18"/>
                <w:szCs w:val="18"/>
              </w:rPr>
              <w:t>3</w:t>
            </w:r>
            <w:r w:rsidRPr="004829A5">
              <w:rPr>
                <w:rFonts w:ascii="Times New Roman" w:eastAsia="Calibri" w:hAnsi="Times New Roman" w:cs="Times New Roman"/>
                <w:color w:val="auto"/>
                <w:sz w:val="18"/>
                <w:szCs w:val="18"/>
              </w:rPr>
              <w:t>)</w:t>
            </w:r>
          </w:p>
        </w:tc>
      </w:tr>
      <w:tr w:rsidR="004829A5" w:rsidRPr="004829A5" w14:paraId="742FF0C6" w14:textId="77777777" w:rsidTr="00053232">
        <w:tc>
          <w:tcPr>
            <w:tcW w:w="1088" w:type="pct"/>
            <w:vMerge/>
            <w:tcBorders>
              <w:left w:val="nil"/>
            </w:tcBorders>
            <w:shd w:val="clear" w:color="auto" w:fill="auto"/>
            <w:vAlign w:val="center"/>
          </w:tcPr>
          <w:p w14:paraId="5B773149"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6AA931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Actual purchase</w:t>
            </w:r>
          </w:p>
        </w:tc>
        <w:tc>
          <w:tcPr>
            <w:tcW w:w="1040" w:type="pct"/>
            <w:tcBorders>
              <w:top w:val="single" w:sz="4" w:space="0" w:color="1C3001" w:themeColor="text1"/>
              <w:bottom w:val="single" w:sz="4" w:space="0" w:color="1C3001" w:themeColor="text1"/>
            </w:tcBorders>
            <w:shd w:val="clear" w:color="auto" w:fill="auto"/>
            <w:vAlign w:val="center"/>
          </w:tcPr>
          <w:p w14:paraId="58D99D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2F7ABC5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29834D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6AC73AE" w14:textId="77777777" w:rsidTr="00053232">
        <w:tc>
          <w:tcPr>
            <w:tcW w:w="1088" w:type="pct"/>
            <w:vMerge/>
            <w:tcBorders>
              <w:left w:val="nil"/>
              <w:bottom w:val="single" w:sz="4" w:space="0" w:color="1C3001" w:themeColor="text1"/>
            </w:tcBorders>
            <w:shd w:val="clear" w:color="auto" w:fill="auto"/>
            <w:vAlign w:val="center"/>
          </w:tcPr>
          <w:p w14:paraId="6E34BF82"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8A3C77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regular purchase</w:t>
            </w:r>
          </w:p>
        </w:tc>
        <w:tc>
          <w:tcPr>
            <w:tcW w:w="1040" w:type="pct"/>
            <w:tcBorders>
              <w:top w:val="single" w:sz="4" w:space="0" w:color="1C3001" w:themeColor="text1"/>
              <w:bottom w:val="single" w:sz="4" w:space="0" w:color="1C3001" w:themeColor="text1"/>
            </w:tcBorders>
            <w:shd w:val="clear" w:color="auto" w:fill="auto"/>
            <w:vAlign w:val="center"/>
          </w:tcPr>
          <w:p w14:paraId="3E295B4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39FB4A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30E1EF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Calibri" w:hAnsi="Times New Roman" w:cs="Times New Roman"/>
                <w:color w:val="auto"/>
                <w:sz w:val="18"/>
                <w:szCs w:val="18"/>
              </w:rPr>
              <w:t>+ (Weinrich, 2019)</w:t>
            </w:r>
          </w:p>
        </w:tc>
      </w:tr>
      <w:tr w:rsidR="004829A5" w:rsidRPr="004829A5" w14:paraId="4E7FF182"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00DED70C"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lastRenderedPageBreak/>
              <w:t>Climate change skepticism</w:t>
            </w:r>
          </w:p>
        </w:tc>
        <w:tc>
          <w:tcPr>
            <w:tcW w:w="792" w:type="pct"/>
            <w:tcBorders>
              <w:top w:val="single" w:sz="4" w:space="0" w:color="1C3001" w:themeColor="text1"/>
              <w:bottom w:val="single" w:sz="4" w:space="0" w:color="1C3001" w:themeColor="text1"/>
            </w:tcBorders>
            <w:shd w:val="clear" w:color="auto" w:fill="auto"/>
            <w:vAlign w:val="center"/>
          </w:tcPr>
          <w:p w14:paraId="7FEC8BF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30C3AF0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5E1E421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9DA15B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AE35469" w14:textId="77777777" w:rsidTr="00053232">
        <w:tc>
          <w:tcPr>
            <w:tcW w:w="1088" w:type="pct"/>
            <w:vMerge w:val="restart"/>
            <w:tcBorders>
              <w:top w:val="single" w:sz="4" w:space="0" w:color="1C3001" w:themeColor="text1"/>
              <w:left w:val="nil"/>
            </w:tcBorders>
            <w:shd w:val="clear" w:color="auto" w:fill="auto"/>
            <w:vAlign w:val="center"/>
          </w:tcPr>
          <w:p w14:paraId="1D60F4E0"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Concerns about animal suffering/empathy towards animals</w:t>
            </w:r>
          </w:p>
        </w:tc>
        <w:tc>
          <w:tcPr>
            <w:tcW w:w="792" w:type="pct"/>
            <w:tcBorders>
              <w:top w:val="single" w:sz="4" w:space="0" w:color="1C3001" w:themeColor="text1"/>
              <w:bottom w:val="single" w:sz="4" w:space="0" w:color="1C3001" w:themeColor="text1"/>
            </w:tcBorders>
            <w:shd w:val="clear" w:color="auto" w:fill="auto"/>
            <w:vAlign w:val="center"/>
          </w:tcPr>
          <w:p w14:paraId="2B9EF76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0C856BC8" w14:textId="2501CFD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r w:rsidR="00FD6222" w:rsidRPr="004829A5">
              <w:rPr>
                <w:rFonts w:ascii="Times New Roman" w:eastAsia="Times New Roman" w:hAnsi="Times New Roman" w:cs="Times New Roman"/>
                <w:color w:val="auto"/>
                <w:sz w:val="18"/>
                <w:szCs w:val="18"/>
              </w:rPr>
              <w:t xml:space="preserve">; </w:t>
            </w:r>
            <w:r w:rsidR="00FD6222" w:rsidRPr="004829A5">
              <w:rPr>
                <w:rFonts w:ascii="Times New Roman" w:eastAsia="Calibri" w:hAnsi="Times New Roman" w:cs="Times New Roman"/>
                <w:color w:val="auto"/>
                <w:sz w:val="18"/>
                <w:szCs w:val="18"/>
              </w:rPr>
              <w:t xml:space="preserve">+ (Siddiqui, </w:t>
            </w:r>
            <w:proofErr w:type="spellStart"/>
            <w:r w:rsidR="00FD6222" w:rsidRPr="004829A5">
              <w:rPr>
                <w:rFonts w:ascii="Times New Roman" w:eastAsia="Calibri" w:hAnsi="Times New Roman" w:cs="Times New Roman"/>
                <w:color w:val="auto"/>
                <w:sz w:val="18"/>
                <w:szCs w:val="18"/>
              </w:rPr>
              <w:t>Bahmid</w:t>
            </w:r>
            <w:proofErr w:type="spellEnd"/>
            <w:r w:rsidR="00FD6222" w:rsidRPr="004829A5">
              <w:rPr>
                <w:rFonts w:ascii="Times New Roman" w:eastAsia="Calibri" w:hAnsi="Times New Roman" w:cs="Times New Roman"/>
                <w:color w:val="auto"/>
                <w:sz w:val="18"/>
                <w:szCs w:val="18"/>
              </w:rPr>
              <w:t xml:space="preserve"> et al., 2023)</w:t>
            </w:r>
          </w:p>
        </w:tc>
        <w:tc>
          <w:tcPr>
            <w:tcW w:w="1040" w:type="pct"/>
            <w:tcBorders>
              <w:top w:val="single" w:sz="4" w:space="0" w:color="1C3001" w:themeColor="text1"/>
              <w:bottom w:val="single" w:sz="4" w:space="0" w:color="1C3001" w:themeColor="text1"/>
            </w:tcBorders>
            <w:shd w:val="clear" w:color="auto" w:fill="auto"/>
            <w:vAlign w:val="center"/>
          </w:tcPr>
          <w:p w14:paraId="758490D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79B4DF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9599111" w14:textId="77777777" w:rsidTr="00053232">
        <w:tc>
          <w:tcPr>
            <w:tcW w:w="1088" w:type="pct"/>
            <w:vMerge/>
            <w:tcBorders>
              <w:left w:val="nil"/>
              <w:bottom w:val="single" w:sz="4" w:space="0" w:color="1C3001" w:themeColor="text1"/>
            </w:tcBorders>
            <w:shd w:val="clear" w:color="auto" w:fill="auto"/>
            <w:vAlign w:val="center"/>
          </w:tcPr>
          <w:p w14:paraId="6E2A127D"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F14372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2594A2D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523708F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24609C51" w14:textId="3FBCCE4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920684B" w14:textId="77777777" w:rsidTr="00053232">
        <w:tc>
          <w:tcPr>
            <w:tcW w:w="1088" w:type="pct"/>
            <w:vMerge w:val="restart"/>
            <w:tcBorders>
              <w:top w:val="single" w:sz="4" w:space="0" w:color="1C3001" w:themeColor="text1"/>
              <w:left w:val="nil"/>
            </w:tcBorders>
            <w:shd w:val="clear" w:color="auto" w:fill="auto"/>
            <w:vAlign w:val="center"/>
          </w:tcPr>
          <w:p w14:paraId="6C1EF125"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Moral or ethical motives</w:t>
            </w:r>
          </w:p>
        </w:tc>
        <w:tc>
          <w:tcPr>
            <w:tcW w:w="792" w:type="pct"/>
            <w:tcBorders>
              <w:top w:val="single" w:sz="4" w:space="0" w:color="1C3001" w:themeColor="text1"/>
              <w:bottom w:val="single" w:sz="4" w:space="0" w:color="1C3001" w:themeColor="text1"/>
            </w:tcBorders>
            <w:shd w:val="clear" w:color="auto" w:fill="auto"/>
            <w:vAlign w:val="center"/>
          </w:tcPr>
          <w:p w14:paraId="7A160C9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Acceptance</w:t>
            </w:r>
          </w:p>
        </w:tc>
        <w:tc>
          <w:tcPr>
            <w:tcW w:w="1040" w:type="pct"/>
            <w:tcBorders>
              <w:top w:val="single" w:sz="4" w:space="0" w:color="1C3001" w:themeColor="text1"/>
              <w:bottom w:val="single" w:sz="4" w:space="0" w:color="1C3001" w:themeColor="text1"/>
            </w:tcBorders>
            <w:shd w:val="clear" w:color="auto" w:fill="auto"/>
            <w:vAlign w:val="center"/>
          </w:tcPr>
          <w:p w14:paraId="3AED789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8" w:name="_heading=h.46r0co2" w:colFirst="0" w:colLast="0"/>
            <w:bookmarkEnd w:id="38"/>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4337DED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516CE1D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6DC6A25" w14:textId="77777777" w:rsidTr="00053232">
        <w:tc>
          <w:tcPr>
            <w:tcW w:w="1088" w:type="pct"/>
            <w:vMerge/>
            <w:tcBorders>
              <w:left w:val="nil"/>
            </w:tcBorders>
            <w:shd w:val="clear" w:color="auto" w:fill="auto"/>
          </w:tcPr>
          <w:p w14:paraId="4B4DDCC3"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tcBorders>
            <w:shd w:val="clear" w:color="auto" w:fill="auto"/>
            <w:vAlign w:val="center"/>
          </w:tcPr>
          <w:p w14:paraId="051B04A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tcBorders>
            <w:shd w:val="clear" w:color="auto" w:fill="auto"/>
            <w:vAlign w:val="center"/>
          </w:tcPr>
          <w:p w14:paraId="788F208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25E010BF" w14:textId="17265F0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39" w:name="_heading=h.2lwamvv" w:colFirst="0" w:colLast="0"/>
            <w:bookmarkEnd w:id="39"/>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right w:val="nil"/>
            </w:tcBorders>
            <w:shd w:val="clear" w:color="auto" w:fill="auto"/>
            <w:vAlign w:val="center"/>
          </w:tcPr>
          <w:p w14:paraId="1FEF354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8E067B2" w14:textId="77777777" w:rsidTr="00053232">
        <w:tc>
          <w:tcPr>
            <w:tcW w:w="1088" w:type="pct"/>
            <w:tcBorders>
              <w:left w:val="nil"/>
              <w:bottom w:val="single" w:sz="4" w:space="0" w:color="1C3001" w:themeColor="text1"/>
            </w:tcBorders>
            <w:shd w:val="clear" w:color="auto" w:fill="auto"/>
            <w:vAlign w:val="center"/>
          </w:tcPr>
          <w:p w14:paraId="40E0D67F"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Moral disengagement</w:t>
            </w:r>
          </w:p>
        </w:tc>
        <w:tc>
          <w:tcPr>
            <w:tcW w:w="792" w:type="pct"/>
            <w:tcBorders>
              <w:bottom w:val="single" w:sz="4" w:space="0" w:color="1C3001" w:themeColor="text1"/>
            </w:tcBorders>
            <w:shd w:val="clear" w:color="auto" w:fill="auto"/>
            <w:vAlign w:val="center"/>
          </w:tcPr>
          <w:p w14:paraId="0C91A3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bottom w:val="single" w:sz="4" w:space="0" w:color="1C3001" w:themeColor="text1"/>
            </w:tcBorders>
            <w:shd w:val="clear" w:color="auto" w:fill="auto"/>
            <w:vAlign w:val="center"/>
          </w:tcPr>
          <w:p w14:paraId="4A45A4E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bottom w:val="single" w:sz="4" w:space="0" w:color="1C3001" w:themeColor="text1"/>
            </w:tcBorders>
            <w:shd w:val="clear" w:color="auto" w:fill="auto"/>
            <w:vAlign w:val="center"/>
          </w:tcPr>
          <w:p w14:paraId="6CD3D29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bottom w:val="single" w:sz="4" w:space="0" w:color="1C3001" w:themeColor="text1"/>
              <w:right w:val="nil"/>
            </w:tcBorders>
            <w:shd w:val="clear" w:color="auto" w:fill="auto"/>
            <w:vAlign w:val="center"/>
          </w:tcPr>
          <w:p w14:paraId="1542A5D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E1F992A" w14:textId="77777777" w:rsidTr="00053232">
        <w:tc>
          <w:tcPr>
            <w:tcW w:w="1088" w:type="pct"/>
            <w:vMerge w:val="restart"/>
            <w:tcBorders>
              <w:top w:val="single" w:sz="4" w:space="0" w:color="1C3001" w:themeColor="text1"/>
              <w:left w:val="nil"/>
            </w:tcBorders>
            <w:shd w:val="clear" w:color="auto" w:fill="auto"/>
            <w:vAlign w:val="center"/>
          </w:tcPr>
          <w:p w14:paraId="13F6DB8D" w14:textId="1AD75217" w:rsidR="00412C1D" w:rsidRPr="004829A5" w:rsidRDefault="004C3D9B"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Following conservative values/</w:t>
            </w:r>
            <w:proofErr w:type="spellStart"/>
            <w:r w:rsidRPr="004829A5">
              <w:rPr>
                <w:rFonts w:ascii="Times New Roman" w:eastAsia="Times New Roman" w:hAnsi="Times New Roman" w:cs="Times New Roman"/>
                <w:b/>
                <w:color w:val="auto"/>
                <w:sz w:val="18"/>
                <w:szCs w:val="18"/>
              </w:rPr>
              <w:t>conseervative</w:t>
            </w:r>
            <w:proofErr w:type="spellEnd"/>
            <w:r w:rsidRPr="004829A5">
              <w:rPr>
                <w:rFonts w:ascii="Times New Roman" w:eastAsia="Times New Roman" w:hAnsi="Times New Roman" w:cs="Times New Roman"/>
                <w:b/>
                <w:color w:val="auto"/>
                <w:sz w:val="18"/>
                <w:szCs w:val="18"/>
              </w:rPr>
              <w:t xml:space="preserve"> views</w:t>
            </w:r>
          </w:p>
        </w:tc>
        <w:tc>
          <w:tcPr>
            <w:tcW w:w="792" w:type="pct"/>
            <w:tcBorders>
              <w:top w:val="single" w:sz="4" w:space="0" w:color="1C3001" w:themeColor="text1"/>
              <w:bottom w:val="single" w:sz="4" w:space="0" w:color="1C3001" w:themeColor="text1"/>
            </w:tcBorders>
            <w:shd w:val="clear" w:color="auto" w:fill="auto"/>
            <w:vAlign w:val="center"/>
          </w:tcPr>
          <w:p w14:paraId="0051796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50AC363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9A7EFB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3AA3EF4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w:t>
            </w:r>
            <w:r w:rsidRPr="004829A5">
              <w:rPr>
                <w:rFonts w:ascii="Times New Roman" w:eastAsia="Calibri" w:hAnsi="Times New Roman" w:cs="Times New Roman"/>
                <w:color w:val="auto"/>
                <w:sz w:val="18"/>
                <w:szCs w:val="18"/>
              </w:rPr>
              <w:t xml:space="preserve"> (Onwezen et al., 2021)</w:t>
            </w:r>
          </w:p>
        </w:tc>
      </w:tr>
      <w:tr w:rsidR="004829A5" w:rsidRPr="004829A5" w14:paraId="32A9A643" w14:textId="77777777" w:rsidTr="00053232">
        <w:tc>
          <w:tcPr>
            <w:tcW w:w="1088" w:type="pct"/>
            <w:vMerge/>
            <w:tcBorders>
              <w:left w:val="nil"/>
              <w:bottom w:val="single" w:sz="4" w:space="0" w:color="1C3001" w:themeColor="text1"/>
            </w:tcBorders>
            <w:shd w:val="clear" w:color="auto" w:fill="auto"/>
            <w:vAlign w:val="center"/>
          </w:tcPr>
          <w:p w14:paraId="5D43AB56" w14:textId="77777777" w:rsidR="00412C1D" w:rsidRPr="004829A5" w:rsidRDefault="00412C1D" w:rsidP="00EE39AD">
            <w:pPr>
              <w:spacing w:line="240" w:lineRule="auto"/>
              <w:ind w:left="90" w:firstLine="72"/>
              <w:jc w:val="center"/>
              <w:rPr>
                <w:rFonts w:ascii="Times New Roman" w:eastAsia="Calibri"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810DC3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09DDA30C" w14:textId="361755DF"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w:t>
            </w:r>
            <w:proofErr w:type="spellStart"/>
            <w:r w:rsidRPr="004829A5">
              <w:rPr>
                <w:rFonts w:ascii="Times New Roman" w:eastAsia="Calibri" w:hAnsi="Times New Roman" w:cs="Times New Roman"/>
                <w:color w:val="auto"/>
                <w:sz w:val="18"/>
                <w:szCs w:val="18"/>
              </w:rPr>
              <w:t>Graça</w:t>
            </w:r>
            <w:proofErr w:type="spellEnd"/>
            <w:r w:rsidRPr="004829A5">
              <w:rPr>
                <w:rFonts w:ascii="Times New Roman" w:eastAsia="Calibri" w:hAnsi="Times New Roman" w:cs="Times New Roman"/>
                <w:color w:val="auto"/>
                <w:sz w:val="18"/>
                <w:szCs w:val="18"/>
              </w:rPr>
              <w:t xml:space="preserve"> et al., 2019)</w:t>
            </w:r>
          </w:p>
          <w:p w14:paraId="16C4AE25"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w:t>
            </w:r>
            <w:proofErr w:type="spellStart"/>
            <w:r w:rsidRPr="004829A5">
              <w:rPr>
                <w:rFonts w:ascii="Times New Roman" w:eastAsia="Calibri" w:hAnsi="Times New Roman" w:cs="Times New Roman"/>
                <w:color w:val="auto"/>
                <w:sz w:val="18"/>
                <w:szCs w:val="18"/>
              </w:rPr>
              <w:t>Szenderák</w:t>
            </w:r>
            <w:proofErr w:type="spellEnd"/>
            <w:r w:rsidRPr="004829A5">
              <w:rPr>
                <w:rFonts w:ascii="Times New Roman" w:eastAsia="Calibri"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1259906B"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1061D95"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p>
        </w:tc>
      </w:tr>
      <w:tr w:rsidR="004829A5" w:rsidRPr="004829A5" w14:paraId="7AD40404"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315C169B"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Religion</w:t>
            </w:r>
          </w:p>
        </w:tc>
        <w:tc>
          <w:tcPr>
            <w:tcW w:w="792" w:type="pct"/>
            <w:tcBorders>
              <w:top w:val="single" w:sz="4" w:space="0" w:color="1C3001" w:themeColor="text1"/>
              <w:bottom w:val="single" w:sz="4" w:space="0" w:color="1C3001" w:themeColor="text1"/>
            </w:tcBorders>
            <w:shd w:val="clear" w:color="auto" w:fill="auto"/>
            <w:vAlign w:val="center"/>
          </w:tcPr>
          <w:p w14:paraId="34DC0FF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795DB13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A64DBE2" w14:textId="758BB4D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2A5430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F8FE59D" w14:textId="77777777" w:rsidTr="00053232">
        <w:tc>
          <w:tcPr>
            <w:tcW w:w="1088" w:type="pct"/>
            <w:vMerge w:val="restart"/>
            <w:tcBorders>
              <w:top w:val="single" w:sz="4" w:space="0" w:color="1C3001" w:themeColor="text1"/>
              <w:left w:val="nil"/>
            </w:tcBorders>
            <w:shd w:val="clear" w:color="auto" w:fill="auto"/>
            <w:vAlign w:val="center"/>
          </w:tcPr>
          <w:p w14:paraId="32AB15E6"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Being daring, adventurous, sensation seeking, extreme emotions</w:t>
            </w:r>
          </w:p>
        </w:tc>
        <w:tc>
          <w:tcPr>
            <w:tcW w:w="792" w:type="pct"/>
            <w:tcBorders>
              <w:top w:val="single" w:sz="4" w:space="0" w:color="1C3001" w:themeColor="text1"/>
              <w:bottom w:val="single" w:sz="4" w:space="0" w:color="1C3001" w:themeColor="text1"/>
            </w:tcBorders>
            <w:shd w:val="clear" w:color="auto" w:fill="auto"/>
            <w:vAlign w:val="center"/>
          </w:tcPr>
          <w:p w14:paraId="6873E9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41D3ADA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0B8A013" w14:textId="0BA5E0F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40" w:name="_heading=h.111kx3o" w:colFirst="0" w:colLast="0"/>
            <w:bookmarkStart w:id="41" w:name="_Hlk141290440"/>
            <w:bookmarkEnd w:id="40"/>
            <w:r w:rsidRPr="004829A5">
              <w:rPr>
                <w:rFonts w:ascii="Times New Roman" w:eastAsia="Times New Roman" w:hAnsi="Times New Roman" w:cs="Times New Roman"/>
                <w:color w:val="auto"/>
                <w:sz w:val="18"/>
                <w:szCs w:val="18"/>
              </w:rPr>
              <w:t>+ (Kauppi et al., 2019)</w:t>
            </w:r>
          </w:p>
          <w:p w14:paraId="75E1E7A5" w14:textId="75B35DF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(sustainability;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768090C3" w14:textId="7D295D9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(younger men;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bookmarkEnd w:id="41"/>
          </w:p>
        </w:tc>
        <w:tc>
          <w:tcPr>
            <w:tcW w:w="1040" w:type="pct"/>
            <w:tcBorders>
              <w:top w:val="single" w:sz="4" w:space="0" w:color="1C3001" w:themeColor="text1"/>
              <w:bottom w:val="single" w:sz="4" w:space="0" w:color="1C3001" w:themeColor="text1"/>
              <w:right w:val="nil"/>
            </w:tcBorders>
            <w:shd w:val="clear" w:color="auto" w:fill="auto"/>
            <w:vAlign w:val="center"/>
          </w:tcPr>
          <w:p w14:paraId="3D3E715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ED81885" w14:textId="77777777" w:rsidTr="00053232">
        <w:tc>
          <w:tcPr>
            <w:tcW w:w="1088" w:type="pct"/>
            <w:vMerge/>
            <w:tcBorders>
              <w:left w:val="nil"/>
            </w:tcBorders>
            <w:shd w:val="clear" w:color="auto" w:fill="auto"/>
          </w:tcPr>
          <w:p w14:paraId="6E686FEE"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79AEAA2" w14:textId="6546540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Acceptance</w:t>
            </w:r>
          </w:p>
        </w:tc>
        <w:tc>
          <w:tcPr>
            <w:tcW w:w="1040" w:type="pct"/>
            <w:tcBorders>
              <w:top w:val="single" w:sz="4" w:space="0" w:color="1C3001" w:themeColor="text1"/>
              <w:bottom w:val="single" w:sz="4" w:space="0" w:color="1C3001" w:themeColor="text1"/>
            </w:tcBorders>
            <w:shd w:val="clear" w:color="auto" w:fill="auto"/>
            <w:vAlign w:val="center"/>
          </w:tcPr>
          <w:p w14:paraId="4D28155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5C808FF" w14:textId="5612C0D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42" w:name="_heading=h.3l18frh" w:colFirst="0" w:colLast="0"/>
            <w:bookmarkStart w:id="43" w:name="_Hlk141290466"/>
            <w:bookmarkEnd w:id="42"/>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360DD64F" w14:textId="287D2E0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bookmarkEnd w:id="43"/>
          </w:p>
        </w:tc>
        <w:tc>
          <w:tcPr>
            <w:tcW w:w="1040" w:type="pct"/>
            <w:tcBorders>
              <w:top w:val="single" w:sz="4" w:space="0" w:color="1C3001" w:themeColor="text1"/>
              <w:bottom w:val="single" w:sz="4" w:space="0" w:color="1C3001" w:themeColor="text1"/>
              <w:right w:val="nil"/>
            </w:tcBorders>
            <w:shd w:val="clear" w:color="auto" w:fill="auto"/>
            <w:vAlign w:val="center"/>
          </w:tcPr>
          <w:p w14:paraId="4BE36CF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CB7F58A" w14:textId="77777777" w:rsidTr="00053232">
        <w:tc>
          <w:tcPr>
            <w:tcW w:w="1088" w:type="pct"/>
            <w:vMerge/>
            <w:tcBorders>
              <w:left w:val="nil"/>
            </w:tcBorders>
            <w:shd w:val="clear" w:color="auto" w:fill="auto"/>
          </w:tcPr>
          <w:p w14:paraId="73318985"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E75A00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118968B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F820599" w14:textId="5E53BA5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44" w:name="_heading=h.206ipza" w:colFirst="0" w:colLast="0"/>
            <w:bookmarkStart w:id="45" w:name="_Hlk141290487"/>
            <w:bookmarkEnd w:id="44"/>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bookmarkEnd w:id="45"/>
          </w:p>
        </w:tc>
        <w:tc>
          <w:tcPr>
            <w:tcW w:w="1040" w:type="pct"/>
            <w:tcBorders>
              <w:top w:val="single" w:sz="4" w:space="0" w:color="1C3001" w:themeColor="text1"/>
              <w:bottom w:val="single" w:sz="4" w:space="0" w:color="1C3001" w:themeColor="text1"/>
              <w:right w:val="nil"/>
            </w:tcBorders>
            <w:shd w:val="clear" w:color="auto" w:fill="auto"/>
            <w:vAlign w:val="center"/>
          </w:tcPr>
          <w:p w14:paraId="1A1D9A5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52C3D6B" w14:textId="77777777" w:rsidTr="00053232">
        <w:tc>
          <w:tcPr>
            <w:tcW w:w="1088" w:type="pct"/>
            <w:vMerge/>
            <w:tcBorders>
              <w:left w:val="nil"/>
            </w:tcBorders>
            <w:shd w:val="clear" w:color="auto" w:fill="auto"/>
          </w:tcPr>
          <w:p w14:paraId="3853B6D4"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E99BB0E" w14:textId="46383EC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6AA9F25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4C2969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08183E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AE7151B" w14:textId="77777777" w:rsidTr="00053232">
        <w:tc>
          <w:tcPr>
            <w:tcW w:w="1088" w:type="pct"/>
            <w:vMerge/>
            <w:tcBorders>
              <w:left w:val="nil"/>
              <w:bottom w:val="single" w:sz="4" w:space="0" w:color="1C3001" w:themeColor="text1"/>
            </w:tcBorders>
            <w:shd w:val="clear" w:color="auto" w:fill="auto"/>
          </w:tcPr>
          <w:p w14:paraId="2D3CFA67"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75F14A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ready to try (but not necessary to maintain)</w:t>
            </w:r>
          </w:p>
        </w:tc>
        <w:tc>
          <w:tcPr>
            <w:tcW w:w="1040" w:type="pct"/>
            <w:tcBorders>
              <w:top w:val="single" w:sz="4" w:space="0" w:color="1C3001" w:themeColor="text1"/>
              <w:bottom w:val="single" w:sz="4" w:space="0" w:color="1C3001" w:themeColor="text1"/>
            </w:tcBorders>
            <w:shd w:val="clear" w:color="auto" w:fill="auto"/>
            <w:vAlign w:val="center"/>
          </w:tcPr>
          <w:p w14:paraId="35A8900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EAA475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057EC20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A50351B" w14:textId="77777777" w:rsidTr="00053232">
        <w:tc>
          <w:tcPr>
            <w:tcW w:w="1088" w:type="pct"/>
            <w:vMerge w:val="restart"/>
            <w:tcBorders>
              <w:top w:val="single" w:sz="4" w:space="0" w:color="1C3001" w:themeColor="text1"/>
              <w:left w:val="nil"/>
            </w:tcBorders>
            <w:shd w:val="clear" w:color="auto" w:fill="auto"/>
            <w:vAlign w:val="center"/>
          </w:tcPr>
          <w:p w14:paraId="3E21A957"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Curiosity</w:t>
            </w:r>
          </w:p>
        </w:tc>
        <w:tc>
          <w:tcPr>
            <w:tcW w:w="792" w:type="pct"/>
            <w:tcBorders>
              <w:top w:val="single" w:sz="4" w:space="0" w:color="1C3001" w:themeColor="text1"/>
              <w:bottom w:val="single" w:sz="4" w:space="0" w:color="1C3001" w:themeColor="text1"/>
            </w:tcBorders>
            <w:shd w:val="clear" w:color="auto" w:fill="auto"/>
            <w:vAlign w:val="center"/>
          </w:tcPr>
          <w:p w14:paraId="2C6A444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try</w:t>
            </w:r>
          </w:p>
        </w:tc>
        <w:tc>
          <w:tcPr>
            <w:tcW w:w="1040" w:type="pct"/>
            <w:tcBorders>
              <w:top w:val="single" w:sz="4" w:space="0" w:color="1C3001" w:themeColor="text1"/>
              <w:bottom w:val="single" w:sz="4" w:space="0" w:color="1C3001" w:themeColor="text1"/>
            </w:tcBorders>
            <w:shd w:val="clear" w:color="auto" w:fill="auto"/>
            <w:vAlign w:val="center"/>
          </w:tcPr>
          <w:p w14:paraId="03C9165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46A6E8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46" w:name="_heading=h.4k668n3" w:colFirst="0" w:colLast="0"/>
            <w:bookmarkStart w:id="47" w:name="_Hlk141290664"/>
            <w:bookmarkEnd w:id="46"/>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bookmarkEnd w:id="47"/>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right w:val="nil"/>
            </w:tcBorders>
            <w:shd w:val="clear" w:color="auto" w:fill="auto"/>
            <w:vAlign w:val="center"/>
          </w:tcPr>
          <w:p w14:paraId="121E2A7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47C810B" w14:textId="77777777" w:rsidTr="00053232">
        <w:tc>
          <w:tcPr>
            <w:tcW w:w="1088" w:type="pct"/>
            <w:vMerge/>
            <w:tcBorders>
              <w:left w:val="nil"/>
            </w:tcBorders>
            <w:shd w:val="clear" w:color="auto" w:fill="auto"/>
            <w:vAlign w:val="center"/>
          </w:tcPr>
          <w:p w14:paraId="62121BC8"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BC0B2B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5A95791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3523F71" w14:textId="76CC332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48" w:name="_heading=h.2zbgiuw" w:colFirst="0" w:colLast="0"/>
            <w:bookmarkStart w:id="49" w:name="_Hlk141290682"/>
            <w:bookmarkEnd w:id="48"/>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7558A9B7" w14:textId="6D4461C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bookmarkEnd w:id="49"/>
            <w:r w:rsidRPr="004829A5">
              <w:rPr>
                <w:rFonts w:ascii="Times New Roman" w:eastAsia="Times New Roman" w:hAnsi="Times New Roman" w:cs="Times New Roman"/>
                <w:color w:val="auto"/>
                <w:sz w:val="18"/>
                <w:szCs w:val="18"/>
              </w:rPr>
              <w:t>)</w:t>
            </w:r>
          </w:p>
          <w:p w14:paraId="6573BF4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47CD82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C1707F8" w14:textId="77777777" w:rsidTr="00053232">
        <w:tc>
          <w:tcPr>
            <w:tcW w:w="1088" w:type="pct"/>
            <w:vMerge/>
            <w:tcBorders>
              <w:left w:val="nil"/>
              <w:bottom w:val="single" w:sz="4" w:space="0" w:color="1C3001" w:themeColor="text1"/>
            </w:tcBorders>
            <w:shd w:val="clear" w:color="auto" w:fill="auto"/>
            <w:vAlign w:val="center"/>
          </w:tcPr>
          <w:p w14:paraId="176F6408"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75D430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3FE0246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4E14F40" w14:textId="736809F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22A9F6D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6D6F262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1ACFCDB"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7A99ADA6"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Food neophilia</w:t>
            </w:r>
          </w:p>
        </w:tc>
        <w:tc>
          <w:tcPr>
            <w:tcW w:w="792" w:type="pct"/>
            <w:tcBorders>
              <w:top w:val="single" w:sz="4" w:space="0" w:color="1C3001" w:themeColor="text1"/>
              <w:bottom w:val="single" w:sz="4" w:space="0" w:color="1C3001" w:themeColor="text1"/>
            </w:tcBorders>
            <w:shd w:val="clear" w:color="auto" w:fill="auto"/>
            <w:vAlign w:val="center"/>
          </w:tcPr>
          <w:p w14:paraId="74A7C37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Acceptance</w:t>
            </w:r>
          </w:p>
        </w:tc>
        <w:tc>
          <w:tcPr>
            <w:tcW w:w="1040" w:type="pct"/>
            <w:tcBorders>
              <w:top w:val="single" w:sz="4" w:space="0" w:color="1C3001" w:themeColor="text1"/>
              <w:bottom w:val="single" w:sz="4" w:space="0" w:color="1C3001" w:themeColor="text1"/>
            </w:tcBorders>
            <w:shd w:val="clear" w:color="auto" w:fill="auto"/>
            <w:vAlign w:val="center"/>
          </w:tcPr>
          <w:p w14:paraId="6302D0B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E0D3179" w14:textId="7952967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50" w:name="_heading=h.1egqt2p" w:colFirst="0" w:colLast="0"/>
            <w:bookmarkStart w:id="51" w:name="_Hlk141293363"/>
            <w:bookmarkEnd w:id="50"/>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5B2FF5F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bookmarkEnd w:id="51"/>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right w:val="nil"/>
            </w:tcBorders>
            <w:shd w:val="clear" w:color="auto" w:fill="auto"/>
            <w:vAlign w:val="center"/>
          </w:tcPr>
          <w:p w14:paraId="59FC5DF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460CEA9" w14:textId="77777777" w:rsidTr="00053232">
        <w:tc>
          <w:tcPr>
            <w:tcW w:w="1088" w:type="pct"/>
            <w:vMerge w:val="restart"/>
            <w:tcBorders>
              <w:top w:val="single" w:sz="4" w:space="0" w:color="1C3001" w:themeColor="text1"/>
              <w:left w:val="nil"/>
            </w:tcBorders>
            <w:shd w:val="clear" w:color="auto" w:fill="auto"/>
            <w:vAlign w:val="center"/>
          </w:tcPr>
          <w:p w14:paraId="246D45A3" w14:textId="1E0AA58F"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Meat attachment and positive emotions while eating meat</w:t>
            </w:r>
          </w:p>
        </w:tc>
        <w:tc>
          <w:tcPr>
            <w:tcW w:w="792" w:type="pct"/>
            <w:tcBorders>
              <w:top w:val="single" w:sz="4" w:space="0" w:color="1C3001" w:themeColor="text1"/>
              <w:bottom w:val="single" w:sz="4" w:space="0" w:color="1C3001" w:themeColor="text1"/>
            </w:tcBorders>
            <w:shd w:val="clear" w:color="auto" w:fill="auto"/>
            <w:vAlign w:val="center"/>
          </w:tcPr>
          <w:p w14:paraId="0F153D2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3CD7F13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434C871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9E86B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047E160" w14:textId="77777777" w:rsidTr="00053232">
        <w:tc>
          <w:tcPr>
            <w:tcW w:w="1088" w:type="pct"/>
            <w:vMerge/>
            <w:tcBorders>
              <w:left w:val="nil"/>
            </w:tcBorders>
            <w:shd w:val="clear" w:color="auto" w:fill="auto"/>
            <w:vAlign w:val="center"/>
          </w:tcPr>
          <w:p w14:paraId="60E4EE8D"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9A08A2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Purchase likelihood</w:t>
            </w:r>
          </w:p>
        </w:tc>
        <w:tc>
          <w:tcPr>
            <w:tcW w:w="1040" w:type="pct"/>
            <w:tcBorders>
              <w:top w:val="single" w:sz="4" w:space="0" w:color="1C3001" w:themeColor="text1"/>
              <w:bottom w:val="single" w:sz="4" w:space="0" w:color="1C3001" w:themeColor="text1"/>
            </w:tcBorders>
            <w:shd w:val="clear" w:color="auto" w:fill="auto"/>
            <w:vAlign w:val="center"/>
          </w:tcPr>
          <w:p w14:paraId="2EE1392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115AB3D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5FB0E4D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0AB72FA" w14:textId="77777777" w:rsidTr="00053232">
        <w:tc>
          <w:tcPr>
            <w:tcW w:w="1088" w:type="pct"/>
            <w:vMerge/>
            <w:tcBorders>
              <w:left w:val="nil"/>
            </w:tcBorders>
            <w:shd w:val="clear" w:color="auto" w:fill="auto"/>
            <w:vAlign w:val="center"/>
          </w:tcPr>
          <w:p w14:paraId="009DEE7B"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5D286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3880ACF6" w14:textId="197E120E"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Graça</w:t>
            </w:r>
            <w:proofErr w:type="spellEnd"/>
            <w:r w:rsidRPr="004829A5">
              <w:rPr>
                <w:rFonts w:ascii="Times New Roman" w:eastAsia="Calibri" w:hAnsi="Times New Roman" w:cs="Times New Roman"/>
                <w:color w:val="auto"/>
                <w:sz w:val="18"/>
                <w:szCs w:val="18"/>
              </w:rPr>
              <w:t xml:space="preserve"> et al., 2019)</w:t>
            </w:r>
          </w:p>
          <w:p w14:paraId="3B782139"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Szenderák</w:t>
            </w:r>
            <w:proofErr w:type="spellEnd"/>
            <w:r w:rsidRPr="004829A5">
              <w:rPr>
                <w:rFonts w:ascii="Times New Roman" w:eastAsia="Calibri"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0A9F68F8"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08A9CB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5A00E08E" w14:textId="77777777" w:rsidTr="00053232">
        <w:tc>
          <w:tcPr>
            <w:tcW w:w="1088" w:type="pct"/>
            <w:vMerge/>
            <w:tcBorders>
              <w:left w:val="nil"/>
            </w:tcBorders>
            <w:shd w:val="clear" w:color="auto" w:fill="auto"/>
            <w:vAlign w:val="center"/>
          </w:tcPr>
          <w:p w14:paraId="4C668768"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4658F8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w:t>
            </w:r>
          </w:p>
        </w:tc>
        <w:tc>
          <w:tcPr>
            <w:tcW w:w="1040" w:type="pct"/>
            <w:tcBorders>
              <w:top w:val="single" w:sz="4" w:space="0" w:color="1C3001" w:themeColor="text1"/>
              <w:bottom w:val="single" w:sz="4" w:space="0" w:color="1C3001" w:themeColor="text1"/>
            </w:tcBorders>
            <w:shd w:val="clear" w:color="auto" w:fill="auto"/>
            <w:vAlign w:val="center"/>
          </w:tcPr>
          <w:p w14:paraId="173FFED2" w14:textId="148751E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52" w:name="_heading=h.3ygebqi" w:colFirst="0" w:colLast="0"/>
            <w:bookmarkEnd w:id="52"/>
            <w:r w:rsidRPr="004829A5">
              <w:rPr>
                <w:rFonts w:ascii="Times New Roman" w:eastAsia="Times New Roman" w:hAnsi="Times New Roman" w:cs="Times New Roman"/>
                <w:color w:val="auto"/>
                <w:sz w:val="18"/>
                <w:szCs w:val="18"/>
              </w:rPr>
              <w:t>–</w:t>
            </w:r>
            <w:bookmarkStart w:id="53" w:name="_Hlk141291399"/>
            <w:r w:rsidRPr="004829A5">
              <w:rPr>
                <w:rFonts w:ascii="Times New Roman" w:eastAsia="Times New Roman" w:hAnsi="Times New Roman" w:cs="Times New Roman"/>
                <w:color w:val="auto"/>
                <w:sz w:val="18"/>
                <w:szCs w:val="18"/>
              </w:rPr>
              <w:t xml:space="preserve"> (plant-based meat alternatives; He et al., 2020</w:t>
            </w:r>
            <w:bookmarkEnd w:id="53"/>
            <w:r w:rsidRPr="004829A5">
              <w:rPr>
                <w:rFonts w:ascii="Times New Roman" w:eastAsia="Times New Roman" w:hAnsi="Times New Roman" w:cs="Times New Roman"/>
                <w:color w:val="auto"/>
                <w:sz w:val="18"/>
                <w:szCs w:val="18"/>
              </w:rPr>
              <w:t>)</w:t>
            </w:r>
          </w:p>
          <w:p w14:paraId="0D1F6A6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9428A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58CA0A7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09364AE"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6EB3998D" w14:textId="76F4D5FC"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lastRenderedPageBreak/>
              <w:t>Worry and guilt towards eating meat</w:t>
            </w:r>
          </w:p>
        </w:tc>
        <w:tc>
          <w:tcPr>
            <w:tcW w:w="792" w:type="pct"/>
            <w:tcBorders>
              <w:top w:val="single" w:sz="4" w:space="0" w:color="1C3001" w:themeColor="text1"/>
              <w:bottom w:val="single" w:sz="4" w:space="0" w:color="1C3001" w:themeColor="text1"/>
            </w:tcBorders>
            <w:shd w:val="clear" w:color="auto" w:fill="auto"/>
            <w:vAlign w:val="center"/>
          </w:tcPr>
          <w:p w14:paraId="7B169AA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top w:val="single" w:sz="4" w:space="0" w:color="1C3001" w:themeColor="text1"/>
              <w:bottom w:val="single" w:sz="4" w:space="0" w:color="1C3001" w:themeColor="text1"/>
            </w:tcBorders>
            <w:shd w:val="clear" w:color="auto" w:fill="auto"/>
            <w:vAlign w:val="center"/>
          </w:tcPr>
          <w:p w14:paraId="2D36D54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2B9FCC1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C65986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717A2984" w14:textId="77777777" w:rsidTr="00053232">
        <w:tc>
          <w:tcPr>
            <w:tcW w:w="1088" w:type="pct"/>
            <w:vMerge w:val="restart"/>
            <w:tcBorders>
              <w:top w:val="single" w:sz="4" w:space="0" w:color="1C3001" w:themeColor="text1"/>
              <w:left w:val="nil"/>
            </w:tcBorders>
            <w:shd w:val="clear" w:color="auto" w:fill="auto"/>
            <w:vAlign w:val="center"/>
          </w:tcPr>
          <w:p w14:paraId="418A3DD4"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Neophobia</w:t>
            </w:r>
          </w:p>
        </w:tc>
        <w:tc>
          <w:tcPr>
            <w:tcW w:w="792" w:type="pct"/>
            <w:tcBorders>
              <w:top w:val="single" w:sz="4" w:space="0" w:color="1C3001" w:themeColor="text1"/>
            </w:tcBorders>
            <w:shd w:val="clear" w:color="auto" w:fill="auto"/>
            <w:vAlign w:val="center"/>
          </w:tcPr>
          <w:p w14:paraId="6F72C6F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try/eat</w:t>
            </w:r>
          </w:p>
        </w:tc>
        <w:tc>
          <w:tcPr>
            <w:tcW w:w="1040" w:type="pct"/>
            <w:tcBorders>
              <w:top w:val="single" w:sz="4" w:space="0" w:color="1C3001" w:themeColor="text1"/>
            </w:tcBorders>
            <w:shd w:val="clear" w:color="auto" w:fill="auto"/>
            <w:vAlign w:val="center"/>
          </w:tcPr>
          <w:p w14:paraId="21476FC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4C983049" w14:textId="29C20D8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p w14:paraId="0581383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495550D8" w14:textId="148D939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hAnsi="Times New Roman" w:cs="Times New Roman"/>
                <w:color w:val="auto"/>
                <w:sz w:val="18"/>
                <w:szCs w:val="18"/>
              </w:rPr>
              <w:softHyphen/>
            </w:r>
            <w:r w:rsidRPr="004829A5">
              <w:rPr>
                <w:rFonts w:ascii="Times New Roman" w:eastAsia="Times New Roman" w:hAnsi="Times New Roman" w:cs="Times New Roman"/>
                <w:color w:val="auto"/>
                <w:sz w:val="18"/>
                <w:szCs w:val="18"/>
              </w:rPr>
              <w:t>–</w:t>
            </w:r>
            <w:r w:rsidRPr="004829A5">
              <w:rPr>
                <w:rFonts w:ascii="Times New Roman" w:hAnsi="Times New Roman" w:cs="Times New Roman"/>
                <w:color w:val="auto"/>
                <w:sz w:val="18"/>
                <w:szCs w:val="18"/>
              </w:rPr>
              <w:softHyphen/>
            </w:r>
            <w:r w:rsidRPr="004829A5">
              <w:rPr>
                <w:rFonts w:ascii="Times New Roman" w:eastAsia="Times New Roman" w:hAnsi="Times New Roman" w:cs="Times New Roman"/>
                <w:color w:val="auto"/>
                <w:sz w:val="18"/>
                <w:szCs w:val="18"/>
              </w:rPr>
              <w:t xml:space="preserve">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right w:val="nil"/>
            </w:tcBorders>
            <w:shd w:val="clear" w:color="auto" w:fill="auto"/>
            <w:vAlign w:val="center"/>
          </w:tcPr>
          <w:p w14:paraId="690B4C4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C7A48D3" w14:textId="77777777" w:rsidTr="00053232">
        <w:tc>
          <w:tcPr>
            <w:tcW w:w="1088" w:type="pct"/>
            <w:vMerge/>
            <w:tcBorders>
              <w:left w:val="nil"/>
            </w:tcBorders>
            <w:shd w:val="clear" w:color="auto" w:fill="auto"/>
            <w:vAlign w:val="center"/>
          </w:tcPr>
          <w:p w14:paraId="7697921A"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FCCF80A" w14:textId="1663CD6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w:t>
            </w:r>
          </w:p>
        </w:tc>
        <w:tc>
          <w:tcPr>
            <w:tcW w:w="1040" w:type="pct"/>
            <w:tcBorders>
              <w:top w:val="single" w:sz="4" w:space="0" w:color="1C3001" w:themeColor="text1"/>
              <w:bottom w:val="single" w:sz="4" w:space="0" w:color="1C3001" w:themeColor="text1"/>
            </w:tcBorders>
            <w:shd w:val="clear" w:color="auto" w:fill="auto"/>
            <w:vAlign w:val="center"/>
          </w:tcPr>
          <w:p w14:paraId="6554769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45577D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0DE31A7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A9B6F65" w14:textId="77777777" w:rsidTr="00053232">
        <w:tc>
          <w:tcPr>
            <w:tcW w:w="1088" w:type="pct"/>
            <w:vMerge/>
            <w:tcBorders>
              <w:left w:val="nil"/>
            </w:tcBorders>
            <w:shd w:val="clear" w:color="auto" w:fill="auto"/>
            <w:vAlign w:val="center"/>
          </w:tcPr>
          <w:p w14:paraId="5A48B672"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28C0D8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Acceptance</w:t>
            </w:r>
          </w:p>
        </w:tc>
        <w:tc>
          <w:tcPr>
            <w:tcW w:w="1040" w:type="pct"/>
            <w:tcBorders>
              <w:top w:val="single" w:sz="4" w:space="0" w:color="1C3001" w:themeColor="text1"/>
              <w:bottom w:val="single" w:sz="4" w:space="0" w:color="1C3001" w:themeColor="text1"/>
            </w:tcBorders>
            <w:shd w:val="clear" w:color="auto" w:fill="auto"/>
            <w:vAlign w:val="center"/>
          </w:tcPr>
          <w:p w14:paraId="41F0C7C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(only algae based-food and plant-based meat </w:t>
            </w:r>
            <w:proofErr w:type="spellStart"/>
            <w:r w:rsidRPr="004829A5">
              <w:rPr>
                <w:rFonts w:ascii="Times New Roman" w:eastAsia="Times New Roman" w:hAnsi="Times New Roman" w:cs="Times New Roman"/>
                <w:color w:val="auto"/>
                <w:sz w:val="18"/>
                <w:szCs w:val="18"/>
              </w:rPr>
              <w:t>alternatvies</w:t>
            </w:r>
            <w:proofErr w:type="spellEnd"/>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4D2C9979" w14:textId="4925134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54" w:name="_heading=h.2dlolyb" w:colFirst="0" w:colLast="0"/>
            <w:bookmarkStart w:id="55" w:name="_Hlk141293040"/>
            <w:bookmarkEnd w:id="54"/>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430886AE" w14:textId="2E60CD2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Batat</w:t>
            </w:r>
            <w:proofErr w:type="spellEnd"/>
            <w:r w:rsidRPr="004829A5">
              <w:rPr>
                <w:rFonts w:ascii="Times New Roman" w:eastAsia="Times New Roman" w:hAnsi="Times New Roman" w:cs="Times New Roman"/>
                <w:color w:val="auto"/>
                <w:sz w:val="18"/>
                <w:szCs w:val="18"/>
              </w:rPr>
              <w:t xml:space="preserve"> &amp; Peter, 2020)</w:t>
            </w:r>
          </w:p>
          <w:p w14:paraId="3923A53E" w14:textId="52AA320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278701CF" w14:textId="664DCB2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015D2437" w14:textId="517748C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6D43066E" w14:textId="682F90D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p w14:paraId="3F5A897F" w14:textId="03D4A22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0F59A2EF" w14:textId="0F5DC3C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7CCC5D7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bookmarkEnd w:id="55"/>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right w:val="nil"/>
            </w:tcBorders>
            <w:shd w:val="clear" w:color="auto" w:fill="auto"/>
            <w:vAlign w:val="center"/>
          </w:tcPr>
          <w:p w14:paraId="472AE311" w14:textId="735FD65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56" w:name="_heading=h.sqyw64" w:colFirst="0" w:colLast="0"/>
            <w:bookmarkStart w:id="57" w:name="_Hlk141292854"/>
            <w:bookmarkEnd w:id="56"/>
            <w:r w:rsidRPr="004829A5">
              <w:rPr>
                <w:rFonts w:ascii="Times New Roman" w:eastAsia="Times New Roman" w:hAnsi="Times New Roman" w:cs="Times New Roman"/>
                <w:color w:val="auto"/>
                <w:sz w:val="18"/>
                <w:szCs w:val="18"/>
              </w:rPr>
              <w:t xml:space="preserve">– (various meat replacement alternatives;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5355E39C" w14:textId="3EAF5B4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Zannou</w:t>
            </w:r>
            <w:proofErr w:type="spellEnd"/>
            <w:r w:rsidRPr="004829A5">
              <w:rPr>
                <w:rFonts w:ascii="Times New Roman" w:eastAsia="Times New Roman" w:hAnsi="Times New Roman" w:cs="Times New Roman"/>
                <w:color w:val="auto"/>
                <w:sz w:val="18"/>
                <w:szCs w:val="18"/>
              </w:rPr>
              <w:t xml:space="preserve"> et al., 2022)</w:t>
            </w:r>
          </w:p>
          <w:bookmarkEnd w:id="57"/>
          <w:p w14:paraId="2109A8B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8EE04C2" w14:textId="77777777" w:rsidTr="00053232">
        <w:tc>
          <w:tcPr>
            <w:tcW w:w="1088" w:type="pct"/>
            <w:vMerge/>
            <w:tcBorders>
              <w:left w:val="nil"/>
            </w:tcBorders>
            <w:shd w:val="clear" w:color="auto" w:fill="auto"/>
            <w:vAlign w:val="center"/>
          </w:tcPr>
          <w:p w14:paraId="080D3E87"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F24636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Intake self-reported</w:t>
            </w:r>
          </w:p>
        </w:tc>
        <w:tc>
          <w:tcPr>
            <w:tcW w:w="1040" w:type="pct"/>
            <w:tcBorders>
              <w:top w:val="single" w:sz="4" w:space="0" w:color="1C3001" w:themeColor="text1"/>
              <w:bottom w:val="single" w:sz="4" w:space="0" w:color="1C3001" w:themeColor="text1"/>
            </w:tcBorders>
            <w:shd w:val="clear" w:color="auto" w:fill="auto"/>
            <w:vAlign w:val="center"/>
          </w:tcPr>
          <w:p w14:paraId="3207817A" w14:textId="365F02C2"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Graça</w:t>
            </w:r>
            <w:proofErr w:type="spellEnd"/>
            <w:r w:rsidRPr="004829A5">
              <w:rPr>
                <w:rFonts w:ascii="Times New Roman" w:eastAsia="Calibri" w:hAnsi="Times New Roman" w:cs="Times New Roman"/>
                <w:color w:val="auto"/>
                <w:sz w:val="18"/>
                <w:szCs w:val="18"/>
              </w:rPr>
              <w:t xml:space="preserve"> et al., 2019)</w:t>
            </w:r>
          </w:p>
          <w:p w14:paraId="64FEEB60"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w:t>
            </w:r>
            <w:proofErr w:type="spellStart"/>
            <w:r w:rsidRPr="004829A5">
              <w:rPr>
                <w:rFonts w:ascii="Times New Roman" w:eastAsia="Calibri" w:hAnsi="Times New Roman" w:cs="Times New Roman"/>
                <w:color w:val="auto"/>
                <w:sz w:val="18"/>
                <w:szCs w:val="18"/>
              </w:rPr>
              <w:t>Szenderák</w:t>
            </w:r>
            <w:proofErr w:type="spellEnd"/>
            <w:r w:rsidRPr="004829A5">
              <w:rPr>
                <w:rFonts w:ascii="Times New Roman" w:eastAsia="Calibri"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2298BBB6" w14:textId="75F9983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5865F5E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5A9889D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7D21408" w14:textId="77777777" w:rsidTr="00053232">
        <w:tc>
          <w:tcPr>
            <w:tcW w:w="1088" w:type="pct"/>
            <w:vMerge/>
            <w:tcBorders>
              <w:left w:val="nil"/>
            </w:tcBorders>
            <w:shd w:val="clear" w:color="auto" w:fill="auto"/>
            <w:vAlign w:val="center"/>
          </w:tcPr>
          <w:p w14:paraId="4E394AA9"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6F21A7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10EE6F1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2627DA96" w14:textId="0351DB6A" w:rsidR="00412C1D" w:rsidRPr="004829A5" w:rsidRDefault="00412C1D" w:rsidP="00EE39AD">
            <w:pPr>
              <w:spacing w:line="240" w:lineRule="auto"/>
              <w:ind w:left="90" w:hanging="319"/>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61F9662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217A55E" w14:textId="77777777" w:rsidTr="00053232">
        <w:tc>
          <w:tcPr>
            <w:tcW w:w="1088" w:type="pct"/>
            <w:vMerge/>
            <w:tcBorders>
              <w:left w:val="nil"/>
            </w:tcBorders>
            <w:shd w:val="clear" w:color="auto" w:fill="auto"/>
            <w:vAlign w:val="center"/>
          </w:tcPr>
          <w:p w14:paraId="11575385"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E2BDC4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53AE43C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F6B9ED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58" w:name="_heading=h.3cqmetx" w:colFirst="0" w:colLast="0"/>
            <w:bookmarkEnd w:id="58"/>
            <w:r w:rsidRPr="004829A5">
              <w:rPr>
                <w:rFonts w:ascii="Times New Roman" w:eastAsia="Times New Roman" w:hAnsi="Times New Roman" w:cs="Times New Roman"/>
                <w:color w:val="auto"/>
                <w:sz w:val="18"/>
                <w:szCs w:val="18"/>
              </w:rPr>
              <w:t xml:space="preserve">– </w:t>
            </w:r>
            <w:bookmarkStart w:id="59" w:name="_Hlk141293058"/>
            <w:r w:rsidRPr="004829A5">
              <w:rPr>
                <w:rFonts w:ascii="Times New Roman" w:eastAsia="Times New Roman" w:hAnsi="Times New Roman" w:cs="Times New Roman"/>
                <w:color w:val="auto"/>
                <w:sz w:val="18"/>
                <w:szCs w:val="18"/>
              </w:rPr>
              <w:t>(</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w:t>
            </w:r>
            <w:bookmarkEnd w:id="59"/>
            <w:r w:rsidRPr="004829A5">
              <w:rPr>
                <w:rFonts w:ascii="Times New Roman" w:eastAsia="Times New Roman" w:hAnsi="Times New Roman" w:cs="Times New Roman"/>
                <w:color w:val="auto"/>
                <w:sz w:val="18"/>
                <w:szCs w:val="18"/>
              </w:rPr>
              <w:t>,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3EB9344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1DFBCB2" w14:textId="77777777" w:rsidTr="00053232">
        <w:tc>
          <w:tcPr>
            <w:tcW w:w="1088" w:type="pct"/>
            <w:vMerge/>
            <w:tcBorders>
              <w:left w:val="nil"/>
            </w:tcBorders>
            <w:shd w:val="clear" w:color="auto" w:fill="auto"/>
            <w:vAlign w:val="center"/>
          </w:tcPr>
          <w:p w14:paraId="402FE09D"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7C8BC3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(willing to try, but not necessarily to maintain)</w:t>
            </w:r>
          </w:p>
        </w:tc>
        <w:tc>
          <w:tcPr>
            <w:tcW w:w="1040" w:type="pct"/>
            <w:tcBorders>
              <w:top w:val="single" w:sz="4" w:space="0" w:color="1C3001" w:themeColor="text1"/>
              <w:bottom w:val="single" w:sz="4" w:space="0" w:color="1C3001" w:themeColor="text1"/>
            </w:tcBorders>
            <w:shd w:val="clear" w:color="auto" w:fill="auto"/>
            <w:vAlign w:val="center"/>
          </w:tcPr>
          <w:p w14:paraId="3AE9EB1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3AEBB78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7FEC936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A4C30A0" w14:textId="77777777" w:rsidTr="00053232">
        <w:tc>
          <w:tcPr>
            <w:tcW w:w="1088" w:type="pct"/>
            <w:vMerge w:val="restart"/>
            <w:tcBorders>
              <w:top w:val="single" w:sz="4" w:space="0" w:color="1C3001" w:themeColor="text1"/>
              <w:left w:val="nil"/>
            </w:tcBorders>
            <w:shd w:val="clear" w:color="auto" w:fill="auto"/>
            <w:vAlign w:val="center"/>
          </w:tcPr>
          <w:p w14:paraId="6F56D041"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Disgust (general disgust and food disgust, insect-related disgust)</w:t>
            </w:r>
          </w:p>
        </w:tc>
        <w:tc>
          <w:tcPr>
            <w:tcW w:w="792" w:type="pct"/>
            <w:tcBorders>
              <w:top w:val="single" w:sz="4" w:space="0" w:color="1C3001" w:themeColor="text1"/>
              <w:bottom w:val="single" w:sz="4" w:space="0" w:color="1C3001" w:themeColor="text1"/>
            </w:tcBorders>
            <w:shd w:val="clear" w:color="auto" w:fill="auto"/>
            <w:vAlign w:val="center"/>
          </w:tcPr>
          <w:p w14:paraId="7080346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try</w:t>
            </w:r>
          </w:p>
        </w:tc>
        <w:tc>
          <w:tcPr>
            <w:tcW w:w="1040" w:type="pct"/>
            <w:tcBorders>
              <w:top w:val="single" w:sz="4" w:space="0" w:color="1C3001" w:themeColor="text1"/>
              <w:bottom w:val="single" w:sz="4" w:space="0" w:color="1C3001" w:themeColor="text1"/>
            </w:tcBorders>
            <w:shd w:val="clear" w:color="auto" w:fill="auto"/>
            <w:vAlign w:val="center"/>
          </w:tcPr>
          <w:p w14:paraId="0167A87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0B5BA1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0" w:name="_heading=h.1rvwp1q" w:colFirst="0" w:colLast="0"/>
            <w:bookmarkStart w:id="61" w:name="_Hlk141294811"/>
            <w:bookmarkEnd w:id="60"/>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bookmarkEnd w:id="61"/>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right w:val="nil"/>
            </w:tcBorders>
            <w:shd w:val="clear" w:color="auto" w:fill="auto"/>
            <w:vAlign w:val="center"/>
          </w:tcPr>
          <w:p w14:paraId="56B1B3D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E81A570" w14:textId="77777777" w:rsidTr="00053232">
        <w:tc>
          <w:tcPr>
            <w:tcW w:w="1088" w:type="pct"/>
            <w:vMerge/>
            <w:tcBorders>
              <w:left w:val="nil"/>
            </w:tcBorders>
            <w:shd w:val="clear" w:color="auto" w:fill="auto"/>
            <w:vAlign w:val="center"/>
          </w:tcPr>
          <w:p w14:paraId="57F25798"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7174A99" w14:textId="77777777"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Acceptance</w:t>
            </w:r>
          </w:p>
        </w:tc>
        <w:tc>
          <w:tcPr>
            <w:tcW w:w="1040" w:type="pct"/>
            <w:tcBorders>
              <w:top w:val="single" w:sz="4" w:space="0" w:color="1C3001" w:themeColor="text1"/>
              <w:bottom w:val="single" w:sz="4" w:space="0" w:color="1C3001" w:themeColor="text1"/>
            </w:tcBorders>
            <w:shd w:val="clear" w:color="auto" w:fill="auto"/>
            <w:vAlign w:val="center"/>
          </w:tcPr>
          <w:p w14:paraId="23958409" w14:textId="77777777"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(only algae based-food and plant-based meat </w:t>
            </w:r>
            <w:proofErr w:type="spellStart"/>
            <w:r w:rsidRPr="004829A5">
              <w:rPr>
                <w:rFonts w:ascii="Times New Roman" w:eastAsia="Times New Roman" w:hAnsi="Times New Roman" w:cs="Times New Roman"/>
                <w:color w:val="auto"/>
                <w:sz w:val="18"/>
                <w:szCs w:val="18"/>
              </w:rPr>
              <w:t>alternatvies</w:t>
            </w:r>
            <w:proofErr w:type="spellEnd"/>
            <w:r w:rsidRPr="004829A5">
              <w:rPr>
                <w:rFonts w:ascii="Times New Roman" w:eastAsia="Times New Roman" w:hAnsi="Times New Roman" w:cs="Times New Roman"/>
                <w:color w:val="auto"/>
                <w:sz w:val="18"/>
                <w:szCs w:val="18"/>
              </w:rPr>
              <w:t>; Onwezen et al., 2021)</w:t>
            </w:r>
          </w:p>
        </w:tc>
        <w:tc>
          <w:tcPr>
            <w:tcW w:w="1040" w:type="pct"/>
            <w:tcBorders>
              <w:top w:val="single" w:sz="4" w:space="0" w:color="1C3001" w:themeColor="text1"/>
              <w:bottom w:val="single" w:sz="4" w:space="0" w:color="1C3001" w:themeColor="text1"/>
            </w:tcBorders>
            <w:shd w:val="clear" w:color="auto" w:fill="auto"/>
            <w:vAlign w:val="center"/>
          </w:tcPr>
          <w:p w14:paraId="39F70671" w14:textId="765B2C2C"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bookmarkStart w:id="62" w:name="_heading=h.4bvk7pj" w:colFirst="0" w:colLast="0"/>
            <w:bookmarkStart w:id="63" w:name="_Hlk141294798"/>
            <w:bookmarkEnd w:id="62"/>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p w14:paraId="54BEE73B" w14:textId="22BA9CCF"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Batat</w:t>
            </w:r>
            <w:proofErr w:type="spellEnd"/>
            <w:r w:rsidRPr="004829A5">
              <w:rPr>
                <w:rFonts w:ascii="Times New Roman" w:eastAsia="Times New Roman" w:hAnsi="Times New Roman" w:cs="Times New Roman"/>
                <w:color w:val="auto"/>
                <w:sz w:val="18"/>
                <w:szCs w:val="18"/>
              </w:rPr>
              <w:t xml:space="preserve"> &amp; Peter, 2020)</w:t>
            </w:r>
          </w:p>
          <w:p w14:paraId="3AB99588" w14:textId="6C1E6F50"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Deroy</w:t>
            </w:r>
            <w:proofErr w:type="spellEnd"/>
            <w:r w:rsidRPr="004829A5">
              <w:rPr>
                <w:rFonts w:ascii="Times New Roman" w:eastAsia="Times New Roman" w:hAnsi="Times New Roman" w:cs="Times New Roman"/>
                <w:color w:val="auto"/>
                <w:sz w:val="18"/>
                <w:szCs w:val="18"/>
              </w:rPr>
              <w:t xml:space="preserve"> et al., 2015)</w:t>
            </w:r>
          </w:p>
          <w:p w14:paraId="7CAA46BD" w14:textId="77777777"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(tendency to react with disgust on various stimuli;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bookmarkEnd w:id="63"/>
            <w:r w:rsidRPr="004829A5">
              <w:rPr>
                <w:rFonts w:ascii="Times New Roman" w:eastAsia="Times New Roman" w:hAnsi="Times New Roman" w:cs="Times New Roman"/>
                <w:color w:val="auto"/>
                <w:sz w:val="18"/>
                <w:szCs w:val="18"/>
              </w:rPr>
              <w:t>)</w:t>
            </w:r>
          </w:p>
          <w:p w14:paraId="2B68B3AD" w14:textId="47B1BDAE"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6AC1C6CA" w14:textId="08C68485"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p w14:paraId="26F43682" w14:textId="77777777"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01DBEE20" w14:textId="77777777" w:rsidR="00412C1D" w:rsidRPr="004829A5" w:rsidRDefault="00412C1D" w:rsidP="00EE39AD">
            <w:pPr>
              <w:spacing w:line="240" w:lineRule="auto"/>
              <w:ind w:left="0" w:firstLine="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6D4AED6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1408933" w14:textId="77777777" w:rsidTr="00053232">
        <w:tc>
          <w:tcPr>
            <w:tcW w:w="1088" w:type="pct"/>
            <w:vMerge/>
            <w:tcBorders>
              <w:left w:val="nil"/>
            </w:tcBorders>
            <w:shd w:val="clear" w:color="auto" w:fill="auto"/>
            <w:vAlign w:val="center"/>
          </w:tcPr>
          <w:p w14:paraId="7EB4AC8D"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44C8898" w14:textId="77777777" w:rsidR="00412C1D" w:rsidRPr="004829A5" w:rsidRDefault="00412C1D" w:rsidP="00EE39AD">
            <w:pPr>
              <w:spacing w:line="240" w:lineRule="auto"/>
              <w:ind w:left="90" w:right="-21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3721144C" w14:textId="77777777" w:rsidR="00412C1D" w:rsidRPr="004829A5" w:rsidRDefault="00412C1D" w:rsidP="00EE39AD">
            <w:pPr>
              <w:spacing w:line="240" w:lineRule="auto"/>
              <w:ind w:left="90" w:right="-21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B1482CD" w14:textId="77777777" w:rsidR="00412C1D" w:rsidRPr="004829A5" w:rsidRDefault="00412C1D" w:rsidP="00EE39AD">
            <w:pPr>
              <w:spacing w:line="240" w:lineRule="auto"/>
              <w:ind w:left="90" w:right="-21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2CEAA81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7AF3E0E" w14:textId="77777777" w:rsidTr="00053232">
        <w:tc>
          <w:tcPr>
            <w:tcW w:w="1088" w:type="pct"/>
            <w:vMerge/>
            <w:tcBorders>
              <w:left w:val="nil"/>
              <w:bottom w:val="single" w:sz="4" w:space="0" w:color="1C3001" w:themeColor="text1"/>
            </w:tcBorders>
            <w:shd w:val="clear" w:color="auto" w:fill="auto"/>
            <w:vAlign w:val="center"/>
          </w:tcPr>
          <w:p w14:paraId="63DC3E7F"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356673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74C2F4C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6359F4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022B718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33B77AC" w14:textId="77777777" w:rsidTr="00053232">
        <w:tc>
          <w:tcPr>
            <w:tcW w:w="1088" w:type="pct"/>
            <w:vMerge w:val="restart"/>
            <w:tcBorders>
              <w:top w:val="single" w:sz="4" w:space="0" w:color="1C3001" w:themeColor="text1"/>
              <w:left w:val="nil"/>
            </w:tcBorders>
            <w:shd w:val="clear" w:color="auto" w:fill="auto"/>
            <w:vAlign w:val="center"/>
          </w:tcPr>
          <w:p w14:paraId="78EC7C25"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Self-efficacy for dietary change</w:t>
            </w:r>
          </w:p>
        </w:tc>
        <w:tc>
          <w:tcPr>
            <w:tcW w:w="792" w:type="pct"/>
            <w:tcBorders>
              <w:top w:val="single" w:sz="4" w:space="0" w:color="1C3001" w:themeColor="text1"/>
              <w:bottom w:val="single" w:sz="4" w:space="0" w:color="1C3001" w:themeColor="text1"/>
            </w:tcBorders>
            <w:shd w:val="clear" w:color="auto" w:fill="auto"/>
            <w:vAlign w:val="center"/>
          </w:tcPr>
          <w:p w14:paraId="23639F3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 intention to buy</w:t>
            </w:r>
          </w:p>
        </w:tc>
        <w:tc>
          <w:tcPr>
            <w:tcW w:w="1040" w:type="pct"/>
            <w:tcBorders>
              <w:top w:val="single" w:sz="4" w:space="0" w:color="1C3001" w:themeColor="text1"/>
              <w:bottom w:val="single" w:sz="4" w:space="0" w:color="1C3001" w:themeColor="text1"/>
            </w:tcBorders>
            <w:shd w:val="clear" w:color="auto" w:fill="auto"/>
            <w:vAlign w:val="center"/>
          </w:tcPr>
          <w:p w14:paraId="3FDFB98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4DE356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4" w:name="_heading=h.2r0uhxc" w:colFirst="0" w:colLast="0"/>
            <w:bookmarkEnd w:id="64"/>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Ardoin</w:t>
            </w:r>
            <w:proofErr w:type="spellEnd"/>
            <w:r w:rsidRPr="004829A5">
              <w:rPr>
                <w:rFonts w:ascii="Times New Roman" w:eastAsia="Times New Roman" w:hAnsi="Times New Roman" w:cs="Times New Roman"/>
                <w:color w:val="auto"/>
                <w:sz w:val="18"/>
                <w:szCs w:val="18"/>
              </w:rPr>
              <w:t xml:space="preserve"> &amp; </w:t>
            </w:r>
            <w:proofErr w:type="spellStart"/>
            <w:r w:rsidRPr="004829A5">
              <w:rPr>
                <w:rFonts w:ascii="Times New Roman" w:eastAsia="Times New Roman" w:hAnsi="Times New Roman" w:cs="Times New Roman"/>
                <w:color w:val="auto"/>
                <w:sz w:val="18"/>
                <w:szCs w:val="18"/>
              </w:rPr>
              <w:t>Prinyawiwatkul</w:t>
            </w:r>
            <w:proofErr w:type="spellEnd"/>
            <w:r w:rsidRPr="004829A5">
              <w:rPr>
                <w:rFonts w:ascii="Times New Roman" w:eastAsia="Times New Roman" w:hAnsi="Times New Roman" w:cs="Times New Roman"/>
                <w:color w:val="auto"/>
                <w:sz w:val="18"/>
                <w:szCs w:val="18"/>
              </w:rPr>
              <w:t>,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5BB2BE4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4491180" w14:textId="77777777" w:rsidTr="00053232">
        <w:tc>
          <w:tcPr>
            <w:tcW w:w="1088" w:type="pct"/>
            <w:vMerge/>
            <w:tcBorders>
              <w:left w:val="nil"/>
            </w:tcBorders>
            <w:shd w:val="clear" w:color="auto" w:fill="auto"/>
            <w:vAlign w:val="center"/>
          </w:tcPr>
          <w:p w14:paraId="4B6AEA4F"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tcBorders>
            <w:shd w:val="clear" w:color="auto" w:fill="auto"/>
            <w:vAlign w:val="center"/>
          </w:tcPr>
          <w:p w14:paraId="5FABB70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tcBorders>
            <w:shd w:val="clear" w:color="auto" w:fill="auto"/>
            <w:vAlign w:val="center"/>
          </w:tcPr>
          <w:p w14:paraId="5999A20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tcBorders>
            <w:shd w:val="clear" w:color="auto" w:fill="auto"/>
            <w:vAlign w:val="center"/>
          </w:tcPr>
          <w:p w14:paraId="75EA6EA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right w:val="nil"/>
            </w:tcBorders>
            <w:shd w:val="clear" w:color="auto" w:fill="auto"/>
            <w:vAlign w:val="center"/>
          </w:tcPr>
          <w:p w14:paraId="3DA4547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(Onwezen et al., 2021)</w:t>
            </w:r>
          </w:p>
        </w:tc>
      </w:tr>
      <w:tr w:rsidR="004829A5" w:rsidRPr="004829A5" w14:paraId="6C815FF4" w14:textId="77777777" w:rsidTr="00053232">
        <w:tc>
          <w:tcPr>
            <w:tcW w:w="1088" w:type="pct"/>
            <w:vMerge/>
            <w:tcBorders>
              <w:left w:val="nil"/>
            </w:tcBorders>
            <w:shd w:val="clear" w:color="auto" w:fill="auto"/>
            <w:vAlign w:val="center"/>
          </w:tcPr>
          <w:p w14:paraId="62314526"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bottom w:val="single" w:sz="4" w:space="0" w:color="1C3001" w:themeColor="text1"/>
            </w:tcBorders>
            <w:shd w:val="clear" w:color="auto" w:fill="auto"/>
            <w:vAlign w:val="center"/>
          </w:tcPr>
          <w:p w14:paraId="1736A0F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 adoption of a diet</w:t>
            </w:r>
          </w:p>
        </w:tc>
        <w:tc>
          <w:tcPr>
            <w:tcW w:w="1040" w:type="pct"/>
            <w:tcBorders>
              <w:bottom w:val="single" w:sz="4" w:space="0" w:color="1C3001" w:themeColor="text1"/>
            </w:tcBorders>
            <w:shd w:val="clear" w:color="auto" w:fill="auto"/>
            <w:vAlign w:val="center"/>
          </w:tcPr>
          <w:p w14:paraId="25CAF01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bottom w:val="single" w:sz="4" w:space="0" w:color="1C3001" w:themeColor="text1"/>
            </w:tcBorders>
            <w:shd w:val="clear" w:color="auto" w:fill="auto"/>
            <w:vAlign w:val="center"/>
          </w:tcPr>
          <w:p w14:paraId="756A591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bottom w:val="single" w:sz="4" w:space="0" w:color="1C3001" w:themeColor="text1"/>
              <w:right w:val="nil"/>
            </w:tcBorders>
            <w:shd w:val="clear" w:color="auto" w:fill="auto"/>
            <w:vAlign w:val="center"/>
          </w:tcPr>
          <w:p w14:paraId="0BE85E9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(Giordano et al., 2017)</w:t>
            </w:r>
          </w:p>
        </w:tc>
      </w:tr>
      <w:tr w:rsidR="004829A5" w:rsidRPr="004829A5" w14:paraId="6F4C56D8" w14:textId="77777777" w:rsidTr="00053232">
        <w:tc>
          <w:tcPr>
            <w:tcW w:w="1088" w:type="pct"/>
            <w:vMerge w:val="restart"/>
            <w:tcBorders>
              <w:top w:val="single" w:sz="4" w:space="0" w:color="1C3001" w:themeColor="text1"/>
              <w:left w:val="nil"/>
            </w:tcBorders>
            <w:shd w:val="clear" w:color="auto" w:fill="auto"/>
            <w:vAlign w:val="center"/>
          </w:tcPr>
          <w:p w14:paraId="3A4B0E1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Openness to novelty</w:t>
            </w:r>
          </w:p>
        </w:tc>
        <w:tc>
          <w:tcPr>
            <w:tcW w:w="792" w:type="pct"/>
            <w:tcBorders>
              <w:top w:val="single" w:sz="4" w:space="0" w:color="1C3001" w:themeColor="text1"/>
              <w:bottom w:val="single" w:sz="4" w:space="0" w:color="1C3001" w:themeColor="text1"/>
            </w:tcBorders>
            <w:shd w:val="clear" w:color="auto" w:fill="auto"/>
            <w:vAlign w:val="center"/>
          </w:tcPr>
          <w:p w14:paraId="6C67C13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try</w:t>
            </w:r>
          </w:p>
        </w:tc>
        <w:tc>
          <w:tcPr>
            <w:tcW w:w="1040" w:type="pct"/>
            <w:tcBorders>
              <w:top w:val="single" w:sz="4" w:space="0" w:color="1C3001" w:themeColor="text1"/>
              <w:bottom w:val="single" w:sz="4" w:space="0" w:color="1C3001" w:themeColor="text1"/>
            </w:tcBorders>
            <w:shd w:val="clear" w:color="auto" w:fill="auto"/>
            <w:vAlign w:val="center"/>
          </w:tcPr>
          <w:p w14:paraId="636D7FA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7AC6132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1BD902C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3DA730CC" w14:textId="77777777" w:rsidTr="00053232">
        <w:tc>
          <w:tcPr>
            <w:tcW w:w="1088" w:type="pct"/>
            <w:vMerge/>
            <w:tcBorders>
              <w:left w:val="nil"/>
              <w:bottom w:val="single" w:sz="4" w:space="0" w:color="1C3001" w:themeColor="text1"/>
            </w:tcBorders>
            <w:shd w:val="clear" w:color="auto" w:fill="auto"/>
            <w:vAlign w:val="center"/>
          </w:tcPr>
          <w:p w14:paraId="5EAC9268" w14:textId="77777777" w:rsidR="00412C1D" w:rsidRPr="004829A5" w:rsidRDefault="00412C1D" w:rsidP="00EE39AD">
            <w:pPr>
              <w:spacing w:line="240" w:lineRule="auto"/>
              <w:ind w:left="90" w:firstLine="72"/>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D79760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Initial adoption of a diet (but not maintenance)</w:t>
            </w:r>
          </w:p>
        </w:tc>
        <w:tc>
          <w:tcPr>
            <w:tcW w:w="1040" w:type="pct"/>
            <w:tcBorders>
              <w:top w:val="single" w:sz="4" w:space="0" w:color="1C3001" w:themeColor="text1"/>
              <w:bottom w:val="single" w:sz="4" w:space="0" w:color="1C3001" w:themeColor="text1"/>
            </w:tcBorders>
            <w:shd w:val="clear" w:color="auto" w:fill="auto"/>
            <w:vAlign w:val="center"/>
          </w:tcPr>
          <w:p w14:paraId="57B1A0A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46C92F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44EC9F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(Nguyen et al., 2022)</w:t>
            </w:r>
          </w:p>
        </w:tc>
      </w:tr>
      <w:tr w:rsidR="004829A5" w:rsidRPr="004829A5" w14:paraId="1DC24EDE"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5207C5B2"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lastRenderedPageBreak/>
              <w:t>Extraversion, openness</w:t>
            </w:r>
          </w:p>
        </w:tc>
        <w:tc>
          <w:tcPr>
            <w:tcW w:w="792" w:type="pct"/>
            <w:tcBorders>
              <w:top w:val="single" w:sz="4" w:space="0" w:color="1C3001" w:themeColor="text1"/>
              <w:bottom w:val="single" w:sz="4" w:space="0" w:color="1C3001" w:themeColor="text1"/>
            </w:tcBorders>
            <w:shd w:val="clear" w:color="auto" w:fill="auto"/>
            <w:vAlign w:val="center"/>
          </w:tcPr>
          <w:p w14:paraId="0F38115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 intention to eat</w:t>
            </w:r>
          </w:p>
        </w:tc>
        <w:tc>
          <w:tcPr>
            <w:tcW w:w="1040" w:type="pct"/>
            <w:tcBorders>
              <w:top w:val="single" w:sz="4" w:space="0" w:color="1C3001" w:themeColor="text1"/>
              <w:bottom w:val="single" w:sz="4" w:space="0" w:color="1C3001" w:themeColor="text1"/>
            </w:tcBorders>
            <w:shd w:val="clear" w:color="auto" w:fill="auto"/>
            <w:vAlign w:val="center"/>
          </w:tcPr>
          <w:p w14:paraId="74FECC2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DEA531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5183C89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7B249B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DF42FDC"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42585145"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Agreeableness, neuroticism</w:t>
            </w:r>
          </w:p>
        </w:tc>
        <w:tc>
          <w:tcPr>
            <w:tcW w:w="792" w:type="pct"/>
            <w:tcBorders>
              <w:top w:val="single" w:sz="4" w:space="0" w:color="1C3001" w:themeColor="text1"/>
              <w:bottom w:val="single" w:sz="4" w:space="0" w:color="1C3001" w:themeColor="text1"/>
            </w:tcBorders>
            <w:shd w:val="clear" w:color="auto" w:fill="auto"/>
            <w:vAlign w:val="center"/>
          </w:tcPr>
          <w:p w14:paraId="5132ADD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 intention to eat</w:t>
            </w:r>
          </w:p>
        </w:tc>
        <w:tc>
          <w:tcPr>
            <w:tcW w:w="1040" w:type="pct"/>
            <w:tcBorders>
              <w:top w:val="single" w:sz="4" w:space="0" w:color="1C3001" w:themeColor="text1"/>
              <w:bottom w:val="single" w:sz="4" w:space="0" w:color="1C3001" w:themeColor="text1"/>
            </w:tcBorders>
            <w:shd w:val="clear" w:color="auto" w:fill="auto"/>
            <w:vAlign w:val="center"/>
          </w:tcPr>
          <w:p w14:paraId="2044E36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DD4EAB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3C3E4C5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3D02C2B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1DC9A0F" w14:textId="77777777" w:rsidTr="00D55A2B">
        <w:tc>
          <w:tcPr>
            <w:tcW w:w="5000" w:type="pct"/>
            <w:gridSpan w:val="5"/>
            <w:tcBorders>
              <w:top w:val="single" w:sz="4" w:space="0" w:color="1C3001" w:themeColor="text1"/>
              <w:left w:val="nil"/>
              <w:bottom w:val="single" w:sz="4" w:space="0" w:color="1C3001" w:themeColor="text1"/>
              <w:right w:val="nil"/>
            </w:tcBorders>
            <w:shd w:val="clear" w:color="auto" w:fill="F2F2F2" w:themeFill="background1" w:themeFillShade="F2"/>
            <w:vAlign w:val="center"/>
          </w:tcPr>
          <w:p w14:paraId="0BDCD4C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b/>
                <w:color w:val="auto"/>
                <w:sz w:val="18"/>
                <w:szCs w:val="18"/>
              </w:rPr>
              <w:t>CICI CONEXT: SOCIODEMOGRAPHIC DETERMINANTS</w:t>
            </w:r>
          </w:p>
        </w:tc>
      </w:tr>
      <w:tr w:rsidR="004829A5" w:rsidRPr="004829A5" w14:paraId="262E76C5" w14:textId="77777777" w:rsidTr="00053232">
        <w:tc>
          <w:tcPr>
            <w:tcW w:w="1088" w:type="pct"/>
            <w:vMerge w:val="restart"/>
            <w:tcBorders>
              <w:top w:val="single" w:sz="4" w:space="0" w:color="1C3001" w:themeColor="text1"/>
              <w:left w:val="nil"/>
            </w:tcBorders>
            <w:shd w:val="clear" w:color="auto" w:fill="auto"/>
            <w:vAlign w:val="center"/>
          </w:tcPr>
          <w:p w14:paraId="770F0644" w14:textId="42D6A0A8"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Gender: women</w:t>
            </w:r>
          </w:p>
          <w:p w14:paraId="1670503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p w14:paraId="6DC25560" w14:textId="77777777" w:rsidR="00412C1D" w:rsidRPr="004829A5" w:rsidRDefault="00412C1D" w:rsidP="00EE39AD">
            <w:pPr>
              <w:spacing w:line="240" w:lineRule="auto"/>
              <w:ind w:left="90" w:firstLine="72"/>
              <w:jc w:val="center"/>
              <w:rPr>
                <w:rFonts w:ascii="Times New Roman" w:eastAsia="Times New Roman" w:hAnsi="Times New Roman" w:cs="Times New Roman"/>
                <w:color w:val="auto"/>
                <w:sz w:val="18"/>
                <w:szCs w:val="18"/>
              </w:rPr>
            </w:pPr>
          </w:p>
        </w:tc>
        <w:tc>
          <w:tcPr>
            <w:tcW w:w="792" w:type="pct"/>
            <w:tcBorders>
              <w:bottom w:val="single" w:sz="4" w:space="0" w:color="1C3001" w:themeColor="text1"/>
            </w:tcBorders>
            <w:shd w:val="clear" w:color="auto" w:fill="auto"/>
            <w:vAlign w:val="center"/>
          </w:tcPr>
          <w:p w14:paraId="5352265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bottom w:val="single" w:sz="4" w:space="0" w:color="1C3001" w:themeColor="text1"/>
            </w:tcBorders>
            <w:shd w:val="clear" w:color="auto" w:fill="auto"/>
            <w:vAlign w:val="center"/>
          </w:tcPr>
          <w:p w14:paraId="1195586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bottom w:val="single" w:sz="4" w:space="0" w:color="1C3001" w:themeColor="text1"/>
            </w:tcBorders>
            <w:shd w:val="clear" w:color="auto" w:fill="auto"/>
            <w:vAlign w:val="center"/>
          </w:tcPr>
          <w:p w14:paraId="296E4DB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07A8A34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6B8C91F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bottom w:val="single" w:sz="4" w:space="0" w:color="1C3001" w:themeColor="text1"/>
              <w:right w:val="nil"/>
            </w:tcBorders>
            <w:shd w:val="clear" w:color="auto" w:fill="auto"/>
            <w:vAlign w:val="center"/>
          </w:tcPr>
          <w:p w14:paraId="0AC7986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F543212" w14:textId="77777777" w:rsidTr="00053232">
        <w:tc>
          <w:tcPr>
            <w:tcW w:w="1088" w:type="pct"/>
            <w:vMerge/>
            <w:tcBorders>
              <w:left w:val="nil"/>
            </w:tcBorders>
            <w:shd w:val="clear" w:color="auto" w:fill="auto"/>
            <w:vAlign w:val="center"/>
          </w:tcPr>
          <w:p w14:paraId="5F8F24C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181DB0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buy</w:t>
            </w:r>
          </w:p>
        </w:tc>
        <w:tc>
          <w:tcPr>
            <w:tcW w:w="1040" w:type="pct"/>
            <w:tcBorders>
              <w:top w:val="single" w:sz="4" w:space="0" w:color="1C3001" w:themeColor="text1"/>
              <w:bottom w:val="single" w:sz="4" w:space="0" w:color="1C3001" w:themeColor="text1"/>
            </w:tcBorders>
            <w:shd w:val="clear" w:color="auto" w:fill="auto"/>
            <w:vAlign w:val="center"/>
          </w:tcPr>
          <w:p w14:paraId="3DBB758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5B979BE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245803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9C37A34" w14:textId="77777777" w:rsidTr="00053232">
        <w:tc>
          <w:tcPr>
            <w:tcW w:w="1088" w:type="pct"/>
            <w:vMerge/>
            <w:tcBorders>
              <w:left w:val="nil"/>
            </w:tcBorders>
            <w:shd w:val="clear" w:color="auto" w:fill="auto"/>
            <w:vAlign w:val="center"/>
          </w:tcPr>
          <w:p w14:paraId="7C11949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97E133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w:t>
            </w:r>
          </w:p>
        </w:tc>
        <w:tc>
          <w:tcPr>
            <w:tcW w:w="1040" w:type="pct"/>
            <w:tcBorders>
              <w:top w:val="single" w:sz="4" w:space="0" w:color="1C3001" w:themeColor="text1"/>
              <w:bottom w:val="single" w:sz="4" w:space="0" w:color="1C3001" w:themeColor="text1"/>
            </w:tcBorders>
            <w:shd w:val="clear" w:color="auto" w:fill="auto"/>
            <w:vAlign w:val="center"/>
          </w:tcPr>
          <w:p w14:paraId="04B4CF6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278627E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0B6395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76061A0" w14:textId="77777777" w:rsidTr="00053232">
        <w:tc>
          <w:tcPr>
            <w:tcW w:w="1088" w:type="pct"/>
            <w:vMerge/>
            <w:tcBorders>
              <w:left w:val="nil"/>
            </w:tcBorders>
            <w:shd w:val="clear" w:color="auto" w:fill="auto"/>
            <w:vAlign w:val="center"/>
          </w:tcPr>
          <w:p w14:paraId="6B33F96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3F4B0F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1D3538E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1DD52C4C" w14:textId="3EDE2BA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p w14:paraId="1611176F" w14:textId="6C3E026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(Kauppi et al., 2019)</w:t>
            </w:r>
          </w:p>
          <w:p w14:paraId="28BCBD2A" w14:textId="21EF2DF8"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6BB1C4CE" w14:textId="6FC3430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1DD7F6CB" w14:textId="30EE7B3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(Mancini et al., 2019)</w:t>
            </w:r>
          </w:p>
          <w:p w14:paraId="01238937" w14:textId="4895778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4B53B0B0" w14:textId="7D715E1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64AE222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4C8D514" w14:textId="77777777" w:rsidTr="00053232">
        <w:tc>
          <w:tcPr>
            <w:tcW w:w="1088" w:type="pct"/>
            <w:vMerge/>
            <w:tcBorders>
              <w:left w:val="nil"/>
            </w:tcBorders>
            <w:shd w:val="clear" w:color="auto" w:fill="auto"/>
            <w:vAlign w:val="center"/>
          </w:tcPr>
          <w:p w14:paraId="178DE07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8E9D91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7E399A8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02EAD53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060339B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DDA94A4" w14:textId="77777777" w:rsidTr="00053232">
        <w:tc>
          <w:tcPr>
            <w:tcW w:w="1088" w:type="pct"/>
            <w:vMerge/>
            <w:tcBorders>
              <w:left w:val="nil"/>
            </w:tcBorders>
            <w:shd w:val="clear" w:color="auto" w:fill="auto"/>
            <w:vAlign w:val="center"/>
          </w:tcPr>
          <w:p w14:paraId="67A33D5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C742DE7" w14:textId="1AABCCD9" w:rsidR="00412C1D" w:rsidRPr="004829A5" w:rsidRDefault="0076065F"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w:t>
            </w:r>
            <w:r w:rsidR="00412C1D" w:rsidRPr="004829A5">
              <w:rPr>
                <w:rFonts w:ascii="Times New Roman" w:eastAsia="Times New Roman" w:hAnsi="Times New Roman" w:cs="Times New Roman"/>
                <w:color w:val="auto"/>
                <w:sz w:val="18"/>
                <w:szCs w:val="18"/>
              </w:rPr>
              <w:t>ntake</w:t>
            </w:r>
          </w:p>
        </w:tc>
        <w:tc>
          <w:tcPr>
            <w:tcW w:w="1040" w:type="pct"/>
            <w:tcBorders>
              <w:top w:val="single" w:sz="4" w:space="0" w:color="1C3001" w:themeColor="text1"/>
              <w:bottom w:val="single" w:sz="4" w:space="0" w:color="1C3001" w:themeColor="text1"/>
            </w:tcBorders>
            <w:shd w:val="clear" w:color="auto" w:fill="auto"/>
            <w:vAlign w:val="center"/>
          </w:tcPr>
          <w:p w14:paraId="10120330" w14:textId="0134412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1E10FD1D" w14:textId="6595AFA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tcBorders>
            <w:shd w:val="clear" w:color="auto" w:fill="auto"/>
            <w:vAlign w:val="center"/>
          </w:tcPr>
          <w:p w14:paraId="0CCB0F9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6522B7D9" w14:textId="338B760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7FF3FA69"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r>
      <w:tr w:rsidR="004829A5" w:rsidRPr="004829A5" w14:paraId="538BF8B5" w14:textId="77777777" w:rsidTr="00053232">
        <w:tc>
          <w:tcPr>
            <w:tcW w:w="1088" w:type="pct"/>
            <w:vMerge/>
            <w:tcBorders>
              <w:left w:val="nil"/>
            </w:tcBorders>
            <w:shd w:val="clear" w:color="auto" w:fill="auto"/>
            <w:vAlign w:val="center"/>
          </w:tcPr>
          <w:p w14:paraId="5585333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20AA47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(willing to try, but not necessarily to maintain)</w:t>
            </w:r>
          </w:p>
        </w:tc>
        <w:tc>
          <w:tcPr>
            <w:tcW w:w="1040" w:type="pct"/>
            <w:tcBorders>
              <w:top w:val="single" w:sz="4" w:space="0" w:color="1C3001" w:themeColor="text1"/>
              <w:bottom w:val="single" w:sz="4" w:space="0" w:color="1C3001" w:themeColor="text1"/>
            </w:tcBorders>
            <w:shd w:val="clear" w:color="auto" w:fill="auto"/>
            <w:vAlign w:val="center"/>
          </w:tcPr>
          <w:p w14:paraId="1D53464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EBB4FA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12EAC4C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EF7D77F" w14:textId="77777777" w:rsidTr="00053232">
        <w:tc>
          <w:tcPr>
            <w:tcW w:w="1088" w:type="pct"/>
            <w:vMerge/>
            <w:tcBorders>
              <w:left w:val="nil"/>
            </w:tcBorders>
            <w:shd w:val="clear" w:color="auto" w:fill="auto"/>
            <w:vAlign w:val="center"/>
          </w:tcPr>
          <w:p w14:paraId="3BD11F9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0B64DB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4CCFEEC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(Nguyen et al., 2022)</w:t>
            </w:r>
          </w:p>
        </w:tc>
        <w:tc>
          <w:tcPr>
            <w:tcW w:w="1040" w:type="pct"/>
            <w:tcBorders>
              <w:top w:val="single" w:sz="4" w:space="0" w:color="1C3001" w:themeColor="text1"/>
              <w:bottom w:val="single" w:sz="4" w:space="0" w:color="1C3001" w:themeColor="text1"/>
            </w:tcBorders>
            <w:shd w:val="clear" w:color="auto" w:fill="auto"/>
            <w:vAlign w:val="center"/>
          </w:tcPr>
          <w:p w14:paraId="6007E97C"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 (</w:t>
            </w:r>
            <w:proofErr w:type="spellStart"/>
            <w:r w:rsidRPr="004829A5">
              <w:rPr>
                <w:rFonts w:ascii="Times New Roman" w:eastAsia="Calibri" w:hAnsi="Times New Roman" w:cs="Times New Roman"/>
                <w:color w:val="auto"/>
                <w:sz w:val="18"/>
                <w:szCs w:val="18"/>
              </w:rPr>
              <w:t>Florença</w:t>
            </w:r>
            <w:proofErr w:type="spellEnd"/>
            <w:r w:rsidRPr="004829A5">
              <w:rPr>
                <w:rFonts w:ascii="Times New Roman" w:eastAsia="Calibri" w:hAnsi="Times New Roman" w:cs="Times New Roman"/>
                <w:color w:val="auto"/>
                <w:sz w:val="18"/>
                <w:szCs w:val="18"/>
              </w:rPr>
              <w:t xml:space="preserve"> et al., 2022)</w:t>
            </w:r>
          </w:p>
          <w:p w14:paraId="2A9525CC" w14:textId="083B4BFA" w:rsidR="00412C1D" w:rsidRPr="004829A5" w:rsidRDefault="00412C1D" w:rsidP="00EE39AD">
            <w:pPr>
              <w:spacing w:line="240" w:lineRule="auto"/>
              <w:ind w:left="90"/>
              <w:jc w:val="center"/>
              <w:rPr>
                <w:rFonts w:ascii="Times New Roman" w:eastAsia="Calibri" w:hAnsi="Times New Roman" w:cs="Times New Roman"/>
                <w:color w:val="auto"/>
                <w:sz w:val="18"/>
                <w:szCs w:val="18"/>
              </w:rPr>
            </w:pPr>
            <w:r w:rsidRPr="004829A5">
              <w:rPr>
                <w:rFonts w:ascii="Times New Roman" w:eastAsia="Calibri" w:hAnsi="Times New Roman" w:cs="Times New Roman"/>
                <w:color w:val="auto"/>
                <w:sz w:val="18"/>
                <w:szCs w:val="18"/>
              </w:rPr>
              <w:t>0 (Nguyen et al., 2022)</w:t>
            </w:r>
          </w:p>
          <w:p w14:paraId="36D7BE3B" w14:textId="65DE651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(Weinrich, 2019)</w:t>
            </w:r>
          </w:p>
        </w:tc>
        <w:tc>
          <w:tcPr>
            <w:tcW w:w="1040" w:type="pct"/>
            <w:tcBorders>
              <w:top w:val="single" w:sz="4" w:space="0" w:color="1C3001" w:themeColor="text1"/>
              <w:bottom w:val="single" w:sz="4" w:space="0" w:color="1C3001" w:themeColor="text1"/>
              <w:right w:val="nil"/>
            </w:tcBorders>
            <w:shd w:val="clear" w:color="auto" w:fill="auto"/>
            <w:vAlign w:val="center"/>
          </w:tcPr>
          <w:p w14:paraId="0DA99CF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A5F306F" w14:textId="77777777" w:rsidTr="00053232">
        <w:tc>
          <w:tcPr>
            <w:tcW w:w="1088" w:type="pct"/>
            <w:vMerge/>
            <w:tcBorders>
              <w:left w:val="nil"/>
              <w:bottom w:val="single" w:sz="4" w:space="0" w:color="1C3001" w:themeColor="text1"/>
            </w:tcBorders>
            <w:shd w:val="clear" w:color="auto" w:fill="auto"/>
            <w:vAlign w:val="center"/>
          </w:tcPr>
          <w:p w14:paraId="4512F13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2BC88C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Self-reported intake</w:t>
            </w:r>
          </w:p>
        </w:tc>
        <w:tc>
          <w:tcPr>
            <w:tcW w:w="1040" w:type="pct"/>
            <w:tcBorders>
              <w:top w:val="single" w:sz="4" w:space="0" w:color="1C3001" w:themeColor="text1"/>
              <w:bottom w:val="single" w:sz="4" w:space="0" w:color="1C3001" w:themeColor="text1"/>
            </w:tcBorders>
            <w:shd w:val="clear" w:color="auto" w:fill="auto"/>
            <w:vAlign w:val="center"/>
          </w:tcPr>
          <w:p w14:paraId="15D8CE55" w14:textId="4489D2E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r w:rsidR="00727016" w:rsidRPr="004829A5">
              <w:rPr>
                <w:rFonts w:ascii="Times New Roman" w:eastAsia="Times New Roman" w:hAnsi="Times New Roman" w:cs="Times New Roman"/>
                <w:color w:val="auto"/>
                <w:sz w:val="18"/>
                <w:szCs w:val="18"/>
              </w:rPr>
              <w:t>)</w:t>
            </w:r>
          </w:p>
        </w:tc>
        <w:tc>
          <w:tcPr>
            <w:tcW w:w="1040" w:type="pct"/>
            <w:tcBorders>
              <w:top w:val="single" w:sz="4" w:space="0" w:color="1C3001" w:themeColor="text1"/>
              <w:bottom w:val="single" w:sz="4" w:space="0" w:color="1C3001" w:themeColor="text1"/>
            </w:tcBorders>
            <w:shd w:val="clear" w:color="auto" w:fill="auto"/>
            <w:vAlign w:val="center"/>
          </w:tcPr>
          <w:p w14:paraId="39704CA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4396ED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5EE9211" w14:textId="77777777" w:rsidTr="00053232">
        <w:tc>
          <w:tcPr>
            <w:tcW w:w="1088" w:type="pct"/>
            <w:vMerge w:val="restart"/>
            <w:tcBorders>
              <w:top w:val="single" w:sz="4" w:space="0" w:color="1C3001" w:themeColor="text1"/>
              <w:left w:val="nil"/>
            </w:tcBorders>
            <w:shd w:val="clear" w:color="auto" w:fill="auto"/>
            <w:vAlign w:val="center"/>
          </w:tcPr>
          <w:p w14:paraId="40D200D8" w14:textId="1FD9618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Gender/age as moderator</w:t>
            </w:r>
          </w:p>
        </w:tc>
        <w:tc>
          <w:tcPr>
            <w:tcW w:w="792" w:type="pct"/>
            <w:tcBorders>
              <w:top w:val="single" w:sz="4" w:space="0" w:color="1C3001" w:themeColor="text1"/>
            </w:tcBorders>
            <w:shd w:val="clear" w:color="auto" w:fill="auto"/>
            <w:vAlign w:val="center"/>
          </w:tcPr>
          <w:p w14:paraId="5377353C" w14:textId="717F2BA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tcBorders>
            <w:shd w:val="clear" w:color="auto" w:fill="auto"/>
            <w:vAlign w:val="center"/>
          </w:tcPr>
          <w:p w14:paraId="1F4225A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(older women;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tcBorders>
            <w:shd w:val="clear" w:color="auto" w:fill="auto"/>
            <w:vAlign w:val="center"/>
          </w:tcPr>
          <w:p w14:paraId="47AC2062" w14:textId="36BB1EB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(no gender differences for unprocessed APF, gender differences in case of processed APF;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right w:val="nil"/>
            </w:tcBorders>
            <w:shd w:val="clear" w:color="auto" w:fill="auto"/>
            <w:vAlign w:val="center"/>
          </w:tcPr>
          <w:p w14:paraId="316334D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3AB1EFC" w14:textId="77777777" w:rsidTr="00053232">
        <w:tc>
          <w:tcPr>
            <w:tcW w:w="1088" w:type="pct"/>
            <w:vMerge/>
            <w:tcBorders>
              <w:left w:val="nil"/>
            </w:tcBorders>
            <w:shd w:val="clear" w:color="auto" w:fill="auto"/>
            <w:vAlign w:val="center"/>
          </w:tcPr>
          <w:p w14:paraId="6C6662FA"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2EEFF1A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Trying (initial adoption)</w:t>
            </w:r>
          </w:p>
        </w:tc>
        <w:tc>
          <w:tcPr>
            <w:tcW w:w="1040" w:type="pct"/>
            <w:tcBorders>
              <w:top w:val="single" w:sz="4" w:space="0" w:color="1C3001" w:themeColor="text1"/>
              <w:bottom w:val="single" w:sz="4" w:space="0" w:color="1C3001" w:themeColor="text1"/>
            </w:tcBorders>
            <w:shd w:val="clear" w:color="auto" w:fill="auto"/>
            <w:vAlign w:val="center"/>
          </w:tcPr>
          <w:p w14:paraId="46157B0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11E086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(younger men; Kauppi et al., 2019)</w:t>
            </w:r>
          </w:p>
        </w:tc>
        <w:tc>
          <w:tcPr>
            <w:tcW w:w="1040" w:type="pct"/>
            <w:tcBorders>
              <w:top w:val="single" w:sz="4" w:space="0" w:color="1C3001" w:themeColor="text1"/>
              <w:bottom w:val="single" w:sz="4" w:space="0" w:color="1C3001" w:themeColor="text1"/>
              <w:right w:val="nil"/>
            </w:tcBorders>
            <w:shd w:val="clear" w:color="auto" w:fill="auto"/>
            <w:vAlign w:val="center"/>
          </w:tcPr>
          <w:p w14:paraId="3834FB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80EB49E"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36D09DC3"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Gender as a moderator</w:t>
            </w:r>
          </w:p>
        </w:tc>
        <w:tc>
          <w:tcPr>
            <w:tcW w:w="792" w:type="pct"/>
            <w:tcBorders>
              <w:top w:val="single" w:sz="4" w:space="0" w:color="1C3001" w:themeColor="text1"/>
              <w:bottom w:val="single" w:sz="4" w:space="0" w:color="1C3001" w:themeColor="text1"/>
            </w:tcBorders>
            <w:shd w:val="clear" w:color="auto" w:fill="auto"/>
            <w:vAlign w:val="center"/>
          </w:tcPr>
          <w:p w14:paraId="7C41111C" w14:textId="4396BD1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Health, production type and nutrition motivation (important among women but not men)</w:t>
            </w:r>
          </w:p>
        </w:tc>
        <w:tc>
          <w:tcPr>
            <w:tcW w:w="1040" w:type="pct"/>
            <w:tcBorders>
              <w:top w:val="single" w:sz="4" w:space="0" w:color="1C3001" w:themeColor="text1"/>
              <w:bottom w:val="single" w:sz="4" w:space="0" w:color="1C3001" w:themeColor="text1"/>
            </w:tcBorders>
            <w:shd w:val="clear" w:color="auto" w:fill="auto"/>
            <w:vAlign w:val="center"/>
          </w:tcPr>
          <w:p w14:paraId="673A661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66C6BF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48776947" w14:textId="08E09D9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r>
      <w:tr w:rsidR="004829A5" w:rsidRPr="004829A5" w14:paraId="7302AF22" w14:textId="77777777" w:rsidTr="00053232">
        <w:tc>
          <w:tcPr>
            <w:tcW w:w="1088" w:type="pct"/>
            <w:tcBorders>
              <w:top w:val="single" w:sz="4" w:space="0" w:color="1C3001" w:themeColor="text1"/>
              <w:left w:val="nil"/>
              <w:bottom w:val="single" w:sz="4" w:space="0" w:color="1C3001" w:themeColor="text1"/>
            </w:tcBorders>
            <w:shd w:val="clear" w:color="auto" w:fill="auto"/>
            <w:vAlign w:val="center"/>
          </w:tcPr>
          <w:p w14:paraId="5733D37C"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Age/gender as a moderator of the effectiveness of education interventions</w:t>
            </w:r>
          </w:p>
        </w:tc>
        <w:tc>
          <w:tcPr>
            <w:tcW w:w="792" w:type="pct"/>
            <w:tcBorders>
              <w:top w:val="single" w:sz="4" w:space="0" w:color="1C3001" w:themeColor="text1"/>
              <w:bottom w:val="single" w:sz="4" w:space="0" w:color="1C3001" w:themeColor="text1"/>
            </w:tcBorders>
            <w:shd w:val="clear" w:color="auto" w:fill="auto"/>
            <w:vAlign w:val="center"/>
          </w:tcPr>
          <w:p w14:paraId="7A451DD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adopt a diet</w:t>
            </w:r>
          </w:p>
        </w:tc>
        <w:tc>
          <w:tcPr>
            <w:tcW w:w="1040" w:type="pct"/>
            <w:tcBorders>
              <w:top w:val="single" w:sz="4" w:space="0" w:color="1C3001" w:themeColor="text1"/>
              <w:bottom w:val="single" w:sz="4" w:space="0" w:color="1C3001" w:themeColor="text1"/>
            </w:tcBorders>
            <w:shd w:val="clear" w:color="auto" w:fill="auto"/>
            <w:vAlign w:val="center"/>
          </w:tcPr>
          <w:p w14:paraId="4896296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(younger women; Nguyen et al., 2022)</w:t>
            </w:r>
          </w:p>
        </w:tc>
        <w:tc>
          <w:tcPr>
            <w:tcW w:w="1040" w:type="pct"/>
            <w:tcBorders>
              <w:top w:val="single" w:sz="4" w:space="0" w:color="1C3001" w:themeColor="text1"/>
              <w:bottom w:val="single" w:sz="4" w:space="0" w:color="1C3001" w:themeColor="text1"/>
            </w:tcBorders>
            <w:shd w:val="clear" w:color="auto" w:fill="auto"/>
            <w:vAlign w:val="center"/>
          </w:tcPr>
          <w:p w14:paraId="43C02B8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(younger men; Kauppi et al., 2019)</w:t>
            </w:r>
          </w:p>
        </w:tc>
        <w:tc>
          <w:tcPr>
            <w:tcW w:w="1040" w:type="pct"/>
            <w:tcBorders>
              <w:top w:val="single" w:sz="4" w:space="0" w:color="1C3001" w:themeColor="text1"/>
              <w:bottom w:val="single" w:sz="4" w:space="0" w:color="1C3001" w:themeColor="text1"/>
              <w:right w:val="nil"/>
            </w:tcBorders>
            <w:shd w:val="clear" w:color="auto" w:fill="auto"/>
            <w:vAlign w:val="center"/>
          </w:tcPr>
          <w:p w14:paraId="3E52368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72576C5F" w14:textId="77777777" w:rsidTr="00053232">
        <w:tc>
          <w:tcPr>
            <w:tcW w:w="1088" w:type="pct"/>
            <w:vMerge w:val="restart"/>
            <w:tcBorders>
              <w:top w:val="single" w:sz="4" w:space="0" w:color="1C3001" w:themeColor="text1"/>
              <w:left w:val="nil"/>
            </w:tcBorders>
            <w:shd w:val="clear" w:color="auto" w:fill="auto"/>
            <w:vAlign w:val="center"/>
          </w:tcPr>
          <w:p w14:paraId="4905A03D" w14:textId="2C0B0805"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Age: younger consumers</w:t>
            </w:r>
          </w:p>
        </w:tc>
        <w:tc>
          <w:tcPr>
            <w:tcW w:w="792" w:type="pct"/>
            <w:tcBorders>
              <w:top w:val="single" w:sz="4" w:space="0" w:color="1C3001" w:themeColor="text1"/>
              <w:bottom w:val="single" w:sz="4" w:space="0" w:color="1C3001" w:themeColor="text1"/>
            </w:tcBorders>
            <w:shd w:val="clear" w:color="auto" w:fill="auto"/>
            <w:vAlign w:val="center"/>
          </w:tcPr>
          <w:p w14:paraId="77E12BC8" w14:textId="3E3F70F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eat</w:t>
            </w:r>
          </w:p>
        </w:tc>
        <w:tc>
          <w:tcPr>
            <w:tcW w:w="1040" w:type="pct"/>
            <w:tcBorders>
              <w:top w:val="single" w:sz="4" w:space="0" w:color="1C3001" w:themeColor="text1"/>
              <w:bottom w:val="single" w:sz="4" w:space="0" w:color="1C3001" w:themeColor="text1"/>
            </w:tcBorders>
            <w:shd w:val="clear" w:color="auto" w:fill="auto"/>
            <w:vAlign w:val="center"/>
          </w:tcPr>
          <w:p w14:paraId="14599FE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Nguyen, 2022</w:t>
            </w:r>
          </w:p>
        </w:tc>
        <w:tc>
          <w:tcPr>
            <w:tcW w:w="1040" w:type="pct"/>
            <w:tcBorders>
              <w:top w:val="single" w:sz="4" w:space="0" w:color="1C3001" w:themeColor="text1"/>
              <w:bottom w:val="single" w:sz="4" w:space="0" w:color="1C3001" w:themeColor="text1"/>
            </w:tcBorders>
            <w:shd w:val="clear" w:color="auto" w:fill="auto"/>
            <w:vAlign w:val="center"/>
          </w:tcPr>
          <w:p w14:paraId="4D5736E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5E236A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58C435D" w14:textId="77777777" w:rsidTr="00053232">
        <w:tc>
          <w:tcPr>
            <w:tcW w:w="1088" w:type="pct"/>
            <w:vMerge/>
            <w:tcBorders>
              <w:left w:val="nil"/>
            </w:tcBorders>
            <w:shd w:val="clear" w:color="auto" w:fill="auto"/>
            <w:vAlign w:val="center"/>
          </w:tcPr>
          <w:p w14:paraId="1EE5723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35AC167" w14:textId="22DCD88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2BBA731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2ADD4D89" w14:textId="0D6C242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5" w:name="_heading=h.1664s55" w:colFirst="0" w:colLast="0"/>
            <w:bookmarkEnd w:id="65"/>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06F44C00" w14:textId="08B426A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65145D8F" w14:textId="023C2592"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lastRenderedPageBreak/>
              <w:t>+ (</w:t>
            </w:r>
            <w:proofErr w:type="spellStart"/>
            <w:r w:rsidRPr="004829A5">
              <w:rPr>
                <w:rFonts w:ascii="Times New Roman" w:eastAsia="Times New Roman" w:hAnsi="Times New Roman" w:cs="Times New Roman"/>
                <w:color w:val="auto"/>
                <w:sz w:val="18"/>
                <w:szCs w:val="18"/>
              </w:rPr>
              <w:t>Toti</w:t>
            </w:r>
            <w:proofErr w:type="spellEnd"/>
            <w:r w:rsidRPr="004829A5">
              <w:rPr>
                <w:rFonts w:ascii="Times New Roman" w:eastAsia="Times New Roman" w:hAnsi="Times New Roman" w:cs="Times New Roman"/>
                <w:color w:val="auto"/>
                <w:sz w:val="18"/>
                <w:szCs w:val="18"/>
              </w:rPr>
              <w:t xml:space="preserve"> et al., 2020)</w:t>
            </w:r>
          </w:p>
          <w:p w14:paraId="595634AD" w14:textId="587A156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(Weinrich, 2019)</w:t>
            </w:r>
          </w:p>
          <w:p w14:paraId="5B2FC91B" w14:textId="5E93CF3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5342FF1A" w14:textId="67811D5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lastRenderedPageBreak/>
              <w:t xml:space="preserve">+ (mushroom-based products;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4C4170AC" w14:textId="5F4F5A76"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lastRenderedPageBreak/>
              <w:t>0 (Nguyen et al., 2022)</w:t>
            </w:r>
          </w:p>
        </w:tc>
      </w:tr>
      <w:tr w:rsidR="004829A5" w:rsidRPr="004829A5" w14:paraId="69E9355E" w14:textId="77777777" w:rsidTr="00053232">
        <w:tc>
          <w:tcPr>
            <w:tcW w:w="1088" w:type="pct"/>
            <w:vMerge/>
            <w:tcBorders>
              <w:left w:val="nil"/>
            </w:tcBorders>
            <w:shd w:val="clear" w:color="auto" w:fill="auto"/>
            <w:vAlign w:val="center"/>
          </w:tcPr>
          <w:p w14:paraId="71010832" w14:textId="77777777" w:rsidR="00412C1D" w:rsidRPr="004829A5" w:rsidRDefault="00412C1D" w:rsidP="00EE39AD">
            <w:pPr>
              <w:spacing w:line="240" w:lineRule="auto"/>
              <w:ind w:left="90"/>
              <w:jc w:val="center"/>
              <w:rPr>
                <w:rFonts w:ascii="Times New Roman" w:eastAsia="Calibri"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4FA455F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bottom w:val="single" w:sz="4" w:space="0" w:color="1C3001" w:themeColor="text1"/>
            </w:tcBorders>
            <w:shd w:val="clear" w:color="auto" w:fill="auto"/>
            <w:vAlign w:val="center"/>
          </w:tcPr>
          <w:p w14:paraId="6E82722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1D61BCA0" w14:textId="024E4221"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(meta-analysis -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498E0F2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1B3EB6F8" w14:textId="77777777" w:rsidTr="00053232">
        <w:tc>
          <w:tcPr>
            <w:tcW w:w="1088" w:type="pct"/>
            <w:vMerge/>
            <w:tcBorders>
              <w:left w:val="nil"/>
            </w:tcBorders>
            <w:shd w:val="clear" w:color="auto" w:fill="auto"/>
            <w:vAlign w:val="center"/>
          </w:tcPr>
          <w:p w14:paraId="32B1594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58BBA60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Trying (not maintenance)</w:t>
            </w:r>
          </w:p>
        </w:tc>
        <w:tc>
          <w:tcPr>
            <w:tcW w:w="1040" w:type="pct"/>
            <w:tcBorders>
              <w:top w:val="single" w:sz="4" w:space="0" w:color="1C3001" w:themeColor="text1"/>
              <w:bottom w:val="single" w:sz="4" w:space="0" w:color="1C3001" w:themeColor="text1"/>
            </w:tcBorders>
            <w:shd w:val="clear" w:color="auto" w:fill="auto"/>
            <w:vAlign w:val="center"/>
          </w:tcPr>
          <w:p w14:paraId="31DC55B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6CD065A1" w14:textId="0F4B96A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(in children;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11D7B4C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40514643" w14:textId="77777777" w:rsidTr="00053232">
        <w:tc>
          <w:tcPr>
            <w:tcW w:w="1088" w:type="pct"/>
            <w:vMerge/>
            <w:tcBorders>
              <w:left w:val="nil"/>
            </w:tcBorders>
            <w:shd w:val="clear" w:color="auto" w:fill="auto"/>
            <w:vAlign w:val="center"/>
          </w:tcPr>
          <w:p w14:paraId="4FFE13EC"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14F17AE" w14:textId="38566351" w:rsidR="00412C1D" w:rsidRPr="004829A5" w:rsidRDefault="0076065F"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w:t>
            </w:r>
            <w:r w:rsidR="00412C1D" w:rsidRPr="004829A5">
              <w:rPr>
                <w:rFonts w:ascii="Times New Roman" w:eastAsia="Times New Roman" w:hAnsi="Times New Roman" w:cs="Times New Roman"/>
                <w:color w:val="auto"/>
                <w:sz w:val="18"/>
                <w:szCs w:val="18"/>
              </w:rPr>
              <w:t>ntake</w:t>
            </w:r>
          </w:p>
        </w:tc>
        <w:tc>
          <w:tcPr>
            <w:tcW w:w="1040" w:type="pct"/>
            <w:tcBorders>
              <w:top w:val="single" w:sz="4" w:space="0" w:color="1C3001" w:themeColor="text1"/>
              <w:bottom w:val="single" w:sz="4" w:space="0" w:color="1C3001" w:themeColor="text1"/>
            </w:tcBorders>
            <w:shd w:val="clear" w:color="auto" w:fill="auto"/>
            <w:vAlign w:val="center"/>
          </w:tcPr>
          <w:p w14:paraId="324C4AF9" w14:textId="61DE392A"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Alvi</w:t>
            </w:r>
            <w:proofErr w:type="spellEnd"/>
            <w:r w:rsidRPr="004829A5">
              <w:rPr>
                <w:rFonts w:ascii="Times New Roman" w:eastAsia="Times New Roman" w:hAnsi="Times New Roman" w:cs="Times New Roman"/>
                <w:color w:val="auto"/>
                <w:sz w:val="18"/>
                <w:szCs w:val="18"/>
              </w:rPr>
              <w:t xml:space="preserve"> et al., 2022)</w:t>
            </w:r>
          </w:p>
          <w:p w14:paraId="33E5075A" w14:textId="51EB7FF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7457D9D0" w14:textId="3896D14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694C03C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4392BC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tc>
      </w:tr>
      <w:tr w:rsidR="004829A5" w:rsidRPr="004829A5" w14:paraId="61343486" w14:textId="77777777" w:rsidTr="00053232">
        <w:tc>
          <w:tcPr>
            <w:tcW w:w="1088" w:type="pct"/>
            <w:vMerge/>
            <w:tcBorders>
              <w:left w:val="nil"/>
            </w:tcBorders>
            <w:shd w:val="clear" w:color="auto" w:fill="auto"/>
            <w:vAlign w:val="center"/>
          </w:tcPr>
          <w:p w14:paraId="0901516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129DC1A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(willing to try, but not necessary maintain)</w:t>
            </w:r>
          </w:p>
        </w:tc>
        <w:tc>
          <w:tcPr>
            <w:tcW w:w="1040" w:type="pct"/>
            <w:tcBorders>
              <w:top w:val="single" w:sz="4" w:space="0" w:color="1C3001" w:themeColor="text1"/>
              <w:bottom w:val="single" w:sz="4" w:space="0" w:color="1C3001" w:themeColor="text1"/>
            </w:tcBorders>
            <w:shd w:val="clear" w:color="auto" w:fill="auto"/>
            <w:vAlign w:val="center"/>
          </w:tcPr>
          <w:p w14:paraId="491BE61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4E56A47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6" w:name="_heading=h.3q5sasy" w:colFirst="0" w:colLast="0"/>
            <w:bookmarkEnd w:id="66"/>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top w:val="single" w:sz="4" w:space="0" w:color="1C3001" w:themeColor="text1"/>
              <w:bottom w:val="single" w:sz="4" w:space="0" w:color="1C3001" w:themeColor="text1"/>
              <w:right w:val="nil"/>
            </w:tcBorders>
            <w:shd w:val="clear" w:color="auto" w:fill="auto"/>
            <w:vAlign w:val="center"/>
          </w:tcPr>
          <w:p w14:paraId="6CF07E8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7F690D4" w14:textId="77777777" w:rsidTr="00053232">
        <w:tc>
          <w:tcPr>
            <w:tcW w:w="1088" w:type="pct"/>
            <w:vMerge/>
            <w:tcBorders>
              <w:left w:val="nil"/>
            </w:tcBorders>
            <w:shd w:val="clear" w:color="auto" w:fill="auto"/>
            <w:vAlign w:val="center"/>
          </w:tcPr>
          <w:p w14:paraId="2ACFED3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05CB5BF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adopt</w:t>
            </w:r>
          </w:p>
        </w:tc>
        <w:tc>
          <w:tcPr>
            <w:tcW w:w="1040" w:type="pct"/>
            <w:tcBorders>
              <w:top w:val="single" w:sz="4" w:space="0" w:color="1C3001" w:themeColor="text1"/>
              <w:bottom w:val="single" w:sz="4" w:space="0" w:color="1C3001" w:themeColor="text1"/>
            </w:tcBorders>
            <w:shd w:val="clear" w:color="auto" w:fill="auto"/>
            <w:vAlign w:val="center"/>
          </w:tcPr>
          <w:p w14:paraId="6593496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5E72C862" w14:textId="0CE816B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c>
          <w:tcPr>
            <w:tcW w:w="1040" w:type="pct"/>
            <w:tcBorders>
              <w:top w:val="single" w:sz="4" w:space="0" w:color="1C3001" w:themeColor="text1"/>
              <w:bottom w:val="single" w:sz="4" w:space="0" w:color="1C3001" w:themeColor="text1"/>
              <w:right w:val="nil"/>
            </w:tcBorders>
            <w:shd w:val="clear" w:color="auto" w:fill="auto"/>
            <w:vAlign w:val="center"/>
          </w:tcPr>
          <w:p w14:paraId="747E2FA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0A6D43A" w14:textId="77777777" w:rsidTr="00053232">
        <w:tc>
          <w:tcPr>
            <w:tcW w:w="1088" w:type="pct"/>
            <w:vMerge/>
            <w:tcBorders>
              <w:left w:val="nil"/>
              <w:bottom w:val="single" w:sz="4" w:space="0" w:color="1C3001" w:themeColor="text1"/>
            </w:tcBorders>
            <w:shd w:val="clear" w:color="auto" w:fill="auto"/>
            <w:vAlign w:val="center"/>
          </w:tcPr>
          <w:p w14:paraId="391EDE5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7045B5A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 of a diet</w:t>
            </w:r>
          </w:p>
        </w:tc>
        <w:tc>
          <w:tcPr>
            <w:tcW w:w="1040" w:type="pct"/>
            <w:tcBorders>
              <w:top w:val="single" w:sz="4" w:space="0" w:color="1C3001" w:themeColor="text1"/>
              <w:bottom w:val="single" w:sz="4" w:space="0" w:color="1C3001" w:themeColor="text1"/>
            </w:tcBorders>
            <w:shd w:val="clear" w:color="auto" w:fill="auto"/>
            <w:vAlign w:val="center"/>
          </w:tcPr>
          <w:p w14:paraId="3D57C5E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B4F115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7" w:name="_heading=h.25b2l0r" w:colFirst="0" w:colLast="0"/>
            <w:bookmarkEnd w:id="67"/>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5359372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6957330E" w14:textId="77777777" w:rsidTr="00053232">
        <w:tc>
          <w:tcPr>
            <w:tcW w:w="1088" w:type="pct"/>
            <w:vMerge w:val="restart"/>
            <w:tcBorders>
              <w:top w:val="single" w:sz="4" w:space="0" w:color="1C3001" w:themeColor="text1"/>
              <w:left w:val="nil"/>
            </w:tcBorders>
            <w:shd w:val="clear" w:color="auto" w:fill="auto"/>
            <w:vAlign w:val="center"/>
          </w:tcPr>
          <w:p w14:paraId="3B2879DB" w14:textId="3EBD5176"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Higher education status</w:t>
            </w:r>
          </w:p>
        </w:tc>
        <w:tc>
          <w:tcPr>
            <w:tcW w:w="792" w:type="pct"/>
            <w:tcBorders>
              <w:top w:val="single" w:sz="4" w:space="0" w:color="1C3001" w:themeColor="text1"/>
              <w:bottom w:val="single" w:sz="4" w:space="0" w:color="1C3001" w:themeColor="text1"/>
            </w:tcBorders>
            <w:shd w:val="clear" w:color="auto" w:fill="auto"/>
            <w:vAlign w:val="center"/>
          </w:tcPr>
          <w:p w14:paraId="1AD796A9" w14:textId="7FEAFEE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5BBB8B8A" w14:textId="75428284"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p w14:paraId="44E5052C" w14:textId="1144726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(higher plant intake;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2104533C" w14:textId="7B95D905"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8" w:name="_heading=h.kgcv8k" w:colFirst="0" w:colLast="0"/>
            <w:bookmarkEnd w:id="68"/>
            <w:r w:rsidRPr="004829A5">
              <w:rPr>
                <w:rFonts w:ascii="Times New Roman" w:eastAsia="Times New Roman" w:hAnsi="Times New Roman" w:cs="Times New Roman"/>
                <w:color w:val="auto"/>
                <w:sz w:val="18"/>
                <w:szCs w:val="18"/>
              </w:rPr>
              <w:t>(higher plant intake);</w:t>
            </w:r>
          </w:p>
          <w:p w14:paraId="3DF9EE0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382C6199" w14:textId="3EB37E9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19A8FE21" w14:textId="070D392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(Kauppi et al., 2019);</w:t>
            </w:r>
          </w:p>
          <w:p w14:paraId="0329FFC6" w14:textId="2156917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Kröger</w:t>
            </w:r>
            <w:proofErr w:type="spellEnd"/>
            <w:r w:rsidRPr="004829A5">
              <w:rPr>
                <w:rFonts w:ascii="Times New Roman" w:eastAsia="Times New Roman" w:hAnsi="Times New Roman" w:cs="Times New Roman"/>
                <w:color w:val="auto"/>
                <w:sz w:val="18"/>
                <w:szCs w:val="18"/>
              </w:rPr>
              <w:t xml:space="preserve"> et al., 2022);</w:t>
            </w:r>
          </w:p>
          <w:p w14:paraId="7D4602DA" w14:textId="1118601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(Mina et al., 2023);</w:t>
            </w:r>
          </w:p>
          <w:p w14:paraId="01E860A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Wendin</w:t>
            </w:r>
            <w:proofErr w:type="spellEnd"/>
            <w:r w:rsidRPr="004829A5">
              <w:rPr>
                <w:rFonts w:ascii="Times New Roman" w:eastAsia="Times New Roman" w:hAnsi="Times New Roman" w:cs="Times New Roman"/>
                <w:color w:val="auto"/>
                <w:sz w:val="18"/>
                <w:szCs w:val="18"/>
              </w:rPr>
              <w:t xml:space="preserve"> &amp; Nyberg, 2021)</w:t>
            </w:r>
          </w:p>
          <w:p w14:paraId="6D63C104"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6F0A726" w14:textId="6F2A6F73"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De </w:t>
            </w:r>
            <w:proofErr w:type="spellStart"/>
            <w:r w:rsidRPr="004829A5">
              <w:rPr>
                <w:rFonts w:ascii="Times New Roman" w:eastAsia="Times New Roman" w:hAnsi="Times New Roman" w:cs="Times New Roman"/>
                <w:color w:val="auto"/>
                <w:sz w:val="18"/>
                <w:szCs w:val="18"/>
              </w:rPr>
              <w:t>Cianni</w:t>
            </w:r>
            <w:proofErr w:type="spellEnd"/>
            <w:r w:rsidRPr="004829A5">
              <w:rPr>
                <w:rFonts w:ascii="Times New Roman" w:eastAsia="Times New Roman" w:hAnsi="Times New Roman" w:cs="Times New Roman"/>
                <w:color w:val="auto"/>
                <w:sz w:val="18"/>
                <w:szCs w:val="18"/>
              </w:rPr>
              <w:t xml:space="preserve"> et al., 2023)</w:t>
            </w:r>
          </w:p>
          <w:p w14:paraId="79491778" w14:textId="4A02719C"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p w14:paraId="04165F6B" w14:textId="5ACD37A0"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(Nguyen et al., 2022)</w:t>
            </w:r>
          </w:p>
        </w:tc>
      </w:tr>
      <w:tr w:rsidR="004829A5" w:rsidRPr="004829A5" w14:paraId="54C26EC1" w14:textId="77777777" w:rsidTr="00053232">
        <w:tc>
          <w:tcPr>
            <w:tcW w:w="1088" w:type="pct"/>
            <w:vMerge/>
            <w:tcBorders>
              <w:left w:val="nil"/>
            </w:tcBorders>
            <w:shd w:val="clear" w:color="auto" w:fill="auto"/>
            <w:vAlign w:val="center"/>
          </w:tcPr>
          <w:p w14:paraId="514EA03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tcBorders>
            <w:shd w:val="clear" w:color="auto" w:fill="auto"/>
            <w:vAlign w:val="center"/>
          </w:tcPr>
          <w:p w14:paraId="506528A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Various indicators (intention to: consume, try, pay for)</w:t>
            </w:r>
          </w:p>
        </w:tc>
        <w:tc>
          <w:tcPr>
            <w:tcW w:w="1040" w:type="pct"/>
            <w:tcBorders>
              <w:top w:val="single" w:sz="4" w:space="0" w:color="1C3001" w:themeColor="text1"/>
            </w:tcBorders>
            <w:shd w:val="clear" w:color="auto" w:fill="auto"/>
            <w:vAlign w:val="center"/>
          </w:tcPr>
          <w:p w14:paraId="53D69F1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69" w:name="_heading=h.34g0dwd" w:colFirst="0" w:colLast="0"/>
            <w:bookmarkEnd w:id="69"/>
          </w:p>
        </w:tc>
        <w:tc>
          <w:tcPr>
            <w:tcW w:w="1040" w:type="pct"/>
            <w:tcBorders>
              <w:top w:val="single" w:sz="4" w:space="0" w:color="1C3001" w:themeColor="text1"/>
            </w:tcBorders>
            <w:shd w:val="clear" w:color="auto" w:fill="auto"/>
            <w:vAlign w:val="center"/>
          </w:tcPr>
          <w:p w14:paraId="6BA1DCD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70" w:name="_heading=h.1jlao46" w:colFirst="0" w:colLast="0"/>
            <w:bookmarkEnd w:id="70"/>
            <w:r w:rsidRPr="004829A5">
              <w:rPr>
                <w:rFonts w:ascii="Times New Roman" w:eastAsia="Times New Roman" w:hAnsi="Times New Roman" w:cs="Times New Roman"/>
                <w:color w:val="auto"/>
                <w:sz w:val="18"/>
                <w:szCs w:val="18"/>
              </w:rPr>
              <w:t>0 (meta-analysis -</w:t>
            </w:r>
            <w:proofErr w:type="spellStart"/>
            <w:r w:rsidRPr="004829A5">
              <w:rPr>
                <w:rFonts w:ascii="Times New Roman" w:eastAsia="Times New Roman" w:hAnsi="Times New Roman" w:cs="Times New Roman"/>
                <w:color w:val="auto"/>
                <w:sz w:val="18"/>
                <w:szCs w:val="18"/>
              </w:rPr>
              <w:t>Wassmann</w:t>
            </w:r>
            <w:proofErr w:type="spellEnd"/>
            <w:r w:rsidRPr="004829A5">
              <w:rPr>
                <w:rFonts w:ascii="Times New Roman" w:eastAsia="Times New Roman" w:hAnsi="Times New Roman" w:cs="Times New Roman"/>
                <w:color w:val="auto"/>
                <w:sz w:val="18"/>
                <w:szCs w:val="18"/>
              </w:rPr>
              <w:t>, et.al., 2021 – meta- analysis)</w:t>
            </w:r>
          </w:p>
        </w:tc>
        <w:tc>
          <w:tcPr>
            <w:tcW w:w="1040" w:type="pct"/>
            <w:tcBorders>
              <w:top w:val="single" w:sz="4" w:space="0" w:color="1C3001" w:themeColor="text1"/>
              <w:right w:val="nil"/>
            </w:tcBorders>
            <w:shd w:val="clear" w:color="auto" w:fill="auto"/>
            <w:vAlign w:val="center"/>
          </w:tcPr>
          <w:p w14:paraId="3BA219B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71" w:name="_heading=h.43ky6rz" w:colFirst="0" w:colLast="0"/>
            <w:bookmarkEnd w:id="71"/>
          </w:p>
        </w:tc>
      </w:tr>
      <w:tr w:rsidR="004829A5" w:rsidRPr="004829A5" w14:paraId="3478CB0A" w14:textId="77777777" w:rsidTr="00053232">
        <w:tc>
          <w:tcPr>
            <w:tcW w:w="1088" w:type="pct"/>
            <w:vMerge/>
            <w:tcBorders>
              <w:left w:val="nil"/>
            </w:tcBorders>
            <w:shd w:val="clear" w:color="auto" w:fill="auto"/>
            <w:vAlign w:val="center"/>
          </w:tcPr>
          <w:p w14:paraId="421FCF0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bottom w:val="single" w:sz="4" w:space="0" w:color="1C3001" w:themeColor="text1"/>
            </w:tcBorders>
            <w:shd w:val="clear" w:color="auto" w:fill="auto"/>
            <w:vAlign w:val="center"/>
          </w:tcPr>
          <w:p w14:paraId="5957505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Early adopters (willing to try, but not necessarily maintain)</w:t>
            </w:r>
          </w:p>
        </w:tc>
        <w:tc>
          <w:tcPr>
            <w:tcW w:w="1040" w:type="pct"/>
            <w:tcBorders>
              <w:bottom w:val="single" w:sz="4" w:space="0" w:color="1C3001" w:themeColor="text1"/>
            </w:tcBorders>
            <w:shd w:val="clear" w:color="auto" w:fill="auto"/>
            <w:vAlign w:val="center"/>
          </w:tcPr>
          <w:p w14:paraId="05B1BD9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bottom w:val="single" w:sz="4" w:space="0" w:color="1C3001" w:themeColor="text1"/>
            </w:tcBorders>
            <w:shd w:val="clear" w:color="auto" w:fill="auto"/>
            <w:vAlign w:val="center"/>
          </w:tcPr>
          <w:p w14:paraId="0EC26B1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72" w:name="_heading=h.2iq8gzs" w:colFirst="0" w:colLast="0"/>
            <w:bookmarkEnd w:id="72"/>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Dagevos</w:t>
            </w:r>
            <w:proofErr w:type="spellEnd"/>
            <w:r w:rsidRPr="004829A5">
              <w:rPr>
                <w:rFonts w:ascii="Times New Roman" w:eastAsia="Times New Roman" w:hAnsi="Times New Roman" w:cs="Times New Roman"/>
                <w:color w:val="auto"/>
                <w:sz w:val="18"/>
                <w:szCs w:val="18"/>
              </w:rPr>
              <w:t>, 2020)</w:t>
            </w:r>
          </w:p>
        </w:tc>
        <w:tc>
          <w:tcPr>
            <w:tcW w:w="1040" w:type="pct"/>
            <w:tcBorders>
              <w:bottom w:val="single" w:sz="4" w:space="0" w:color="1C3001" w:themeColor="text1"/>
              <w:right w:val="nil"/>
            </w:tcBorders>
            <w:shd w:val="clear" w:color="auto" w:fill="auto"/>
            <w:vAlign w:val="center"/>
          </w:tcPr>
          <w:p w14:paraId="539273F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55A37964" w14:textId="77777777" w:rsidTr="00053232">
        <w:tc>
          <w:tcPr>
            <w:tcW w:w="1088" w:type="pct"/>
            <w:vMerge/>
            <w:tcBorders>
              <w:left w:val="nil"/>
            </w:tcBorders>
            <w:shd w:val="clear" w:color="auto" w:fill="auto"/>
            <w:vAlign w:val="center"/>
          </w:tcPr>
          <w:p w14:paraId="19120A7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42823D0" w14:textId="0DDBD9AF"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Intake</w:t>
            </w:r>
          </w:p>
        </w:tc>
        <w:tc>
          <w:tcPr>
            <w:tcW w:w="1040" w:type="pct"/>
            <w:tcBorders>
              <w:top w:val="single" w:sz="4" w:space="0" w:color="1C3001" w:themeColor="text1"/>
              <w:bottom w:val="single" w:sz="4" w:space="0" w:color="1C3001" w:themeColor="text1"/>
            </w:tcBorders>
            <w:shd w:val="clear" w:color="auto" w:fill="auto"/>
            <w:vAlign w:val="center"/>
          </w:tcPr>
          <w:p w14:paraId="72F2BF5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65A2A80B"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bookmarkStart w:id="73" w:name="_heading=h.xvir7l" w:colFirst="0" w:colLast="0"/>
            <w:bookmarkEnd w:id="73"/>
          </w:p>
        </w:tc>
        <w:tc>
          <w:tcPr>
            <w:tcW w:w="1040" w:type="pct"/>
            <w:tcBorders>
              <w:top w:val="single" w:sz="4" w:space="0" w:color="1C3001" w:themeColor="text1"/>
              <w:bottom w:val="single" w:sz="4" w:space="0" w:color="1C3001" w:themeColor="text1"/>
              <w:right w:val="nil"/>
            </w:tcBorders>
            <w:shd w:val="clear" w:color="auto" w:fill="auto"/>
            <w:vAlign w:val="center"/>
          </w:tcPr>
          <w:p w14:paraId="2C15A68F"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0B52EED8" w14:textId="77777777" w:rsidTr="00053232">
        <w:tc>
          <w:tcPr>
            <w:tcW w:w="1088" w:type="pct"/>
            <w:vMerge/>
            <w:tcBorders>
              <w:left w:val="nil"/>
            </w:tcBorders>
            <w:shd w:val="clear" w:color="auto" w:fill="auto"/>
            <w:vAlign w:val="center"/>
          </w:tcPr>
          <w:p w14:paraId="7B74C911"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tcBorders>
            <w:shd w:val="clear" w:color="auto" w:fill="auto"/>
            <w:vAlign w:val="center"/>
          </w:tcPr>
          <w:p w14:paraId="4A5285EA"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Intention to pay</w:t>
            </w:r>
          </w:p>
        </w:tc>
        <w:tc>
          <w:tcPr>
            <w:tcW w:w="1040" w:type="pct"/>
            <w:tcBorders>
              <w:top w:val="single" w:sz="4" w:space="0" w:color="1C3001" w:themeColor="text1"/>
            </w:tcBorders>
            <w:shd w:val="clear" w:color="auto" w:fill="auto"/>
            <w:vAlign w:val="center"/>
          </w:tcPr>
          <w:p w14:paraId="5AE83BD8"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tcBorders>
            <w:shd w:val="clear" w:color="auto" w:fill="auto"/>
            <w:vAlign w:val="center"/>
          </w:tcPr>
          <w:p w14:paraId="1A4CC58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right w:val="nil"/>
            </w:tcBorders>
            <w:shd w:val="clear" w:color="auto" w:fill="auto"/>
            <w:vAlign w:val="center"/>
          </w:tcPr>
          <w:p w14:paraId="0E41BF42"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3B1F65A2" w14:textId="77777777" w:rsidTr="00053232">
        <w:tc>
          <w:tcPr>
            <w:tcW w:w="1088" w:type="pct"/>
            <w:vMerge w:val="restart"/>
            <w:tcBorders>
              <w:top w:val="single" w:sz="4" w:space="0" w:color="1C3001" w:themeColor="text1"/>
              <w:left w:val="nil"/>
            </w:tcBorders>
            <w:shd w:val="clear" w:color="auto" w:fill="auto"/>
            <w:vAlign w:val="center"/>
          </w:tcPr>
          <w:p w14:paraId="07A179DD" w14:textId="77777777" w:rsidR="00412C1D" w:rsidRPr="004829A5" w:rsidRDefault="00412C1D" w:rsidP="00EE39AD">
            <w:pPr>
              <w:spacing w:line="240" w:lineRule="auto"/>
              <w:ind w:left="90"/>
              <w:jc w:val="center"/>
              <w:rPr>
                <w:rFonts w:ascii="Times New Roman" w:eastAsia="Times New Roman" w:hAnsi="Times New Roman" w:cs="Times New Roman"/>
                <w:b/>
                <w:color w:val="auto"/>
                <w:sz w:val="18"/>
                <w:szCs w:val="18"/>
              </w:rPr>
            </w:pPr>
            <w:r w:rsidRPr="004829A5">
              <w:rPr>
                <w:rFonts w:ascii="Times New Roman" w:eastAsia="Times New Roman" w:hAnsi="Times New Roman" w:cs="Times New Roman"/>
                <w:b/>
                <w:color w:val="auto"/>
                <w:sz w:val="18"/>
                <w:szCs w:val="18"/>
              </w:rPr>
              <w:t>Higher income status</w:t>
            </w:r>
          </w:p>
        </w:tc>
        <w:tc>
          <w:tcPr>
            <w:tcW w:w="792" w:type="pct"/>
            <w:tcBorders>
              <w:top w:val="single" w:sz="4" w:space="0" w:color="1C3001" w:themeColor="text1"/>
              <w:bottom w:val="single" w:sz="4" w:space="0" w:color="1C3001" w:themeColor="text1"/>
            </w:tcBorders>
            <w:shd w:val="clear" w:color="auto" w:fill="auto"/>
            <w:vAlign w:val="center"/>
          </w:tcPr>
          <w:p w14:paraId="58CCB8E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Acceptability</w:t>
            </w:r>
          </w:p>
        </w:tc>
        <w:tc>
          <w:tcPr>
            <w:tcW w:w="1040" w:type="pct"/>
            <w:tcBorders>
              <w:top w:val="single" w:sz="4" w:space="0" w:color="1C3001" w:themeColor="text1"/>
              <w:bottom w:val="single" w:sz="4" w:space="0" w:color="1C3001" w:themeColor="text1"/>
            </w:tcBorders>
            <w:shd w:val="clear" w:color="auto" w:fill="auto"/>
            <w:vAlign w:val="center"/>
          </w:tcPr>
          <w:p w14:paraId="40DE307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Graça</w:t>
            </w:r>
            <w:proofErr w:type="spellEnd"/>
            <w:r w:rsidRPr="004829A5">
              <w:rPr>
                <w:rFonts w:ascii="Times New Roman" w:eastAsia="Times New Roman" w:hAnsi="Times New Roman" w:cs="Times New Roman"/>
                <w:color w:val="auto"/>
                <w:sz w:val="18"/>
                <w:szCs w:val="18"/>
              </w:rPr>
              <w:t xml:space="preserve"> et al., 2019)</w:t>
            </w:r>
          </w:p>
        </w:tc>
        <w:tc>
          <w:tcPr>
            <w:tcW w:w="1040" w:type="pct"/>
            <w:tcBorders>
              <w:top w:val="single" w:sz="4" w:space="0" w:color="1C3001" w:themeColor="text1"/>
              <w:bottom w:val="single" w:sz="4" w:space="0" w:color="1C3001" w:themeColor="text1"/>
            </w:tcBorders>
            <w:shd w:val="clear" w:color="auto" w:fill="auto"/>
            <w:vAlign w:val="center"/>
          </w:tcPr>
          <w:p w14:paraId="26F50D3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2087FE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0 (mushroom-based products; </w:t>
            </w:r>
            <w:proofErr w:type="spellStart"/>
            <w:r w:rsidRPr="004829A5">
              <w:rPr>
                <w:rFonts w:ascii="Times New Roman" w:eastAsia="Times New Roman" w:hAnsi="Times New Roman" w:cs="Times New Roman"/>
                <w:color w:val="auto"/>
                <w:sz w:val="18"/>
                <w:szCs w:val="18"/>
              </w:rPr>
              <w:t>Eckl</w:t>
            </w:r>
            <w:proofErr w:type="spellEnd"/>
            <w:r w:rsidRPr="004829A5">
              <w:rPr>
                <w:rFonts w:ascii="Times New Roman" w:eastAsia="Times New Roman" w:hAnsi="Times New Roman" w:cs="Times New Roman"/>
                <w:color w:val="auto"/>
                <w:sz w:val="18"/>
                <w:szCs w:val="18"/>
              </w:rPr>
              <w:t xml:space="preserve"> et al., 2021)</w:t>
            </w:r>
          </w:p>
        </w:tc>
      </w:tr>
      <w:tr w:rsidR="004829A5" w:rsidRPr="004829A5" w14:paraId="082C230C" w14:textId="77777777" w:rsidTr="00053232">
        <w:tc>
          <w:tcPr>
            <w:tcW w:w="1088" w:type="pct"/>
            <w:vMerge/>
            <w:tcBorders>
              <w:left w:val="nil"/>
            </w:tcBorders>
            <w:shd w:val="clear" w:color="auto" w:fill="auto"/>
            <w:vAlign w:val="center"/>
          </w:tcPr>
          <w:p w14:paraId="3E8AD1D7"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6EA104B6" w14:textId="463AB8E9"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Intake</w:t>
            </w:r>
          </w:p>
        </w:tc>
        <w:tc>
          <w:tcPr>
            <w:tcW w:w="1040" w:type="pct"/>
            <w:tcBorders>
              <w:top w:val="single" w:sz="4" w:space="0" w:color="1C3001" w:themeColor="text1"/>
              <w:bottom w:val="single" w:sz="4" w:space="0" w:color="1C3001" w:themeColor="text1"/>
            </w:tcBorders>
            <w:shd w:val="clear" w:color="auto" w:fill="auto"/>
            <w:vAlign w:val="center"/>
          </w:tcPr>
          <w:p w14:paraId="323EB1A1" w14:textId="3BA4DBBE"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xml:space="preserve">+ (Siddiqui, </w:t>
            </w:r>
            <w:proofErr w:type="spellStart"/>
            <w:r w:rsidRPr="004829A5">
              <w:rPr>
                <w:rFonts w:ascii="Times New Roman" w:eastAsia="Times New Roman" w:hAnsi="Times New Roman" w:cs="Times New Roman"/>
                <w:color w:val="auto"/>
                <w:sz w:val="18"/>
                <w:szCs w:val="18"/>
              </w:rPr>
              <w:t>Bahmid</w:t>
            </w:r>
            <w:proofErr w:type="spellEnd"/>
            <w:r w:rsidRPr="004829A5">
              <w:rPr>
                <w:rFonts w:ascii="Times New Roman" w:eastAsia="Times New Roman" w:hAnsi="Times New Roman" w:cs="Times New Roman"/>
                <w:color w:val="auto"/>
                <w:sz w:val="18"/>
                <w:szCs w:val="18"/>
              </w:rPr>
              <w:t xml:space="preserve"> et al., 202</w:t>
            </w:r>
            <w:r w:rsidR="006A4201" w:rsidRPr="004829A5">
              <w:rPr>
                <w:rFonts w:ascii="Times New Roman" w:eastAsia="Times New Roman" w:hAnsi="Times New Roman" w:cs="Times New Roman"/>
                <w:color w:val="auto"/>
                <w:sz w:val="18"/>
                <w:szCs w:val="18"/>
              </w:rPr>
              <w:t>3</w:t>
            </w:r>
            <w:r w:rsidRPr="004829A5">
              <w:rPr>
                <w:rFonts w:ascii="Times New Roman" w:eastAsia="Times New Roman" w:hAnsi="Times New Roman" w:cs="Times New Roman"/>
                <w:color w:val="auto"/>
                <w:sz w:val="18"/>
                <w:szCs w:val="18"/>
              </w:rPr>
              <w:t>);</w:t>
            </w:r>
          </w:p>
          <w:p w14:paraId="2A313C8A" w14:textId="565F0B6B"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0 (</w:t>
            </w:r>
            <w:proofErr w:type="spellStart"/>
            <w:r w:rsidRPr="004829A5">
              <w:rPr>
                <w:rFonts w:ascii="Times New Roman" w:eastAsia="Times New Roman" w:hAnsi="Times New Roman" w:cs="Times New Roman"/>
                <w:color w:val="auto"/>
                <w:sz w:val="18"/>
                <w:szCs w:val="18"/>
              </w:rPr>
              <w:t>Szenderák</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tcBorders>
            <w:shd w:val="clear" w:color="auto" w:fill="auto"/>
            <w:vAlign w:val="center"/>
          </w:tcPr>
          <w:p w14:paraId="3DEC45D0"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right w:val="nil"/>
            </w:tcBorders>
            <w:shd w:val="clear" w:color="auto" w:fill="auto"/>
            <w:vAlign w:val="center"/>
          </w:tcPr>
          <w:p w14:paraId="2C3F0193"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r w:rsidR="004829A5" w:rsidRPr="004829A5" w14:paraId="2281043C" w14:textId="77777777" w:rsidTr="00053232">
        <w:trPr>
          <w:trHeight w:val="516"/>
        </w:trPr>
        <w:tc>
          <w:tcPr>
            <w:tcW w:w="1088" w:type="pct"/>
            <w:vMerge/>
            <w:tcBorders>
              <w:left w:val="nil"/>
              <w:bottom w:val="single" w:sz="4" w:space="0" w:color="1C3001" w:themeColor="text1"/>
            </w:tcBorders>
            <w:shd w:val="clear" w:color="auto" w:fill="auto"/>
            <w:vAlign w:val="center"/>
          </w:tcPr>
          <w:p w14:paraId="20493125"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792" w:type="pct"/>
            <w:tcBorders>
              <w:top w:val="single" w:sz="4" w:space="0" w:color="1C3001" w:themeColor="text1"/>
              <w:bottom w:val="single" w:sz="4" w:space="0" w:color="1C3001" w:themeColor="text1"/>
            </w:tcBorders>
            <w:shd w:val="clear" w:color="auto" w:fill="auto"/>
            <w:vAlign w:val="center"/>
          </w:tcPr>
          <w:p w14:paraId="32EF0B3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Adoption</w:t>
            </w:r>
          </w:p>
        </w:tc>
        <w:tc>
          <w:tcPr>
            <w:tcW w:w="1040" w:type="pct"/>
            <w:tcBorders>
              <w:top w:val="single" w:sz="4" w:space="0" w:color="1C3001" w:themeColor="text1"/>
              <w:bottom w:val="single" w:sz="4" w:space="0" w:color="1C3001" w:themeColor="text1"/>
            </w:tcBorders>
            <w:shd w:val="clear" w:color="auto" w:fill="auto"/>
            <w:vAlign w:val="center"/>
          </w:tcPr>
          <w:p w14:paraId="178F2936"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c>
          <w:tcPr>
            <w:tcW w:w="1040" w:type="pct"/>
            <w:tcBorders>
              <w:top w:val="single" w:sz="4" w:space="0" w:color="1C3001" w:themeColor="text1"/>
              <w:bottom w:val="single" w:sz="4" w:space="0" w:color="1C3001" w:themeColor="text1"/>
            </w:tcBorders>
            <w:shd w:val="clear" w:color="auto" w:fill="auto"/>
            <w:vAlign w:val="center"/>
          </w:tcPr>
          <w:p w14:paraId="6A2CAE5E"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r w:rsidRPr="004829A5">
              <w:rPr>
                <w:rFonts w:ascii="Times New Roman" w:eastAsia="Times New Roman" w:hAnsi="Times New Roman" w:cs="Times New Roman"/>
                <w:color w:val="auto"/>
                <w:sz w:val="18"/>
                <w:szCs w:val="18"/>
              </w:rPr>
              <w:t>+ (</w:t>
            </w:r>
            <w:proofErr w:type="spellStart"/>
            <w:r w:rsidRPr="004829A5">
              <w:rPr>
                <w:rFonts w:ascii="Times New Roman" w:eastAsia="Times New Roman" w:hAnsi="Times New Roman" w:cs="Times New Roman"/>
                <w:color w:val="auto"/>
                <w:sz w:val="18"/>
                <w:szCs w:val="18"/>
              </w:rPr>
              <w:t>Florença</w:t>
            </w:r>
            <w:proofErr w:type="spellEnd"/>
            <w:r w:rsidRPr="004829A5">
              <w:rPr>
                <w:rFonts w:ascii="Times New Roman" w:eastAsia="Times New Roman" w:hAnsi="Times New Roman" w:cs="Times New Roman"/>
                <w:color w:val="auto"/>
                <w:sz w:val="18"/>
                <w:szCs w:val="18"/>
              </w:rPr>
              <w:t xml:space="preserve"> et al., 2022)</w:t>
            </w:r>
          </w:p>
        </w:tc>
        <w:tc>
          <w:tcPr>
            <w:tcW w:w="1040" w:type="pct"/>
            <w:tcBorders>
              <w:top w:val="single" w:sz="4" w:space="0" w:color="1C3001" w:themeColor="text1"/>
              <w:bottom w:val="single" w:sz="4" w:space="0" w:color="1C3001" w:themeColor="text1"/>
              <w:right w:val="nil"/>
            </w:tcBorders>
            <w:shd w:val="clear" w:color="auto" w:fill="auto"/>
            <w:vAlign w:val="center"/>
          </w:tcPr>
          <w:p w14:paraId="4F2A3D5D" w14:textId="77777777" w:rsidR="00412C1D" w:rsidRPr="004829A5" w:rsidRDefault="00412C1D" w:rsidP="00EE39AD">
            <w:pPr>
              <w:spacing w:line="240" w:lineRule="auto"/>
              <w:ind w:left="90"/>
              <w:jc w:val="center"/>
              <w:rPr>
                <w:rFonts w:ascii="Times New Roman" w:eastAsia="Times New Roman" w:hAnsi="Times New Roman" w:cs="Times New Roman"/>
                <w:color w:val="auto"/>
                <w:sz w:val="18"/>
                <w:szCs w:val="18"/>
              </w:rPr>
            </w:pPr>
          </w:p>
        </w:tc>
      </w:tr>
    </w:tbl>
    <w:p w14:paraId="5E7FB257" w14:textId="77777777" w:rsidR="00AD6BA3" w:rsidRPr="004829A5" w:rsidRDefault="00AD6BA3" w:rsidP="00EE39AD">
      <w:pPr>
        <w:spacing w:line="240" w:lineRule="auto"/>
        <w:ind w:left="90" w:hanging="709"/>
        <w:rPr>
          <w:rFonts w:ascii="Times New Roman" w:eastAsia="Times New Roman" w:hAnsi="Times New Roman" w:cs="Times New Roman"/>
          <w:color w:val="auto"/>
          <w:sz w:val="18"/>
          <w:szCs w:val="18"/>
        </w:rPr>
      </w:pPr>
      <w:bookmarkStart w:id="74" w:name="_Hlk167968647"/>
    </w:p>
    <w:p w14:paraId="1E96B092" w14:textId="356C82C9" w:rsidR="004D6F35" w:rsidRPr="004829A5" w:rsidRDefault="004D6F35" w:rsidP="004D6F35">
      <w:pPr>
        <w:spacing w:line="240" w:lineRule="auto"/>
        <w:ind w:left="0"/>
        <w:rPr>
          <w:rFonts w:ascii="Times New Roman" w:eastAsia="Times New Roman" w:hAnsi="Times New Roman" w:cs="Times New Roman"/>
          <w:color w:val="auto"/>
          <w:sz w:val="18"/>
          <w:szCs w:val="18"/>
        </w:rPr>
      </w:pPr>
      <w:r w:rsidRPr="004829A5">
        <w:rPr>
          <w:rFonts w:ascii="Times New Roman" w:eastAsia="Times New Roman" w:hAnsi="Times New Roman" w:cs="Times New Roman"/>
          <w:i/>
          <w:color w:val="auto"/>
          <w:sz w:val="18"/>
          <w:szCs w:val="18"/>
        </w:rPr>
        <w:t xml:space="preserve">Note: </w:t>
      </w:r>
      <w:r w:rsidRPr="004829A5">
        <w:rPr>
          <w:rFonts w:ascii="Times New Roman" w:eastAsia="Times New Roman" w:hAnsi="Times New Roman" w:cs="Times New Roman"/>
          <w:color w:val="auto"/>
          <w:sz w:val="18"/>
          <w:szCs w:val="18"/>
        </w:rPr>
        <w:t>0 – the review is providing either (1) mixed evidence, e.g., indicating that some original studies yielded significant positive associations while others yielded no associations; (2) non-significant evidence, that is included original research suggested no significant evidence ; - the review is providing evidence for the negative association, i.e., there is a significant negative link between the individual-level determinant and the indicator of APF choices; +- the review is providing evidence for the positive association, i.e., there is a significant positive link between the individual-level determinant and the indicator of APF choices. APF – alternative protein food; mushroom-based products - the reviews addressing mushroom and fungi-based alternative proteins only.</w:t>
      </w:r>
    </w:p>
    <w:bookmarkEnd w:id="74"/>
    <w:p w14:paraId="17585AE0" w14:textId="77777777" w:rsidR="00D55A2B" w:rsidRPr="004829A5" w:rsidRDefault="00D55A2B" w:rsidP="005E43F3">
      <w:pPr>
        <w:spacing w:line="240" w:lineRule="auto"/>
        <w:ind w:left="0"/>
        <w:rPr>
          <w:rFonts w:ascii="Times New Roman" w:eastAsia="Times New Roman" w:hAnsi="Times New Roman" w:cs="Times New Roman"/>
          <w:b/>
          <w:bCs/>
          <w:color w:val="auto"/>
          <w:sz w:val="24"/>
          <w:szCs w:val="24"/>
        </w:rPr>
      </w:pPr>
    </w:p>
    <w:p w14:paraId="0FD344A0" w14:textId="77777777" w:rsidR="00D55A2B" w:rsidRPr="004829A5" w:rsidRDefault="00D55A2B" w:rsidP="00EE39AD">
      <w:pPr>
        <w:spacing w:line="240" w:lineRule="auto"/>
        <w:ind w:left="709" w:hanging="709"/>
        <w:rPr>
          <w:rFonts w:ascii="Times New Roman" w:eastAsia="Times New Roman" w:hAnsi="Times New Roman" w:cs="Times New Roman"/>
          <w:b/>
          <w:bCs/>
          <w:color w:val="auto"/>
          <w:sz w:val="24"/>
          <w:szCs w:val="24"/>
        </w:rPr>
      </w:pPr>
    </w:p>
    <w:p w14:paraId="0E2A40BD" w14:textId="77777777" w:rsidR="00D55A2B" w:rsidRPr="004829A5" w:rsidRDefault="00D55A2B" w:rsidP="00EE39AD">
      <w:pPr>
        <w:spacing w:line="240" w:lineRule="auto"/>
        <w:ind w:left="709" w:hanging="709"/>
        <w:rPr>
          <w:rFonts w:ascii="Times New Roman" w:eastAsia="Times New Roman" w:hAnsi="Times New Roman" w:cs="Times New Roman"/>
          <w:b/>
          <w:bCs/>
          <w:color w:val="auto"/>
          <w:sz w:val="24"/>
          <w:szCs w:val="24"/>
        </w:rPr>
      </w:pPr>
    </w:p>
    <w:p w14:paraId="1F6388BC" w14:textId="77777777" w:rsidR="00D55A2B" w:rsidRPr="004829A5" w:rsidRDefault="00D55A2B" w:rsidP="00EE39AD">
      <w:pPr>
        <w:spacing w:line="240" w:lineRule="auto"/>
        <w:ind w:left="709" w:hanging="709"/>
        <w:rPr>
          <w:rFonts w:ascii="Times New Roman" w:eastAsia="Times New Roman" w:hAnsi="Times New Roman" w:cs="Times New Roman"/>
          <w:b/>
          <w:bCs/>
          <w:color w:val="auto"/>
          <w:sz w:val="24"/>
          <w:szCs w:val="24"/>
        </w:rPr>
      </w:pPr>
    </w:p>
    <w:p w14:paraId="2603E210" w14:textId="77777777" w:rsidR="00D55A2B" w:rsidRPr="004829A5" w:rsidRDefault="00D55A2B" w:rsidP="00EE39AD">
      <w:pPr>
        <w:spacing w:line="240" w:lineRule="auto"/>
        <w:ind w:left="709" w:hanging="709"/>
        <w:rPr>
          <w:rFonts w:ascii="Times New Roman" w:eastAsia="Times New Roman" w:hAnsi="Times New Roman" w:cs="Times New Roman"/>
          <w:b/>
          <w:bCs/>
          <w:color w:val="auto"/>
          <w:sz w:val="24"/>
          <w:szCs w:val="24"/>
        </w:rPr>
      </w:pPr>
    </w:p>
    <w:p w14:paraId="129D16DE" w14:textId="47030FD5" w:rsidR="00AB7D25" w:rsidRPr="004829A5" w:rsidRDefault="00AB7D25" w:rsidP="00EE39AD">
      <w:pPr>
        <w:spacing w:line="240" w:lineRule="auto"/>
        <w:ind w:left="709" w:hanging="709"/>
        <w:rPr>
          <w:rFonts w:ascii="Times New Roman" w:eastAsia="Times New Roman" w:hAnsi="Times New Roman" w:cs="Times New Roman"/>
          <w:b/>
          <w:bCs/>
          <w:color w:val="auto"/>
          <w:sz w:val="24"/>
          <w:szCs w:val="24"/>
        </w:rPr>
      </w:pPr>
      <w:r w:rsidRPr="004829A5">
        <w:rPr>
          <w:rFonts w:ascii="Times New Roman" w:eastAsia="Times New Roman" w:hAnsi="Times New Roman" w:cs="Times New Roman"/>
          <w:b/>
          <w:bCs/>
          <w:color w:val="auto"/>
          <w:sz w:val="24"/>
          <w:szCs w:val="24"/>
        </w:rPr>
        <w:t>Table S</w:t>
      </w:r>
      <w:r w:rsidR="005E43F3" w:rsidRPr="004829A5">
        <w:rPr>
          <w:rFonts w:ascii="Times New Roman" w:eastAsia="Times New Roman" w:hAnsi="Times New Roman" w:cs="Times New Roman"/>
          <w:b/>
          <w:bCs/>
          <w:color w:val="auto"/>
          <w:sz w:val="24"/>
          <w:szCs w:val="24"/>
        </w:rPr>
        <w:t>3</w:t>
      </w:r>
      <w:r w:rsidRPr="004829A5">
        <w:rPr>
          <w:rFonts w:ascii="Times New Roman" w:eastAsia="Times New Roman" w:hAnsi="Times New Roman" w:cs="Times New Roman"/>
          <w:b/>
          <w:bCs/>
          <w:color w:val="auto"/>
          <w:sz w:val="24"/>
          <w:szCs w:val="24"/>
        </w:rPr>
        <w:t xml:space="preserve"> </w:t>
      </w:r>
    </w:p>
    <w:p w14:paraId="015D2083" w14:textId="77777777" w:rsidR="006A4201" w:rsidRPr="004829A5" w:rsidRDefault="006A4201" w:rsidP="00EE39AD">
      <w:pPr>
        <w:pStyle w:val="Caption"/>
        <w:spacing w:after="0" w:line="480" w:lineRule="auto"/>
        <w:jc w:val="left"/>
        <w:rPr>
          <w:rStyle w:val="qowt-font2-timesnewroman"/>
          <w:i/>
          <w:lang w:val="en-US"/>
        </w:rPr>
      </w:pPr>
      <w:r w:rsidRPr="004829A5">
        <w:rPr>
          <w:rFonts w:ascii="Times New Roman" w:eastAsia="Times New Roman" w:hAnsi="Times New Roman" w:cs="Times New Roman"/>
          <w:i/>
          <w:sz w:val="24"/>
          <w:szCs w:val="24"/>
          <w:lang w:val="en-US"/>
        </w:rPr>
        <w:t>The Summary of the Risk of Bias Assessment in the Included Reviews (Evaluated Using the ROBIS Tool)</w:t>
      </w:r>
    </w:p>
    <w:p w14:paraId="44B8FCCF" w14:textId="77777777" w:rsidR="00AB7D25" w:rsidRPr="004829A5" w:rsidRDefault="00AB7D25" w:rsidP="00EE39AD">
      <w:pPr>
        <w:spacing w:line="240" w:lineRule="auto"/>
        <w:ind w:left="90" w:hanging="709"/>
        <w:rPr>
          <w:rFonts w:ascii="Times New Roman" w:eastAsia="Times New Roman" w:hAnsi="Times New Roman" w:cs="Times New Roman"/>
          <w:i/>
          <w:color w:val="auto"/>
          <w:sz w:val="18"/>
          <w:szCs w:val="18"/>
        </w:rPr>
      </w:pPr>
    </w:p>
    <w:tbl>
      <w:tblPr>
        <w:tblW w:w="5002" w:type="pct"/>
        <w:tblInd w:w="-5" w:type="dxa"/>
        <w:tblLook w:val="04A0" w:firstRow="1" w:lastRow="0" w:firstColumn="1" w:lastColumn="0" w:noHBand="0" w:noVBand="1"/>
      </w:tblPr>
      <w:tblGrid>
        <w:gridCol w:w="721"/>
        <w:gridCol w:w="3678"/>
        <w:gridCol w:w="2199"/>
        <w:gridCol w:w="2199"/>
        <w:gridCol w:w="2199"/>
        <w:gridCol w:w="2205"/>
        <w:gridCol w:w="2199"/>
      </w:tblGrid>
      <w:tr w:rsidR="004829A5" w:rsidRPr="004829A5" w14:paraId="35CE8AD5" w14:textId="77777777" w:rsidTr="006C6315">
        <w:trPr>
          <w:trHeight w:val="368"/>
        </w:trPr>
        <w:tc>
          <w:tcPr>
            <w:tcW w:w="234" w:type="pct"/>
            <w:tcBorders>
              <w:top w:val="single" w:sz="4" w:space="0" w:color="auto"/>
            </w:tcBorders>
            <w:shd w:val="clear" w:color="auto" w:fill="auto"/>
            <w:noWrap/>
            <w:vAlign w:val="center"/>
          </w:tcPr>
          <w:p w14:paraId="5D21B3C1" w14:textId="77777777" w:rsidR="008F1E01"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p>
        </w:tc>
        <w:tc>
          <w:tcPr>
            <w:tcW w:w="1194" w:type="pct"/>
            <w:tcBorders>
              <w:top w:val="single" w:sz="4" w:space="0" w:color="auto"/>
            </w:tcBorders>
            <w:shd w:val="clear" w:color="auto" w:fill="auto"/>
            <w:noWrap/>
            <w:vAlign w:val="center"/>
          </w:tcPr>
          <w:p w14:paraId="70F9E00E" w14:textId="77777777" w:rsidR="008F1E01"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p>
        </w:tc>
        <w:tc>
          <w:tcPr>
            <w:tcW w:w="2858" w:type="pct"/>
            <w:gridSpan w:val="4"/>
            <w:tcBorders>
              <w:top w:val="single" w:sz="4" w:space="0" w:color="auto"/>
              <w:bottom w:val="single" w:sz="4" w:space="0" w:color="auto"/>
            </w:tcBorders>
            <w:shd w:val="clear" w:color="auto" w:fill="auto"/>
            <w:vAlign w:val="center"/>
          </w:tcPr>
          <w:p w14:paraId="5EB7BEE2" w14:textId="3E9F5210" w:rsidR="008F1E01"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PHASE 2</w:t>
            </w:r>
          </w:p>
        </w:tc>
        <w:tc>
          <w:tcPr>
            <w:tcW w:w="715" w:type="pct"/>
            <w:tcBorders>
              <w:top w:val="single" w:sz="4" w:space="0" w:color="auto"/>
              <w:bottom w:val="single" w:sz="4" w:space="0" w:color="auto"/>
            </w:tcBorders>
            <w:shd w:val="clear" w:color="auto" w:fill="auto"/>
            <w:vAlign w:val="center"/>
          </w:tcPr>
          <w:p w14:paraId="4A22D83D" w14:textId="54B21692" w:rsidR="008F1E01"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PHASE 3</w:t>
            </w:r>
          </w:p>
        </w:tc>
      </w:tr>
      <w:tr w:rsidR="004829A5" w:rsidRPr="004829A5" w14:paraId="34C25BFF" w14:textId="77777777" w:rsidTr="008F1E01">
        <w:trPr>
          <w:trHeight w:val="1104"/>
        </w:trPr>
        <w:tc>
          <w:tcPr>
            <w:tcW w:w="234" w:type="pct"/>
            <w:tcBorders>
              <w:bottom w:val="single" w:sz="4" w:space="0" w:color="auto"/>
            </w:tcBorders>
            <w:shd w:val="clear" w:color="auto" w:fill="auto"/>
            <w:noWrap/>
            <w:vAlign w:val="center"/>
            <w:hideMark/>
          </w:tcPr>
          <w:p w14:paraId="336E32E2" w14:textId="3B5AF431"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No.</w:t>
            </w:r>
          </w:p>
        </w:tc>
        <w:tc>
          <w:tcPr>
            <w:tcW w:w="1194" w:type="pct"/>
            <w:tcBorders>
              <w:bottom w:val="single" w:sz="4" w:space="0" w:color="auto"/>
            </w:tcBorders>
            <w:shd w:val="clear" w:color="auto" w:fill="auto"/>
            <w:noWrap/>
            <w:vAlign w:val="center"/>
            <w:hideMark/>
          </w:tcPr>
          <w:p w14:paraId="25A2D401" w14:textId="3C745014"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Included review</w:t>
            </w:r>
          </w:p>
        </w:tc>
        <w:tc>
          <w:tcPr>
            <w:tcW w:w="714" w:type="pct"/>
            <w:tcBorders>
              <w:top w:val="single" w:sz="4" w:space="0" w:color="auto"/>
              <w:bottom w:val="single" w:sz="4" w:space="0" w:color="auto"/>
            </w:tcBorders>
            <w:shd w:val="clear" w:color="auto" w:fill="auto"/>
            <w:vAlign w:val="center"/>
            <w:hideMark/>
          </w:tcPr>
          <w:p w14:paraId="72AC0446" w14:textId="514BB864"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1. Study eligibility</w:t>
            </w:r>
            <w:r w:rsidRPr="004829A5">
              <w:rPr>
                <w:rFonts w:ascii="Times New Roman" w:eastAsia="Times New Roman" w:hAnsi="Times New Roman" w:cs="Times New Roman"/>
                <w:b/>
                <w:bCs/>
                <w:color w:val="auto"/>
                <w:sz w:val="22"/>
                <w:szCs w:val="22"/>
                <w:lang w:eastAsia="en-US"/>
              </w:rPr>
              <w:br/>
              <w:t>criteria</w:t>
            </w:r>
          </w:p>
        </w:tc>
        <w:tc>
          <w:tcPr>
            <w:tcW w:w="714" w:type="pct"/>
            <w:tcBorders>
              <w:top w:val="single" w:sz="4" w:space="0" w:color="auto"/>
              <w:bottom w:val="single" w:sz="4" w:space="0" w:color="auto"/>
            </w:tcBorders>
            <w:shd w:val="clear" w:color="auto" w:fill="auto"/>
            <w:vAlign w:val="center"/>
            <w:hideMark/>
          </w:tcPr>
          <w:p w14:paraId="4C2CF06F" w14:textId="1CC050F2"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2. Identification and</w:t>
            </w:r>
            <w:r w:rsidRPr="004829A5">
              <w:rPr>
                <w:rFonts w:ascii="Times New Roman" w:eastAsia="Times New Roman" w:hAnsi="Times New Roman" w:cs="Times New Roman"/>
                <w:b/>
                <w:bCs/>
                <w:color w:val="auto"/>
                <w:sz w:val="22"/>
                <w:szCs w:val="22"/>
                <w:lang w:eastAsia="en-US"/>
              </w:rPr>
              <w:br/>
              <w:t>selection of studies</w:t>
            </w:r>
          </w:p>
        </w:tc>
        <w:tc>
          <w:tcPr>
            <w:tcW w:w="714" w:type="pct"/>
            <w:tcBorders>
              <w:top w:val="single" w:sz="4" w:space="0" w:color="auto"/>
              <w:bottom w:val="single" w:sz="4" w:space="0" w:color="auto"/>
            </w:tcBorders>
            <w:shd w:val="clear" w:color="auto" w:fill="auto"/>
            <w:vAlign w:val="center"/>
            <w:hideMark/>
          </w:tcPr>
          <w:p w14:paraId="7310A7AA" w14:textId="0155F9B5"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3. Data collection and</w:t>
            </w:r>
            <w:r w:rsidRPr="004829A5">
              <w:rPr>
                <w:rFonts w:ascii="Times New Roman" w:eastAsia="Times New Roman" w:hAnsi="Times New Roman" w:cs="Times New Roman"/>
                <w:b/>
                <w:bCs/>
                <w:color w:val="auto"/>
                <w:sz w:val="22"/>
                <w:szCs w:val="22"/>
                <w:lang w:eastAsia="en-US"/>
              </w:rPr>
              <w:br/>
              <w:t>study appraisal</w:t>
            </w:r>
          </w:p>
        </w:tc>
        <w:tc>
          <w:tcPr>
            <w:tcW w:w="715" w:type="pct"/>
            <w:tcBorders>
              <w:top w:val="single" w:sz="4" w:space="0" w:color="auto"/>
              <w:bottom w:val="single" w:sz="4" w:space="0" w:color="auto"/>
            </w:tcBorders>
            <w:shd w:val="clear" w:color="auto" w:fill="auto"/>
            <w:vAlign w:val="center"/>
            <w:hideMark/>
          </w:tcPr>
          <w:p w14:paraId="60FD20B0" w14:textId="2E2951A0"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4. Synthesis and findings</w:t>
            </w:r>
          </w:p>
        </w:tc>
        <w:tc>
          <w:tcPr>
            <w:tcW w:w="715" w:type="pct"/>
            <w:tcBorders>
              <w:top w:val="single" w:sz="4" w:space="0" w:color="auto"/>
              <w:bottom w:val="single" w:sz="4" w:space="0" w:color="auto"/>
            </w:tcBorders>
            <w:shd w:val="clear" w:color="auto" w:fill="auto"/>
            <w:vAlign w:val="center"/>
            <w:hideMark/>
          </w:tcPr>
          <w:p w14:paraId="69DBEA8F" w14:textId="1B814828" w:rsidR="00AB7D25" w:rsidRPr="004829A5" w:rsidRDefault="008F1E01"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Risk of bias in the review</w:t>
            </w:r>
          </w:p>
        </w:tc>
      </w:tr>
      <w:tr w:rsidR="004829A5" w:rsidRPr="004829A5" w14:paraId="47E5BD56" w14:textId="77777777" w:rsidTr="008F1E01">
        <w:trPr>
          <w:trHeight w:val="288"/>
        </w:trPr>
        <w:tc>
          <w:tcPr>
            <w:tcW w:w="234" w:type="pct"/>
            <w:tcBorders>
              <w:top w:val="single" w:sz="4" w:space="0" w:color="auto"/>
            </w:tcBorders>
            <w:shd w:val="clear" w:color="auto" w:fill="auto"/>
            <w:noWrap/>
            <w:vAlign w:val="bottom"/>
            <w:hideMark/>
          </w:tcPr>
          <w:p w14:paraId="1F501CA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w:t>
            </w:r>
          </w:p>
        </w:tc>
        <w:tc>
          <w:tcPr>
            <w:tcW w:w="1194" w:type="pct"/>
            <w:tcBorders>
              <w:top w:val="single" w:sz="4" w:space="0" w:color="auto"/>
            </w:tcBorders>
            <w:shd w:val="clear" w:color="auto" w:fill="auto"/>
            <w:noWrap/>
            <w:vAlign w:val="bottom"/>
            <w:hideMark/>
          </w:tcPr>
          <w:p w14:paraId="5F6721E8" w14:textId="0339703E"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Ardoin</w:t>
            </w:r>
            <w:proofErr w:type="spellEnd"/>
            <w:r w:rsidRPr="004829A5">
              <w:rPr>
                <w:rFonts w:ascii="Times New Roman" w:hAnsi="Times New Roman" w:cs="Times New Roman"/>
                <w:color w:val="auto"/>
                <w:sz w:val="22"/>
              </w:rPr>
              <w:t xml:space="preserve"> &amp; </w:t>
            </w:r>
            <w:proofErr w:type="spellStart"/>
            <w:r w:rsidRPr="004829A5">
              <w:rPr>
                <w:rFonts w:ascii="Times New Roman" w:hAnsi="Times New Roman" w:cs="Times New Roman"/>
                <w:color w:val="auto"/>
                <w:sz w:val="22"/>
              </w:rPr>
              <w:t>Prinyawiwatkul</w:t>
            </w:r>
            <w:proofErr w:type="spellEnd"/>
            <w:r w:rsidRPr="004829A5">
              <w:rPr>
                <w:rFonts w:ascii="Times New Roman" w:hAnsi="Times New Roman" w:cs="Times New Roman"/>
                <w:color w:val="auto"/>
                <w:sz w:val="22"/>
              </w:rPr>
              <w:t xml:space="preserve">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2021)</w:t>
            </w:r>
          </w:p>
        </w:tc>
        <w:tc>
          <w:tcPr>
            <w:tcW w:w="714" w:type="pct"/>
            <w:tcBorders>
              <w:top w:val="single" w:sz="4" w:space="0" w:color="auto"/>
            </w:tcBorders>
            <w:shd w:val="clear" w:color="auto" w:fill="auto"/>
            <w:noWrap/>
            <w:vAlign w:val="bottom"/>
            <w:hideMark/>
          </w:tcPr>
          <w:p w14:paraId="128C9DD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tcBorders>
              <w:top w:val="single" w:sz="4" w:space="0" w:color="auto"/>
            </w:tcBorders>
            <w:shd w:val="clear" w:color="auto" w:fill="auto"/>
            <w:noWrap/>
            <w:vAlign w:val="bottom"/>
            <w:hideMark/>
          </w:tcPr>
          <w:p w14:paraId="378F414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tcBorders>
              <w:top w:val="single" w:sz="4" w:space="0" w:color="auto"/>
            </w:tcBorders>
            <w:shd w:val="clear" w:color="auto" w:fill="auto"/>
            <w:noWrap/>
            <w:vAlign w:val="bottom"/>
            <w:hideMark/>
          </w:tcPr>
          <w:p w14:paraId="0DC81F4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tcBorders>
              <w:top w:val="single" w:sz="4" w:space="0" w:color="auto"/>
            </w:tcBorders>
            <w:shd w:val="clear" w:color="auto" w:fill="auto"/>
            <w:noWrap/>
            <w:vAlign w:val="bottom"/>
            <w:hideMark/>
          </w:tcPr>
          <w:p w14:paraId="5164C28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tcBorders>
              <w:top w:val="single" w:sz="4" w:space="0" w:color="auto"/>
            </w:tcBorders>
            <w:shd w:val="clear" w:color="auto" w:fill="auto"/>
            <w:noWrap/>
            <w:vAlign w:val="bottom"/>
            <w:hideMark/>
          </w:tcPr>
          <w:p w14:paraId="2186B54B"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6403C46F" w14:textId="77777777" w:rsidTr="008F1E01">
        <w:trPr>
          <w:trHeight w:val="288"/>
        </w:trPr>
        <w:tc>
          <w:tcPr>
            <w:tcW w:w="234" w:type="pct"/>
            <w:shd w:val="clear" w:color="auto" w:fill="auto"/>
            <w:noWrap/>
            <w:vAlign w:val="bottom"/>
            <w:hideMark/>
          </w:tcPr>
          <w:p w14:paraId="539D63D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w:t>
            </w:r>
          </w:p>
        </w:tc>
        <w:tc>
          <w:tcPr>
            <w:tcW w:w="1194" w:type="pct"/>
            <w:shd w:val="clear" w:color="auto" w:fill="auto"/>
            <w:noWrap/>
            <w:vAlign w:val="bottom"/>
            <w:hideMark/>
          </w:tcPr>
          <w:p w14:paraId="580BC92E" w14:textId="1E8149D7"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Baiano</w:t>
            </w:r>
            <w:proofErr w:type="spellEnd"/>
            <w:r w:rsidRPr="004829A5">
              <w:rPr>
                <w:rFonts w:ascii="Times New Roman" w:hAnsi="Times New Roman" w:cs="Times New Roman"/>
                <w:color w:val="auto"/>
                <w:sz w:val="22"/>
              </w:rPr>
              <w:t xml:space="preserve">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2022)</w:t>
            </w:r>
          </w:p>
        </w:tc>
        <w:tc>
          <w:tcPr>
            <w:tcW w:w="714" w:type="pct"/>
            <w:shd w:val="clear" w:color="auto" w:fill="auto"/>
            <w:noWrap/>
            <w:vAlign w:val="bottom"/>
            <w:hideMark/>
          </w:tcPr>
          <w:p w14:paraId="5731CBA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2C5E3BE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362DDBC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18550B4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119D8BAA"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4FBEA6DC" w14:textId="77777777" w:rsidTr="008F1E01">
        <w:trPr>
          <w:trHeight w:val="288"/>
        </w:trPr>
        <w:tc>
          <w:tcPr>
            <w:tcW w:w="234" w:type="pct"/>
            <w:shd w:val="clear" w:color="auto" w:fill="auto"/>
            <w:noWrap/>
            <w:vAlign w:val="bottom"/>
            <w:hideMark/>
          </w:tcPr>
          <w:p w14:paraId="7F93C1B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3</w:t>
            </w:r>
          </w:p>
        </w:tc>
        <w:tc>
          <w:tcPr>
            <w:tcW w:w="1194" w:type="pct"/>
            <w:shd w:val="clear" w:color="auto" w:fill="auto"/>
            <w:noWrap/>
            <w:vAlign w:val="bottom"/>
            <w:hideMark/>
          </w:tcPr>
          <w:p w14:paraId="627AAEAA" w14:textId="5FD381B8"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Batat</w:t>
            </w:r>
            <w:proofErr w:type="spellEnd"/>
            <w:r w:rsidRPr="004829A5">
              <w:rPr>
                <w:rFonts w:ascii="Times New Roman" w:hAnsi="Times New Roman" w:cs="Times New Roman"/>
                <w:color w:val="auto"/>
                <w:sz w:val="22"/>
              </w:rPr>
              <w:t xml:space="preserve"> &amp; Peter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2020)</w:t>
            </w:r>
          </w:p>
        </w:tc>
        <w:tc>
          <w:tcPr>
            <w:tcW w:w="714" w:type="pct"/>
            <w:shd w:val="clear" w:color="auto" w:fill="auto"/>
            <w:noWrap/>
            <w:vAlign w:val="bottom"/>
            <w:hideMark/>
          </w:tcPr>
          <w:p w14:paraId="178BAA4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640FCBD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4D0CE35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027A0C0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1F2B007E"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7469A24B" w14:textId="77777777" w:rsidTr="008F1E01">
        <w:trPr>
          <w:trHeight w:val="288"/>
        </w:trPr>
        <w:tc>
          <w:tcPr>
            <w:tcW w:w="234" w:type="pct"/>
            <w:shd w:val="clear" w:color="auto" w:fill="auto"/>
            <w:noWrap/>
            <w:vAlign w:val="bottom"/>
            <w:hideMark/>
          </w:tcPr>
          <w:p w14:paraId="6014228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4</w:t>
            </w:r>
          </w:p>
        </w:tc>
        <w:tc>
          <w:tcPr>
            <w:tcW w:w="1194" w:type="pct"/>
            <w:shd w:val="clear" w:color="auto" w:fill="auto"/>
            <w:noWrap/>
            <w:vAlign w:val="bottom"/>
            <w:hideMark/>
          </w:tcPr>
          <w:p w14:paraId="7F7DA8B9" w14:textId="75C4ADEB"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Dagevos</w:t>
            </w:r>
            <w:proofErr w:type="spellEnd"/>
            <w:r w:rsidRPr="004829A5">
              <w:rPr>
                <w:rFonts w:ascii="Times New Roman" w:hAnsi="Times New Roman" w:cs="Times New Roman"/>
                <w:color w:val="auto"/>
                <w:sz w:val="22"/>
              </w:rPr>
              <w:t xml:space="preserve">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2021)</w:t>
            </w:r>
          </w:p>
        </w:tc>
        <w:tc>
          <w:tcPr>
            <w:tcW w:w="714" w:type="pct"/>
            <w:shd w:val="clear" w:color="auto" w:fill="auto"/>
            <w:noWrap/>
            <w:vAlign w:val="bottom"/>
            <w:hideMark/>
          </w:tcPr>
          <w:p w14:paraId="12BEC1F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3B22CA1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40AE924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042F0FD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C7FF869"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6D7747C1" w14:textId="77777777" w:rsidTr="008F1E01">
        <w:trPr>
          <w:trHeight w:val="288"/>
        </w:trPr>
        <w:tc>
          <w:tcPr>
            <w:tcW w:w="234" w:type="pct"/>
            <w:shd w:val="clear" w:color="auto" w:fill="auto"/>
            <w:noWrap/>
            <w:vAlign w:val="bottom"/>
            <w:hideMark/>
          </w:tcPr>
          <w:p w14:paraId="1384026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5</w:t>
            </w:r>
          </w:p>
        </w:tc>
        <w:tc>
          <w:tcPr>
            <w:tcW w:w="1194" w:type="pct"/>
            <w:shd w:val="clear" w:color="auto" w:fill="auto"/>
            <w:noWrap/>
            <w:vAlign w:val="bottom"/>
            <w:hideMark/>
          </w:tcPr>
          <w:p w14:paraId="4A5CACF0" w14:textId="382ECA0B"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De </w:t>
            </w:r>
            <w:proofErr w:type="spellStart"/>
            <w:r w:rsidRPr="004829A5">
              <w:rPr>
                <w:rFonts w:ascii="Times New Roman" w:hAnsi="Times New Roman" w:cs="Times New Roman"/>
                <w:color w:val="auto"/>
                <w:sz w:val="22"/>
              </w:rPr>
              <w:t>Cianni</w:t>
            </w:r>
            <w:proofErr w:type="spellEnd"/>
            <w:r w:rsidRPr="004829A5">
              <w:rPr>
                <w:rFonts w:ascii="Times New Roman" w:hAnsi="Times New Roman" w:cs="Times New Roman"/>
                <w:color w:val="auto"/>
                <w:sz w:val="22"/>
              </w:rPr>
              <w:t xml:space="preserve">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2023)</w:t>
            </w:r>
          </w:p>
        </w:tc>
        <w:tc>
          <w:tcPr>
            <w:tcW w:w="714" w:type="pct"/>
            <w:shd w:val="clear" w:color="auto" w:fill="auto"/>
            <w:noWrap/>
            <w:vAlign w:val="bottom"/>
            <w:hideMark/>
          </w:tcPr>
          <w:p w14:paraId="606361A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5FA553A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6486F24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280A5C8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308B5CE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7789D5DA" w14:textId="77777777" w:rsidTr="008F1E01">
        <w:trPr>
          <w:trHeight w:val="288"/>
        </w:trPr>
        <w:tc>
          <w:tcPr>
            <w:tcW w:w="234" w:type="pct"/>
            <w:shd w:val="clear" w:color="auto" w:fill="auto"/>
            <w:noWrap/>
            <w:vAlign w:val="bottom"/>
            <w:hideMark/>
          </w:tcPr>
          <w:p w14:paraId="1408A86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6</w:t>
            </w:r>
          </w:p>
        </w:tc>
        <w:tc>
          <w:tcPr>
            <w:tcW w:w="1194" w:type="pct"/>
            <w:shd w:val="clear" w:color="auto" w:fill="auto"/>
            <w:noWrap/>
            <w:vAlign w:val="bottom"/>
            <w:hideMark/>
          </w:tcPr>
          <w:p w14:paraId="2B3169D6" w14:textId="6DF75717"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Deroy</w:t>
            </w:r>
            <w:proofErr w:type="spellEnd"/>
            <w:r w:rsidRPr="004829A5">
              <w:rPr>
                <w:rFonts w:ascii="Times New Roman" w:hAnsi="Times New Roman" w:cs="Times New Roman"/>
                <w:color w:val="auto"/>
                <w:sz w:val="22"/>
              </w:rPr>
              <w:t xml:space="preserve">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2015)</w:t>
            </w:r>
          </w:p>
        </w:tc>
        <w:tc>
          <w:tcPr>
            <w:tcW w:w="714" w:type="pct"/>
            <w:shd w:val="clear" w:color="auto" w:fill="auto"/>
            <w:noWrap/>
            <w:vAlign w:val="bottom"/>
            <w:hideMark/>
          </w:tcPr>
          <w:p w14:paraId="21B5F83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5D00BFD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00CC246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329D249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5192606B"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11E33BAD" w14:textId="77777777" w:rsidTr="008F1E01">
        <w:trPr>
          <w:trHeight w:val="288"/>
        </w:trPr>
        <w:tc>
          <w:tcPr>
            <w:tcW w:w="234" w:type="pct"/>
            <w:shd w:val="clear" w:color="auto" w:fill="auto"/>
            <w:noWrap/>
            <w:vAlign w:val="bottom"/>
            <w:hideMark/>
          </w:tcPr>
          <w:p w14:paraId="7DDE00C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7</w:t>
            </w:r>
          </w:p>
        </w:tc>
        <w:tc>
          <w:tcPr>
            <w:tcW w:w="1194" w:type="pct"/>
            <w:shd w:val="clear" w:color="auto" w:fill="auto"/>
            <w:noWrap/>
            <w:vAlign w:val="bottom"/>
            <w:hideMark/>
          </w:tcPr>
          <w:p w14:paraId="48D0EAC6" w14:textId="04AA5217"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Eckl</w:t>
            </w:r>
            <w:proofErr w:type="spellEnd"/>
            <w:r w:rsidRPr="004829A5">
              <w:rPr>
                <w:rFonts w:ascii="Times New Roman" w:hAnsi="Times New Roman" w:cs="Times New Roman"/>
                <w:color w:val="auto"/>
                <w:sz w:val="22"/>
              </w:rPr>
              <w:t xml:space="preserve">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2021)</w:t>
            </w:r>
          </w:p>
        </w:tc>
        <w:tc>
          <w:tcPr>
            <w:tcW w:w="714" w:type="pct"/>
            <w:shd w:val="clear" w:color="auto" w:fill="auto"/>
            <w:noWrap/>
            <w:vAlign w:val="bottom"/>
            <w:hideMark/>
          </w:tcPr>
          <w:p w14:paraId="11CB79FC"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46137A0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43D7BAA"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75BE252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AA39DA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7A4297FF" w14:textId="77777777" w:rsidTr="008F1E01">
        <w:trPr>
          <w:trHeight w:val="288"/>
        </w:trPr>
        <w:tc>
          <w:tcPr>
            <w:tcW w:w="234" w:type="pct"/>
            <w:shd w:val="clear" w:color="auto" w:fill="auto"/>
            <w:noWrap/>
            <w:vAlign w:val="bottom"/>
            <w:hideMark/>
          </w:tcPr>
          <w:p w14:paraId="55751DE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8</w:t>
            </w:r>
          </w:p>
        </w:tc>
        <w:tc>
          <w:tcPr>
            <w:tcW w:w="1194" w:type="pct"/>
            <w:shd w:val="clear" w:color="auto" w:fill="auto"/>
            <w:noWrap/>
            <w:vAlign w:val="bottom"/>
            <w:hideMark/>
          </w:tcPr>
          <w:p w14:paraId="090A3B9C" w14:textId="5DA84B40"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szCs w:val="24"/>
              </w:rPr>
              <w:t>Florença</w:t>
            </w:r>
            <w:proofErr w:type="spellEnd"/>
            <w:r w:rsidRPr="004829A5">
              <w:rPr>
                <w:rFonts w:ascii="Times New Roman" w:hAnsi="Times New Roman" w:cs="Times New Roman"/>
                <w:color w:val="auto"/>
                <w:sz w:val="22"/>
                <w:szCs w:val="24"/>
              </w:rPr>
              <w:t xml:space="preserve"> et al. </w:t>
            </w:r>
            <w:r w:rsidR="005E3F99" w:rsidRPr="004829A5">
              <w:rPr>
                <w:rFonts w:ascii="Times New Roman" w:hAnsi="Times New Roman" w:cs="Times New Roman"/>
                <w:color w:val="auto"/>
                <w:sz w:val="22"/>
                <w:szCs w:val="24"/>
              </w:rPr>
              <w:t>(</w:t>
            </w:r>
            <w:r w:rsidRPr="004829A5">
              <w:rPr>
                <w:rFonts w:ascii="Times New Roman" w:hAnsi="Times New Roman" w:cs="Times New Roman"/>
                <w:color w:val="auto"/>
                <w:sz w:val="22"/>
                <w:szCs w:val="24"/>
              </w:rPr>
              <w:t>2022)</w:t>
            </w:r>
          </w:p>
        </w:tc>
        <w:tc>
          <w:tcPr>
            <w:tcW w:w="714" w:type="pct"/>
            <w:shd w:val="clear" w:color="auto" w:fill="auto"/>
            <w:noWrap/>
            <w:vAlign w:val="bottom"/>
            <w:hideMark/>
          </w:tcPr>
          <w:p w14:paraId="689D84B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DF977C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6674436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54B0FC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7BA81535"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6427721F" w14:textId="77777777" w:rsidTr="008F1E01">
        <w:trPr>
          <w:trHeight w:val="288"/>
        </w:trPr>
        <w:tc>
          <w:tcPr>
            <w:tcW w:w="234" w:type="pct"/>
            <w:shd w:val="clear" w:color="auto" w:fill="auto"/>
            <w:noWrap/>
            <w:vAlign w:val="bottom"/>
            <w:hideMark/>
          </w:tcPr>
          <w:p w14:paraId="67CE1AA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9</w:t>
            </w:r>
          </w:p>
        </w:tc>
        <w:tc>
          <w:tcPr>
            <w:tcW w:w="1194" w:type="pct"/>
            <w:shd w:val="clear" w:color="auto" w:fill="auto"/>
            <w:noWrap/>
            <w:vAlign w:val="bottom"/>
            <w:hideMark/>
          </w:tcPr>
          <w:p w14:paraId="68E26797" w14:textId="0E716BE5" w:rsidR="00AB7D25" w:rsidRPr="004829A5" w:rsidRDefault="00D86A68"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Giordano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2018)</w:t>
            </w:r>
          </w:p>
        </w:tc>
        <w:tc>
          <w:tcPr>
            <w:tcW w:w="714" w:type="pct"/>
            <w:shd w:val="clear" w:color="auto" w:fill="auto"/>
            <w:noWrap/>
            <w:vAlign w:val="bottom"/>
            <w:hideMark/>
          </w:tcPr>
          <w:p w14:paraId="50ACF8A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16CBEE9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288DF5F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69220B6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5A1B4B5F"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14FDC80C" w14:textId="77777777" w:rsidTr="008F1E01">
        <w:trPr>
          <w:trHeight w:val="288"/>
        </w:trPr>
        <w:tc>
          <w:tcPr>
            <w:tcW w:w="234" w:type="pct"/>
            <w:shd w:val="clear" w:color="auto" w:fill="auto"/>
            <w:noWrap/>
            <w:vAlign w:val="bottom"/>
            <w:hideMark/>
          </w:tcPr>
          <w:p w14:paraId="5851FDB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10</w:t>
            </w:r>
          </w:p>
        </w:tc>
        <w:tc>
          <w:tcPr>
            <w:tcW w:w="1194" w:type="pct"/>
            <w:shd w:val="clear" w:color="auto" w:fill="auto"/>
            <w:noWrap/>
            <w:vAlign w:val="bottom"/>
            <w:hideMark/>
          </w:tcPr>
          <w:p w14:paraId="5C7ED88D" w14:textId="17083FB5"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szCs w:val="24"/>
              </w:rPr>
              <w:t>Graça</w:t>
            </w:r>
            <w:proofErr w:type="spellEnd"/>
            <w:r w:rsidRPr="004829A5">
              <w:rPr>
                <w:rFonts w:ascii="Times New Roman" w:hAnsi="Times New Roman" w:cs="Times New Roman"/>
                <w:color w:val="auto"/>
                <w:sz w:val="22"/>
                <w:szCs w:val="24"/>
              </w:rPr>
              <w:t xml:space="preserve"> et al. </w:t>
            </w:r>
            <w:r w:rsidR="005E3F99" w:rsidRPr="004829A5">
              <w:rPr>
                <w:rFonts w:ascii="Times New Roman" w:hAnsi="Times New Roman" w:cs="Times New Roman"/>
                <w:color w:val="auto"/>
                <w:sz w:val="22"/>
                <w:szCs w:val="24"/>
              </w:rPr>
              <w:t>(</w:t>
            </w:r>
            <w:r w:rsidRPr="004829A5">
              <w:rPr>
                <w:rFonts w:ascii="Times New Roman" w:hAnsi="Times New Roman" w:cs="Times New Roman"/>
                <w:color w:val="auto"/>
                <w:sz w:val="22"/>
                <w:szCs w:val="24"/>
              </w:rPr>
              <w:t>2019)</w:t>
            </w:r>
          </w:p>
        </w:tc>
        <w:tc>
          <w:tcPr>
            <w:tcW w:w="714" w:type="pct"/>
            <w:shd w:val="clear" w:color="auto" w:fill="auto"/>
            <w:noWrap/>
            <w:vAlign w:val="bottom"/>
            <w:hideMark/>
          </w:tcPr>
          <w:p w14:paraId="0946843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14B40D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6F046D6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7E5B98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630A161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3BA0670B" w14:textId="77777777" w:rsidTr="008F1E01">
        <w:trPr>
          <w:trHeight w:val="288"/>
        </w:trPr>
        <w:tc>
          <w:tcPr>
            <w:tcW w:w="234" w:type="pct"/>
            <w:shd w:val="clear" w:color="auto" w:fill="auto"/>
            <w:noWrap/>
            <w:vAlign w:val="bottom"/>
            <w:hideMark/>
          </w:tcPr>
          <w:p w14:paraId="66F0327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11</w:t>
            </w:r>
          </w:p>
        </w:tc>
        <w:tc>
          <w:tcPr>
            <w:tcW w:w="1194" w:type="pct"/>
            <w:shd w:val="clear" w:color="auto" w:fill="auto"/>
            <w:noWrap/>
            <w:vAlign w:val="bottom"/>
            <w:hideMark/>
          </w:tcPr>
          <w:p w14:paraId="27CD3C0D" w14:textId="2DB62AB4"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Hartmann &amp; Siegrist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2017)</w:t>
            </w:r>
          </w:p>
        </w:tc>
        <w:tc>
          <w:tcPr>
            <w:tcW w:w="714" w:type="pct"/>
            <w:shd w:val="clear" w:color="auto" w:fill="auto"/>
            <w:noWrap/>
            <w:vAlign w:val="bottom"/>
            <w:hideMark/>
          </w:tcPr>
          <w:p w14:paraId="07858E6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29B3AF9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6D6364C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91F1AD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5955621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46086AF4" w14:textId="77777777" w:rsidTr="008F1E01">
        <w:trPr>
          <w:trHeight w:val="288"/>
        </w:trPr>
        <w:tc>
          <w:tcPr>
            <w:tcW w:w="234" w:type="pct"/>
            <w:shd w:val="clear" w:color="auto" w:fill="auto"/>
            <w:noWrap/>
            <w:vAlign w:val="bottom"/>
            <w:hideMark/>
          </w:tcPr>
          <w:p w14:paraId="139DD94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12</w:t>
            </w:r>
          </w:p>
        </w:tc>
        <w:tc>
          <w:tcPr>
            <w:tcW w:w="1194" w:type="pct"/>
            <w:shd w:val="clear" w:color="auto" w:fill="auto"/>
            <w:noWrap/>
            <w:vAlign w:val="bottom"/>
            <w:hideMark/>
          </w:tcPr>
          <w:p w14:paraId="29A643AE" w14:textId="360067A9"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He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2020)</w:t>
            </w:r>
          </w:p>
        </w:tc>
        <w:tc>
          <w:tcPr>
            <w:tcW w:w="714" w:type="pct"/>
            <w:shd w:val="clear" w:color="auto" w:fill="auto"/>
            <w:noWrap/>
            <w:vAlign w:val="bottom"/>
            <w:hideMark/>
          </w:tcPr>
          <w:p w14:paraId="6A7F227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2A5AB25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7478451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44FE5D0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6D433300"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2DE65C03" w14:textId="77777777" w:rsidTr="008F1E01">
        <w:trPr>
          <w:trHeight w:val="288"/>
        </w:trPr>
        <w:tc>
          <w:tcPr>
            <w:tcW w:w="234" w:type="pct"/>
            <w:shd w:val="clear" w:color="auto" w:fill="auto"/>
            <w:noWrap/>
            <w:vAlign w:val="bottom"/>
            <w:hideMark/>
          </w:tcPr>
          <w:p w14:paraId="4BFBF87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13</w:t>
            </w:r>
          </w:p>
        </w:tc>
        <w:tc>
          <w:tcPr>
            <w:tcW w:w="1194" w:type="pct"/>
            <w:shd w:val="clear" w:color="auto" w:fill="auto"/>
            <w:noWrap/>
            <w:vAlign w:val="bottom"/>
            <w:hideMark/>
          </w:tcPr>
          <w:p w14:paraId="1C77E7AA" w14:textId="3C638B0C"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 xml:space="preserve">Kauppi et al. </w:t>
            </w:r>
            <w:r w:rsidR="005E3F99" w:rsidRPr="004829A5">
              <w:rPr>
                <w:rFonts w:ascii="Times New Roman" w:eastAsia="Times New Roman" w:hAnsi="Times New Roman" w:cs="Times New Roman"/>
                <w:color w:val="auto"/>
                <w:sz w:val="22"/>
                <w:szCs w:val="22"/>
                <w:lang w:eastAsia="en-US"/>
              </w:rPr>
              <w:t>(</w:t>
            </w:r>
            <w:r w:rsidRPr="004829A5">
              <w:rPr>
                <w:rFonts w:ascii="Times New Roman" w:eastAsia="Times New Roman" w:hAnsi="Times New Roman" w:cs="Times New Roman"/>
                <w:color w:val="auto"/>
                <w:sz w:val="22"/>
                <w:szCs w:val="22"/>
                <w:lang w:eastAsia="en-US"/>
              </w:rPr>
              <w:t>2019)</w:t>
            </w:r>
          </w:p>
        </w:tc>
        <w:tc>
          <w:tcPr>
            <w:tcW w:w="714" w:type="pct"/>
            <w:shd w:val="clear" w:color="auto" w:fill="auto"/>
            <w:noWrap/>
            <w:vAlign w:val="bottom"/>
            <w:hideMark/>
          </w:tcPr>
          <w:p w14:paraId="3EFF36F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5FEC127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7E8C772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6DC407E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14702920"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26CC28BD" w14:textId="77777777" w:rsidTr="008F1E01">
        <w:trPr>
          <w:trHeight w:val="288"/>
        </w:trPr>
        <w:tc>
          <w:tcPr>
            <w:tcW w:w="234" w:type="pct"/>
            <w:shd w:val="clear" w:color="auto" w:fill="auto"/>
            <w:noWrap/>
            <w:vAlign w:val="bottom"/>
            <w:hideMark/>
          </w:tcPr>
          <w:p w14:paraId="7964991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14</w:t>
            </w:r>
          </w:p>
        </w:tc>
        <w:tc>
          <w:tcPr>
            <w:tcW w:w="1194" w:type="pct"/>
            <w:shd w:val="clear" w:color="auto" w:fill="auto"/>
            <w:noWrap/>
            <w:vAlign w:val="bottom"/>
            <w:hideMark/>
          </w:tcPr>
          <w:p w14:paraId="2351AB19" w14:textId="2B09A676"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szCs w:val="24"/>
              </w:rPr>
              <w:t>Kröger</w:t>
            </w:r>
            <w:proofErr w:type="spellEnd"/>
            <w:r w:rsidRPr="004829A5">
              <w:rPr>
                <w:rFonts w:ascii="Times New Roman" w:hAnsi="Times New Roman" w:cs="Times New Roman"/>
                <w:color w:val="auto"/>
                <w:sz w:val="22"/>
                <w:szCs w:val="24"/>
              </w:rPr>
              <w:t xml:space="preserve"> et al. </w:t>
            </w:r>
            <w:r w:rsidR="005E3F99" w:rsidRPr="004829A5">
              <w:rPr>
                <w:rFonts w:ascii="Times New Roman" w:hAnsi="Times New Roman" w:cs="Times New Roman"/>
                <w:color w:val="auto"/>
                <w:sz w:val="22"/>
                <w:szCs w:val="24"/>
              </w:rPr>
              <w:t>(</w:t>
            </w:r>
            <w:r w:rsidRPr="004829A5">
              <w:rPr>
                <w:rFonts w:ascii="Times New Roman" w:hAnsi="Times New Roman" w:cs="Times New Roman"/>
                <w:color w:val="auto"/>
                <w:sz w:val="22"/>
                <w:szCs w:val="24"/>
              </w:rPr>
              <w:t>2021)</w:t>
            </w:r>
          </w:p>
        </w:tc>
        <w:tc>
          <w:tcPr>
            <w:tcW w:w="714" w:type="pct"/>
            <w:shd w:val="clear" w:color="auto" w:fill="auto"/>
            <w:noWrap/>
            <w:vAlign w:val="bottom"/>
            <w:hideMark/>
          </w:tcPr>
          <w:p w14:paraId="0F1DAA4A"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001A81F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13F7E91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28B52E4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49BE5B94"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7279ED2C" w14:textId="77777777" w:rsidTr="008F1E01">
        <w:trPr>
          <w:trHeight w:val="288"/>
        </w:trPr>
        <w:tc>
          <w:tcPr>
            <w:tcW w:w="234" w:type="pct"/>
            <w:shd w:val="clear" w:color="auto" w:fill="auto"/>
            <w:noWrap/>
            <w:vAlign w:val="bottom"/>
            <w:hideMark/>
          </w:tcPr>
          <w:p w14:paraId="0143AAB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15</w:t>
            </w:r>
          </w:p>
        </w:tc>
        <w:tc>
          <w:tcPr>
            <w:tcW w:w="1194" w:type="pct"/>
            <w:shd w:val="clear" w:color="auto" w:fill="auto"/>
            <w:noWrap/>
            <w:vAlign w:val="bottom"/>
            <w:hideMark/>
          </w:tcPr>
          <w:p w14:paraId="1BF7D51E" w14:textId="45EC4891" w:rsidR="00AB7D25" w:rsidRPr="004829A5" w:rsidRDefault="000821C2"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Mancini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2019)</w:t>
            </w:r>
          </w:p>
        </w:tc>
        <w:tc>
          <w:tcPr>
            <w:tcW w:w="714" w:type="pct"/>
            <w:shd w:val="clear" w:color="auto" w:fill="auto"/>
            <w:noWrap/>
            <w:vAlign w:val="bottom"/>
            <w:hideMark/>
          </w:tcPr>
          <w:p w14:paraId="0DB795B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56F6C30A"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53A5320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037C50F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5339FBB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074A565E" w14:textId="77777777" w:rsidTr="008F1E01">
        <w:trPr>
          <w:trHeight w:val="288"/>
        </w:trPr>
        <w:tc>
          <w:tcPr>
            <w:tcW w:w="234" w:type="pct"/>
            <w:shd w:val="clear" w:color="auto" w:fill="auto"/>
            <w:noWrap/>
            <w:vAlign w:val="bottom"/>
            <w:hideMark/>
          </w:tcPr>
          <w:p w14:paraId="4A8CA77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16</w:t>
            </w:r>
          </w:p>
        </w:tc>
        <w:tc>
          <w:tcPr>
            <w:tcW w:w="1194" w:type="pct"/>
            <w:shd w:val="clear" w:color="auto" w:fill="auto"/>
            <w:noWrap/>
            <w:vAlign w:val="bottom"/>
            <w:hideMark/>
          </w:tcPr>
          <w:p w14:paraId="1100A100" w14:textId="3D37B58F" w:rsidR="00AB7D25" w:rsidRPr="004829A5" w:rsidRDefault="007E07ED"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Mina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2023)</w:t>
            </w:r>
          </w:p>
        </w:tc>
        <w:tc>
          <w:tcPr>
            <w:tcW w:w="714" w:type="pct"/>
            <w:shd w:val="clear" w:color="auto" w:fill="auto"/>
            <w:noWrap/>
            <w:vAlign w:val="bottom"/>
            <w:hideMark/>
          </w:tcPr>
          <w:p w14:paraId="602D35A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416FE11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C1A391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50E1BFA"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595404D5"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55A12FFF" w14:textId="77777777" w:rsidTr="008F1E01">
        <w:trPr>
          <w:trHeight w:val="288"/>
        </w:trPr>
        <w:tc>
          <w:tcPr>
            <w:tcW w:w="234" w:type="pct"/>
            <w:shd w:val="clear" w:color="auto" w:fill="auto"/>
            <w:noWrap/>
            <w:vAlign w:val="bottom"/>
            <w:hideMark/>
          </w:tcPr>
          <w:p w14:paraId="49E018B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17</w:t>
            </w:r>
          </w:p>
        </w:tc>
        <w:tc>
          <w:tcPr>
            <w:tcW w:w="1194" w:type="pct"/>
            <w:shd w:val="clear" w:color="auto" w:fill="auto"/>
            <w:noWrap/>
            <w:vAlign w:val="bottom"/>
            <w:hideMark/>
          </w:tcPr>
          <w:p w14:paraId="3520B950" w14:textId="7E6DE31C" w:rsidR="00AB7D25" w:rsidRPr="004829A5" w:rsidRDefault="007E07ED"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Nguyen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2022)</w:t>
            </w:r>
          </w:p>
        </w:tc>
        <w:tc>
          <w:tcPr>
            <w:tcW w:w="714" w:type="pct"/>
            <w:shd w:val="clear" w:color="auto" w:fill="auto"/>
            <w:noWrap/>
            <w:vAlign w:val="bottom"/>
            <w:hideMark/>
          </w:tcPr>
          <w:p w14:paraId="4371F89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0659CFF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3E8BB87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1301AC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7D80EA15"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45A12116" w14:textId="77777777" w:rsidTr="008F1E01">
        <w:trPr>
          <w:trHeight w:val="288"/>
        </w:trPr>
        <w:tc>
          <w:tcPr>
            <w:tcW w:w="234" w:type="pct"/>
            <w:shd w:val="clear" w:color="auto" w:fill="auto"/>
            <w:noWrap/>
            <w:vAlign w:val="bottom"/>
            <w:hideMark/>
          </w:tcPr>
          <w:p w14:paraId="23BB39F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18</w:t>
            </w:r>
          </w:p>
        </w:tc>
        <w:tc>
          <w:tcPr>
            <w:tcW w:w="1194" w:type="pct"/>
            <w:shd w:val="clear" w:color="auto" w:fill="auto"/>
            <w:noWrap/>
            <w:vAlign w:val="bottom"/>
            <w:hideMark/>
          </w:tcPr>
          <w:p w14:paraId="60AB2A31" w14:textId="697349A8" w:rsidR="00AB7D25" w:rsidRPr="004829A5" w:rsidRDefault="007E07ED"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Onwezen et al. </w:t>
            </w:r>
            <w:r w:rsidR="005E3F99" w:rsidRPr="004829A5">
              <w:rPr>
                <w:rFonts w:ascii="Times New Roman" w:hAnsi="Times New Roman" w:cs="Times New Roman"/>
                <w:color w:val="auto"/>
                <w:sz w:val="22"/>
              </w:rPr>
              <w:t>(</w:t>
            </w:r>
            <w:r w:rsidRPr="004829A5">
              <w:rPr>
                <w:rFonts w:ascii="Times New Roman" w:hAnsi="Times New Roman" w:cs="Times New Roman"/>
                <w:color w:val="auto"/>
                <w:sz w:val="22"/>
              </w:rPr>
              <w:t>2021)</w:t>
            </w:r>
          </w:p>
        </w:tc>
        <w:tc>
          <w:tcPr>
            <w:tcW w:w="714" w:type="pct"/>
            <w:shd w:val="clear" w:color="auto" w:fill="auto"/>
            <w:noWrap/>
            <w:vAlign w:val="bottom"/>
            <w:hideMark/>
          </w:tcPr>
          <w:p w14:paraId="217E90D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0F8839D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81EBDF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4E6BCCE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89FCDA6"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159471D3" w14:textId="77777777" w:rsidTr="008F1E01">
        <w:trPr>
          <w:trHeight w:val="288"/>
        </w:trPr>
        <w:tc>
          <w:tcPr>
            <w:tcW w:w="234" w:type="pct"/>
            <w:shd w:val="clear" w:color="auto" w:fill="auto"/>
            <w:noWrap/>
            <w:vAlign w:val="bottom"/>
            <w:hideMark/>
          </w:tcPr>
          <w:p w14:paraId="517F234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19</w:t>
            </w:r>
          </w:p>
        </w:tc>
        <w:tc>
          <w:tcPr>
            <w:tcW w:w="1194" w:type="pct"/>
            <w:shd w:val="clear" w:color="auto" w:fill="auto"/>
            <w:noWrap/>
            <w:vAlign w:val="bottom"/>
            <w:hideMark/>
          </w:tcPr>
          <w:p w14:paraId="15795647" w14:textId="12396230"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Siddiqui</w:t>
            </w:r>
            <w:r w:rsidR="004C2FC9" w:rsidRPr="004829A5">
              <w:rPr>
                <w:rFonts w:ascii="Times New Roman" w:hAnsi="Times New Roman" w:cs="Times New Roman"/>
                <w:color w:val="auto"/>
                <w:sz w:val="22"/>
              </w:rPr>
              <w:t>,</w:t>
            </w:r>
            <w:r w:rsidR="006A4201" w:rsidRPr="004829A5">
              <w:rPr>
                <w:rFonts w:ascii="Times New Roman" w:hAnsi="Times New Roman" w:cs="Times New Roman"/>
                <w:color w:val="auto"/>
                <w:sz w:val="22"/>
              </w:rPr>
              <w:t xml:space="preserve"> </w:t>
            </w:r>
            <w:proofErr w:type="spellStart"/>
            <w:r w:rsidR="006A4201" w:rsidRPr="004829A5">
              <w:rPr>
                <w:rFonts w:ascii="Times New Roman" w:hAnsi="Times New Roman" w:cs="Times New Roman"/>
                <w:color w:val="auto"/>
                <w:sz w:val="22"/>
              </w:rPr>
              <w:t>Bahmid</w:t>
            </w:r>
            <w:proofErr w:type="spellEnd"/>
            <w:r w:rsidRPr="004829A5">
              <w:rPr>
                <w:rFonts w:ascii="Times New Roman" w:hAnsi="Times New Roman" w:cs="Times New Roman"/>
                <w:color w:val="auto"/>
                <w:sz w:val="22"/>
              </w:rPr>
              <w:t xml:space="preserve"> et al. (2023)</w:t>
            </w:r>
          </w:p>
        </w:tc>
        <w:tc>
          <w:tcPr>
            <w:tcW w:w="714" w:type="pct"/>
            <w:shd w:val="clear" w:color="auto" w:fill="auto"/>
            <w:noWrap/>
            <w:vAlign w:val="bottom"/>
            <w:hideMark/>
          </w:tcPr>
          <w:p w14:paraId="6AEFA27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063832F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35087DF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21D4F16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013CD3C2"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49DFDBE6" w14:textId="77777777" w:rsidTr="008F1E01">
        <w:trPr>
          <w:trHeight w:val="288"/>
        </w:trPr>
        <w:tc>
          <w:tcPr>
            <w:tcW w:w="234" w:type="pct"/>
            <w:shd w:val="clear" w:color="auto" w:fill="auto"/>
            <w:noWrap/>
            <w:vAlign w:val="bottom"/>
            <w:hideMark/>
          </w:tcPr>
          <w:p w14:paraId="7ADF75E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20</w:t>
            </w:r>
          </w:p>
        </w:tc>
        <w:tc>
          <w:tcPr>
            <w:tcW w:w="1194" w:type="pct"/>
            <w:shd w:val="clear" w:color="auto" w:fill="auto"/>
            <w:noWrap/>
            <w:vAlign w:val="bottom"/>
            <w:hideMark/>
          </w:tcPr>
          <w:p w14:paraId="69BB2AD8" w14:textId="0A0EEE67"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Siddiqui, </w:t>
            </w:r>
            <w:proofErr w:type="spellStart"/>
            <w:r w:rsidRPr="004829A5">
              <w:rPr>
                <w:rFonts w:ascii="Times New Roman" w:hAnsi="Times New Roman" w:cs="Times New Roman"/>
                <w:color w:val="auto"/>
                <w:sz w:val="22"/>
              </w:rPr>
              <w:t>Zannou</w:t>
            </w:r>
            <w:proofErr w:type="spellEnd"/>
            <w:r w:rsidRPr="004829A5">
              <w:rPr>
                <w:rFonts w:ascii="Times New Roman" w:hAnsi="Times New Roman" w:cs="Times New Roman"/>
                <w:color w:val="auto"/>
                <w:sz w:val="22"/>
              </w:rPr>
              <w:t>, et al. (2022)</w:t>
            </w:r>
          </w:p>
        </w:tc>
        <w:tc>
          <w:tcPr>
            <w:tcW w:w="714" w:type="pct"/>
            <w:shd w:val="clear" w:color="auto" w:fill="auto"/>
            <w:noWrap/>
            <w:vAlign w:val="bottom"/>
            <w:hideMark/>
          </w:tcPr>
          <w:p w14:paraId="4C6795B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3CE80B0A"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2CFC4BE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65F8015B"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7658DB3E"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3DB7AA8A" w14:textId="77777777" w:rsidTr="008F1E01">
        <w:trPr>
          <w:trHeight w:val="288"/>
        </w:trPr>
        <w:tc>
          <w:tcPr>
            <w:tcW w:w="234" w:type="pct"/>
            <w:shd w:val="clear" w:color="auto" w:fill="auto"/>
            <w:noWrap/>
            <w:vAlign w:val="bottom"/>
            <w:hideMark/>
          </w:tcPr>
          <w:p w14:paraId="2C03E27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21</w:t>
            </w:r>
          </w:p>
        </w:tc>
        <w:tc>
          <w:tcPr>
            <w:tcW w:w="1194" w:type="pct"/>
            <w:shd w:val="clear" w:color="auto" w:fill="auto"/>
            <w:noWrap/>
            <w:vAlign w:val="bottom"/>
            <w:hideMark/>
          </w:tcPr>
          <w:p w14:paraId="2C14D0BE" w14:textId="6354259B"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 xml:space="preserve">Siddiqui, </w:t>
            </w:r>
            <w:proofErr w:type="spellStart"/>
            <w:r w:rsidRPr="004829A5">
              <w:rPr>
                <w:rFonts w:ascii="Times New Roman" w:hAnsi="Times New Roman" w:cs="Times New Roman"/>
                <w:color w:val="auto"/>
                <w:sz w:val="22"/>
              </w:rPr>
              <w:t>Alvi</w:t>
            </w:r>
            <w:proofErr w:type="spellEnd"/>
            <w:r w:rsidRPr="004829A5">
              <w:rPr>
                <w:rFonts w:ascii="Times New Roman" w:hAnsi="Times New Roman" w:cs="Times New Roman"/>
                <w:color w:val="auto"/>
                <w:sz w:val="22"/>
              </w:rPr>
              <w:t>, et al. (2022)</w:t>
            </w:r>
          </w:p>
        </w:tc>
        <w:tc>
          <w:tcPr>
            <w:tcW w:w="714" w:type="pct"/>
            <w:shd w:val="clear" w:color="auto" w:fill="auto"/>
            <w:noWrap/>
            <w:vAlign w:val="bottom"/>
            <w:hideMark/>
          </w:tcPr>
          <w:p w14:paraId="3598E21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45274B4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0F7EB27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0A922FE4"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25440670"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6E8AB5D3" w14:textId="77777777" w:rsidTr="008F1E01">
        <w:trPr>
          <w:trHeight w:val="288"/>
        </w:trPr>
        <w:tc>
          <w:tcPr>
            <w:tcW w:w="234" w:type="pct"/>
            <w:shd w:val="clear" w:color="auto" w:fill="auto"/>
            <w:noWrap/>
            <w:vAlign w:val="bottom"/>
            <w:hideMark/>
          </w:tcPr>
          <w:p w14:paraId="4A163E4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22</w:t>
            </w:r>
          </w:p>
        </w:tc>
        <w:tc>
          <w:tcPr>
            <w:tcW w:w="1194" w:type="pct"/>
            <w:shd w:val="clear" w:color="auto" w:fill="auto"/>
            <w:noWrap/>
            <w:vAlign w:val="bottom"/>
            <w:hideMark/>
          </w:tcPr>
          <w:p w14:paraId="52603B4E" w14:textId="7D7D42BF"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szCs w:val="24"/>
              </w:rPr>
              <w:t>Szenderák</w:t>
            </w:r>
            <w:proofErr w:type="spellEnd"/>
            <w:r w:rsidRPr="004829A5">
              <w:rPr>
                <w:rFonts w:ascii="Times New Roman" w:hAnsi="Times New Roman" w:cs="Times New Roman"/>
                <w:color w:val="auto"/>
                <w:sz w:val="22"/>
                <w:szCs w:val="24"/>
              </w:rPr>
              <w:t xml:space="preserve"> et al. (2022)</w:t>
            </w:r>
          </w:p>
        </w:tc>
        <w:tc>
          <w:tcPr>
            <w:tcW w:w="714" w:type="pct"/>
            <w:shd w:val="clear" w:color="auto" w:fill="auto"/>
            <w:noWrap/>
            <w:vAlign w:val="bottom"/>
            <w:hideMark/>
          </w:tcPr>
          <w:p w14:paraId="50CFEF6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542155D5"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1DE6A46C"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343E871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5DD27977"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20955C15" w14:textId="77777777" w:rsidTr="008F1E01">
        <w:trPr>
          <w:trHeight w:val="288"/>
        </w:trPr>
        <w:tc>
          <w:tcPr>
            <w:tcW w:w="234" w:type="pct"/>
            <w:shd w:val="clear" w:color="auto" w:fill="auto"/>
            <w:noWrap/>
            <w:vAlign w:val="bottom"/>
            <w:hideMark/>
          </w:tcPr>
          <w:p w14:paraId="5A6E598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lastRenderedPageBreak/>
              <w:t>23</w:t>
            </w:r>
          </w:p>
        </w:tc>
        <w:tc>
          <w:tcPr>
            <w:tcW w:w="1194" w:type="pct"/>
            <w:shd w:val="clear" w:color="auto" w:fill="auto"/>
            <w:noWrap/>
            <w:vAlign w:val="bottom"/>
            <w:hideMark/>
          </w:tcPr>
          <w:p w14:paraId="566EB12B" w14:textId="70D35CD9"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Toti</w:t>
            </w:r>
            <w:proofErr w:type="spellEnd"/>
            <w:r w:rsidRPr="004829A5">
              <w:rPr>
                <w:rFonts w:ascii="Times New Roman" w:hAnsi="Times New Roman" w:cs="Times New Roman"/>
                <w:color w:val="auto"/>
                <w:sz w:val="22"/>
              </w:rPr>
              <w:t xml:space="preserve"> et al. (2020)</w:t>
            </w:r>
          </w:p>
        </w:tc>
        <w:tc>
          <w:tcPr>
            <w:tcW w:w="714" w:type="pct"/>
            <w:shd w:val="clear" w:color="auto" w:fill="auto"/>
            <w:noWrap/>
            <w:vAlign w:val="bottom"/>
            <w:hideMark/>
          </w:tcPr>
          <w:p w14:paraId="6F8F9FE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73F54BBC"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246752C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2ADF49E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5323D45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2945E329" w14:textId="77777777" w:rsidTr="008F1E01">
        <w:trPr>
          <w:trHeight w:val="288"/>
        </w:trPr>
        <w:tc>
          <w:tcPr>
            <w:tcW w:w="234" w:type="pct"/>
            <w:shd w:val="clear" w:color="auto" w:fill="auto"/>
            <w:noWrap/>
            <w:vAlign w:val="bottom"/>
            <w:hideMark/>
          </w:tcPr>
          <w:p w14:paraId="1CFA42A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24</w:t>
            </w:r>
          </w:p>
        </w:tc>
        <w:tc>
          <w:tcPr>
            <w:tcW w:w="1194" w:type="pct"/>
            <w:shd w:val="clear" w:color="auto" w:fill="auto"/>
            <w:noWrap/>
            <w:vAlign w:val="bottom"/>
            <w:hideMark/>
          </w:tcPr>
          <w:p w14:paraId="47DB12BF" w14:textId="5B1D83E0"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Wang et al. (2023)</w:t>
            </w:r>
          </w:p>
        </w:tc>
        <w:tc>
          <w:tcPr>
            <w:tcW w:w="714" w:type="pct"/>
            <w:shd w:val="clear" w:color="auto" w:fill="auto"/>
            <w:noWrap/>
            <w:vAlign w:val="bottom"/>
            <w:hideMark/>
          </w:tcPr>
          <w:p w14:paraId="3A6B17AF"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3978567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5898D390"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79F92316"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65C3F2C9"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75046BC6" w14:textId="77777777" w:rsidTr="008F1E01">
        <w:trPr>
          <w:trHeight w:val="288"/>
        </w:trPr>
        <w:tc>
          <w:tcPr>
            <w:tcW w:w="234" w:type="pct"/>
            <w:shd w:val="clear" w:color="auto" w:fill="auto"/>
            <w:noWrap/>
            <w:vAlign w:val="bottom"/>
            <w:hideMark/>
          </w:tcPr>
          <w:p w14:paraId="7928631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25</w:t>
            </w:r>
          </w:p>
        </w:tc>
        <w:tc>
          <w:tcPr>
            <w:tcW w:w="1194" w:type="pct"/>
            <w:shd w:val="clear" w:color="auto" w:fill="auto"/>
            <w:noWrap/>
            <w:vAlign w:val="bottom"/>
            <w:hideMark/>
          </w:tcPr>
          <w:p w14:paraId="1D6DBF2C" w14:textId="0BF71A51"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Wassmann</w:t>
            </w:r>
            <w:proofErr w:type="spellEnd"/>
            <w:r w:rsidRPr="004829A5">
              <w:rPr>
                <w:rFonts w:ascii="Times New Roman" w:hAnsi="Times New Roman" w:cs="Times New Roman"/>
                <w:color w:val="auto"/>
                <w:sz w:val="22"/>
              </w:rPr>
              <w:t xml:space="preserve"> et al. (2021)</w:t>
            </w:r>
          </w:p>
        </w:tc>
        <w:tc>
          <w:tcPr>
            <w:tcW w:w="714" w:type="pct"/>
            <w:shd w:val="clear" w:color="auto" w:fill="auto"/>
            <w:noWrap/>
            <w:vAlign w:val="bottom"/>
            <w:hideMark/>
          </w:tcPr>
          <w:p w14:paraId="164BCAC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74AF45A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03100032"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17E440A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2A901864"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3DE6EA83" w14:textId="77777777" w:rsidTr="008F1E01">
        <w:trPr>
          <w:trHeight w:val="288"/>
        </w:trPr>
        <w:tc>
          <w:tcPr>
            <w:tcW w:w="234" w:type="pct"/>
            <w:shd w:val="clear" w:color="auto" w:fill="auto"/>
            <w:noWrap/>
            <w:vAlign w:val="bottom"/>
            <w:hideMark/>
          </w:tcPr>
          <w:p w14:paraId="45A774A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26</w:t>
            </w:r>
          </w:p>
        </w:tc>
        <w:tc>
          <w:tcPr>
            <w:tcW w:w="1194" w:type="pct"/>
            <w:shd w:val="clear" w:color="auto" w:fill="auto"/>
            <w:noWrap/>
            <w:vAlign w:val="bottom"/>
            <w:hideMark/>
          </w:tcPr>
          <w:p w14:paraId="44330FE5" w14:textId="156D41A7"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Weinrich (2019)</w:t>
            </w:r>
          </w:p>
        </w:tc>
        <w:tc>
          <w:tcPr>
            <w:tcW w:w="714" w:type="pct"/>
            <w:shd w:val="clear" w:color="auto" w:fill="auto"/>
            <w:noWrap/>
            <w:vAlign w:val="bottom"/>
            <w:hideMark/>
          </w:tcPr>
          <w:p w14:paraId="75F5AD3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6D03F05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shd w:val="clear" w:color="auto" w:fill="auto"/>
            <w:noWrap/>
            <w:vAlign w:val="bottom"/>
            <w:hideMark/>
          </w:tcPr>
          <w:p w14:paraId="4B278109"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458E0ADD"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shd w:val="clear" w:color="auto" w:fill="auto"/>
            <w:noWrap/>
            <w:vAlign w:val="bottom"/>
            <w:hideMark/>
          </w:tcPr>
          <w:p w14:paraId="75439CE5"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r w:rsidR="004829A5" w:rsidRPr="004829A5" w14:paraId="6B7B880D" w14:textId="77777777" w:rsidTr="006C6315">
        <w:trPr>
          <w:trHeight w:val="288"/>
        </w:trPr>
        <w:tc>
          <w:tcPr>
            <w:tcW w:w="234" w:type="pct"/>
            <w:shd w:val="clear" w:color="auto" w:fill="auto"/>
            <w:noWrap/>
            <w:vAlign w:val="bottom"/>
            <w:hideMark/>
          </w:tcPr>
          <w:p w14:paraId="5EBF7E0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27</w:t>
            </w:r>
          </w:p>
        </w:tc>
        <w:tc>
          <w:tcPr>
            <w:tcW w:w="1194" w:type="pct"/>
            <w:shd w:val="clear" w:color="auto" w:fill="auto"/>
            <w:noWrap/>
            <w:vAlign w:val="bottom"/>
            <w:hideMark/>
          </w:tcPr>
          <w:p w14:paraId="7352B598" w14:textId="02379689"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proofErr w:type="spellStart"/>
            <w:r w:rsidRPr="004829A5">
              <w:rPr>
                <w:rFonts w:ascii="Times New Roman" w:hAnsi="Times New Roman" w:cs="Times New Roman"/>
                <w:color w:val="auto"/>
                <w:sz w:val="22"/>
              </w:rPr>
              <w:t>Wendin</w:t>
            </w:r>
            <w:proofErr w:type="spellEnd"/>
            <w:r w:rsidRPr="004829A5">
              <w:rPr>
                <w:rFonts w:ascii="Times New Roman" w:hAnsi="Times New Roman" w:cs="Times New Roman"/>
                <w:color w:val="auto"/>
                <w:sz w:val="22"/>
              </w:rPr>
              <w:t xml:space="preserve"> &amp; Nyberg (2021)</w:t>
            </w:r>
          </w:p>
        </w:tc>
        <w:tc>
          <w:tcPr>
            <w:tcW w:w="714" w:type="pct"/>
            <w:shd w:val="clear" w:color="auto" w:fill="auto"/>
            <w:noWrap/>
            <w:vAlign w:val="bottom"/>
            <w:hideMark/>
          </w:tcPr>
          <w:p w14:paraId="470D8D5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6DF5207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4" w:type="pct"/>
            <w:shd w:val="clear" w:color="auto" w:fill="auto"/>
            <w:noWrap/>
            <w:vAlign w:val="bottom"/>
            <w:hideMark/>
          </w:tcPr>
          <w:p w14:paraId="6FEA925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14FC5CFC"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HIGH</w:t>
            </w:r>
          </w:p>
        </w:tc>
        <w:tc>
          <w:tcPr>
            <w:tcW w:w="715" w:type="pct"/>
            <w:shd w:val="clear" w:color="auto" w:fill="auto"/>
            <w:noWrap/>
            <w:vAlign w:val="bottom"/>
            <w:hideMark/>
          </w:tcPr>
          <w:p w14:paraId="3087F981"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HIGH</w:t>
            </w:r>
          </w:p>
        </w:tc>
      </w:tr>
      <w:tr w:rsidR="004829A5" w:rsidRPr="004829A5" w14:paraId="3414604A" w14:textId="77777777" w:rsidTr="006C6315">
        <w:trPr>
          <w:trHeight w:val="288"/>
        </w:trPr>
        <w:tc>
          <w:tcPr>
            <w:tcW w:w="234" w:type="pct"/>
            <w:tcBorders>
              <w:bottom w:val="single" w:sz="4" w:space="0" w:color="auto"/>
            </w:tcBorders>
            <w:shd w:val="clear" w:color="auto" w:fill="auto"/>
            <w:noWrap/>
            <w:vAlign w:val="bottom"/>
            <w:hideMark/>
          </w:tcPr>
          <w:p w14:paraId="7D1F51C8"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28</w:t>
            </w:r>
          </w:p>
        </w:tc>
        <w:tc>
          <w:tcPr>
            <w:tcW w:w="1194" w:type="pct"/>
            <w:tcBorders>
              <w:bottom w:val="single" w:sz="4" w:space="0" w:color="auto"/>
            </w:tcBorders>
            <w:shd w:val="clear" w:color="auto" w:fill="auto"/>
            <w:noWrap/>
            <w:vAlign w:val="bottom"/>
            <w:hideMark/>
          </w:tcPr>
          <w:p w14:paraId="359157A0" w14:textId="752A7E92" w:rsidR="00AB7D25" w:rsidRPr="004829A5" w:rsidRDefault="005E3F99" w:rsidP="00EE39AD">
            <w:pPr>
              <w:spacing w:line="240" w:lineRule="auto"/>
              <w:ind w:left="0"/>
              <w:rPr>
                <w:rFonts w:ascii="Times New Roman" w:eastAsia="Times New Roman" w:hAnsi="Times New Roman" w:cs="Times New Roman"/>
                <w:color w:val="auto"/>
                <w:sz w:val="22"/>
                <w:szCs w:val="22"/>
                <w:lang w:eastAsia="en-US"/>
              </w:rPr>
            </w:pPr>
            <w:r w:rsidRPr="004829A5">
              <w:rPr>
                <w:rFonts w:ascii="Times New Roman" w:hAnsi="Times New Roman" w:cs="Times New Roman"/>
                <w:color w:val="auto"/>
                <w:sz w:val="22"/>
              </w:rPr>
              <w:t>Wendt &amp; Weinrich (2023)</w:t>
            </w:r>
          </w:p>
        </w:tc>
        <w:tc>
          <w:tcPr>
            <w:tcW w:w="714" w:type="pct"/>
            <w:tcBorders>
              <w:bottom w:val="single" w:sz="4" w:space="0" w:color="auto"/>
            </w:tcBorders>
            <w:shd w:val="clear" w:color="auto" w:fill="auto"/>
            <w:noWrap/>
            <w:vAlign w:val="bottom"/>
            <w:hideMark/>
          </w:tcPr>
          <w:p w14:paraId="23DB533E"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tcBorders>
              <w:bottom w:val="single" w:sz="4" w:space="0" w:color="auto"/>
            </w:tcBorders>
            <w:shd w:val="clear" w:color="auto" w:fill="auto"/>
            <w:noWrap/>
            <w:vAlign w:val="bottom"/>
            <w:hideMark/>
          </w:tcPr>
          <w:p w14:paraId="30153B41"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4" w:type="pct"/>
            <w:tcBorders>
              <w:bottom w:val="single" w:sz="4" w:space="0" w:color="auto"/>
            </w:tcBorders>
            <w:shd w:val="clear" w:color="auto" w:fill="auto"/>
            <w:noWrap/>
            <w:vAlign w:val="bottom"/>
            <w:hideMark/>
          </w:tcPr>
          <w:p w14:paraId="398EFC43"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tcBorders>
              <w:bottom w:val="single" w:sz="4" w:space="0" w:color="auto"/>
            </w:tcBorders>
            <w:shd w:val="clear" w:color="auto" w:fill="auto"/>
            <w:noWrap/>
            <w:vAlign w:val="bottom"/>
            <w:hideMark/>
          </w:tcPr>
          <w:p w14:paraId="3D707367" w14:textId="77777777" w:rsidR="00AB7D25" w:rsidRPr="004829A5" w:rsidRDefault="00AB7D25" w:rsidP="00EE39AD">
            <w:pPr>
              <w:spacing w:line="240" w:lineRule="auto"/>
              <w:ind w:left="0"/>
              <w:jc w:val="center"/>
              <w:rPr>
                <w:rFonts w:ascii="Times New Roman" w:eastAsia="Times New Roman" w:hAnsi="Times New Roman" w:cs="Times New Roman"/>
                <w:color w:val="auto"/>
                <w:sz w:val="22"/>
                <w:szCs w:val="22"/>
                <w:lang w:eastAsia="en-US"/>
              </w:rPr>
            </w:pPr>
            <w:r w:rsidRPr="004829A5">
              <w:rPr>
                <w:rFonts w:ascii="Times New Roman" w:eastAsia="Times New Roman" w:hAnsi="Times New Roman" w:cs="Times New Roman"/>
                <w:color w:val="auto"/>
                <w:sz w:val="22"/>
                <w:szCs w:val="22"/>
                <w:lang w:eastAsia="en-US"/>
              </w:rPr>
              <w:t>LOW</w:t>
            </w:r>
          </w:p>
        </w:tc>
        <w:tc>
          <w:tcPr>
            <w:tcW w:w="715" w:type="pct"/>
            <w:tcBorders>
              <w:bottom w:val="single" w:sz="4" w:space="0" w:color="auto"/>
            </w:tcBorders>
            <w:shd w:val="clear" w:color="auto" w:fill="auto"/>
            <w:noWrap/>
            <w:vAlign w:val="bottom"/>
            <w:hideMark/>
          </w:tcPr>
          <w:p w14:paraId="1E0800D3" w14:textId="77777777" w:rsidR="00AB7D25" w:rsidRPr="004829A5" w:rsidRDefault="00AB7D25" w:rsidP="00EE39AD">
            <w:pPr>
              <w:spacing w:line="240" w:lineRule="auto"/>
              <w:ind w:left="0"/>
              <w:jc w:val="center"/>
              <w:rPr>
                <w:rFonts w:ascii="Times New Roman" w:eastAsia="Times New Roman" w:hAnsi="Times New Roman" w:cs="Times New Roman"/>
                <w:b/>
                <w:bCs/>
                <w:color w:val="auto"/>
                <w:sz w:val="22"/>
                <w:szCs w:val="22"/>
                <w:lang w:eastAsia="en-US"/>
              </w:rPr>
            </w:pPr>
            <w:r w:rsidRPr="004829A5">
              <w:rPr>
                <w:rFonts w:ascii="Times New Roman" w:eastAsia="Times New Roman" w:hAnsi="Times New Roman" w:cs="Times New Roman"/>
                <w:b/>
                <w:bCs/>
                <w:color w:val="auto"/>
                <w:sz w:val="22"/>
                <w:szCs w:val="22"/>
                <w:lang w:eastAsia="en-US"/>
              </w:rPr>
              <w:t>LOW</w:t>
            </w:r>
          </w:p>
        </w:tc>
      </w:tr>
    </w:tbl>
    <w:p w14:paraId="6F2DF72E" w14:textId="2593FF14" w:rsidR="00AB7D25" w:rsidRPr="004829A5" w:rsidRDefault="00AB7D25" w:rsidP="00EE39AD">
      <w:pPr>
        <w:spacing w:line="240" w:lineRule="auto"/>
        <w:ind w:left="0"/>
        <w:rPr>
          <w:rFonts w:ascii="Times New Roman" w:eastAsia="Times New Roman" w:hAnsi="Times New Roman" w:cs="Times New Roman"/>
          <w:i/>
          <w:color w:val="auto"/>
          <w:sz w:val="18"/>
          <w:szCs w:val="18"/>
        </w:rPr>
        <w:sectPr w:rsidR="00AB7D25" w:rsidRPr="004829A5" w:rsidSect="000522E6">
          <w:pgSz w:w="16834" w:h="11909" w:orient="landscape"/>
          <w:pgMar w:top="720" w:right="720" w:bottom="720" w:left="720" w:header="562" w:footer="907" w:gutter="0"/>
          <w:cols w:space="708"/>
          <w:titlePg/>
          <w:docGrid w:linePitch="272"/>
        </w:sectPr>
      </w:pPr>
    </w:p>
    <w:p w14:paraId="7910AE44" w14:textId="1BB1EA04" w:rsidR="00DF1324" w:rsidRPr="004829A5" w:rsidRDefault="00DF1324" w:rsidP="00EE39AD">
      <w:pPr>
        <w:pStyle w:val="Heading1"/>
        <w:numPr>
          <w:ilvl w:val="0"/>
          <w:numId w:val="0"/>
        </w:numPr>
        <w:spacing w:line="480" w:lineRule="auto"/>
        <w:jc w:val="center"/>
        <w:rPr>
          <w:rFonts w:ascii="Times New Roman" w:hAnsi="Times New Roman" w:cs="Times New Roman"/>
          <w:color w:val="auto"/>
          <w:sz w:val="24"/>
          <w:szCs w:val="24"/>
        </w:rPr>
      </w:pPr>
      <w:bookmarkStart w:id="75" w:name="_Toc148960232"/>
      <w:r w:rsidRPr="004829A5">
        <w:rPr>
          <w:rFonts w:ascii="Times New Roman" w:hAnsi="Times New Roman" w:cs="Times New Roman"/>
          <w:color w:val="auto"/>
          <w:sz w:val="24"/>
          <w:szCs w:val="24"/>
        </w:rPr>
        <w:lastRenderedPageBreak/>
        <w:t>References</w:t>
      </w:r>
      <w:bookmarkEnd w:id="75"/>
    </w:p>
    <w:p w14:paraId="0FFA5766" w14:textId="5FC74E53" w:rsidR="00DF1324" w:rsidRPr="004829A5" w:rsidRDefault="00DF1324" w:rsidP="00EE39AD">
      <w:pPr>
        <w:spacing w:line="480" w:lineRule="auto"/>
        <w:ind w:left="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References marked with an asterisk indicate studies included in the meta-review.</w:t>
      </w:r>
    </w:p>
    <w:p w14:paraId="11F79EBA" w14:textId="77777777" w:rsidR="00DF1324" w:rsidRPr="004829A5" w:rsidRDefault="00DF1324" w:rsidP="00EE39AD">
      <w:pPr>
        <w:spacing w:line="480" w:lineRule="auto"/>
        <w:ind w:left="0"/>
        <w:rPr>
          <w:rFonts w:ascii="Times New Roman" w:eastAsia="Times New Roman" w:hAnsi="Times New Roman" w:cs="Times New Roman"/>
          <w:color w:val="auto"/>
          <w:sz w:val="24"/>
          <w:szCs w:val="24"/>
        </w:rPr>
      </w:pPr>
    </w:p>
    <w:p w14:paraId="4CF9A429"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Ajzen, I., &amp; Schmidt, P. (2020).</w:t>
      </w:r>
      <w:r w:rsidRPr="004829A5">
        <w:rPr>
          <w:rFonts w:ascii="Times New Roman" w:eastAsia="Calibri" w:hAnsi="Times New Roman" w:cs="Times New Roman"/>
          <w:i/>
          <w:color w:val="auto"/>
          <w:sz w:val="24"/>
          <w:szCs w:val="24"/>
        </w:rPr>
        <w:t xml:space="preserve"> </w:t>
      </w:r>
      <w:r w:rsidRPr="004829A5">
        <w:rPr>
          <w:rFonts w:ascii="Times New Roman" w:eastAsia="Calibri" w:hAnsi="Times New Roman" w:cs="Times New Roman"/>
          <w:color w:val="auto"/>
          <w:sz w:val="24"/>
          <w:szCs w:val="24"/>
        </w:rPr>
        <w:t xml:space="preserve">Changing Behavior Using the Theory of Planned Behavior. In. M. Hagger, L. D. Cameron, K. Hamilton, N. Hankonen &amp; T. </w:t>
      </w:r>
      <w:proofErr w:type="spellStart"/>
      <w:r w:rsidRPr="004829A5">
        <w:rPr>
          <w:rFonts w:ascii="Times New Roman" w:eastAsia="Calibri" w:hAnsi="Times New Roman" w:cs="Times New Roman"/>
          <w:color w:val="auto"/>
          <w:sz w:val="24"/>
          <w:szCs w:val="24"/>
        </w:rPr>
        <w:t>Lintunen</w:t>
      </w:r>
      <w:proofErr w:type="spellEnd"/>
      <w:r w:rsidRPr="004829A5">
        <w:rPr>
          <w:rFonts w:ascii="Times New Roman" w:eastAsia="Calibri" w:hAnsi="Times New Roman" w:cs="Times New Roman"/>
          <w:color w:val="auto"/>
          <w:sz w:val="24"/>
          <w:szCs w:val="24"/>
        </w:rPr>
        <w:t xml:space="preserve"> (Eds.),</w:t>
      </w:r>
      <w:r w:rsidRPr="004829A5">
        <w:rPr>
          <w:rFonts w:ascii="Times New Roman" w:eastAsia="Calibri" w:hAnsi="Times New Roman" w:cs="Times New Roman"/>
          <w:i/>
          <w:color w:val="auto"/>
          <w:sz w:val="24"/>
          <w:szCs w:val="24"/>
        </w:rPr>
        <w:t xml:space="preserve"> The Handbook of Behavior Change</w:t>
      </w:r>
      <w:r w:rsidRPr="004829A5">
        <w:rPr>
          <w:rFonts w:ascii="Times New Roman" w:eastAsia="Calibri" w:hAnsi="Times New Roman" w:cs="Times New Roman"/>
          <w:color w:val="auto"/>
          <w:sz w:val="24"/>
          <w:szCs w:val="24"/>
        </w:rPr>
        <w:t xml:space="preserve"> (pp. 17-31). Cambridge University Press. doi:10.1017/9781108677318.002 </w:t>
      </w:r>
    </w:p>
    <w:p w14:paraId="201B84B9"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Ardoin</w:t>
      </w:r>
      <w:proofErr w:type="spellEnd"/>
      <w:r w:rsidRPr="004829A5">
        <w:rPr>
          <w:rFonts w:ascii="Times New Roman" w:eastAsia="Calibri" w:hAnsi="Times New Roman" w:cs="Times New Roman"/>
          <w:color w:val="auto"/>
          <w:sz w:val="24"/>
          <w:szCs w:val="24"/>
        </w:rPr>
        <w:t xml:space="preserve">, R., &amp; </w:t>
      </w:r>
      <w:proofErr w:type="spellStart"/>
      <w:r w:rsidRPr="004829A5">
        <w:rPr>
          <w:rFonts w:ascii="Times New Roman" w:eastAsia="Calibri" w:hAnsi="Times New Roman" w:cs="Times New Roman"/>
          <w:color w:val="auto"/>
          <w:sz w:val="24"/>
          <w:szCs w:val="24"/>
        </w:rPr>
        <w:t>Prinyawiwatkul</w:t>
      </w:r>
      <w:proofErr w:type="spellEnd"/>
      <w:r w:rsidRPr="004829A5">
        <w:rPr>
          <w:rFonts w:ascii="Times New Roman" w:eastAsia="Calibri" w:hAnsi="Times New Roman" w:cs="Times New Roman"/>
          <w:color w:val="auto"/>
          <w:sz w:val="24"/>
          <w:szCs w:val="24"/>
        </w:rPr>
        <w:t xml:space="preserve">, W. (2021). Consumer perceptions of insect consumption: A review of western research since 2015. </w:t>
      </w:r>
      <w:r w:rsidRPr="004829A5">
        <w:rPr>
          <w:rFonts w:ascii="Times New Roman" w:eastAsia="Calibri" w:hAnsi="Times New Roman" w:cs="Times New Roman"/>
          <w:i/>
          <w:color w:val="auto"/>
          <w:sz w:val="24"/>
          <w:szCs w:val="24"/>
        </w:rPr>
        <w:t>International Journal of Food Science &amp; Technology</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56</w:t>
      </w:r>
      <w:r w:rsidRPr="004829A5">
        <w:rPr>
          <w:rFonts w:ascii="Times New Roman" w:eastAsia="Calibri" w:hAnsi="Times New Roman" w:cs="Times New Roman"/>
          <w:color w:val="auto"/>
          <w:sz w:val="24"/>
          <w:szCs w:val="24"/>
        </w:rPr>
        <w:t xml:space="preserve">(10), 4942–4958. </w:t>
      </w:r>
      <w:hyperlink r:id="rId16" w:history="1">
        <w:r w:rsidRPr="004829A5">
          <w:rPr>
            <w:rStyle w:val="Hyperlink"/>
            <w:rFonts w:ascii="Times New Roman" w:eastAsia="Calibri" w:hAnsi="Times New Roman" w:cs="Times New Roman"/>
            <w:color w:val="auto"/>
            <w:sz w:val="24"/>
            <w:szCs w:val="24"/>
          </w:rPr>
          <w:t>https://doi.org/10.1111/ijfs.15167</w:t>
        </w:r>
      </w:hyperlink>
    </w:p>
    <w:p w14:paraId="5ABF8027"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Baiano</w:t>
      </w:r>
      <w:proofErr w:type="spellEnd"/>
      <w:r w:rsidRPr="004829A5">
        <w:rPr>
          <w:rFonts w:ascii="Times New Roman" w:eastAsia="Calibri" w:hAnsi="Times New Roman" w:cs="Times New Roman"/>
          <w:color w:val="auto"/>
          <w:sz w:val="24"/>
          <w:szCs w:val="24"/>
        </w:rPr>
        <w:t xml:space="preserve">, A. (2022). 3D Printed Foods: A Comprehensive Review on Technologies, Nutritional Value, Safety, Consumer Attitude, Regulatory Framework, and Economic and Sustainability Issues. </w:t>
      </w:r>
      <w:r w:rsidRPr="004829A5">
        <w:rPr>
          <w:rFonts w:ascii="Times New Roman" w:eastAsia="Calibri" w:hAnsi="Times New Roman" w:cs="Times New Roman"/>
          <w:i/>
          <w:color w:val="auto"/>
          <w:sz w:val="24"/>
          <w:szCs w:val="24"/>
        </w:rPr>
        <w:t>Food Reviews International</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38</w:t>
      </w:r>
      <w:r w:rsidRPr="004829A5">
        <w:rPr>
          <w:rFonts w:ascii="Times New Roman" w:eastAsia="Calibri" w:hAnsi="Times New Roman" w:cs="Times New Roman"/>
          <w:color w:val="auto"/>
          <w:sz w:val="24"/>
          <w:szCs w:val="24"/>
        </w:rPr>
        <w:t xml:space="preserve">(5), 986–1016. </w:t>
      </w:r>
      <w:hyperlink r:id="rId17" w:history="1">
        <w:r w:rsidRPr="004829A5">
          <w:rPr>
            <w:rStyle w:val="Hyperlink"/>
            <w:rFonts w:ascii="Times New Roman" w:hAnsi="Times New Roman" w:cs="Times New Roman"/>
            <w:color w:val="auto"/>
            <w:sz w:val="24"/>
            <w:szCs w:val="24"/>
          </w:rPr>
          <w:t>https://doi.org/10.1080/87559129.2020.1762091</w:t>
        </w:r>
      </w:hyperlink>
    </w:p>
    <w:p w14:paraId="598F635A"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Batat</w:t>
      </w:r>
      <w:proofErr w:type="spellEnd"/>
      <w:r w:rsidRPr="004829A5">
        <w:rPr>
          <w:rFonts w:ascii="Times New Roman" w:eastAsia="Calibri" w:hAnsi="Times New Roman" w:cs="Times New Roman"/>
          <w:color w:val="auto"/>
          <w:sz w:val="24"/>
          <w:szCs w:val="24"/>
        </w:rPr>
        <w:t xml:space="preserve">, W., &amp; Peter, P. (2020). The healthy and sustainable bugs appetite: Factors affecting entomophagy acceptance and adoption in Western food cultures. </w:t>
      </w:r>
      <w:r w:rsidRPr="004829A5">
        <w:rPr>
          <w:rFonts w:ascii="Times New Roman" w:eastAsia="Calibri" w:hAnsi="Times New Roman" w:cs="Times New Roman"/>
          <w:i/>
          <w:color w:val="auto"/>
          <w:sz w:val="24"/>
          <w:szCs w:val="24"/>
        </w:rPr>
        <w:t>Journal of Consumer Marketing</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37</w:t>
      </w:r>
      <w:r w:rsidRPr="004829A5">
        <w:rPr>
          <w:rFonts w:ascii="Times New Roman" w:eastAsia="Calibri" w:hAnsi="Times New Roman" w:cs="Times New Roman"/>
          <w:color w:val="auto"/>
          <w:sz w:val="24"/>
          <w:szCs w:val="24"/>
        </w:rPr>
        <w:t xml:space="preserve">(3), 291–303. </w:t>
      </w:r>
      <w:hyperlink r:id="rId18" w:history="1">
        <w:r w:rsidRPr="004829A5">
          <w:rPr>
            <w:rStyle w:val="Hyperlink"/>
            <w:rFonts w:ascii="Times New Roman" w:hAnsi="Times New Roman" w:cs="Times New Roman"/>
            <w:color w:val="auto"/>
            <w:sz w:val="24"/>
            <w:szCs w:val="24"/>
          </w:rPr>
          <w:t>https://doi.org/10.1108/JCM-10-2018-2906</w:t>
        </w:r>
      </w:hyperlink>
    </w:p>
    <w:p w14:paraId="13B9FA28"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Campbell, M., </w:t>
      </w:r>
      <w:proofErr w:type="spellStart"/>
      <w:r w:rsidRPr="004829A5">
        <w:rPr>
          <w:rFonts w:ascii="Times New Roman" w:eastAsia="Times New Roman" w:hAnsi="Times New Roman" w:cs="Times New Roman"/>
          <w:color w:val="auto"/>
          <w:sz w:val="24"/>
          <w:szCs w:val="24"/>
        </w:rPr>
        <w:t>Katikireddi</w:t>
      </w:r>
      <w:proofErr w:type="spellEnd"/>
      <w:r w:rsidRPr="004829A5">
        <w:rPr>
          <w:rFonts w:ascii="Times New Roman" w:eastAsia="Times New Roman" w:hAnsi="Times New Roman" w:cs="Times New Roman"/>
          <w:color w:val="auto"/>
          <w:sz w:val="24"/>
          <w:szCs w:val="24"/>
        </w:rPr>
        <w:t xml:space="preserve">, S. V., Sowden, A., &amp; Thomson, H. (2019). Lack of transparency in reporting narrative synthesis of quantitative data: A methodological assessment of systematic reviews. </w:t>
      </w:r>
      <w:r w:rsidRPr="004829A5">
        <w:rPr>
          <w:rFonts w:ascii="Times New Roman" w:eastAsia="Times New Roman" w:hAnsi="Times New Roman" w:cs="Times New Roman"/>
          <w:i/>
          <w:color w:val="auto"/>
          <w:sz w:val="24"/>
          <w:szCs w:val="24"/>
        </w:rPr>
        <w:t>Journal of Clinical Epidemiology</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105</w:t>
      </w:r>
      <w:r w:rsidRPr="004829A5">
        <w:rPr>
          <w:rFonts w:ascii="Times New Roman" w:eastAsia="Times New Roman" w:hAnsi="Times New Roman" w:cs="Times New Roman"/>
          <w:color w:val="auto"/>
          <w:sz w:val="24"/>
          <w:szCs w:val="24"/>
        </w:rPr>
        <w:t xml:space="preserve">, 1–9. </w:t>
      </w:r>
      <w:hyperlink r:id="rId19" w:history="1">
        <w:r w:rsidRPr="004829A5">
          <w:rPr>
            <w:rStyle w:val="Hyperlink"/>
            <w:rFonts w:ascii="Times New Roman" w:eastAsia="Times New Roman" w:hAnsi="Times New Roman" w:cs="Times New Roman"/>
            <w:color w:val="auto"/>
            <w:sz w:val="24"/>
            <w:szCs w:val="24"/>
          </w:rPr>
          <w:t>https://doi.org/10.1016/j.jclinepi.2018.08.019</w:t>
        </w:r>
      </w:hyperlink>
    </w:p>
    <w:p w14:paraId="541B5C78"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w:t>
      </w:r>
      <w:proofErr w:type="spellStart"/>
      <w:r w:rsidRPr="004829A5">
        <w:rPr>
          <w:rFonts w:ascii="Times New Roman" w:eastAsia="Times New Roman" w:hAnsi="Times New Roman" w:cs="Times New Roman"/>
          <w:color w:val="auto"/>
          <w:sz w:val="24"/>
          <w:szCs w:val="24"/>
        </w:rPr>
        <w:t>Dagevos</w:t>
      </w:r>
      <w:proofErr w:type="spellEnd"/>
      <w:r w:rsidRPr="004829A5">
        <w:rPr>
          <w:rFonts w:ascii="Times New Roman" w:eastAsia="Times New Roman" w:hAnsi="Times New Roman" w:cs="Times New Roman"/>
          <w:color w:val="auto"/>
          <w:sz w:val="24"/>
          <w:szCs w:val="24"/>
        </w:rPr>
        <w:t xml:space="preserve">, H. (2021). A literature review of consumer research on edible insects: Recent evidence and new vistas from 2019 studies. </w:t>
      </w:r>
      <w:r w:rsidRPr="004829A5">
        <w:rPr>
          <w:rFonts w:ascii="Times New Roman" w:eastAsia="Times New Roman" w:hAnsi="Times New Roman" w:cs="Times New Roman"/>
          <w:i/>
          <w:color w:val="auto"/>
          <w:sz w:val="24"/>
          <w:szCs w:val="24"/>
        </w:rPr>
        <w:t>Journal of Insects as Food and Feed</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7</w:t>
      </w:r>
      <w:r w:rsidRPr="004829A5">
        <w:rPr>
          <w:rFonts w:ascii="Times New Roman" w:eastAsia="Times New Roman" w:hAnsi="Times New Roman" w:cs="Times New Roman"/>
          <w:color w:val="auto"/>
          <w:sz w:val="24"/>
          <w:szCs w:val="24"/>
        </w:rPr>
        <w:t xml:space="preserve">(3), 249–259. </w:t>
      </w:r>
      <w:hyperlink r:id="rId20" w:history="1">
        <w:r w:rsidRPr="004829A5">
          <w:rPr>
            <w:rStyle w:val="Hyperlink"/>
            <w:rFonts w:ascii="Times New Roman" w:hAnsi="Times New Roman" w:cs="Times New Roman"/>
            <w:color w:val="auto"/>
            <w:sz w:val="24"/>
            <w:szCs w:val="24"/>
          </w:rPr>
          <w:t>https://doi.org/10.3920/JIFF2020.0052</w:t>
        </w:r>
      </w:hyperlink>
    </w:p>
    <w:p w14:paraId="69E00AC9"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Calibri" w:hAnsi="Times New Roman" w:cs="Times New Roman"/>
          <w:color w:val="auto"/>
          <w:sz w:val="24"/>
          <w:szCs w:val="24"/>
        </w:rPr>
        <w:lastRenderedPageBreak/>
        <w:t xml:space="preserve">*De </w:t>
      </w:r>
      <w:proofErr w:type="spellStart"/>
      <w:r w:rsidRPr="004829A5">
        <w:rPr>
          <w:rFonts w:ascii="Times New Roman" w:eastAsia="Calibri" w:hAnsi="Times New Roman" w:cs="Times New Roman"/>
          <w:color w:val="auto"/>
          <w:sz w:val="24"/>
          <w:szCs w:val="24"/>
        </w:rPr>
        <w:t>Cianni</w:t>
      </w:r>
      <w:proofErr w:type="spellEnd"/>
      <w:r w:rsidRPr="004829A5">
        <w:rPr>
          <w:rFonts w:ascii="Times New Roman" w:eastAsia="Calibri" w:hAnsi="Times New Roman" w:cs="Times New Roman"/>
          <w:color w:val="auto"/>
          <w:sz w:val="24"/>
          <w:szCs w:val="24"/>
        </w:rPr>
        <w:t xml:space="preserve">, R., </w:t>
      </w:r>
      <w:proofErr w:type="spellStart"/>
      <w:r w:rsidRPr="004829A5">
        <w:rPr>
          <w:rFonts w:ascii="Times New Roman" w:eastAsia="Calibri" w:hAnsi="Times New Roman" w:cs="Times New Roman"/>
          <w:color w:val="auto"/>
          <w:sz w:val="24"/>
          <w:szCs w:val="24"/>
        </w:rPr>
        <w:t>Pippinato</w:t>
      </w:r>
      <w:proofErr w:type="spellEnd"/>
      <w:r w:rsidRPr="004829A5">
        <w:rPr>
          <w:rFonts w:ascii="Times New Roman" w:eastAsia="Calibri" w:hAnsi="Times New Roman" w:cs="Times New Roman"/>
          <w:color w:val="auto"/>
          <w:sz w:val="24"/>
          <w:szCs w:val="24"/>
        </w:rPr>
        <w:t xml:space="preserve">, L., &amp; Mancuso, T. (2023). </w:t>
      </w:r>
      <w:r w:rsidRPr="004829A5">
        <w:rPr>
          <w:rFonts w:ascii="Times New Roman" w:eastAsia="Times New Roman" w:hAnsi="Times New Roman" w:cs="Times New Roman"/>
          <w:color w:val="auto"/>
          <w:sz w:val="24"/>
          <w:szCs w:val="24"/>
        </w:rPr>
        <w:t xml:space="preserve">A systematic review on drivers influencing consumption of edible mushrooms and innovative mushroom-containing products. </w:t>
      </w:r>
      <w:r w:rsidRPr="004829A5">
        <w:rPr>
          <w:rFonts w:ascii="Times New Roman" w:eastAsia="Times New Roman" w:hAnsi="Times New Roman" w:cs="Times New Roman"/>
          <w:i/>
          <w:color w:val="auto"/>
          <w:sz w:val="24"/>
          <w:szCs w:val="24"/>
        </w:rPr>
        <w:t>Appetite</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182</w:t>
      </w:r>
      <w:r w:rsidRPr="004829A5">
        <w:rPr>
          <w:rFonts w:ascii="Times New Roman" w:eastAsia="Times New Roman" w:hAnsi="Times New Roman" w:cs="Times New Roman"/>
          <w:color w:val="auto"/>
          <w:sz w:val="24"/>
          <w:szCs w:val="24"/>
        </w:rPr>
        <w:t xml:space="preserve">, 106454. </w:t>
      </w:r>
      <w:hyperlink r:id="rId21" w:history="1">
        <w:r w:rsidRPr="004829A5">
          <w:rPr>
            <w:rStyle w:val="Hyperlink"/>
            <w:rFonts w:ascii="Times New Roman" w:hAnsi="Times New Roman" w:cs="Times New Roman"/>
            <w:color w:val="auto"/>
            <w:sz w:val="24"/>
            <w:szCs w:val="24"/>
          </w:rPr>
          <w:t>https://doi.org/10.1016/j.appet.2023.106454</w:t>
        </w:r>
      </w:hyperlink>
    </w:p>
    <w:p w14:paraId="5DAC4480"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w:t>
      </w:r>
      <w:proofErr w:type="spellStart"/>
      <w:r w:rsidRPr="004829A5">
        <w:rPr>
          <w:rFonts w:ascii="Times New Roman" w:eastAsia="Times New Roman" w:hAnsi="Times New Roman" w:cs="Times New Roman"/>
          <w:color w:val="auto"/>
          <w:sz w:val="24"/>
          <w:szCs w:val="24"/>
        </w:rPr>
        <w:t>Deroy</w:t>
      </w:r>
      <w:proofErr w:type="spellEnd"/>
      <w:r w:rsidRPr="004829A5">
        <w:rPr>
          <w:rFonts w:ascii="Times New Roman" w:eastAsia="Times New Roman" w:hAnsi="Times New Roman" w:cs="Times New Roman"/>
          <w:color w:val="auto"/>
          <w:sz w:val="24"/>
          <w:szCs w:val="24"/>
        </w:rPr>
        <w:t xml:space="preserve">, O., Reade, B., &amp; Spence, C. (2015). The insectivore’s dilemma, and how to take the West out of it. </w:t>
      </w:r>
      <w:r w:rsidRPr="004829A5">
        <w:rPr>
          <w:rFonts w:ascii="Times New Roman" w:eastAsia="Times New Roman" w:hAnsi="Times New Roman" w:cs="Times New Roman"/>
          <w:i/>
          <w:color w:val="auto"/>
          <w:sz w:val="24"/>
          <w:szCs w:val="24"/>
        </w:rPr>
        <w:t>Food Quality and Preference</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44</w:t>
      </w:r>
      <w:r w:rsidRPr="004829A5">
        <w:rPr>
          <w:rFonts w:ascii="Times New Roman" w:eastAsia="Times New Roman" w:hAnsi="Times New Roman" w:cs="Times New Roman"/>
          <w:color w:val="auto"/>
          <w:sz w:val="24"/>
          <w:szCs w:val="24"/>
        </w:rPr>
        <w:t xml:space="preserve">, 44–55. </w:t>
      </w:r>
      <w:hyperlink r:id="rId22" w:history="1">
        <w:r w:rsidRPr="004829A5">
          <w:rPr>
            <w:rStyle w:val="Hyperlink"/>
            <w:rFonts w:ascii="Times New Roman" w:hAnsi="Times New Roman" w:cs="Times New Roman"/>
            <w:color w:val="auto"/>
            <w:sz w:val="24"/>
            <w:szCs w:val="24"/>
          </w:rPr>
          <w:t>https://doi.org/10.1016/j.foodqual.2015.02.007</w:t>
        </w:r>
      </w:hyperlink>
    </w:p>
    <w:p w14:paraId="2EAF9847"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Times New Roman" w:hAnsi="Times New Roman" w:cs="Times New Roman"/>
          <w:color w:val="auto"/>
          <w:sz w:val="24"/>
          <w:szCs w:val="24"/>
        </w:rPr>
        <w:t>*</w:t>
      </w:r>
      <w:proofErr w:type="spellStart"/>
      <w:r w:rsidRPr="004829A5">
        <w:rPr>
          <w:rFonts w:ascii="Times New Roman" w:eastAsia="Times New Roman" w:hAnsi="Times New Roman" w:cs="Times New Roman"/>
          <w:color w:val="auto"/>
          <w:sz w:val="24"/>
          <w:szCs w:val="24"/>
        </w:rPr>
        <w:t>Eckl</w:t>
      </w:r>
      <w:proofErr w:type="spellEnd"/>
      <w:r w:rsidRPr="004829A5">
        <w:rPr>
          <w:rFonts w:ascii="Times New Roman" w:eastAsia="Times New Roman" w:hAnsi="Times New Roman" w:cs="Times New Roman"/>
          <w:color w:val="auto"/>
          <w:sz w:val="24"/>
          <w:szCs w:val="24"/>
        </w:rPr>
        <w:t xml:space="preserve">, M. R., </w:t>
      </w:r>
      <w:proofErr w:type="spellStart"/>
      <w:r w:rsidRPr="004829A5">
        <w:rPr>
          <w:rFonts w:ascii="Times New Roman" w:eastAsia="Times New Roman" w:hAnsi="Times New Roman" w:cs="Times New Roman"/>
          <w:color w:val="auto"/>
          <w:sz w:val="24"/>
          <w:szCs w:val="24"/>
        </w:rPr>
        <w:t>Biesbroek</w:t>
      </w:r>
      <w:proofErr w:type="spellEnd"/>
      <w:r w:rsidRPr="004829A5">
        <w:rPr>
          <w:rFonts w:ascii="Times New Roman" w:eastAsia="Times New Roman" w:hAnsi="Times New Roman" w:cs="Times New Roman"/>
          <w:color w:val="auto"/>
          <w:sz w:val="24"/>
          <w:szCs w:val="24"/>
        </w:rPr>
        <w:t xml:space="preserve">, S., </w:t>
      </w:r>
      <w:proofErr w:type="spellStart"/>
      <w:r w:rsidRPr="004829A5">
        <w:rPr>
          <w:rFonts w:ascii="Times New Roman" w:eastAsia="Times New Roman" w:hAnsi="Times New Roman" w:cs="Times New Roman"/>
          <w:color w:val="auto"/>
          <w:sz w:val="24"/>
          <w:szCs w:val="24"/>
        </w:rPr>
        <w:t>van’t</w:t>
      </w:r>
      <w:proofErr w:type="spellEnd"/>
      <w:r w:rsidRPr="004829A5">
        <w:rPr>
          <w:rFonts w:ascii="Times New Roman" w:eastAsia="Times New Roman" w:hAnsi="Times New Roman" w:cs="Times New Roman"/>
          <w:color w:val="auto"/>
          <w:sz w:val="24"/>
          <w:szCs w:val="24"/>
        </w:rPr>
        <w:t xml:space="preserve"> Veer, P., &amp; </w:t>
      </w:r>
      <w:proofErr w:type="spellStart"/>
      <w:r w:rsidRPr="004829A5">
        <w:rPr>
          <w:rFonts w:ascii="Times New Roman" w:eastAsia="Times New Roman" w:hAnsi="Times New Roman" w:cs="Times New Roman"/>
          <w:color w:val="auto"/>
          <w:sz w:val="24"/>
          <w:szCs w:val="24"/>
        </w:rPr>
        <w:t>Geleijnse</w:t>
      </w:r>
      <w:proofErr w:type="spellEnd"/>
      <w:r w:rsidRPr="004829A5">
        <w:rPr>
          <w:rFonts w:ascii="Times New Roman" w:eastAsia="Times New Roman" w:hAnsi="Times New Roman" w:cs="Times New Roman"/>
          <w:color w:val="auto"/>
          <w:sz w:val="24"/>
          <w:szCs w:val="24"/>
        </w:rPr>
        <w:t xml:space="preserve">, J. M. (2021). Replacement of Meat with Non-Meat Protein Sources: A Review of the Drivers and Inhibitors in Developed Countries. </w:t>
      </w:r>
      <w:r w:rsidRPr="004829A5">
        <w:rPr>
          <w:rFonts w:ascii="Times New Roman" w:eastAsia="Calibri" w:hAnsi="Times New Roman" w:cs="Times New Roman"/>
          <w:i/>
          <w:color w:val="auto"/>
          <w:sz w:val="24"/>
          <w:szCs w:val="24"/>
        </w:rPr>
        <w:t>Nutrients</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13</w:t>
      </w:r>
      <w:r w:rsidRPr="004829A5">
        <w:rPr>
          <w:rFonts w:ascii="Times New Roman" w:eastAsia="Calibri" w:hAnsi="Times New Roman" w:cs="Times New Roman"/>
          <w:color w:val="auto"/>
          <w:sz w:val="24"/>
          <w:szCs w:val="24"/>
        </w:rPr>
        <w:t xml:space="preserve">(10), 3602. </w:t>
      </w:r>
      <w:hyperlink r:id="rId23" w:history="1">
        <w:r w:rsidRPr="004829A5">
          <w:rPr>
            <w:rStyle w:val="Hyperlink"/>
            <w:rFonts w:ascii="Times New Roman" w:hAnsi="Times New Roman" w:cs="Times New Roman"/>
            <w:color w:val="auto"/>
            <w:sz w:val="24"/>
            <w:szCs w:val="24"/>
          </w:rPr>
          <w:t>https://doi.org/10.3390/nu13103602</w:t>
        </w:r>
      </w:hyperlink>
    </w:p>
    <w:p w14:paraId="2171A380"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Florença</w:t>
      </w:r>
      <w:proofErr w:type="spellEnd"/>
      <w:r w:rsidRPr="004829A5">
        <w:rPr>
          <w:rFonts w:ascii="Times New Roman" w:eastAsia="Calibri" w:hAnsi="Times New Roman" w:cs="Times New Roman"/>
          <w:color w:val="auto"/>
          <w:sz w:val="24"/>
          <w:szCs w:val="24"/>
        </w:rPr>
        <w:t xml:space="preserve">, S. G., </w:t>
      </w:r>
      <w:proofErr w:type="spellStart"/>
      <w:r w:rsidRPr="004829A5">
        <w:rPr>
          <w:rFonts w:ascii="Times New Roman" w:eastAsia="Calibri" w:hAnsi="Times New Roman" w:cs="Times New Roman"/>
          <w:color w:val="auto"/>
          <w:sz w:val="24"/>
          <w:szCs w:val="24"/>
        </w:rPr>
        <w:t>Guiné</w:t>
      </w:r>
      <w:proofErr w:type="spellEnd"/>
      <w:r w:rsidRPr="004829A5">
        <w:rPr>
          <w:rFonts w:ascii="Times New Roman" w:eastAsia="Calibri" w:hAnsi="Times New Roman" w:cs="Times New Roman"/>
          <w:color w:val="auto"/>
          <w:sz w:val="24"/>
          <w:szCs w:val="24"/>
        </w:rPr>
        <w:t xml:space="preserve">, R. P. F., Gonçalves, F. J. A., </w:t>
      </w:r>
      <w:proofErr w:type="spellStart"/>
      <w:r w:rsidRPr="004829A5">
        <w:rPr>
          <w:rFonts w:ascii="Times New Roman" w:eastAsia="Calibri" w:hAnsi="Times New Roman" w:cs="Times New Roman"/>
          <w:color w:val="auto"/>
          <w:sz w:val="24"/>
          <w:szCs w:val="24"/>
        </w:rPr>
        <w:t>Barroca</w:t>
      </w:r>
      <w:proofErr w:type="spellEnd"/>
      <w:r w:rsidRPr="004829A5">
        <w:rPr>
          <w:rFonts w:ascii="Times New Roman" w:eastAsia="Calibri" w:hAnsi="Times New Roman" w:cs="Times New Roman"/>
          <w:color w:val="auto"/>
          <w:sz w:val="24"/>
          <w:szCs w:val="24"/>
        </w:rPr>
        <w:t xml:space="preserve">, M. J., Ferreira, M., Costa, C. A., Correia, P. M. R., Cardoso, A. P., Campos, S., Anjos, O., &amp; Cunha, L. M. (2022). </w:t>
      </w:r>
      <w:r w:rsidRPr="004829A5">
        <w:rPr>
          <w:rFonts w:ascii="Times New Roman" w:eastAsia="Times New Roman" w:hAnsi="Times New Roman" w:cs="Times New Roman"/>
          <w:color w:val="auto"/>
          <w:sz w:val="24"/>
          <w:szCs w:val="24"/>
        </w:rPr>
        <w:t xml:space="preserve">The Motivations for Consumption of Edible Insects: A Systematic Review. </w:t>
      </w:r>
      <w:r w:rsidRPr="004829A5">
        <w:rPr>
          <w:rFonts w:ascii="Times New Roman" w:eastAsia="Times New Roman" w:hAnsi="Times New Roman" w:cs="Times New Roman"/>
          <w:i/>
          <w:color w:val="auto"/>
          <w:sz w:val="24"/>
          <w:szCs w:val="24"/>
        </w:rPr>
        <w:t>Foods</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11</w:t>
      </w:r>
      <w:r w:rsidRPr="004829A5">
        <w:rPr>
          <w:rFonts w:ascii="Times New Roman" w:eastAsia="Times New Roman" w:hAnsi="Times New Roman" w:cs="Times New Roman"/>
          <w:color w:val="auto"/>
          <w:sz w:val="24"/>
          <w:szCs w:val="24"/>
        </w:rPr>
        <w:t xml:space="preserve">(22), 3643. </w:t>
      </w:r>
      <w:hyperlink r:id="rId24" w:history="1">
        <w:r w:rsidRPr="004829A5">
          <w:rPr>
            <w:rStyle w:val="Hyperlink"/>
            <w:rFonts w:ascii="Times New Roman" w:hAnsi="Times New Roman" w:cs="Times New Roman"/>
            <w:color w:val="auto"/>
            <w:sz w:val="24"/>
            <w:szCs w:val="24"/>
          </w:rPr>
          <w:t>https://doi.org/10.3390/foods11223643</w:t>
        </w:r>
      </w:hyperlink>
    </w:p>
    <w:p w14:paraId="1F9A38D3"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Times New Roman" w:hAnsi="Times New Roman" w:cs="Times New Roman"/>
          <w:color w:val="auto"/>
          <w:sz w:val="24"/>
          <w:szCs w:val="24"/>
        </w:rPr>
        <w:t xml:space="preserve">*Giordano, S., </w:t>
      </w:r>
      <w:proofErr w:type="spellStart"/>
      <w:r w:rsidRPr="004829A5">
        <w:rPr>
          <w:rFonts w:ascii="Times New Roman" w:eastAsia="Times New Roman" w:hAnsi="Times New Roman" w:cs="Times New Roman"/>
          <w:color w:val="auto"/>
          <w:sz w:val="24"/>
          <w:szCs w:val="24"/>
        </w:rPr>
        <w:t>Clodoveo</w:t>
      </w:r>
      <w:proofErr w:type="spellEnd"/>
      <w:r w:rsidRPr="004829A5">
        <w:rPr>
          <w:rFonts w:ascii="Times New Roman" w:eastAsia="Times New Roman" w:hAnsi="Times New Roman" w:cs="Times New Roman"/>
          <w:color w:val="auto"/>
          <w:sz w:val="24"/>
          <w:szCs w:val="24"/>
        </w:rPr>
        <w:t xml:space="preserve">, M. L., Gennaro, B. D., &amp; </w:t>
      </w:r>
      <w:proofErr w:type="spellStart"/>
      <w:r w:rsidRPr="004829A5">
        <w:rPr>
          <w:rFonts w:ascii="Times New Roman" w:eastAsia="Times New Roman" w:hAnsi="Times New Roman" w:cs="Times New Roman"/>
          <w:color w:val="auto"/>
          <w:sz w:val="24"/>
          <w:szCs w:val="24"/>
        </w:rPr>
        <w:t>Corbo</w:t>
      </w:r>
      <w:proofErr w:type="spellEnd"/>
      <w:r w:rsidRPr="004829A5">
        <w:rPr>
          <w:rFonts w:ascii="Times New Roman" w:eastAsia="Times New Roman" w:hAnsi="Times New Roman" w:cs="Times New Roman"/>
          <w:color w:val="auto"/>
          <w:sz w:val="24"/>
          <w:szCs w:val="24"/>
        </w:rPr>
        <w:t xml:space="preserve">, F. (2018). Factors determining neophobia and neophilia with regard to new technologies applied to the food sector: A systematic review. </w:t>
      </w:r>
      <w:r w:rsidRPr="004829A5">
        <w:rPr>
          <w:rFonts w:ascii="Times New Roman" w:eastAsia="Times New Roman" w:hAnsi="Times New Roman" w:cs="Times New Roman"/>
          <w:i/>
          <w:color w:val="auto"/>
          <w:sz w:val="24"/>
          <w:szCs w:val="24"/>
        </w:rPr>
        <w:t>International Journal of Gastronomy and Food Science</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11</w:t>
      </w:r>
      <w:r w:rsidRPr="004829A5">
        <w:rPr>
          <w:rFonts w:ascii="Times New Roman" w:eastAsia="Times New Roman" w:hAnsi="Times New Roman" w:cs="Times New Roman"/>
          <w:color w:val="auto"/>
          <w:sz w:val="24"/>
          <w:szCs w:val="24"/>
        </w:rPr>
        <w:t xml:space="preserve">, 1–19. </w:t>
      </w:r>
      <w:hyperlink r:id="rId25" w:history="1">
        <w:r w:rsidRPr="004829A5">
          <w:rPr>
            <w:rStyle w:val="Hyperlink"/>
            <w:rFonts w:ascii="Times New Roman" w:hAnsi="Times New Roman" w:cs="Times New Roman"/>
            <w:color w:val="auto"/>
            <w:sz w:val="24"/>
            <w:szCs w:val="24"/>
          </w:rPr>
          <w:t>https://doi.org/10.1016/j.ijgfs.2017.10.001</w:t>
        </w:r>
      </w:hyperlink>
    </w:p>
    <w:p w14:paraId="7A82A987" w14:textId="77777777" w:rsidR="00DF1324" w:rsidRPr="004829A5" w:rsidRDefault="00DF1324" w:rsidP="00EE39AD">
      <w:pPr>
        <w:spacing w:line="480" w:lineRule="auto"/>
        <w:ind w:left="720" w:hanging="720"/>
        <w:rPr>
          <w:rFonts w:ascii="Times New Roman" w:eastAsia="Times New Roman" w:hAnsi="Times New Roman" w:cs="Times New Roman"/>
          <w:color w:val="auto"/>
          <w:sz w:val="24"/>
          <w:szCs w:val="24"/>
        </w:rPr>
      </w:pPr>
      <w:bookmarkStart w:id="76" w:name="_heading=h.1y810tw" w:colFirst="0" w:colLast="0"/>
      <w:bookmarkStart w:id="77" w:name="_Hlk144303567"/>
      <w:bookmarkEnd w:id="76"/>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Graça</w:t>
      </w:r>
      <w:bookmarkEnd w:id="77"/>
      <w:proofErr w:type="spellEnd"/>
      <w:r w:rsidRPr="004829A5">
        <w:rPr>
          <w:rFonts w:ascii="Times New Roman" w:eastAsia="Calibri" w:hAnsi="Times New Roman" w:cs="Times New Roman"/>
          <w:color w:val="auto"/>
          <w:sz w:val="24"/>
          <w:szCs w:val="24"/>
        </w:rPr>
        <w:t xml:space="preserve">, J., </w:t>
      </w:r>
      <w:proofErr w:type="spellStart"/>
      <w:r w:rsidRPr="004829A5">
        <w:rPr>
          <w:rFonts w:ascii="Times New Roman" w:eastAsia="Calibri" w:hAnsi="Times New Roman" w:cs="Times New Roman"/>
          <w:color w:val="auto"/>
          <w:sz w:val="24"/>
          <w:szCs w:val="24"/>
        </w:rPr>
        <w:t>Godinho</w:t>
      </w:r>
      <w:proofErr w:type="spellEnd"/>
      <w:r w:rsidRPr="004829A5">
        <w:rPr>
          <w:rFonts w:ascii="Times New Roman" w:eastAsia="Calibri" w:hAnsi="Times New Roman" w:cs="Times New Roman"/>
          <w:color w:val="auto"/>
          <w:sz w:val="24"/>
          <w:szCs w:val="24"/>
        </w:rPr>
        <w:t xml:space="preserve">, C. A., &amp; </w:t>
      </w:r>
      <w:proofErr w:type="spellStart"/>
      <w:r w:rsidRPr="004829A5">
        <w:rPr>
          <w:rFonts w:ascii="Times New Roman" w:eastAsia="Calibri" w:hAnsi="Times New Roman" w:cs="Times New Roman"/>
          <w:color w:val="auto"/>
          <w:sz w:val="24"/>
          <w:szCs w:val="24"/>
        </w:rPr>
        <w:t>Truninger</w:t>
      </w:r>
      <w:proofErr w:type="spellEnd"/>
      <w:r w:rsidRPr="004829A5">
        <w:rPr>
          <w:rFonts w:ascii="Times New Roman" w:eastAsia="Calibri" w:hAnsi="Times New Roman" w:cs="Times New Roman"/>
          <w:color w:val="auto"/>
          <w:sz w:val="24"/>
          <w:szCs w:val="24"/>
        </w:rPr>
        <w:t xml:space="preserve">, M. (2019). </w:t>
      </w:r>
      <w:r w:rsidRPr="004829A5">
        <w:rPr>
          <w:rFonts w:ascii="Times New Roman" w:eastAsia="Times New Roman" w:hAnsi="Times New Roman" w:cs="Times New Roman"/>
          <w:color w:val="auto"/>
          <w:sz w:val="24"/>
          <w:szCs w:val="24"/>
        </w:rPr>
        <w:t xml:space="preserve">Reducing meat consumption and following plant-based diets: Current evidence and future directions to inform integrated transitions. </w:t>
      </w:r>
      <w:r w:rsidRPr="004829A5">
        <w:rPr>
          <w:rFonts w:ascii="Times New Roman" w:eastAsia="Times New Roman" w:hAnsi="Times New Roman" w:cs="Times New Roman"/>
          <w:i/>
          <w:color w:val="auto"/>
          <w:sz w:val="24"/>
          <w:szCs w:val="24"/>
        </w:rPr>
        <w:t>Trends in Food Science &amp; Technology</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91</w:t>
      </w:r>
      <w:r w:rsidRPr="004829A5">
        <w:rPr>
          <w:rFonts w:ascii="Times New Roman" w:eastAsia="Times New Roman" w:hAnsi="Times New Roman" w:cs="Times New Roman"/>
          <w:color w:val="auto"/>
          <w:sz w:val="24"/>
          <w:szCs w:val="24"/>
        </w:rPr>
        <w:t xml:space="preserve">, 380–390. </w:t>
      </w:r>
      <w:hyperlink r:id="rId26" w:history="1">
        <w:r w:rsidRPr="004829A5">
          <w:rPr>
            <w:rStyle w:val="Hyperlink"/>
            <w:rFonts w:ascii="Times New Roman" w:hAnsi="Times New Roman" w:cs="Times New Roman"/>
            <w:color w:val="auto"/>
            <w:sz w:val="24"/>
            <w:szCs w:val="24"/>
          </w:rPr>
          <w:t>https://doi.org/10.1016/j.tifs.2019.07.046</w:t>
        </w:r>
      </w:hyperlink>
    </w:p>
    <w:p w14:paraId="1F722ED0" w14:textId="77777777" w:rsidR="00DF1324" w:rsidRPr="004829A5" w:rsidRDefault="00DF1324" w:rsidP="00EE39AD">
      <w:pPr>
        <w:spacing w:line="480" w:lineRule="auto"/>
        <w:ind w:left="720" w:hanging="720"/>
        <w:rPr>
          <w:rStyle w:val="Hyperlink"/>
          <w:rFonts w:ascii="Times New Roman" w:eastAsia="Calibri" w:hAnsi="Times New Roman" w:cs="Times New Roman"/>
          <w:color w:val="auto"/>
          <w:sz w:val="24"/>
          <w:szCs w:val="24"/>
        </w:rPr>
      </w:pPr>
      <w:r w:rsidRPr="004829A5">
        <w:rPr>
          <w:rFonts w:ascii="Times New Roman" w:eastAsia="Times New Roman" w:hAnsi="Times New Roman" w:cs="Times New Roman"/>
          <w:color w:val="auto"/>
          <w:sz w:val="24"/>
          <w:szCs w:val="24"/>
        </w:rPr>
        <w:t xml:space="preserve">Grossmann, L., &amp; Weiss, J. (2021). Alternative Protein Sources as </w:t>
      </w:r>
      <w:proofErr w:type="spellStart"/>
      <w:r w:rsidRPr="004829A5">
        <w:rPr>
          <w:rFonts w:ascii="Times New Roman" w:eastAsia="Times New Roman" w:hAnsi="Times New Roman" w:cs="Times New Roman"/>
          <w:color w:val="auto"/>
          <w:sz w:val="24"/>
          <w:szCs w:val="24"/>
        </w:rPr>
        <w:t>Technofunctional</w:t>
      </w:r>
      <w:proofErr w:type="spellEnd"/>
      <w:r w:rsidRPr="004829A5">
        <w:rPr>
          <w:rFonts w:ascii="Times New Roman" w:eastAsia="Times New Roman" w:hAnsi="Times New Roman" w:cs="Times New Roman"/>
          <w:color w:val="auto"/>
          <w:sz w:val="24"/>
          <w:szCs w:val="24"/>
        </w:rPr>
        <w:t xml:space="preserve"> Food Ingredients. </w:t>
      </w:r>
      <w:r w:rsidRPr="004829A5">
        <w:rPr>
          <w:rFonts w:ascii="Times New Roman" w:eastAsia="Times New Roman" w:hAnsi="Times New Roman" w:cs="Times New Roman"/>
          <w:i/>
          <w:color w:val="auto"/>
          <w:sz w:val="24"/>
          <w:szCs w:val="24"/>
        </w:rPr>
        <w:t>Annual Review of Food Science and Technology</w:t>
      </w:r>
      <w:r w:rsidRPr="004829A5">
        <w:rPr>
          <w:rFonts w:ascii="Times New Roman" w:eastAsia="Times New Roman" w:hAnsi="Times New Roman" w:cs="Times New Roman"/>
          <w:color w:val="auto"/>
          <w:sz w:val="24"/>
          <w:szCs w:val="24"/>
        </w:rPr>
        <w:t xml:space="preserve">, </w:t>
      </w:r>
      <w:r w:rsidRPr="004829A5">
        <w:rPr>
          <w:rFonts w:ascii="Times New Roman" w:eastAsia="Times New Roman" w:hAnsi="Times New Roman" w:cs="Times New Roman"/>
          <w:i/>
          <w:color w:val="auto"/>
          <w:sz w:val="24"/>
          <w:szCs w:val="24"/>
        </w:rPr>
        <w:t>12</w:t>
      </w:r>
      <w:r w:rsidRPr="004829A5">
        <w:rPr>
          <w:rFonts w:ascii="Times New Roman" w:eastAsia="Times New Roman" w:hAnsi="Times New Roman" w:cs="Times New Roman"/>
          <w:color w:val="auto"/>
          <w:sz w:val="24"/>
          <w:szCs w:val="24"/>
        </w:rPr>
        <w:t xml:space="preserve">, 93–117. </w:t>
      </w:r>
      <w:hyperlink r:id="rId27" w:history="1">
        <w:r w:rsidRPr="004829A5">
          <w:rPr>
            <w:rStyle w:val="Hyperlink"/>
            <w:rFonts w:ascii="Times New Roman" w:hAnsi="Times New Roman" w:cs="Times New Roman"/>
            <w:color w:val="auto"/>
            <w:sz w:val="24"/>
            <w:szCs w:val="24"/>
          </w:rPr>
          <w:t>https://doi.org/10.1146/annurev-food-062520-093642</w:t>
        </w:r>
      </w:hyperlink>
    </w:p>
    <w:p w14:paraId="4B9AAA79"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shd w:val="clear" w:color="auto" w:fill="FFFFFF"/>
        </w:rPr>
      </w:pPr>
      <w:r w:rsidRPr="004829A5">
        <w:rPr>
          <w:rFonts w:ascii="Times New Roman" w:eastAsia="Calibri" w:hAnsi="Times New Roman" w:cs="Times New Roman"/>
          <w:color w:val="auto"/>
          <w:sz w:val="24"/>
          <w:szCs w:val="24"/>
          <w:shd w:val="clear" w:color="auto" w:fill="FFFFFF"/>
        </w:rPr>
        <w:lastRenderedPageBreak/>
        <w:t xml:space="preserve">*Hartmann, C., &amp; Siegrist, M. (2017). Consumer perception and </w:t>
      </w:r>
      <w:proofErr w:type="spellStart"/>
      <w:r w:rsidRPr="004829A5">
        <w:rPr>
          <w:rFonts w:ascii="Times New Roman" w:eastAsia="Calibri" w:hAnsi="Times New Roman" w:cs="Times New Roman"/>
          <w:color w:val="auto"/>
          <w:sz w:val="24"/>
          <w:szCs w:val="24"/>
          <w:shd w:val="clear" w:color="auto" w:fill="FFFFFF"/>
        </w:rPr>
        <w:t>behaviour</w:t>
      </w:r>
      <w:proofErr w:type="spellEnd"/>
      <w:r w:rsidRPr="004829A5">
        <w:rPr>
          <w:rFonts w:ascii="Times New Roman" w:eastAsia="Calibri" w:hAnsi="Times New Roman" w:cs="Times New Roman"/>
          <w:color w:val="auto"/>
          <w:sz w:val="24"/>
          <w:szCs w:val="24"/>
          <w:shd w:val="clear" w:color="auto" w:fill="FFFFFF"/>
        </w:rPr>
        <w:t xml:space="preserve"> regarding sustainable protein consumption: A systematic review. </w:t>
      </w:r>
      <w:r w:rsidRPr="004829A5">
        <w:rPr>
          <w:rFonts w:ascii="Times New Roman" w:eastAsia="Calibri" w:hAnsi="Times New Roman" w:cs="Times New Roman"/>
          <w:i/>
          <w:color w:val="auto"/>
          <w:sz w:val="24"/>
          <w:szCs w:val="24"/>
          <w:shd w:val="clear" w:color="auto" w:fill="FFFFFF"/>
        </w:rPr>
        <w:t>Trends in Food Science &amp; Technology</w:t>
      </w:r>
      <w:r w:rsidRPr="004829A5">
        <w:rPr>
          <w:rFonts w:ascii="Times New Roman" w:eastAsia="Calibri" w:hAnsi="Times New Roman" w:cs="Times New Roman"/>
          <w:color w:val="auto"/>
          <w:sz w:val="24"/>
          <w:szCs w:val="24"/>
          <w:shd w:val="clear" w:color="auto" w:fill="FFFFFF"/>
        </w:rPr>
        <w:t xml:space="preserve">, </w:t>
      </w:r>
      <w:r w:rsidRPr="004829A5">
        <w:rPr>
          <w:rFonts w:ascii="Times New Roman" w:eastAsia="Calibri" w:hAnsi="Times New Roman" w:cs="Times New Roman"/>
          <w:i/>
          <w:color w:val="auto"/>
          <w:sz w:val="24"/>
          <w:szCs w:val="24"/>
          <w:shd w:val="clear" w:color="auto" w:fill="FFFFFF"/>
        </w:rPr>
        <w:t>61</w:t>
      </w:r>
      <w:r w:rsidRPr="004829A5">
        <w:rPr>
          <w:rFonts w:ascii="Times New Roman" w:eastAsia="Calibri" w:hAnsi="Times New Roman" w:cs="Times New Roman"/>
          <w:color w:val="auto"/>
          <w:sz w:val="24"/>
          <w:szCs w:val="24"/>
          <w:shd w:val="clear" w:color="auto" w:fill="FFFFFF"/>
        </w:rPr>
        <w:t xml:space="preserve">, 11–25. </w:t>
      </w:r>
      <w:hyperlink r:id="rId28" w:history="1">
        <w:r w:rsidRPr="004829A5">
          <w:rPr>
            <w:rStyle w:val="Hyperlink"/>
            <w:rFonts w:ascii="Times New Roman" w:hAnsi="Times New Roman" w:cs="Times New Roman"/>
            <w:color w:val="auto"/>
            <w:sz w:val="24"/>
            <w:szCs w:val="24"/>
            <w:shd w:val="clear" w:color="auto" w:fill="FFFFFF"/>
          </w:rPr>
          <w:t>https://doi.org/10.1016/j.tifs.2016.12.006</w:t>
        </w:r>
      </w:hyperlink>
    </w:p>
    <w:p w14:paraId="04613377" w14:textId="6CB256EF" w:rsidR="00DF1324" w:rsidRPr="004829A5" w:rsidRDefault="00DF1324" w:rsidP="00EE39AD">
      <w:pPr>
        <w:spacing w:line="480" w:lineRule="auto"/>
        <w:ind w:left="720" w:hanging="720"/>
        <w:rPr>
          <w:rFonts w:ascii="Times New Roman" w:eastAsia="Calibri" w:hAnsi="Times New Roman" w:cs="Times New Roman"/>
          <w:color w:val="auto"/>
          <w:sz w:val="24"/>
          <w:szCs w:val="24"/>
          <w:shd w:val="clear" w:color="auto" w:fill="FFFFFF"/>
        </w:rPr>
      </w:pPr>
      <w:r w:rsidRPr="004829A5">
        <w:rPr>
          <w:rFonts w:ascii="Times New Roman" w:eastAsia="Calibri" w:hAnsi="Times New Roman" w:cs="Times New Roman"/>
          <w:color w:val="auto"/>
          <w:sz w:val="24"/>
          <w:szCs w:val="24"/>
          <w:shd w:val="clear" w:color="auto" w:fill="FFFFFF"/>
        </w:rPr>
        <w:t>*He, J., Evans, N. M., Liu, H., &amp; Shao, S. (2020). A review of research on plant</w:t>
      </w:r>
      <w:r w:rsidRPr="004829A5">
        <w:rPr>
          <w:rFonts w:ascii="Cambria Math" w:eastAsia="Calibri" w:hAnsi="Cambria Math" w:cs="Cambria Math"/>
          <w:color w:val="auto"/>
          <w:sz w:val="24"/>
          <w:szCs w:val="24"/>
          <w:shd w:val="clear" w:color="auto" w:fill="FFFFFF"/>
        </w:rPr>
        <w:t>‐</w:t>
      </w:r>
      <w:r w:rsidRPr="004829A5">
        <w:rPr>
          <w:rFonts w:ascii="Times New Roman" w:eastAsia="Calibri" w:hAnsi="Times New Roman" w:cs="Times New Roman"/>
          <w:color w:val="auto"/>
          <w:sz w:val="24"/>
          <w:szCs w:val="24"/>
          <w:shd w:val="clear" w:color="auto" w:fill="FFFFFF"/>
        </w:rPr>
        <w:t xml:space="preserve">based meat alternatives: Driving forces, history, manufacturing, and consumer attitudes. </w:t>
      </w:r>
      <w:r w:rsidRPr="004829A5">
        <w:rPr>
          <w:rFonts w:ascii="Times New Roman" w:eastAsia="Calibri" w:hAnsi="Times New Roman" w:cs="Times New Roman"/>
          <w:i/>
          <w:color w:val="auto"/>
          <w:sz w:val="24"/>
          <w:szCs w:val="24"/>
          <w:shd w:val="clear" w:color="auto" w:fill="FFFFFF"/>
        </w:rPr>
        <w:t>Comprehensive Reviews in Food Science and Food Safety</w:t>
      </w:r>
      <w:r w:rsidRPr="004829A5">
        <w:rPr>
          <w:rFonts w:ascii="Times New Roman" w:eastAsia="Calibri" w:hAnsi="Times New Roman" w:cs="Times New Roman"/>
          <w:color w:val="auto"/>
          <w:sz w:val="24"/>
          <w:szCs w:val="24"/>
          <w:shd w:val="clear" w:color="auto" w:fill="FFFFFF"/>
        </w:rPr>
        <w:t xml:space="preserve">, </w:t>
      </w:r>
      <w:r w:rsidRPr="004829A5">
        <w:rPr>
          <w:rFonts w:ascii="Times New Roman" w:eastAsia="Calibri" w:hAnsi="Times New Roman" w:cs="Times New Roman"/>
          <w:i/>
          <w:color w:val="auto"/>
          <w:sz w:val="24"/>
          <w:szCs w:val="24"/>
          <w:shd w:val="clear" w:color="auto" w:fill="FFFFFF"/>
        </w:rPr>
        <w:t>19</w:t>
      </w:r>
      <w:r w:rsidRPr="004829A5">
        <w:rPr>
          <w:rFonts w:ascii="Times New Roman" w:eastAsia="Calibri" w:hAnsi="Times New Roman" w:cs="Times New Roman"/>
          <w:color w:val="auto"/>
          <w:sz w:val="24"/>
          <w:szCs w:val="24"/>
          <w:shd w:val="clear" w:color="auto" w:fill="FFFFFF"/>
        </w:rPr>
        <w:t xml:space="preserve">(5), 2639–2656. </w:t>
      </w:r>
      <w:hyperlink r:id="rId29" w:history="1">
        <w:r w:rsidRPr="004829A5">
          <w:rPr>
            <w:rStyle w:val="Hyperlink"/>
            <w:rFonts w:ascii="Times New Roman" w:hAnsi="Times New Roman" w:cs="Times New Roman"/>
            <w:color w:val="auto"/>
            <w:sz w:val="24"/>
            <w:szCs w:val="24"/>
            <w:shd w:val="clear" w:color="auto" w:fill="FFFFFF"/>
          </w:rPr>
          <w:t>https://doi.org/10.1111/1541-4337.12610</w:t>
        </w:r>
      </w:hyperlink>
    </w:p>
    <w:p w14:paraId="15318B22"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shd w:val="clear" w:color="auto" w:fill="FFFFFF"/>
        </w:rPr>
      </w:pPr>
      <w:r w:rsidRPr="004829A5">
        <w:rPr>
          <w:rFonts w:ascii="Times New Roman" w:eastAsia="Calibri" w:hAnsi="Times New Roman" w:cs="Times New Roman"/>
          <w:color w:val="auto"/>
          <w:sz w:val="24"/>
          <w:szCs w:val="24"/>
          <w:shd w:val="clear" w:color="auto" w:fill="FFFFFF"/>
        </w:rPr>
        <w:t xml:space="preserve">*Kauppi, S.-M., Pettersen, I. N., &amp; Boks, C. (2019). Consumer acceptance of edible insects and design interventions as adoption strategy. </w:t>
      </w:r>
      <w:r w:rsidRPr="004829A5">
        <w:rPr>
          <w:rFonts w:ascii="Times New Roman" w:eastAsia="Calibri" w:hAnsi="Times New Roman" w:cs="Times New Roman"/>
          <w:i/>
          <w:color w:val="auto"/>
          <w:sz w:val="24"/>
          <w:szCs w:val="24"/>
          <w:shd w:val="clear" w:color="auto" w:fill="FFFFFF"/>
        </w:rPr>
        <w:t>International Journal of Food Design</w:t>
      </w:r>
      <w:r w:rsidRPr="004829A5">
        <w:rPr>
          <w:rFonts w:ascii="Times New Roman" w:eastAsia="Calibri" w:hAnsi="Times New Roman" w:cs="Times New Roman"/>
          <w:color w:val="auto"/>
          <w:sz w:val="24"/>
          <w:szCs w:val="24"/>
          <w:shd w:val="clear" w:color="auto" w:fill="FFFFFF"/>
        </w:rPr>
        <w:t xml:space="preserve">, </w:t>
      </w:r>
      <w:r w:rsidRPr="004829A5">
        <w:rPr>
          <w:rFonts w:ascii="Times New Roman" w:eastAsia="Calibri" w:hAnsi="Times New Roman" w:cs="Times New Roman"/>
          <w:i/>
          <w:color w:val="auto"/>
          <w:sz w:val="24"/>
          <w:szCs w:val="24"/>
          <w:shd w:val="clear" w:color="auto" w:fill="FFFFFF"/>
        </w:rPr>
        <w:t>4</w:t>
      </w:r>
      <w:r w:rsidRPr="004829A5">
        <w:rPr>
          <w:rFonts w:ascii="Times New Roman" w:eastAsia="Calibri" w:hAnsi="Times New Roman" w:cs="Times New Roman"/>
          <w:color w:val="auto"/>
          <w:sz w:val="24"/>
          <w:szCs w:val="24"/>
          <w:shd w:val="clear" w:color="auto" w:fill="FFFFFF"/>
        </w:rPr>
        <w:t xml:space="preserve">(1), 39–62. </w:t>
      </w:r>
      <w:hyperlink r:id="rId30" w:history="1">
        <w:r w:rsidRPr="004829A5">
          <w:rPr>
            <w:rStyle w:val="Hyperlink"/>
            <w:rFonts w:ascii="Times New Roman" w:hAnsi="Times New Roman" w:cs="Times New Roman"/>
            <w:color w:val="auto"/>
            <w:sz w:val="24"/>
            <w:szCs w:val="24"/>
            <w:shd w:val="clear" w:color="auto" w:fill="FFFFFF"/>
          </w:rPr>
          <w:t>https://doi.org/10.1386/ijfd.4.1.39_1</w:t>
        </w:r>
      </w:hyperlink>
    </w:p>
    <w:p w14:paraId="28B34596"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shd w:val="clear" w:color="auto" w:fill="FFFFFF"/>
        </w:rPr>
      </w:pPr>
      <w:r w:rsidRPr="004829A5">
        <w:rPr>
          <w:rFonts w:ascii="Times New Roman" w:eastAsia="Calibri" w:hAnsi="Times New Roman" w:cs="Times New Roman"/>
          <w:color w:val="auto"/>
          <w:sz w:val="24"/>
          <w:szCs w:val="24"/>
          <w:shd w:val="clear" w:color="auto" w:fill="FFFFFF"/>
        </w:rPr>
        <w:t>*</w:t>
      </w:r>
      <w:proofErr w:type="spellStart"/>
      <w:r w:rsidRPr="004829A5">
        <w:rPr>
          <w:rFonts w:ascii="Times New Roman" w:eastAsia="Calibri" w:hAnsi="Times New Roman" w:cs="Times New Roman"/>
          <w:color w:val="auto"/>
          <w:sz w:val="24"/>
          <w:szCs w:val="24"/>
          <w:shd w:val="clear" w:color="auto" w:fill="FFFFFF"/>
        </w:rPr>
        <w:t>Kröger</w:t>
      </w:r>
      <w:proofErr w:type="spellEnd"/>
      <w:r w:rsidRPr="004829A5">
        <w:rPr>
          <w:rFonts w:ascii="Times New Roman" w:eastAsia="Calibri" w:hAnsi="Times New Roman" w:cs="Times New Roman"/>
          <w:color w:val="auto"/>
          <w:sz w:val="24"/>
          <w:szCs w:val="24"/>
          <w:shd w:val="clear" w:color="auto" w:fill="FFFFFF"/>
        </w:rPr>
        <w:t xml:space="preserve">, T., Dupont, J., </w:t>
      </w:r>
      <w:proofErr w:type="spellStart"/>
      <w:r w:rsidRPr="004829A5">
        <w:rPr>
          <w:rFonts w:ascii="Times New Roman" w:eastAsia="Calibri" w:hAnsi="Times New Roman" w:cs="Times New Roman"/>
          <w:color w:val="auto"/>
          <w:sz w:val="24"/>
          <w:szCs w:val="24"/>
          <w:shd w:val="clear" w:color="auto" w:fill="FFFFFF"/>
        </w:rPr>
        <w:t>Büsing</w:t>
      </w:r>
      <w:proofErr w:type="spellEnd"/>
      <w:r w:rsidRPr="004829A5">
        <w:rPr>
          <w:rFonts w:ascii="Times New Roman" w:eastAsia="Calibri" w:hAnsi="Times New Roman" w:cs="Times New Roman"/>
          <w:color w:val="auto"/>
          <w:sz w:val="24"/>
          <w:szCs w:val="24"/>
          <w:shd w:val="clear" w:color="auto" w:fill="FFFFFF"/>
        </w:rPr>
        <w:t xml:space="preserve">, L., &amp; </w:t>
      </w:r>
      <w:proofErr w:type="spellStart"/>
      <w:r w:rsidRPr="004829A5">
        <w:rPr>
          <w:rFonts w:ascii="Times New Roman" w:eastAsia="Calibri" w:hAnsi="Times New Roman" w:cs="Times New Roman"/>
          <w:color w:val="auto"/>
          <w:sz w:val="24"/>
          <w:szCs w:val="24"/>
          <w:shd w:val="clear" w:color="auto" w:fill="FFFFFF"/>
        </w:rPr>
        <w:t>Fiebelkorn</w:t>
      </w:r>
      <w:proofErr w:type="spellEnd"/>
      <w:r w:rsidRPr="004829A5">
        <w:rPr>
          <w:rFonts w:ascii="Times New Roman" w:eastAsia="Calibri" w:hAnsi="Times New Roman" w:cs="Times New Roman"/>
          <w:color w:val="auto"/>
          <w:sz w:val="24"/>
          <w:szCs w:val="24"/>
          <w:shd w:val="clear" w:color="auto" w:fill="FFFFFF"/>
        </w:rPr>
        <w:t xml:space="preserve">, F. (2022). Acceptance of Insect-Based Food Products in Western Societies: A Systematic Review. </w:t>
      </w:r>
      <w:r w:rsidRPr="004829A5">
        <w:rPr>
          <w:rFonts w:ascii="Times New Roman" w:eastAsia="Calibri" w:hAnsi="Times New Roman" w:cs="Times New Roman"/>
          <w:i/>
          <w:color w:val="auto"/>
          <w:sz w:val="24"/>
          <w:szCs w:val="24"/>
          <w:shd w:val="clear" w:color="auto" w:fill="FFFFFF"/>
        </w:rPr>
        <w:t>Frontiers in Nutrition</w:t>
      </w:r>
      <w:r w:rsidRPr="004829A5">
        <w:rPr>
          <w:rFonts w:ascii="Times New Roman" w:eastAsia="Calibri" w:hAnsi="Times New Roman" w:cs="Times New Roman"/>
          <w:color w:val="auto"/>
          <w:sz w:val="24"/>
          <w:szCs w:val="24"/>
          <w:shd w:val="clear" w:color="auto" w:fill="FFFFFF"/>
        </w:rPr>
        <w:t xml:space="preserve">, </w:t>
      </w:r>
      <w:r w:rsidRPr="004829A5">
        <w:rPr>
          <w:rFonts w:ascii="Times New Roman" w:eastAsia="Calibri" w:hAnsi="Times New Roman" w:cs="Times New Roman"/>
          <w:i/>
          <w:color w:val="auto"/>
          <w:sz w:val="24"/>
          <w:szCs w:val="24"/>
          <w:shd w:val="clear" w:color="auto" w:fill="FFFFFF"/>
        </w:rPr>
        <w:t>8</w:t>
      </w:r>
      <w:r w:rsidRPr="004829A5">
        <w:rPr>
          <w:rFonts w:ascii="Times New Roman" w:eastAsia="Calibri" w:hAnsi="Times New Roman" w:cs="Times New Roman"/>
          <w:color w:val="auto"/>
          <w:sz w:val="24"/>
          <w:szCs w:val="24"/>
          <w:shd w:val="clear" w:color="auto" w:fill="FFFFFF"/>
        </w:rPr>
        <w:t xml:space="preserve">, 759885. </w:t>
      </w:r>
      <w:hyperlink r:id="rId31" w:history="1">
        <w:r w:rsidRPr="004829A5">
          <w:rPr>
            <w:rStyle w:val="Hyperlink"/>
            <w:rFonts w:ascii="Times New Roman" w:hAnsi="Times New Roman" w:cs="Times New Roman"/>
            <w:color w:val="auto"/>
            <w:sz w:val="24"/>
            <w:szCs w:val="24"/>
            <w:shd w:val="clear" w:color="auto" w:fill="FFFFFF"/>
          </w:rPr>
          <w:t>https://doi.org/10.3389/fnut.2021.759885</w:t>
        </w:r>
      </w:hyperlink>
    </w:p>
    <w:p w14:paraId="6A01638C"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Luszczynska, A., &amp; Schwarzer, R. (2020). Changing Behavior Using Social Cognitive Theory. In M. Hagger, L. Cameron, K. Hamilton, N. Hankonen, &amp; T. </w:t>
      </w:r>
      <w:proofErr w:type="spellStart"/>
      <w:r w:rsidRPr="004829A5">
        <w:rPr>
          <w:rFonts w:ascii="Times New Roman" w:eastAsia="Calibri" w:hAnsi="Times New Roman" w:cs="Times New Roman"/>
          <w:color w:val="auto"/>
          <w:sz w:val="24"/>
          <w:szCs w:val="24"/>
        </w:rPr>
        <w:t>Lintunen</w:t>
      </w:r>
      <w:proofErr w:type="spellEnd"/>
      <w:r w:rsidRPr="004829A5">
        <w:rPr>
          <w:rFonts w:ascii="Times New Roman" w:eastAsia="Calibri" w:hAnsi="Times New Roman" w:cs="Times New Roman"/>
          <w:color w:val="auto"/>
          <w:sz w:val="24"/>
          <w:szCs w:val="24"/>
        </w:rPr>
        <w:t xml:space="preserve"> (Eds.), </w:t>
      </w:r>
      <w:r w:rsidRPr="004829A5">
        <w:rPr>
          <w:rFonts w:ascii="Times New Roman" w:eastAsia="Calibri" w:hAnsi="Times New Roman" w:cs="Times New Roman"/>
          <w:i/>
          <w:color w:val="auto"/>
          <w:sz w:val="24"/>
          <w:szCs w:val="24"/>
        </w:rPr>
        <w:t>The Handbook of Behavior Change</w:t>
      </w:r>
      <w:r w:rsidRPr="004829A5">
        <w:rPr>
          <w:rFonts w:ascii="Times New Roman" w:eastAsia="Calibri" w:hAnsi="Times New Roman" w:cs="Times New Roman"/>
          <w:color w:val="auto"/>
          <w:sz w:val="24"/>
          <w:szCs w:val="24"/>
        </w:rPr>
        <w:t xml:space="preserve"> (pp. 32-45). Cambridge University Press. doi:10.1017/9781108677318.003 </w:t>
      </w:r>
    </w:p>
    <w:p w14:paraId="1C284BE8"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*Mancini, S., </w:t>
      </w:r>
      <w:proofErr w:type="spellStart"/>
      <w:r w:rsidRPr="004829A5">
        <w:rPr>
          <w:rFonts w:ascii="Times New Roman" w:eastAsia="Calibri" w:hAnsi="Times New Roman" w:cs="Times New Roman"/>
          <w:color w:val="auto"/>
          <w:sz w:val="24"/>
          <w:szCs w:val="24"/>
        </w:rPr>
        <w:t>Moruzzo</w:t>
      </w:r>
      <w:proofErr w:type="spellEnd"/>
      <w:r w:rsidRPr="004829A5">
        <w:rPr>
          <w:rFonts w:ascii="Times New Roman" w:eastAsia="Calibri" w:hAnsi="Times New Roman" w:cs="Times New Roman"/>
          <w:color w:val="auto"/>
          <w:sz w:val="24"/>
          <w:szCs w:val="24"/>
        </w:rPr>
        <w:t xml:space="preserve">, R., </w:t>
      </w:r>
      <w:proofErr w:type="spellStart"/>
      <w:r w:rsidRPr="004829A5">
        <w:rPr>
          <w:rFonts w:ascii="Times New Roman" w:eastAsia="Calibri" w:hAnsi="Times New Roman" w:cs="Times New Roman"/>
          <w:color w:val="auto"/>
          <w:sz w:val="24"/>
          <w:szCs w:val="24"/>
        </w:rPr>
        <w:t>Riccioli</w:t>
      </w:r>
      <w:proofErr w:type="spellEnd"/>
      <w:r w:rsidRPr="004829A5">
        <w:rPr>
          <w:rFonts w:ascii="Times New Roman" w:eastAsia="Calibri" w:hAnsi="Times New Roman" w:cs="Times New Roman"/>
          <w:color w:val="auto"/>
          <w:sz w:val="24"/>
          <w:szCs w:val="24"/>
        </w:rPr>
        <w:t xml:space="preserve">, F., &amp; </w:t>
      </w:r>
      <w:proofErr w:type="spellStart"/>
      <w:r w:rsidRPr="004829A5">
        <w:rPr>
          <w:rFonts w:ascii="Times New Roman" w:eastAsia="Calibri" w:hAnsi="Times New Roman" w:cs="Times New Roman"/>
          <w:color w:val="auto"/>
          <w:sz w:val="24"/>
          <w:szCs w:val="24"/>
        </w:rPr>
        <w:t>Paci</w:t>
      </w:r>
      <w:proofErr w:type="spellEnd"/>
      <w:r w:rsidRPr="004829A5">
        <w:rPr>
          <w:rFonts w:ascii="Times New Roman" w:eastAsia="Calibri" w:hAnsi="Times New Roman" w:cs="Times New Roman"/>
          <w:color w:val="auto"/>
          <w:sz w:val="24"/>
          <w:szCs w:val="24"/>
        </w:rPr>
        <w:t xml:space="preserve">, G. (2019). European consumers’ readiness to adopt insects as food. A review. </w:t>
      </w:r>
      <w:r w:rsidRPr="004829A5">
        <w:rPr>
          <w:rFonts w:ascii="Times New Roman" w:eastAsia="Calibri" w:hAnsi="Times New Roman" w:cs="Times New Roman"/>
          <w:i/>
          <w:color w:val="auto"/>
          <w:sz w:val="24"/>
          <w:szCs w:val="24"/>
        </w:rPr>
        <w:t>Food Research International</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122</w:t>
      </w:r>
      <w:r w:rsidRPr="004829A5">
        <w:rPr>
          <w:rFonts w:ascii="Times New Roman" w:eastAsia="Calibri" w:hAnsi="Times New Roman" w:cs="Times New Roman"/>
          <w:color w:val="auto"/>
          <w:sz w:val="24"/>
          <w:szCs w:val="24"/>
        </w:rPr>
        <w:t xml:space="preserve">, 661–678. </w:t>
      </w:r>
      <w:hyperlink r:id="rId32" w:history="1">
        <w:r w:rsidRPr="004829A5">
          <w:rPr>
            <w:rStyle w:val="Hyperlink"/>
            <w:rFonts w:ascii="Times New Roman" w:hAnsi="Times New Roman" w:cs="Times New Roman"/>
            <w:color w:val="auto"/>
            <w:sz w:val="24"/>
            <w:szCs w:val="24"/>
          </w:rPr>
          <w:t>https://doi.org/10.1016/j.foodres.2019.01.041</w:t>
        </w:r>
      </w:hyperlink>
    </w:p>
    <w:p w14:paraId="4B9E1481"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lang w:val="pl-PL"/>
        </w:rPr>
        <w:t xml:space="preserve">*Mina, G., </w:t>
      </w:r>
      <w:proofErr w:type="spellStart"/>
      <w:r w:rsidRPr="004829A5">
        <w:rPr>
          <w:rFonts w:ascii="Times New Roman" w:eastAsia="Calibri" w:hAnsi="Times New Roman" w:cs="Times New Roman"/>
          <w:color w:val="auto"/>
          <w:sz w:val="24"/>
          <w:szCs w:val="24"/>
          <w:lang w:val="pl-PL"/>
        </w:rPr>
        <w:t>Peira</w:t>
      </w:r>
      <w:proofErr w:type="spellEnd"/>
      <w:r w:rsidRPr="004829A5">
        <w:rPr>
          <w:rFonts w:ascii="Times New Roman" w:eastAsia="Calibri" w:hAnsi="Times New Roman" w:cs="Times New Roman"/>
          <w:color w:val="auto"/>
          <w:sz w:val="24"/>
          <w:szCs w:val="24"/>
          <w:lang w:val="pl-PL"/>
        </w:rPr>
        <w:t xml:space="preserve">, G., &amp; </w:t>
      </w:r>
      <w:proofErr w:type="spellStart"/>
      <w:r w:rsidRPr="004829A5">
        <w:rPr>
          <w:rFonts w:ascii="Times New Roman" w:eastAsia="Calibri" w:hAnsi="Times New Roman" w:cs="Times New Roman"/>
          <w:color w:val="auto"/>
          <w:sz w:val="24"/>
          <w:szCs w:val="24"/>
          <w:lang w:val="pl-PL"/>
        </w:rPr>
        <w:t>Bonadonna</w:t>
      </w:r>
      <w:proofErr w:type="spellEnd"/>
      <w:r w:rsidRPr="004829A5">
        <w:rPr>
          <w:rFonts w:ascii="Times New Roman" w:eastAsia="Calibri" w:hAnsi="Times New Roman" w:cs="Times New Roman"/>
          <w:color w:val="auto"/>
          <w:sz w:val="24"/>
          <w:szCs w:val="24"/>
          <w:lang w:val="pl-PL"/>
        </w:rPr>
        <w:t xml:space="preserve">, A. (2023). </w:t>
      </w:r>
      <w:r w:rsidRPr="004829A5">
        <w:rPr>
          <w:rFonts w:ascii="Times New Roman" w:eastAsia="Calibri" w:hAnsi="Times New Roman" w:cs="Times New Roman"/>
          <w:color w:val="auto"/>
          <w:sz w:val="24"/>
          <w:szCs w:val="24"/>
        </w:rPr>
        <w:t xml:space="preserve">The Potential Future of Insects in the European Food System: A Systematic Review Based on the Consumer Point of View. </w:t>
      </w:r>
      <w:r w:rsidRPr="004829A5">
        <w:rPr>
          <w:rFonts w:ascii="Times New Roman" w:eastAsia="Calibri" w:hAnsi="Times New Roman" w:cs="Times New Roman"/>
          <w:i/>
          <w:color w:val="auto"/>
          <w:sz w:val="24"/>
          <w:szCs w:val="24"/>
        </w:rPr>
        <w:t>Foods</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12</w:t>
      </w:r>
      <w:r w:rsidRPr="004829A5">
        <w:rPr>
          <w:rFonts w:ascii="Times New Roman" w:eastAsia="Calibri" w:hAnsi="Times New Roman" w:cs="Times New Roman"/>
          <w:color w:val="auto"/>
          <w:sz w:val="24"/>
          <w:szCs w:val="24"/>
        </w:rPr>
        <w:t xml:space="preserve">(3), 646. </w:t>
      </w:r>
      <w:hyperlink r:id="rId33" w:history="1">
        <w:r w:rsidRPr="004829A5">
          <w:rPr>
            <w:rStyle w:val="Hyperlink"/>
            <w:rFonts w:ascii="Times New Roman" w:hAnsi="Times New Roman" w:cs="Times New Roman"/>
            <w:color w:val="auto"/>
            <w:sz w:val="24"/>
            <w:szCs w:val="24"/>
          </w:rPr>
          <w:t>https://doi.org/10.3390/foods12030646</w:t>
        </w:r>
      </w:hyperlink>
    </w:p>
    <w:p w14:paraId="3D8569F1"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lastRenderedPageBreak/>
        <w:t xml:space="preserve">*Nguyen, J., Ferraro, C., Sands, S., &amp; Luxton, S. (2022). Alternative protein consumption: A systematic review and future research directions. </w:t>
      </w:r>
      <w:r w:rsidRPr="004829A5">
        <w:rPr>
          <w:rFonts w:ascii="Times New Roman" w:eastAsia="Calibri" w:hAnsi="Times New Roman" w:cs="Times New Roman"/>
          <w:i/>
          <w:color w:val="auto"/>
          <w:sz w:val="24"/>
          <w:szCs w:val="24"/>
        </w:rPr>
        <w:t>International Journal of Consumer Studies</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46</w:t>
      </w:r>
      <w:r w:rsidRPr="004829A5">
        <w:rPr>
          <w:rFonts w:ascii="Times New Roman" w:eastAsia="Calibri" w:hAnsi="Times New Roman" w:cs="Times New Roman"/>
          <w:color w:val="auto"/>
          <w:sz w:val="24"/>
          <w:szCs w:val="24"/>
        </w:rPr>
        <w:t xml:space="preserve">(5), 1691–1717. </w:t>
      </w:r>
      <w:hyperlink r:id="rId34" w:history="1">
        <w:r w:rsidRPr="004829A5">
          <w:rPr>
            <w:rStyle w:val="Hyperlink"/>
            <w:rFonts w:ascii="Times New Roman" w:eastAsia="Calibri" w:hAnsi="Times New Roman" w:cs="Times New Roman"/>
            <w:color w:val="auto"/>
            <w:sz w:val="24"/>
            <w:szCs w:val="24"/>
          </w:rPr>
          <w:t>https://doi.org/10.1111/ijcs.12797</w:t>
        </w:r>
      </w:hyperlink>
    </w:p>
    <w:p w14:paraId="423E12CD"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*Onwezen, M. C., </w:t>
      </w:r>
      <w:proofErr w:type="spellStart"/>
      <w:r w:rsidRPr="004829A5">
        <w:rPr>
          <w:rFonts w:ascii="Times New Roman" w:eastAsia="Calibri" w:hAnsi="Times New Roman" w:cs="Times New Roman"/>
          <w:color w:val="auto"/>
          <w:sz w:val="24"/>
          <w:szCs w:val="24"/>
        </w:rPr>
        <w:t>Bouwman</w:t>
      </w:r>
      <w:proofErr w:type="spellEnd"/>
      <w:r w:rsidRPr="004829A5">
        <w:rPr>
          <w:rFonts w:ascii="Times New Roman" w:eastAsia="Calibri" w:hAnsi="Times New Roman" w:cs="Times New Roman"/>
          <w:color w:val="auto"/>
          <w:sz w:val="24"/>
          <w:szCs w:val="24"/>
        </w:rPr>
        <w:t xml:space="preserve">, E. P., Reinders, M. J., &amp; </w:t>
      </w:r>
      <w:proofErr w:type="spellStart"/>
      <w:r w:rsidRPr="004829A5">
        <w:rPr>
          <w:rFonts w:ascii="Times New Roman" w:eastAsia="Calibri" w:hAnsi="Times New Roman" w:cs="Times New Roman"/>
          <w:color w:val="auto"/>
          <w:sz w:val="24"/>
          <w:szCs w:val="24"/>
        </w:rPr>
        <w:t>Dagevos</w:t>
      </w:r>
      <w:proofErr w:type="spellEnd"/>
      <w:r w:rsidRPr="004829A5">
        <w:rPr>
          <w:rFonts w:ascii="Times New Roman" w:eastAsia="Calibri" w:hAnsi="Times New Roman" w:cs="Times New Roman"/>
          <w:color w:val="auto"/>
          <w:sz w:val="24"/>
          <w:szCs w:val="24"/>
        </w:rPr>
        <w:t xml:space="preserve">, H. (2021). A systematic review on consumer acceptance of alternative proteins: Pulses, algae, insects, plant-based meat alternatives, and cultured meat. </w:t>
      </w:r>
      <w:r w:rsidRPr="004829A5">
        <w:rPr>
          <w:rFonts w:ascii="Times New Roman" w:eastAsia="Calibri" w:hAnsi="Times New Roman" w:cs="Times New Roman"/>
          <w:i/>
          <w:color w:val="auto"/>
          <w:sz w:val="24"/>
          <w:szCs w:val="24"/>
        </w:rPr>
        <w:t>Appetite</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159</w:t>
      </w:r>
      <w:r w:rsidRPr="004829A5">
        <w:rPr>
          <w:rFonts w:ascii="Times New Roman" w:eastAsia="Calibri" w:hAnsi="Times New Roman" w:cs="Times New Roman"/>
          <w:color w:val="auto"/>
          <w:sz w:val="24"/>
          <w:szCs w:val="24"/>
        </w:rPr>
        <w:t xml:space="preserve">, 105058. </w:t>
      </w:r>
      <w:hyperlink r:id="rId35" w:history="1">
        <w:r w:rsidRPr="004829A5">
          <w:rPr>
            <w:rStyle w:val="Hyperlink"/>
            <w:rFonts w:ascii="Times New Roman" w:hAnsi="Times New Roman" w:cs="Times New Roman"/>
            <w:color w:val="auto"/>
            <w:sz w:val="24"/>
            <w:szCs w:val="24"/>
          </w:rPr>
          <w:t>https://doi.org/10.1016/j.appet.2020.105058</w:t>
        </w:r>
      </w:hyperlink>
    </w:p>
    <w:p w14:paraId="008A091C"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proofErr w:type="spellStart"/>
      <w:r w:rsidRPr="004829A5">
        <w:rPr>
          <w:rFonts w:ascii="Times New Roman" w:eastAsia="Times New Roman" w:hAnsi="Times New Roman" w:cs="Times New Roman"/>
          <w:color w:val="auto"/>
          <w:sz w:val="24"/>
          <w:szCs w:val="24"/>
        </w:rPr>
        <w:t>Popay</w:t>
      </w:r>
      <w:proofErr w:type="spellEnd"/>
      <w:r w:rsidRPr="004829A5">
        <w:rPr>
          <w:rFonts w:ascii="Times New Roman" w:eastAsia="Times New Roman" w:hAnsi="Times New Roman" w:cs="Times New Roman"/>
          <w:color w:val="auto"/>
          <w:sz w:val="24"/>
          <w:szCs w:val="24"/>
        </w:rPr>
        <w:t xml:space="preserve">, J., Roberts, H., Sowden, A., </w:t>
      </w:r>
      <w:proofErr w:type="spellStart"/>
      <w:r w:rsidRPr="004829A5">
        <w:rPr>
          <w:rFonts w:ascii="Times New Roman" w:eastAsia="Times New Roman" w:hAnsi="Times New Roman" w:cs="Times New Roman"/>
          <w:color w:val="auto"/>
          <w:sz w:val="24"/>
          <w:szCs w:val="24"/>
        </w:rPr>
        <w:t>Petticrew</w:t>
      </w:r>
      <w:proofErr w:type="spellEnd"/>
      <w:r w:rsidRPr="004829A5">
        <w:rPr>
          <w:rFonts w:ascii="Times New Roman" w:eastAsia="Times New Roman" w:hAnsi="Times New Roman" w:cs="Times New Roman"/>
          <w:color w:val="auto"/>
          <w:sz w:val="24"/>
          <w:szCs w:val="24"/>
        </w:rPr>
        <w:t xml:space="preserve">, M., Arai, L., Rodgers, M., Britten, N., </w:t>
      </w:r>
      <w:proofErr w:type="spellStart"/>
      <w:r w:rsidRPr="004829A5">
        <w:rPr>
          <w:rFonts w:ascii="Times New Roman" w:eastAsia="Times New Roman" w:hAnsi="Times New Roman" w:cs="Times New Roman"/>
          <w:color w:val="auto"/>
          <w:sz w:val="24"/>
          <w:szCs w:val="24"/>
        </w:rPr>
        <w:t>Roen</w:t>
      </w:r>
      <w:proofErr w:type="spellEnd"/>
      <w:r w:rsidRPr="004829A5">
        <w:rPr>
          <w:rFonts w:ascii="Times New Roman" w:eastAsia="Times New Roman" w:hAnsi="Times New Roman" w:cs="Times New Roman"/>
          <w:color w:val="auto"/>
          <w:sz w:val="24"/>
          <w:szCs w:val="24"/>
        </w:rPr>
        <w:t xml:space="preserve">, K., &amp; Duffy, S. (2006). </w:t>
      </w:r>
      <w:r w:rsidRPr="004829A5">
        <w:rPr>
          <w:rFonts w:ascii="Times New Roman" w:eastAsia="Times New Roman" w:hAnsi="Times New Roman" w:cs="Times New Roman"/>
          <w:i/>
          <w:color w:val="auto"/>
          <w:sz w:val="24"/>
          <w:szCs w:val="24"/>
        </w:rPr>
        <w:t xml:space="preserve">Guidance on the conduct of narrative synthesis in systematic reviews: A product from the ESRC Methods </w:t>
      </w:r>
      <w:proofErr w:type="spellStart"/>
      <w:r w:rsidRPr="004829A5">
        <w:rPr>
          <w:rFonts w:ascii="Times New Roman" w:eastAsia="Times New Roman" w:hAnsi="Times New Roman" w:cs="Times New Roman"/>
          <w:i/>
          <w:color w:val="auto"/>
          <w:sz w:val="24"/>
          <w:szCs w:val="24"/>
        </w:rPr>
        <w:t>Programme</w:t>
      </w:r>
      <w:proofErr w:type="spellEnd"/>
      <w:r w:rsidRPr="004829A5">
        <w:rPr>
          <w:rFonts w:ascii="Times New Roman" w:eastAsia="Times New Roman" w:hAnsi="Times New Roman" w:cs="Times New Roman"/>
          <w:color w:val="auto"/>
          <w:sz w:val="24"/>
          <w:szCs w:val="24"/>
        </w:rPr>
        <w:t xml:space="preserve">. </w:t>
      </w:r>
      <w:hyperlink r:id="rId36" w:history="1">
        <w:r w:rsidRPr="004829A5">
          <w:rPr>
            <w:rStyle w:val="Hyperlink"/>
            <w:rFonts w:ascii="Times New Roman" w:hAnsi="Times New Roman" w:cs="Times New Roman"/>
            <w:color w:val="auto"/>
            <w:sz w:val="24"/>
            <w:szCs w:val="24"/>
          </w:rPr>
          <w:t>https://doi.org/10.13140/2.1.1018.4643</w:t>
        </w:r>
      </w:hyperlink>
    </w:p>
    <w:p w14:paraId="28C8A96D"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bookmarkStart w:id="78" w:name="_Hlk152096280"/>
      <w:r w:rsidRPr="004829A5">
        <w:rPr>
          <w:rFonts w:ascii="Times New Roman" w:eastAsia="Calibri" w:hAnsi="Times New Roman" w:cs="Times New Roman"/>
          <w:color w:val="auto"/>
          <w:sz w:val="24"/>
          <w:szCs w:val="24"/>
        </w:rPr>
        <w:t xml:space="preserve">*Siddiqui, S. A., </w:t>
      </w:r>
      <w:proofErr w:type="spellStart"/>
      <w:r w:rsidRPr="004829A5">
        <w:rPr>
          <w:rFonts w:ascii="Times New Roman" w:eastAsia="Calibri" w:hAnsi="Times New Roman" w:cs="Times New Roman"/>
          <w:color w:val="auto"/>
          <w:sz w:val="24"/>
          <w:szCs w:val="24"/>
        </w:rPr>
        <w:t>Alvi</w:t>
      </w:r>
      <w:proofErr w:type="spellEnd"/>
      <w:r w:rsidRPr="004829A5">
        <w:rPr>
          <w:rFonts w:ascii="Times New Roman" w:eastAsia="Calibri" w:hAnsi="Times New Roman" w:cs="Times New Roman"/>
          <w:color w:val="auto"/>
          <w:sz w:val="24"/>
          <w:szCs w:val="24"/>
        </w:rPr>
        <w:t xml:space="preserve">, T., Sameen, A., Khan, S., </w:t>
      </w:r>
      <w:proofErr w:type="spellStart"/>
      <w:r w:rsidRPr="004829A5">
        <w:rPr>
          <w:rFonts w:ascii="Times New Roman" w:eastAsia="Calibri" w:hAnsi="Times New Roman" w:cs="Times New Roman"/>
          <w:color w:val="auto"/>
          <w:sz w:val="24"/>
          <w:szCs w:val="24"/>
        </w:rPr>
        <w:t>Blinov</w:t>
      </w:r>
      <w:proofErr w:type="spellEnd"/>
      <w:r w:rsidRPr="004829A5">
        <w:rPr>
          <w:rFonts w:ascii="Times New Roman" w:eastAsia="Calibri" w:hAnsi="Times New Roman" w:cs="Times New Roman"/>
          <w:color w:val="auto"/>
          <w:sz w:val="24"/>
          <w:szCs w:val="24"/>
        </w:rPr>
        <w:t xml:space="preserve">, A. V., </w:t>
      </w:r>
      <w:proofErr w:type="spellStart"/>
      <w:r w:rsidRPr="004829A5">
        <w:rPr>
          <w:rFonts w:ascii="Times New Roman" w:eastAsia="Calibri" w:hAnsi="Times New Roman" w:cs="Times New Roman"/>
          <w:color w:val="auto"/>
          <w:sz w:val="24"/>
          <w:szCs w:val="24"/>
        </w:rPr>
        <w:t>Nagdalian</w:t>
      </w:r>
      <w:proofErr w:type="spellEnd"/>
      <w:r w:rsidRPr="004829A5">
        <w:rPr>
          <w:rFonts w:ascii="Times New Roman" w:eastAsia="Calibri" w:hAnsi="Times New Roman" w:cs="Times New Roman"/>
          <w:color w:val="auto"/>
          <w:sz w:val="24"/>
          <w:szCs w:val="24"/>
        </w:rPr>
        <w:t xml:space="preserve">, A. A., </w:t>
      </w:r>
      <w:proofErr w:type="spellStart"/>
      <w:r w:rsidRPr="004829A5">
        <w:rPr>
          <w:rFonts w:ascii="Times New Roman" w:eastAsia="Calibri" w:hAnsi="Times New Roman" w:cs="Times New Roman"/>
          <w:color w:val="auto"/>
          <w:sz w:val="24"/>
          <w:szCs w:val="24"/>
        </w:rPr>
        <w:t>Mehdizadeh</w:t>
      </w:r>
      <w:proofErr w:type="spellEnd"/>
      <w:r w:rsidRPr="004829A5">
        <w:rPr>
          <w:rFonts w:ascii="Times New Roman" w:eastAsia="Calibri" w:hAnsi="Times New Roman" w:cs="Times New Roman"/>
          <w:color w:val="auto"/>
          <w:sz w:val="24"/>
          <w:szCs w:val="24"/>
        </w:rPr>
        <w:t xml:space="preserve">, M., Adli, D. N., &amp; Onwezen, M. (2022). Consumer Acceptance of Alternative Proteins: A Systematic Review of Current Alternative Protein Sources and Interventions Adapted to Increase Their Acceptability. </w:t>
      </w:r>
      <w:r w:rsidRPr="004829A5">
        <w:rPr>
          <w:rFonts w:ascii="Times New Roman" w:eastAsia="Calibri" w:hAnsi="Times New Roman" w:cs="Times New Roman"/>
          <w:i/>
          <w:color w:val="auto"/>
          <w:sz w:val="24"/>
          <w:szCs w:val="24"/>
        </w:rPr>
        <w:t>Sustainability</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14</w:t>
      </w:r>
      <w:r w:rsidRPr="004829A5">
        <w:rPr>
          <w:rFonts w:ascii="Times New Roman" w:eastAsia="Calibri" w:hAnsi="Times New Roman" w:cs="Times New Roman"/>
          <w:color w:val="auto"/>
          <w:sz w:val="24"/>
          <w:szCs w:val="24"/>
        </w:rPr>
        <w:t xml:space="preserve">(22), 15370. </w:t>
      </w:r>
      <w:hyperlink r:id="rId37" w:history="1">
        <w:r w:rsidRPr="004829A5">
          <w:rPr>
            <w:rStyle w:val="Hyperlink"/>
            <w:rFonts w:ascii="Times New Roman" w:hAnsi="Times New Roman" w:cs="Times New Roman"/>
            <w:color w:val="auto"/>
            <w:sz w:val="24"/>
            <w:szCs w:val="24"/>
          </w:rPr>
          <w:t>https://doi.org/10.3390/su142215370</w:t>
        </w:r>
      </w:hyperlink>
    </w:p>
    <w:p w14:paraId="35188647" w14:textId="17D0205A"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*Siddiqui, S.A., </w:t>
      </w:r>
      <w:proofErr w:type="spellStart"/>
      <w:r w:rsidRPr="004829A5">
        <w:rPr>
          <w:rFonts w:ascii="Times New Roman" w:eastAsia="Calibri" w:hAnsi="Times New Roman" w:cs="Times New Roman"/>
          <w:color w:val="auto"/>
          <w:sz w:val="24"/>
          <w:szCs w:val="24"/>
        </w:rPr>
        <w:t>Bahmid</w:t>
      </w:r>
      <w:proofErr w:type="spellEnd"/>
      <w:r w:rsidRPr="004829A5">
        <w:rPr>
          <w:rFonts w:ascii="Times New Roman" w:eastAsia="Calibri" w:hAnsi="Times New Roman" w:cs="Times New Roman"/>
          <w:color w:val="auto"/>
          <w:sz w:val="24"/>
          <w:szCs w:val="24"/>
        </w:rPr>
        <w:t xml:space="preserve">, N. A., Mahmud, C. M. M., </w:t>
      </w:r>
      <w:proofErr w:type="spellStart"/>
      <w:r w:rsidRPr="004829A5">
        <w:rPr>
          <w:rFonts w:ascii="Times New Roman" w:eastAsia="Calibri" w:hAnsi="Times New Roman" w:cs="Times New Roman"/>
          <w:color w:val="auto"/>
          <w:sz w:val="24"/>
          <w:szCs w:val="24"/>
        </w:rPr>
        <w:t>Boukid</w:t>
      </w:r>
      <w:proofErr w:type="spellEnd"/>
      <w:r w:rsidRPr="004829A5">
        <w:rPr>
          <w:rFonts w:ascii="Times New Roman" w:eastAsia="Calibri" w:hAnsi="Times New Roman" w:cs="Times New Roman"/>
          <w:color w:val="auto"/>
          <w:sz w:val="24"/>
          <w:szCs w:val="24"/>
        </w:rPr>
        <w:t xml:space="preserve">, F., </w:t>
      </w:r>
      <w:proofErr w:type="spellStart"/>
      <w:r w:rsidRPr="004829A5">
        <w:rPr>
          <w:rFonts w:ascii="Times New Roman" w:eastAsia="Calibri" w:hAnsi="Times New Roman" w:cs="Times New Roman"/>
          <w:color w:val="auto"/>
          <w:sz w:val="24"/>
          <w:szCs w:val="24"/>
        </w:rPr>
        <w:t>Lamri</w:t>
      </w:r>
      <w:proofErr w:type="spellEnd"/>
      <w:r w:rsidRPr="004829A5">
        <w:rPr>
          <w:rFonts w:ascii="Times New Roman" w:eastAsia="Calibri" w:hAnsi="Times New Roman" w:cs="Times New Roman"/>
          <w:color w:val="auto"/>
          <w:sz w:val="24"/>
          <w:szCs w:val="24"/>
        </w:rPr>
        <w:t xml:space="preserve">, M., &amp; </w:t>
      </w:r>
      <w:proofErr w:type="spellStart"/>
      <w:r w:rsidRPr="004829A5">
        <w:rPr>
          <w:rFonts w:ascii="Times New Roman" w:eastAsia="Calibri" w:hAnsi="Times New Roman" w:cs="Times New Roman"/>
          <w:color w:val="auto"/>
          <w:sz w:val="24"/>
          <w:szCs w:val="24"/>
        </w:rPr>
        <w:t>Gagaoua</w:t>
      </w:r>
      <w:proofErr w:type="spellEnd"/>
      <w:r w:rsidRPr="004829A5">
        <w:rPr>
          <w:rFonts w:ascii="Times New Roman" w:eastAsia="Calibri" w:hAnsi="Times New Roman" w:cs="Times New Roman"/>
          <w:color w:val="auto"/>
          <w:sz w:val="24"/>
          <w:szCs w:val="24"/>
        </w:rPr>
        <w:t>, M. (202</w:t>
      </w:r>
      <w:r w:rsidR="006A4201" w:rsidRPr="004829A5">
        <w:rPr>
          <w:rFonts w:ascii="Times New Roman" w:eastAsia="Calibri" w:hAnsi="Times New Roman" w:cs="Times New Roman"/>
          <w:color w:val="auto"/>
          <w:sz w:val="24"/>
          <w:szCs w:val="24"/>
        </w:rPr>
        <w:t>3</w:t>
      </w:r>
      <w:r w:rsidRPr="004829A5">
        <w:rPr>
          <w:rFonts w:ascii="Times New Roman" w:eastAsia="Calibri" w:hAnsi="Times New Roman" w:cs="Times New Roman"/>
          <w:color w:val="auto"/>
          <w:sz w:val="24"/>
          <w:szCs w:val="24"/>
        </w:rPr>
        <w:t xml:space="preserve">). Consumer acceptability of plant-, seaweed-, and insect-based foods as alternatives to meat: A critical compilation of a decade of research. </w:t>
      </w:r>
      <w:r w:rsidRPr="004829A5">
        <w:rPr>
          <w:rFonts w:ascii="Times New Roman" w:eastAsia="Calibri" w:hAnsi="Times New Roman" w:cs="Times New Roman"/>
          <w:i/>
          <w:color w:val="auto"/>
          <w:sz w:val="24"/>
          <w:szCs w:val="24"/>
        </w:rPr>
        <w:t>Critical Reviews in Food Science and Nutrition</w:t>
      </w:r>
      <w:r w:rsidRPr="004829A5">
        <w:rPr>
          <w:rFonts w:ascii="Times New Roman" w:eastAsia="Calibri" w:hAnsi="Times New Roman" w:cs="Times New Roman"/>
          <w:color w:val="auto"/>
          <w:sz w:val="24"/>
          <w:szCs w:val="24"/>
        </w:rPr>
        <w:t xml:space="preserve">, 1–22. </w:t>
      </w:r>
      <w:hyperlink r:id="rId38" w:history="1">
        <w:r w:rsidRPr="004829A5">
          <w:rPr>
            <w:rStyle w:val="Hyperlink"/>
            <w:rFonts w:ascii="Times New Roman" w:hAnsi="Times New Roman" w:cs="Times New Roman"/>
            <w:color w:val="auto"/>
            <w:sz w:val="24"/>
            <w:szCs w:val="24"/>
          </w:rPr>
          <w:t>https://doi.org/10.1080/10408398.2022.2036096</w:t>
        </w:r>
      </w:hyperlink>
    </w:p>
    <w:p w14:paraId="08E416CE"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*Siddiqui, S. A., </w:t>
      </w:r>
      <w:proofErr w:type="spellStart"/>
      <w:r w:rsidRPr="004829A5">
        <w:rPr>
          <w:rFonts w:ascii="Times New Roman" w:eastAsia="Calibri" w:hAnsi="Times New Roman" w:cs="Times New Roman"/>
          <w:color w:val="auto"/>
          <w:sz w:val="24"/>
          <w:szCs w:val="24"/>
        </w:rPr>
        <w:t>Zannou</w:t>
      </w:r>
      <w:proofErr w:type="spellEnd"/>
      <w:r w:rsidRPr="004829A5">
        <w:rPr>
          <w:rFonts w:ascii="Times New Roman" w:eastAsia="Calibri" w:hAnsi="Times New Roman" w:cs="Times New Roman"/>
          <w:color w:val="auto"/>
          <w:sz w:val="24"/>
          <w:szCs w:val="24"/>
        </w:rPr>
        <w:t xml:space="preserve">, O., Karim, I., </w:t>
      </w:r>
      <w:proofErr w:type="spellStart"/>
      <w:r w:rsidRPr="004829A5">
        <w:rPr>
          <w:rFonts w:ascii="Times New Roman" w:eastAsia="Calibri" w:hAnsi="Times New Roman" w:cs="Times New Roman"/>
          <w:color w:val="auto"/>
          <w:sz w:val="24"/>
          <w:szCs w:val="24"/>
        </w:rPr>
        <w:t>Kasmiati</w:t>
      </w:r>
      <w:proofErr w:type="spellEnd"/>
      <w:r w:rsidRPr="004829A5">
        <w:rPr>
          <w:rFonts w:ascii="Times New Roman" w:eastAsia="Calibri" w:hAnsi="Times New Roman" w:cs="Times New Roman"/>
          <w:color w:val="auto"/>
          <w:sz w:val="24"/>
          <w:szCs w:val="24"/>
        </w:rPr>
        <w:t xml:space="preserve">, </w:t>
      </w:r>
      <w:proofErr w:type="spellStart"/>
      <w:r w:rsidRPr="004829A5">
        <w:rPr>
          <w:rFonts w:ascii="Times New Roman" w:eastAsia="Calibri" w:hAnsi="Times New Roman" w:cs="Times New Roman"/>
          <w:color w:val="auto"/>
          <w:sz w:val="24"/>
          <w:szCs w:val="24"/>
        </w:rPr>
        <w:t>Awad</w:t>
      </w:r>
      <w:proofErr w:type="spellEnd"/>
      <w:r w:rsidRPr="004829A5">
        <w:rPr>
          <w:rFonts w:ascii="Times New Roman" w:eastAsia="Calibri" w:hAnsi="Times New Roman" w:cs="Times New Roman"/>
          <w:color w:val="auto"/>
          <w:sz w:val="24"/>
          <w:szCs w:val="24"/>
        </w:rPr>
        <w:t xml:space="preserve">, N. M. H., </w:t>
      </w:r>
      <w:proofErr w:type="spellStart"/>
      <w:r w:rsidRPr="004829A5">
        <w:rPr>
          <w:rFonts w:ascii="Times New Roman" w:eastAsia="Calibri" w:hAnsi="Times New Roman" w:cs="Times New Roman"/>
          <w:color w:val="auto"/>
          <w:sz w:val="24"/>
          <w:szCs w:val="24"/>
        </w:rPr>
        <w:t>Gołaszewski</w:t>
      </w:r>
      <w:proofErr w:type="spellEnd"/>
      <w:r w:rsidRPr="004829A5">
        <w:rPr>
          <w:rFonts w:ascii="Times New Roman" w:eastAsia="Calibri" w:hAnsi="Times New Roman" w:cs="Times New Roman"/>
          <w:color w:val="auto"/>
          <w:sz w:val="24"/>
          <w:szCs w:val="24"/>
        </w:rPr>
        <w:t xml:space="preserve">, J., Heinz, V., &amp; Smetana, S. (2022). Avoiding Food Neophobia and Increasing Consumer Acceptance of New Food Trends—A Decade of Research. </w:t>
      </w:r>
      <w:r w:rsidRPr="004829A5">
        <w:rPr>
          <w:rFonts w:ascii="Times New Roman" w:eastAsia="Calibri" w:hAnsi="Times New Roman" w:cs="Times New Roman"/>
          <w:i/>
          <w:color w:val="auto"/>
          <w:sz w:val="24"/>
          <w:szCs w:val="24"/>
        </w:rPr>
        <w:t>Sustainability</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14</w:t>
      </w:r>
      <w:r w:rsidRPr="004829A5">
        <w:rPr>
          <w:rFonts w:ascii="Times New Roman" w:eastAsia="Calibri" w:hAnsi="Times New Roman" w:cs="Times New Roman"/>
          <w:color w:val="auto"/>
          <w:sz w:val="24"/>
          <w:szCs w:val="24"/>
        </w:rPr>
        <w:t xml:space="preserve">(16), 10391. </w:t>
      </w:r>
      <w:hyperlink r:id="rId39" w:history="1">
        <w:r w:rsidRPr="004829A5">
          <w:rPr>
            <w:rStyle w:val="Hyperlink"/>
            <w:rFonts w:ascii="Times New Roman" w:hAnsi="Times New Roman" w:cs="Times New Roman"/>
            <w:color w:val="auto"/>
            <w:sz w:val="24"/>
            <w:szCs w:val="24"/>
          </w:rPr>
          <w:t>https://doi.org/10.3390/su141610391</w:t>
        </w:r>
      </w:hyperlink>
    </w:p>
    <w:p w14:paraId="3E5F8D65"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bookmarkStart w:id="79" w:name="_heading=h.4i7ojhp" w:colFirst="0" w:colLast="0"/>
      <w:bookmarkStart w:id="80" w:name="_Hlk144304165"/>
      <w:bookmarkEnd w:id="78"/>
      <w:bookmarkEnd w:id="79"/>
      <w:r w:rsidRPr="004829A5">
        <w:rPr>
          <w:rFonts w:ascii="Times New Roman" w:eastAsia="Calibri" w:hAnsi="Times New Roman" w:cs="Times New Roman"/>
          <w:color w:val="auto"/>
          <w:sz w:val="24"/>
          <w:szCs w:val="24"/>
        </w:rPr>
        <w:lastRenderedPageBreak/>
        <w:t>*</w:t>
      </w:r>
      <w:proofErr w:type="spellStart"/>
      <w:r w:rsidRPr="004829A5">
        <w:rPr>
          <w:rFonts w:ascii="Times New Roman" w:eastAsia="Calibri" w:hAnsi="Times New Roman" w:cs="Times New Roman"/>
          <w:color w:val="auto"/>
          <w:sz w:val="24"/>
          <w:szCs w:val="24"/>
        </w:rPr>
        <w:t>Szenderák</w:t>
      </w:r>
      <w:proofErr w:type="spellEnd"/>
      <w:r w:rsidRPr="004829A5">
        <w:rPr>
          <w:rFonts w:ascii="Times New Roman" w:eastAsia="Calibri" w:hAnsi="Times New Roman" w:cs="Times New Roman"/>
          <w:color w:val="auto"/>
          <w:sz w:val="24"/>
          <w:szCs w:val="24"/>
        </w:rPr>
        <w:t xml:space="preserve">, </w:t>
      </w:r>
      <w:bookmarkEnd w:id="80"/>
      <w:r w:rsidRPr="004829A5">
        <w:rPr>
          <w:rFonts w:ascii="Times New Roman" w:eastAsia="Calibri" w:hAnsi="Times New Roman" w:cs="Times New Roman"/>
          <w:color w:val="auto"/>
          <w:sz w:val="24"/>
          <w:szCs w:val="24"/>
        </w:rPr>
        <w:t xml:space="preserve">J., </w:t>
      </w:r>
      <w:proofErr w:type="spellStart"/>
      <w:r w:rsidRPr="004829A5">
        <w:rPr>
          <w:rFonts w:ascii="Times New Roman" w:eastAsia="Calibri" w:hAnsi="Times New Roman" w:cs="Times New Roman"/>
          <w:color w:val="auto"/>
          <w:sz w:val="24"/>
          <w:szCs w:val="24"/>
        </w:rPr>
        <w:t>Fróna</w:t>
      </w:r>
      <w:proofErr w:type="spellEnd"/>
      <w:r w:rsidRPr="004829A5">
        <w:rPr>
          <w:rFonts w:ascii="Times New Roman" w:eastAsia="Calibri" w:hAnsi="Times New Roman" w:cs="Times New Roman"/>
          <w:color w:val="auto"/>
          <w:sz w:val="24"/>
          <w:szCs w:val="24"/>
        </w:rPr>
        <w:t xml:space="preserve">, D., &amp; </w:t>
      </w:r>
      <w:proofErr w:type="spellStart"/>
      <w:r w:rsidRPr="004829A5">
        <w:rPr>
          <w:rFonts w:ascii="Times New Roman" w:eastAsia="Calibri" w:hAnsi="Times New Roman" w:cs="Times New Roman"/>
          <w:color w:val="auto"/>
          <w:sz w:val="24"/>
          <w:szCs w:val="24"/>
        </w:rPr>
        <w:t>Rákos</w:t>
      </w:r>
      <w:proofErr w:type="spellEnd"/>
      <w:r w:rsidRPr="004829A5">
        <w:rPr>
          <w:rFonts w:ascii="Times New Roman" w:eastAsia="Calibri" w:hAnsi="Times New Roman" w:cs="Times New Roman"/>
          <w:color w:val="auto"/>
          <w:sz w:val="24"/>
          <w:szCs w:val="24"/>
        </w:rPr>
        <w:t xml:space="preserve">, M. (2022). Consumer Acceptance of Plant-Based Meat Substitutes: A Narrative Review. </w:t>
      </w:r>
      <w:r w:rsidRPr="004829A5">
        <w:rPr>
          <w:rFonts w:ascii="Times New Roman" w:eastAsia="Calibri" w:hAnsi="Times New Roman" w:cs="Times New Roman"/>
          <w:i/>
          <w:color w:val="auto"/>
          <w:sz w:val="24"/>
          <w:szCs w:val="24"/>
        </w:rPr>
        <w:t>Foods</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11</w:t>
      </w:r>
      <w:r w:rsidRPr="004829A5">
        <w:rPr>
          <w:rFonts w:ascii="Times New Roman" w:eastAsia="Calibri" w:hAnsi="Times New Roman" w:cs="Times New Roman"/>
          <w:color w:val="auto"/>
          <w:sz w:val="24"/>
          <w:szCs w:val="24"/>
        </w:rPr>
        <w:t xml:space="preserve">(9), 1274. </w:t>
      </w:r>
      <w:hyperlink r:id="rId40" w:history="1">
        <w:r w:rsidRPr="004829A5">
          <w:rPr>
            <w:rStyle w:val="Hyperlink"/>
            <w:rFonts w:ascii="Times New Roman" w:hAnsi="Times New Roman" w:cs="Times New Roman"/>
            <w:color w:val="auto"/>
            <w:sz w:val="24"/>
            <w:szCs w:val="24"/>
          </w:rPr>
          <w:t>https://doi.org/10.3390/foods11091274</w:t>
        </w:r>
      </w:hyperlink>
    </w:p>
    <w:p w14:paraId="72C03B5F"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Toti</w:t>
      </w:r>
      <w:proofErr w:type="spellEnd"/>
      <w:r w:rsidRPr="004829A5">
        <w:rPr>
          <w:rFonts w:ascii="Times New Roman" w:eastAsia="Calibri" w:hAnsi="Times New Roman" w:cs="Times New Roman"/>
          <w:color w:val="auto"/>
          <w:sz w:val="24"/>
          <w:szCs w:val="24"/>
        </w:rPr>
        <w:t xml:space="preserve">, E., Massaro, L., </w:t>
      </w:r>
      <w:proofErr w:type="spellStart"/>
      <w:r w:rsidRPr="004829A5">
        <w:rPr>
          <w:rFonts w:ascii="Times New Roman" w:eastAsia="Calibri" w:hAnsi="Times New Roman" w:cs="Times New Roman"/>
          <w:color w:val="auto"/>
          <w:sz w:val="24"/>
          <w:szCs w:val="24"/>
        </w:rPr>
        <w:t>Kais</w:t>
      </w:r>
      <w:proofErr w:type="spellEnd"/>
      <w:r w:rsidRPr="004829A5">
        <w:rPr>
          <w:rFonts w:ascii="Times New Roman" w:eastAsia="Calibri" w:hAnsi="Times New Roman" w:cs="Times New Roman"/>
          <w:color w:val="auto"/>
          <w:sz w:val="24"/>
          <w:szCs w:val="24"/>
        </w:rPr>
        <w:t xml:space="preserve">, A., Aiello, P., </w:t>
      </w:r>
      <w:proofErr w:type="spellStart"/>
      <w:r w:rsidRPr="004829A5">
        <w:rPr>
          <w:rFonts w:ascii="Times New Roman" w:eastAsia="Calibri" w:hAnsi="Times New Roman" w:cs="Times New Roman"/>
          <w:color w:val="auto"/>
          <w:sz w:val="24"/>
          <w:szCs w:val="24"/>
        </w:rPr>
        <w:t>Palmery</w:t>
      </w:r>
      <w:proofErr w:type="spellEnd"/>
      <w:r w:rsidRPr="004829A5">
        <w:rPr>
          <w:rFonts w:ascii="Times New Roman" w:eastAsia="Calibri" w:hAnsi="Times New Roman" w:cs="Times New Roman"/>
          <w:color w:val="auto"/>
          <w:sz w:val="24"/>
          <w:szCs w:val="24"/>
        </w:rPr>
        <w:t xml:space="preserve">, M., &amp; Peluso, I. (2020). Entomophagy: A Narrative Review on Nutritional Value, Safety, Cultural Acceptance and A Focus on the Role of Food Neophobia in Italy. </w:t>
      </w:r>
      <w:r w:rsidRPr="004829A5">
        <w:rPr>
          <w:rFonts w:ascii="Times New Roman" w:eastAsia="Calibri" w:hAnsi="Times New Roman" w:cs="Times New Roman"/>
          <w:i/>
          <w:color w:val="auto"/>
          <w:sz w:val="24"/>
          <w:szCs w:val="24"/>
        </w:rPr>
        <w:t>European Journal of Investigation in Health, Psychology and Education</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10</w:t>
      </w:r>
      <w:r w:rsidRPr="004829A5">
        <w:rPr>
          <w:rFonts w:ascii="Times New Roman" w:eastAsia="Calibri" w:hAnsi="Times New Roman" w:cs="Times New Roman"/>
          <w:color w:val="auto"/>
          <w:sz w:val="24"/>
          <w:szCs w:val="24"/>
        </w:rPr>
        <w:t xml:space="preserve">(2), 628–643. </w:t>
      </w:r>
      <w:hyperlink r:id="rId41" w:history="1">
        <w:r w:rsidRPr="004829A5">
          <w:rPr>
            <w:rStyle w:val="Hyperlink"/>
            <w:rFonts w:ascii="Times New Roman" w:hAnsi="Times New Roman" w:cs="Times New Roman"/>
            <w:color w:val="auto"/>
            <w:sz w:val="24"/>
            <w:szCs w:val="24"/>
          </w:rPr>
          <w:t>https://doi.org/10.3390/ejihpe10020046</w:t>
        </w:r>
      </w:hyperlink>
    </w:p>
    <w:p w14:paraId="08304021" w14:textId="114EE835"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*Wang, M., Zhou, J., Tavares, J., Pinto, C. A., Saraiva, J. A., Prieto, M. A., Cao, H., Xiao, J., Simal-Gandara, J., &amp; Barba, F. J. (202</w:t>
      </w:r>
      <w:r w:rsidR="005E3F99" w:rsidRPr="004829A5">
        <w:rPr>
          <w:rFonts w:ascii="Times New Roman" w:eastAsia="Calibri" w:hAnsi="Times New Roman" w:cs="Times New Roman"/>
          <w:color w:val="auto"/>
          <w:sz w:val="24"/>
          <w:szCs w:val="24"/>
        </w:rPr>
        <w:t>3</w:t>
      </w:r>
      <w:r w:rsidRPr="004829A5">
        <w:rPr>
          <w:rFonts w:ascii="Times New Roman" w:eastAsia="Calibri" w:hAnsi="Times New Roman" w:cs="Times New Roman"/>
          <w:color w:val="auto"/>
          <w:sz w:val="24"/>
          <w:szCs w:val="24"/>
        </w:rPr>
        <w:t xml:space="preserve">). Applications of algae to obtain healthier meat products: A critical review on nutrients, acceptability and quality. </w:t>
      </w:r>
      <w:r w:rsidRPr="004829A5">
        <w:rPr>
          <w:rFonts w:ascii="Times New Roman" w:eastAsia="Calibri" w:hAnsi="Times New Roman" w:cs="Times New Roman"/>
          <w:i/>
          <w:color w:val="auto"/>
          <w:sz w:val="24"/>
          <w:szCs w:val="24"/>
        </w:rPr>
        <w:t>Critical Reviews in Food Science and Nutrition</w:t>
      </w:r>
      <w:r w:rsidRPr="004829A5">
        <w:rPr>
          <w:rFonts w:ascii="Times New Roman" w:eastAsia="Calibri" w:hAnsi="Times New Roman" w:cs="Times New Roman"/>
          <w:color w:val="auto"/>
          <w:sz w:val="24"/>
          <w:szCs w:val="24"/>
        </w:rPr>
        <w:t xml:space="preserve">, 1–18. </w:t>
      </w:r>
      <w:hyperlink r:id="rId42" w:history="1">
        <w:r w:rsidRPr="004829A5">
          <w:rPr>
            <w:rStyle w:val="Hyperlink"/>
            <w:rFonts w:ascii="Times New Roman" w:hAnsi="Times New Roman" w:cs="Times New Roman"/>
            <w:color w:val="auto"/>
            <w:sz w:val="24"/>
            <w:szCs w:val="24"/>
          </w:rPr>
          <w:t>https://doi.org/10.1080/10408398.2022.2054939</w:t>
        </w:r>
      </w:hyperlink>
    </w:p>
    <w:p w14:paraId="3E18F713"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Wassmann</w:t>
      </w:r>
      <w:proofErr w:type="spellEnd"/>
      <w:r w:rsidRPr="004829A5">
        <w:rPr>
          <w:rFonts w:ascii="Times New Roman" w:eastAsia="Calibri" w:hAnsi="Times New Roman" w:cs="Times New Roman"/>
          <w:color w:val="auto"/>
          <w:sz w:val="24"/>
          <w:szCs w:val="24"/>
        </w:rPr>
        <w:t xml:space="preserve">, B., Siegrist, M., &amp; Hartmann, C. (2021). Correlates of the willingness to consume insects: A meta-analysis. </w:t>
      </w:r>
      <w:r w:rsidRPr="004829A5">
        <w:rPr>
          <w:rFonts w:ascii="Times New Roman" w:eastAsia="Calibri" w:hAnsi="Times New Roman" w:cs="Times New Roman"/>
          <w:i/>
          <w:color w:val="auto"/>
          <w:sz w:val="24"/>
          <w:szCs w:val="24"/>
        </w:rPr>
        <w:t>Journal of Insects as Food and Feed</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7</w:t>
      </w:r>
      <w:r w:rsidRPr="004829A5">
        <w:rPr>
          <w:rFonts w:ascii="Times New Roman" w:eastAsia="Calibri" w:hAnsi="Times New Roman" w:cs="Times New Roman"/>
          <w:color w:val="auto"/>
          <w:sz w:val="24"/>
          <w:szCs w:val="24"/>
        </w:rPr>
        <w:t xml:space="preserve">(5), 909–922. </w:t>
      </w:r>
      <w:hyperlink r:id="rId43" w:history="1">
        <w:r w:rsidRPr="004829A5">
          <w:rPr>
            <w:rStyle w:val="Hyperlink"/>
            <w:rFonts w:ascii="Times New Roman" w:hAnsi="Times New Roman" w:cs="Times New Roman"/>
            <w:color w:val="auto"/>
            <w:sz w:val="24"/>
            <w:szCs w:val="24"/>
          </w:rPr>
          <w:t>https://doi.org/10.3920/JIFF2020.0130</w:t>
        </w:r>
      </w:hyperlink>
    </w:p>
    <w:p w14:paraId="5ECB5982"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 xml:space="preserve">*Weinrich, R. (2019). Opportunities for the Adoption of Health-Based Sustainable Dietary Patterns: A Review on Consumer Research of Meat Substitutes. </w:t>
      </w:r>
      <w:r w:rsidRPr="004829A5">
        <w:rPr>
          <w:rFonts w:ascii="Times New Roman" w:eastAsia="Calibri" w:hAnsi="Times New Roman" w:cs="Times New Roman"/>
          <w:i/>
          <w:color w:val="auto"/>
          <w:sz w:val="24"/>
          <w:szCs w:val="24"/>
        </w:rPr>
        <w:t>Sustainability</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11</w:t>
      </w:r>
      <w:r w:rsidRPr="004829A5">
        <w:rPr>
          <w:rFonts w:ascii="Times New Roman" w:eastAsia="Calibri" w:hAnsi="Times New Roman" w:cs="Times New Roman"/>
          <w:color w:val="auto"/>
          <w:sz w:val="24"/>
          <w:szCs w:val="24"/>
        </w:rPr>
        <w:t xml:space="preserve">(15), 4028. </w:t>
      </w:r>
      <w:hyperlink r:id="rId44" w:history="1">
        <w:r w:rsidRPr="004829A5">
          <w:rPr>
            <w:rStyle w:val="Hyperlink"/>
            <w:rFonts w:ascii="Times New Roman" w:hAnsi="Times New Roman" w:cs="Times New Roman"/>
            <w:color w:val="auto"/>
            <w:sz w:val="24"/>
            <w:szCs w:val="24"/>
          </w:rPr>
          <w:t>https://doi.org/10.3390/su11154028</w:t>
        </w:r>
      </w:hyperlink>
    </w:p>
    <w:p w14:paraId="3C114E93" w14:textId="77777777" w:rsidR="00DF1324" w:rsidRPr="004829A5" w:rsidRDefault="00DF1324" w:rsidP="00EE39AD">
      <w:pPr>
        <w:spacing w:line="480" w:lineRule="auto"/>
        <w:ind w:left="720" w:hanging="720"/>
        <w:rPr>
          <w:rFonts w:ascii="Times New Roman" w:eastAsia="Calibri" w:hAnsi="Times New Roman" w:cs="Times New Roman"/>
          <w:color w:val="auto"/>
          <w:sz w:val="24"/>
          <w:szCs w:val="24"/>
        </w:rPr>
      </w:pPr>
      <w:r w:rsidRPr="004829A5">
        <w:rPr>
          <w:rFonts w:ascii="Times New Roman" w:eastAsia="Calibri" w:hAnsi="Times New Roman" w:cs="Times New Roman"/>
          <w:color w:val="auto"/>
          <w:sz w:val="24"/>
          <w:szCs w:val="24"/>
        </w:rPr>
        <w:t>*</w:t>
      </w:r>
      <w:proofErr w:type="spellStart"/>
      <w:r w:rsidRPr="004829A5">
        <w:rPr>
          <w:rFonts w:ascii="Times New Roman" w:eastAsia="Calibri" w:hAnsi="Times New Roman" w:cs="Times New Roman"/>
          <w:color w:val="auto"/>
          <w:sz w:val="24"/>
          <w:szCs w:val="24"/>
        </w:rPr>
        <w:t>Wendin</w:t>
      </w:r>
      <w:proofErr w:type="spellEnd"/>
      <w:r w:rsidRPr="004829A5">
        <w:rPr>
          <w:rFonts w:ascii="Times New Roman" w:eastAsia="Calibri" w:hAnsi="Times New Roman" w:cs="Times New Roman"/>
          <w:color w:val="auto"/>
          <w:sz w:val="24"/>
          <w:szCs w:val="24"/>
        </w:rPr>
        <w:t xml:space="preserve">, K. M., &amp; Nyberg, M. E. (2021). Factors influencing consumer perception and acceptability of insect-based foods. </w:t>
      </w:r>
      <w:r w:rsidRPr="004829A5">
        <w:rPr>
          <w:rFonts w:ascii="Times New Roman" w:eastAsia="Calibri" w:hAnsi="Times New Roman" w:cs="Times New Roman"/>
          <w:i/>
          <w:color w:val="auto"/>
          <w:sz w:val="24"/>
          <w:szCs w:val="24"/>
        </w:rPr>
        <w:t>Current Opinion in Food Science</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40</w:t>
      </w:r>
      <w:r w:rsidRPr="004829A5">
        <w:rPr>
          <w:rFonts w:ascii="Times New Roman" w:eastAsia="Calibri" w:hAnsi="Times New Roman" w:cs="Times New Roman"/>
          <w:color w:val="auto"/>
          <w:sz w:val="24"/>
          <w:szCs w:val="24"/>
        </w:rPr>
        <w:t xml:space="preserve">, 67–71. </w:t>
      </w:r>
      <w:hyperlink r:id="rId45" w:history="1">
        <w:r w:rsidRPr="004829A5">
          <w:rPr>
            <w:rStyle w:val="Hyperlink"/>
            <w:rFonts w:ascii="Times New Roman" w:hAnsi="Times New Roman" w:cs="Times New Roman"/>
            <w:color w:val="auto"/>
            <w:sz w:val="24"/>
            <w:szCs w:val="24"/>
          </w:rPr>
          <w:t>https://doi.org/10.1016/j.cofs.2021.01.007</w:t>
        </w:r>
      </w:hyperlink>
    </w:p>
    <w:p w14:paraId="295658BD" w14:textId="3DC2CE67" w:rsidR="00087391" w:rsidRPr="004829A5" w:rsidRDefault="00DF1324" w:rsidP="00EE39AD">
      <w:pPr>
        <w:spacing w:line="480" w:lineRule="auto"/>
        <w:ind w:left="720" w:hanging="720"/>
        <w:rPr>
          <w:rFonts w:ascii="Times New Roman" w:eastAsia="Times New Roman" w:hAnsi="Times New Roman" w:cs="Times New Roman"/>
          <w:color w:val="auto"/>
          <w:sz w:val="24"/>
          <w:szCs w:val="24"/>
        </w:rPr>
      </w:pPr>
      <w:r w:rsidRPr="004829A5">
        <w:rPr>
          <w:rFonts w:ascii="Times New Roman" w:eastAsia="Calibri" w:hAnsi="Times New Roman" w:cs="Times New Roman"/>
          <w:color w:val="auto"/>
          <w:sz w:val="24"/>
          <w:szCs w:val="24"/>
        </w:rPr>
        <w:t xml:space="preserve">*Wendt, M.-C., &amp; Weinrich, R. (2023). A systematic review of consumer studies applying the Food Technology Neophobia Scale: Lessons and applications. </w:t>
      </w:r>
      <w:r w:rsidRPr="004829A5">
        <w:rPr>
          <w:rFonts w:ascii="Times New Roman" w:eastAsia="Calibri" w:hAnsi="Times New Roman" w:cs="Times New Roman"/>
          <w:i/>
          <w:color w:val="auto"/>
          <w:sz w:val="24"/>
          <w:szCs w:val="24"/>
        </w:rPr>
        <w:t>Food Quality and Preference</w:t>
      </w:r>
      <w:r w:rsidRPr="004829A5">
        <w:rPr>
          <w:rFonts w:ascii="Times New Roman" w:eastAsia="Calibri" w:hAnsi="Times New Roman" w:cs="Times New Roman"/>
          <w:color w:val="auto"/>
          <w:sz w:val="24"/>
          <w:szCs w:val="24"/>
        </w:rPr>
        <w:t xml:space="preserve">, </w:t>
      </w:r>
      <w:r w:rsidRPr="004829A5">
        <w:rPr>
          <w:rFonts w:ascii="Times New Roman" w:eastAsia="Calibri" w:hAnsi="Times New Roman" w:cs="Times New Roman"/>
          <w:i/>
          <w:color w:val="auto"/>
          <w:sz w:val="24"/>
          <w:szCs w:val="24"/>
        </w:rPr>
        <w:t>106</w:t>
      </w:r>
      <w:r w:rsidRPr="004829A5">
        <w:rPr>
          <w:rFonts w:ascii="Times New Roman" w:eastAsia="Calibri" w:hAnsi="Times New Roman" w:cs="Times New Roman"/>
          <w:color w:val="auto"/>
          <w:sz w:val="24"/>
          <w:szCs w:val="24"/>
        </w:rPr>
        <w:t xml:space="preserve">, 104811. </w:t>
      </w:r>
      <w:hyperlink r:id="rId46" w:history="1">
        <w:r w:rsidRPr="004829A5">
          <w:rPr>
            <w:rStyle w:val="Hyperlink"/>
            <w:rFonts w:ascii="Times New Roman" w:hAnsi="Times New Roman" w:cs="Times New Roman"/>
            <w:color w:val="auto"/>
            <w:sz w:val="24"/>
            <w:szCs w:val="24"/>
          </w:rPr>
          <w:t>https://doi.org/10.1016/j.foodqual.2023.104811</w:t>
        </w:r>
      </w:hyperlink>
    </w:p>
    <w:sectPr w:rsidR="00087391" w:rsidRPr="004829A5" w:rsidSect="000A2A98">
      <w:pgSz w:w="11909" w:h="16834"/>
      <w:pgMar w:top="1440" w:right="1440" w:bottom="1440" w:left="1440" w:header="562" w:footer="907"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D0B75" w14:textId="77777777" w:rsidR="005F42E1" w:rsidRDefault="005F42E1">
      <w:pPr>
        <w:spacing w:line="240" w:lineRule="auto"/>
      </w:pPr>
      <w:r>
        <w:separator/>
      </w:r>
    </w:p>
  </w:endnote>
  <w:endnote w:type="continuationSeparator" w:id="0">
    <w:p w14:paraId="721E937A" w14:textId="77777777" w:rsidR="005F42E1" w:rsidRDefault="005F42E1">
      <w:pPr>
        <w:spacing w:line="240" w:lineRule="auto"/>
      </w:pPr>
      <w:r>
        <w:continuationSeparator/>
      </w:r>
    </w:p>
  </w:endnote>
  <w:endnote w:type="continuationNotice" w:id="1">
    <w:p w14:paraId="70975D60" w14:textId="77777777" w:rsidR="005F42E1" w:rsidRDefault="005F42E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Noto Sans Symbols">
    <w:charset w:val="00"/>
    <w:family w:val="auto"/>
    <w:pitch w:val="default"/>
  </w:font>
  <w:font w:name="Source Sans Pro">
    <w:altName w:val="Source Sans Pro"/>
    <w:charset w:val="00"/>
    <w:family w:val="swiss"/>
    <w:pitch w:val="variable"/>
    <w:sig w:usb0="600002F7" w:usb1="02000001" w:usb2="00000000" w:usb3="00000000" w:csb0="0000019F" w:csb1="00000000"/>
  </w:font>
  <w:font w:name="Source Serif Pro">
    <w:altName w:val="Cambria"/>
    <w:charset w:val="00"/>
    <w:family w:val="roman"/>
    <w:pitch w:val="variable"/>
    <w:sig w:usb0="20000287" w:usb1="02000003" w:usb2="00000000" w:usb3="00000000" w:csb0="0000019F" w:csb1="00000000"/>
  </w:font>
  <w:font w:name="Source Sans Pro SemiBold">
    <w:altName w:val="Arial"/>
    <w:charset w:val="00"/>
    <w:family w:val="swiss"/>
    <w:pitch w:val="variable"/>
    <w:sig w:usb0="600002F7" w:usb1="02000001"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6D573" w14:textId="5BA09FBC" w:rsidR="003921FD" w:rsidRPr="00511F7C" w:rsidRDefault="003921FD">
    <w:pPr>
      <w:pStyle w:val="Subtitle"/>
      <w:jc w:val="right"/>
      <w:rPr>
        <w:rFonts w:ascii="Times New Roman" w:hAnsi="Times New Roman" w:cs="Times New Roman"/>
        <w:b w:val="0"/>
        <w:color w:val="000000" w:themeColor="accent3"/>
        <w:sz w:val="20"/>
        <w:szCs w:val="20"/>
      </w:rPr>
    </w:pPr>
  </w:p>
  <w:p w14:paraId="2887476A" w14:textId="77777777" w:rsidR="003921FD" w:rsidRDefault="003921FD" w:rsidP="00B57DA5">
    <w:pPr>
      <w:ind w:left="-992" w:right="-749" w:firstLine="57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50908" w14:textId="76E50B65" w:rsidR="003921FD" w:rsidRPr="00511F7C" w:rsidRDefault="003921FD" w:rsidP="00A95F9A">
    <w:pPr>
      <w:pStyle w:val="Subtitle"/>
      <w:ind w:firstLine="1723"/>
      <w:jc w:val="right"/>
      <w:rPr>
        <w:rFonts w:ascii="Times New Roman" w:hAnsi="Times New Roman" w:cs="Times New Roman"/>
        <w:b w:val="0"/>
        <w:color w:val="000000" w:themeColor="accent3"/>
        <w:sz w:val="20"/>
        <w:szCs w:val="20"/>
      </w:rPr>
    </w:pPr>
    <w:r w:rsidRPr="00511F7C">
      <w:rPr>
        <w:rFonts w:ascii="Times New Roman" w:hAnsi="Times New Roman" w:cs="Times New Roman"/>
        <w:b w:val="0"/>
        <w:color w:val="000000" w:themeColor="accent3"/>
        <w:sz w:val="20"/>
        <w:szCs w:val="20"/>
      </w:rPr>
      <w:fldChar w:fldCharType="begin"/>
    </w:r>
    <w:r w:rsidRPr="00511F7C">
      <w:rPr>
        <w:rFonts w:ascii="Times New Roman" w:hAnsi="Times New Roman" w:cs="Times New Roman"/>
        <w:b w:val="0"/>
        <w:color w:val="000000" w:themeColor="accent3"/>
        <w:sz w:val="20"/>
        <w:szCs w:val="20"/>
      </w:rPr>
      <w:instrText>PAGE   \* MERGEFORMAT</w:instrText>
    </w:r>
    <w:r w:rsidRPr="00511F7C">
      <w:rPr>
        <w:rFonts w:ascii="Times New Roman" w:hAnsi="Times New Roman" w:cs="Times New Roman"/>
        <w:b w:val="0"/>
        <w:color w:val="000000" w:themeColor="accent3"/>
        <w:sz w:val="20"/>
        <w:szCs w:val="20"/>
      </w:rPr>
      <w:fldChar w:fldCharType="separate"/>
    </w:r>
    <w:r w:rsidRPr="00511F7C">
      <w:rPr>
        <w:rFonts w:ascii="Times New Roman" w:hAnsi="Times New Roman" w:cs="Times New Roman"/>
        <w:b w:val="0"/>
        <w:color w:val="000000" w:themeColor="accent3"/>
        <w:sz w:val="20"/>
        <w:szCs w:val="20"/>
        <w:lang w:val="es-ES"/>
      </w:rPr>
      <w:t>2</w:t>
    </w:r>
    <w:r w:rsidRPr="00511F7C">
      <w:rPr>
        <w:rFonts w:ascii="Times New Roman" w:hAnsi="Times New Roman" w:cs="Times New Roman"/>
        <w:b w:val="0"/>
        <w:color w:val="000000" w:themeColor="accent3"/>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721C0A" w14:textId="77777777" w:rsidR="005F42E1" w:rsidRDefault="005F42E1">
      <w:pPr>
        <w:spacing w:line="240" w:lineRule="auto"/>
      </w:pPr>
      <w:r>
        <w:separator/>
      </w:r>
    </w:p>
  </w:footnote>
  <w:footnote w:type="continuationSeparator" w:id="0">
    <w:p w14:paraId="38DCF5F1" w14:textId="77777777" w:rsidR="005F42E1" w:rsidRDefault="005F42E1">
      <w:pPr>
        <w:spacing w:line="240" w:lineRule="auto"/>
      </w:pPr>
      <w:r>
        <w:continuationSeparator/>
      </w:r>
    </w:p>
  </w:footnote>
  <w:footnote w:type="continuationNotice" w:id="1">
    <w:p w14:paraId="53235808" w14:textId="77777777" w:rsidR="005F42E1" w:rsidRDefault="005F42E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023496"/>
      <w:docPartObj>
        <w:docPartGallery w:val="Page Numbers (Top of Page)"/>
        <w:docPartUnique/>
      </w:docPartObj>
    </w:sdtPr>
    <w:sdtEndPr>
      <w:rPr>
        <w:rStyle w:val="PageNumber"/>
      </w:rPr>
    </w:sdtEndPr>
    <w:sdtContent>
      <w:p w14:paraId="2B282238" w14:textId="7A17DAB1" w:rsidR="003921FD" w:rsidRDefault="003921FD" w:rsidP="003921F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F2B4CA5" w14:textId="77777777" w:rsidR="003921FD" w:rsidRDefault="003921FD" w:rsidP="00511F7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5169833"/>
      <w:docPartObj>
        <w:docPartGallery w:val="Page Numbers (Top of Page)"/>
        <w:docPartUnique/>
      </w:docPartObj>
    </w:sdtPr>
    <w:sdtEndPr/>
    <w:sdtContent>
      <w:p w14:paraId="0B2426B3" w14:textId="1E87F948" w:rsidR="00625C7B" w:rsidRDefault="00625C7B">
        <w:pPr>
          <w:pStyle w:val="Header"/>
          <w:jc w:val="right"/>
        </w:pPr>
        <w:r>
          <w:fldChar w:fldCharType="begin"/>
        </w:r>
        <w:r>
          <w:instrText>PAGE   \* MERGEFORMAT</w:instrText>
        </w:r>
        <w:r>
          <w:fldChar w:fldCharType="separate"/>
        </w:r>
        <w:r>
          <w:rPr>
            <w:lang w:val="pl-PL"/>
          </w:rPr>
          <w:t>2</w:t>
        </w:r>
        <w:r>
          <w:fldChar w:fldCharType="end"/>
        </w:r>
      </w:p>
    </w:sdtContent>
  </w:sdt>
  <w:p w14:paraId="7FB5E612" w14:textId="77777777" w:rsidR="003921FD" w:rsidRDefault="003921FD" w:rsidP="00511F7C">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CBDCF" w14:textId="5A1640FC" w:rsidR="003921FD" w:rsidRDefault="003921FD" w:rsidP="00F46CC3">
    <w:pP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30C1"/>
    <w:multiLevelType w:val="multilevel"/>
    <w:tmpl w:val="42BCA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4E05AA"/>
    <w:multiLevelType w:val="hybridMultilevel"/>
    <w:tmpl w:val="BB924B32"/>
    <w:lvl w:ilvl="0" w:tplc="FFFFFFFF">
      <w:start w:val="1"/>
      <w:numFmt w:val="bullet"/>
      <w:lvlText w:val="-"/>
      <w:lvlJc w:val="left"/>
      <w:pPr>
        <w:ind w:left="720" w:hanging="360"/>
      </w:pPr>
      <w:rPr>
        <w:rFonts w:ascii="Times New Roman" w:hAnsi="Times New Roman" w:hint="default"/>
        <w:b/>
      </w:rPr>
    </w:lvl>
    <w:lvl w:ilvl="1" w:tplc="BA2263A6" w:tentative="1">
      <w:start w:val="1"/>
      <w:numFmt w:val="bullet"/>
      <w:lvlText w:val="o"/>
      <w:lvlJc w:val="left"/>
      <w:pPr>
        <w:ind w:left="1440" w:hanging="360"/>
      </w:pPr>
      <w:rPr>
        <w:rFonts w:ascii="Courier New" w:hAnsi="Courier New" w:cs="Courier New" w:hint="default"/>
      </w:rPr>
    </w:lvl>
    <w:lvl w:ilvl="2" w:tplc="70528FA8" w:tentative="1">
      <w:start w:val="1"/>
      <w:numFmt w:val="bullet"/>
      <w:lvlText w:val=""/>
      <w:lvlJc w:val="left"/>
      <w:pPr>
        <w:ind w:left="2160" w:hanging="360"/>
      </w:pPr>
      <w:rPr>
        <w:rFonts w:ascii="Wingdings" w:hAnsi="Wingdings" w:hint="default"/>
      </w:rPr>
    </w:lvl>
    <w:lvl w:ilvl="3" w:tplc="90301BC0" w:tentative="1">
      <w:start w:val="1"/>
      <w:numFmt w:val="bullet"/>
      <w:lvlText w:val=""/>
      <w:lvlJc w:val="left"/>
      <w:pPr>
        <w:ind w:left="2880" w:hanging="360"/>
      </w:pPr>
      <w:rPr>
        <w:rFonts w:ascii="Symbol" w:hAnsi="Symbol" w:hint="default"/>
      </w:rPr>
    </w:lvl>
    <w:lvl w:ilvl="4" w:tplc="E6A4D5EE" w:tentative="1">
      <w:start w:val="1"/>
      <w:numFmt w:val="bullet"/>
      <w:lvlText w:val="o"/>
      <w:lvlJc w:val="left"/>
      <w:pPr>
        <w:ind w:left="3600" w:hanging="360"/>
      </w:pPr>
      <w:rPr>
        <w:rFonts w:ascii="Courier New" w:hAnsi="Courier New" w:cs="Courier New" w:hint="default"/>
      </w:rPr>
    </w:lvl>
    <w:lvl w:ilvl="5" w:tplc="90C20B70" w:tentative="1">
      <w:start w:val="1"/>
      <w:numFmt w:val="bullet"/>
      <w:lvlText w:val=""/>
      <w:lvlJc w:val="left"/>
      <w:pPr>
        <w:ind w:left="4320" w:hanging="360"/>
      </w:pPr>
      <w:rPr>
        <w:rFonts w:ascii="Wingdings" w:hAnsi="Wingdings" w:hint="default"/>
      </w:rPr>
    </w:lvl>
    <w:lvl w:ilvl="6" w:tplc="4022A47C" w:tentative="1">
      <w:start w:val="1"/>
      <w:numFmt w:val="bullet"/>
      <w:lvlText w:val=""/>
      <w:lvlJc w:val="left"/>
      <w:pPr>
        <w:ind w:left="5040" w:hanging="360"/>
      </w:pPr>
      <w:rPr>
        <w:rFonts w:ascii="Symbol" w:hAnsi="Symbol" w:hint="default"/>
      </w:rPr>
    </w:lvl>
    <w:lvl w:ilvl="7" w:tplc="C5F030E2" w:tentative="1">
      <w:start w:val="1"/>
      <w:numFmt w:val="bullet"/>
      <w:lvlText w:val="o"/>
      <w:lvlJc w:val="left"/>
      <w:pPr>
        <w:ind w:left="5760" w:hanging="360"/>
      </w:pPr>
      <w:rPr>
        <w:rFonts w:ascii="Courier New" w:hAnsi="Courier New" w:cs="Courier New" w:hint="default"/>
      </w:rPr>
    </w:lvl>
    <w:lvl w:ilvl="8" w:tplc="969458C8" w:tentative="1">
      <w:start w:val="1"/>
      <w:numFmt w:val="bullet"/>
      <w:lvlText w:val=""/>
      <w:lvlJc w:val="left"/>
      <w:pPr>
        <w:ind w:left="6480" w:hanging="360"/>
      </w:pPr>
      <w:rPr>
        <w:rFonts w:ascii="Wingdings" w:hAnsi="Wingdings" w:hint="default"/>
      </w:rPr>
    </w:lvl>
  </w:abstractNum>
  <w:abstractNum w:abstractNumId="2" w15:restartNumberingAfterBreak="0">
    <w:nsid w:val="09A8256D"/>
    <w:multiLevelType w:val="hybridMultilevel"/>
    <w:tmpl w:val="5204D5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C85BB2"/>
    <w:multiLevelType w:val="hybridMultilevel"/>
    <w:tmpl w:val="8EBC5A64"/>
    <w:lvl w:ilvl="0" w:tplc="388816F2">
      <w:start w:val="2"/>
      <w:numFmt w:val="bullet"/>
      <w:lvlText w:val="-"/>
      <w:lvlJc w:val="left"/>
      <w:pPr>
        <w:ind w:left="720" w:hanging="360"/>
      </w:pPr>
      <w:rPr>
        <w:rFonts w:ascii="Calibri Light" w:eastAsiaTheme="minorHAnsi" w:hAnsi="Calibri Light" w:cs="Calibri Ligh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F474259"/>
    <w:multiLevelType w:val="hybridMultilevel"/>
    <w:tmpl w:val="A95E1194"/>
    <w:lvl w:ilvl="0" w:tplc="2A8ED8D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5522B9F"/>
    <w:multiLevelType w:val="hybridMultilevel"/>
    <w:tmpl w:val="6B9E0BD8"/>
    <w:lvl w:ilvl="0" w:tplc="CA604D36">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1EF1385C"/>
    <w:multiLevelType w:val="hybridMultilevel"/>
    <w:tmpl w:val="E624A17C"/>
    <w:lvl w:ilvl="0" w:tplc="0C0A0003">
      <w:start w:val="1"/>
      <w:numFmt w:val="bullet"/>
      <w:lvlText w:val="o"/>
      <w:lvlJc w:val="left"/>
      <w:pPr>
        <w:ind w:left="1157" w:hanging="360"/>
      </w:pPr>
      <w:rPr>
        <w:rFonts w:ascii="Courier New" w:hAnsi="Courier New" w:cs="Courier New" w:hint="default"/>
      </w:rPr>
    </w:lvl>
    <w:lvl w:ilvl="1" w:tplc="0C0A0003" w:tentative="1">
      <w:start w:val="1"/>
      <w:numFmt w:val="bullet"/>
      <w:lvlText w:val="o"/>
      <w:lvlJc w:val="left"/>
      <w:pPr>
        <w:ind w:left="1877" w:hanging="360"/>
      </w:pPr>
      <w:rPr>
        <w:rFonts w:ascii="Courier New" w:hAnsi="Courier New" w:cs="Courier New" w:hint="default"/>
      </w:rPr>
    </w:lvl>
    <w:lvl w:ilvl="2" w:tplc="0C0A0005" w:tentative="1">
      <w:start w:val="1"/>
      <w:numFmt w:val="bullet"/>
      <w:lvlText w:val=""/>
      <w:lvlJc w:val="left"/>
      <w:pPr>
        <w:ind w:left="2597" w:hanging="360"/>
      </w:pPr>
      <w:rPr>
        <w:rFonts w:ascii="Wingdings" w:hAnsi="Wingdings" w:hint="default"/>
      </w:rPr>
    </w:lvl>
    <w:lvl w:ilvl="3" w:tplc="0C0A0001" w:tentative="1">
      <w:start w:val="1"/>
      <w:numFmt w:val="bullet"/>
      <w:lvlText w:val=""/>
      <w:lvlJc w:val="left"/>
      <w:pPr>
        <w:ind w:left="3317" w:hanging="360"/>
      </w:pPr>
      <w:rPr>
        <w:rFonts w:ascii="Symbol" w:hAnsi="Symbol" w:hint="default"/>
      </w:rPr>
    </w:lvl>
    <w:lvl w:ilvl="4" w:tplc="0C0A0003" w:tentative="1">
      <w:start w:val="1"/>
      <w:numFmt w:val="bullet"/>
      <w:lvlText w:val="o"/>
      <w:lvlJc w:val="left"/>
      <w:pPr>
        <w:ind w:left="4037" w:hanging="360"/>
      </w:pPr>
      <w:rPr>
        <w:rFonts w:ascii="Courier New" w:hAnsi="Courier New" w:cs="Courier New" w:hint="default"/>
      </w:rPr>
    </w:lvl>
    <w:lvl w:ilvl="5" w:tplc="0C0A0005" w:tentative="1">
      <w:start w:val="1"/>
      <w:numFmt w:val="bullet"/>
      <w:lvlText w:val=""/>
      <w:lvlJc w:val="left"/>
      <w:pPr>
        <w:ind w:left="4757" w:hanging="360"/>
      </w:pPr>
      <w:rPr>
        <w:rFonts w:ascii="Wingdings" w:hAnsi="Wingdings" w:hint="default"/>
      </w:rPr>
    </w:lvl>
    <w:lvl w:ilvl="6" w:tplc="0C0A0001" w:tentative="1">
      <w:start w:val="1"/>
      <w:numFmt w:val="bullet"/>
      <w:lvlText w:val=""/>
      <w:lvlJc w:val="left"/>
      <w:pPr>
        <w:ind w:left="5477" w:hanging="360"/>
      </w:pPr>
      <w:rPr>
        <w:rFonts w:ascii="Symbol" w:hAnsi="Symbol" w:hint="default"/>
      </w:rPr>
    </w:lvl>
    <w:lvl w:ilvl="7" w:tplc="0C0A0003" w:tentative="1">
      <w:start w:val="1"/>
      <w:numFmt w:val="bullet"/>
      <w:lvlText w:val="o"/>
      <w:lvlJc w:val="left"/>
      <w:pPr>
        <w:ind w:left="6197" w:hanging="360"/>
      </w:pPr>
      <w:rPr>
        <w:rFonts w:ascii="Courier New" w:hAnsi="Courier New" w:cs="Courier New" w:hint="default"/>
      </w:rPr>
    </w:lvl>
    <w:lvl w:ilvl="8" w:tplc="0C0A0005" w:tentative="1">
      <w:start w:val="1"/>
      <w:numFmt w:val="bullet"/>
      <w:lvlText w:val=""/>
      <w:lvlJc w:val="left"/>
      <w:pPr>
        <w:ind w:left="6917" w:hanging="360"/>
      </w:pPr>
      <w:rPr>
        <w:rFonts w:ascii="Wingdings" w:hAnsi="Wingdings" w:hint="default"/>
      </w:rPr>
    </w:lvl>
  </w:abstractNum>
  <w:abstractNum w:abstractNumId="7" w15:restartNumberingAfterBreak="0">
    <w:nsid w:val="1F5D7573"/>
    <w:multiLevelType w:val="hybridMultilevel"/>
    <w:tmpl w:val="3E9A0608"/>
    <w:lvl w:ilvl="0" w:tplc="0C0A0003">
      <w:start w:val="1"/>
      <w:numFmt w:val="bullet"/>
      <w:lvlText w:val="o"/>
      <w:lvlJc w:val="left"/>
      <w:pPr>
        <w:ind w:left="1157" w:hanging="360"/>
      </w:pPr>
      <w:rPr>
        <w:rFonts w:ascii="Courier New" w:hAnsi="Courier New" w:cs="Courier New" w:hint="default"/>
      </w:rPr>
    </w:lvl>
    <w:lvl w:ilvl="1" w:tplc="0C0A0003" w:tentative="1">
      <w:start w:val="1"/>
      <w:numFmt w:val="bullet"/>
      <w:lvlText w:val="o"/>
      <w:lvlJc w:val="left"/>
      <w:pPr>
        <w:ind w:left="1877" w:hanging="360"/>
      </w:pPr>
      <w:rPr>
        <w:rFonts w:ascii="Courier New" w:hAnsi="Courier New" w:cs="Courier New" w:hint="default"/>
      </w:rPr>
    </w:lvl>
    <w:lvl w:ilvl="2" w:tplc="0C0A0005" w:tentative="1">
      <w:start w:val="1"/>
      <w:numFmt w:val="bullet"/>
      <w:lvlText w:val=""/>
      <w:lvlJc w:val="left"/>
      <w:pPr>
        <w:ind w:left="2597" w:hanging="360"/>
      </w:pPr>
      <w:rPr>
        <w:rFonts w:ascii="Wingdings" w:hAnsi="Wingdings" w:hint="default"/>
      </w:rPr>
    </w:lvl>
    <w:lvl w:ilvl="3" w:tplc="0C0A0001" w:tentative="1">
      <w:start w:val="1"/>
      <w:numFmt w:val="bullet"/>
      <w:lvlText w:val=""/>
      <w:lvlJc w:val="left"/>
      <w:pPr>
        <w:ind w:left="3317" w:hanging="360"/>
      </w:pPr>
      <w:rPr>
        <w:rFonts w:ascii="Symbol" w:hAnsi="Symbol" w:hint="default"/>
      </w:rPr>
    </w:lvl>
    <w:lvl w:ilvl="4" w:tplc="0C0A0003" w:tentative="1">
      <w:start w:val="1"/>
      <w:numFmt w:val="bullet"/>
      <w:lvlText w:val="o"/>
      <w:lvlJc w:val="left"/>
      <w:pPr>
        <w:ind w:left="4037" w:hanging="360"/>
      </w:pPr>
      <w:rPr>
        <w:rFonts w:ascii="Courier New" w:hAnsi="Courier New" w:cs="Courier New" w:hint="default"/>
      </w:rPr>
    </w:lvl>
    <w:lvl w:ilvl="5" w:tplc="0C0A0005" w:tentative="1">
      <w:start w:val="1"/>
      <w:numFmt w:val="bullet"/>
      <w:lvlText w:val=""/>
      <w:lvlJc w:val="left"/>
      <w:pPr>
        <w:ind w:left="4757" w:hanging="360"/>
      </w:pPr>
      <w:rPr>
        <w:rFonts w:ascii="Wingdings" w:hAnsi="Wingdings" w:hint="default"/>
      </w:rPr>
    </w:lvl>
    <w:lvl w:ilvl="6" w:tplc="0C0A0001" w:tentative="1">
      <w:start w:val="1"/>
      <w:numFmt w:val="bullet"/>
      <w:lvlText w:val=""/>
      <w:lvlJc w:val="left"/>
      <w:pPr>
        <w:ind w:left="5477" w:hanging="360"/>
      </w:pPr>
      <w:rPr>
        <w:rFonts w:ascii="Symbol" w:hAnsi="Symbol" w:hint="default"/>
      </w:rPr>
    </w:lvl>
    <w:lvl w:ilvl="7" w:tplc="0C0A0003" w:tentative="1">
      <w:start w:val="1"/>
      <w:numFmt w:val="bullet"/>
      <w:lvlText w:val="o"/>
      <w:lvlJc w:val="left"/>
      <w:pPr>
        <w:ind w:left="6197" w:hanging="360"/>
      </w:pPr>
      <w:rPr>
        <w:rFonts w:ascii="Courier New" w:hAnsi="Courier New" w:cs="Courier New" w:hint="default"/>
      </w:rPr>
    </w:lvl>
    <w:lvl w:ilvl="8" w:tplc="0C0A0005" w:tentative="1">
      <w:start w:val="1"/>
      <w:numFmt w:val="bullet"/>
      <w:lvlText w:val=""/>
      <w:lvlJc w:val="left"/>
      <w:pPr>
        <w:ind w:left="6917" w:hanging="360"/>
      </w:pPr>
      <w:rPr>
        <w:rFonts w:ascii="Wingdings" w:hAnsi="Wingdings" w:hint="default"/>
      </w:rPr>
    </w:lvl>
  </w:abstractNum>
  <w:abstractNum w:abstractNumId="8" w15:restartNumberingAfterBreak="0">
    <w:nsid w:val="21143B8E"/>
    <w:multiLevelType w:val="hybridMultilevel"/>
    <w:tmpl w:val="D6DA0E8C"/>
    <w:lvl w:ilvl="0" w:tplc="27E4A3CA">
      <w:start w:val="9"/>
      <w:numFmt w:val="bullet"/>
      <w:lvlText w:val="-"/>
      <w:lvlJc w:val="left"/>
      <w:pPr>
        <w:ind w:left="154"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9" w15:restartNumberingAfterBreak="0">
    <w:nsid w:val="231876D1"/>
    <w:multiLevelType w:val="hybridMultilevel"/>
    <w:tmpl w:val="2F507218"/>
    <w:lvl w:ilvl="0" w:tplc="F9F253D2">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4F63CDF"/>
    <w:multiLevelType w:val="hybridMultilevel"/>
    <w:tmpl w:val="C986D7FE"/>
    <w:lvl w:ilvl="0" w:tplc="27E4A3CA">
      <w:start w:val="9"/>
      <w:numFmt w:val="bullet"/>
      <w:lvlText w:val="-"/>
      <w:lvlJc w:val="left"/>
      <w:pPr>
        <w:ind w:left="437"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11" w15:restartNumberingAfterBreak="0">
    <w:nsid w:val="27A76A14"/>
    <w:multiLevelType w:val="multilevel"/>
    <w:tmpl w:val="96D27272"/>
    <w:lvl w:ilvl="0">
      <w:start w:val="1"/>
      <w:numFmt w:val="decimal"/>
      <w:lvlText w:val="%1."/>
      <w:lvlJc w:val="left"/>
      <w:pPr>
        <w:ind w:left="816" w:hanging="816"/>
      </w:pPr>
      <w:rPr>
        <w:rFonts w:hint="default"/>
      </w:rPr>
    </w:lvl>
    <w:lvl w:ilvl="1">
      <w:start w:val="1"/>
      <w:numFmt w:val="decimal"/>
      <w:lvlText w:val="%1.%2."/>
      <w:lvlJc w:val="left"/>
      <w:pPr>
        <w:ind w:left="797" w:hanging="1080"/>
      </w:pPr>
      <w:rPr>
        <w:rFonts w:hint="default"/>
      </w:rPr>
    </w:lvl>
    <w:lvl w:ilvl="2">
      <w:start w:val="1"/>
      <w:numFmt w:val="decimal"/>
      <w:lvlText w:val="%1.%2.%3."/>
      <w:lvlJc w:val="left"/>
      <w:pPr>
        <w:ind w:left="874" w:hanging="1440"/>
      </w:pPr>
      <w:rPr>
        <w:rFonts w:hint="default"/>
      </w:rPr>
    </w:lvl>
    <w:lvl w:ilvl="3">
      <w:start w:val="1"/>
      <w:numFmt w:val="decimal"/>
      <w:lvlText w:val="%1.%2.%3.%4."/>
      <w:lvlJc w:val="left"/>
      <w:pPr>
        <w:ind w:left="951" w:hanging="1800"/>
      </w:pPr>
      <w:rPr>
        <w:rFonts w:hint="default"/>
      </w:rPr>
    </w:lvl>
    <w:lvl w:ilvl="4">
      <w:start w:val="1"/>
      <w:numFmt w:val="decimal"/>
      <w:lvlText w:val="%1.%2.%3.%4.%5."/>
      <w:lvlJc w:val="left"/>
      <w:pPr>
        <w:ind w:left="1028" w:hanging="2160"/>
      </w:pPr>
      <w:rPr>
        <w:rFonts w:hint="default"/>
      </w:rPr>
    </w:lvl>
    <w:lvl w:ilvl="5">
      <w:start w:val="1"/>
      <w:numFmt w:val="decimal"/>
      <w:lvlText w:val="%1.%2.%3.%4.%5.%6."/>
      <w:lvlJc w:val="left"/>
      <w:pPr>
        <w:ind w:left="1105" w:hanging="2520"/>
      </w:pPr>
      <w:rPr>
        <w:rFonts w:hint="default"/>
      </w:rPr>
    </w:lvl>
    <w:lvl w:ilvl="6">
      <w:start w:val="1"/>
      <w:numFmt w:val="decimal"/>
      <w:lvlText w:val="%1.%2.%3.%4.%5.%6.%7."/>
      <w:lvlJc w:val="left"/>
      <w:pPr>
        <w:ind w:left="1542" w:hanging="3240"/>
      </w:pPr>
      <w:rPr>
        <w:rFonts w:hint="default"/>
      </w:rPr>
    </w:lvl>
    <w:lvl w:ilvl="7">
      <w:start w:val="1"/>
      <w:numFmt w:val="decimal"/>
      <w:lvlText w:val="%1.%2.%3.%4.%5.%6.%7.%8."/>
      <w:lvlJc w:val="left"/>
      <w:pPr>
        <w:ind w:left="1619" w:hanging="3600"/>
      </w:pPr>
      <w:rPr>
        <w:rFonts w:hint="default"/>
      </w:rPr>
    </w:lvl>
    <w:lvl w:ilvl="8">
      <w:start w:val="1"/>
      <w:numFmt w:val="decimal"/>
      <w:lvlText w:val="%1.%2.%3.%4.%5.%6.%7.%8.%9."/>
      <w:lvlJc w:val="left"/>
      <w:pPr>
        <w:ind w:left="1696" w:hanging="3960"/>
      </w:pPr>
      <w:rPr>
        <w:rFonts w:hint="default"/>
      </w:rPr>
    </w:lvl>
  </w:abstractNum>
  <w:abstractNum w:abstractNumId="12" w15:restartNumberingAfterBreak="0">
    <w:nsid w:val="29EE3AE1"/>
    <w:multiLevelType w:val="multilevel"/>
    <w:tmpl w:val="F2042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D41326"/>
    <w:multiLevelType w:val="hybridMultilevel"/>
    <w:tmpl w:val="E3306926"/>
    <w:lvl w:ilvl="0" w:tplc="40160098">
      <w:start w:val="1"/>
      <w:numFmt w:val="bullet"/>
      <w:lvlText w:val="-"/>
      <w:lvlJc w:val="left"/>
      <w:pPr>
        <w:ind w:left="720" w:hanging="360"/>
      </w:pPr>
      <w:rPr>
        <w:rFonts w:ascii="Times New Roman" w:eastAsia="Times New Roman" w:hAnsi="Times New Roman" w:cs="Times New Roman" w:hint="default"/>
        <w:color w:val="00000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7E057F"/>
    <w:multiLevelType w:val="hybridMultilevel"/>
    <w:tmpl w:val="340067B8"/>
    <w:lvl w:ilvl="0" w:tplc="6E10F7F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C2936E4"/>
    <w:multiLevelType w:val="hybridMultilevel"/>
    <w:tmpl w:val="F376B7D0"/>
    <w:lvl w:ilvl="0" w:tplc="36F0005A">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CA83D59"/>
    <w:multiLevelType w:val="multilevel"/>
    <w:tmpl w:val="935CB8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D1D3799"/>
    <w:multiLevelType w:val="hybridMultilevel"/>
    <w:tmpl w:val="E236BBE2"/>
    <w:lvl w:ilvl="0" w:tplc="27E4A3CA">
      <w:start w:val="9"/>
      <w:numFmt w:val="bullet"/>
      <w:lvlText w:val="-"/>
      <w:lvlJc w:val="left"/>
      <w:pPr>
        <w:ind w:left="437"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18" w15:restartNumberingAfterBreak="0">
    <w:nsid w:val="3D732524"/>
    <w:multiLevelType w:val="hybridMultilevel"/>
    <w:tmpl w:val="1BF870F6"/>
    <w:lvl w:ilvl="0" w:tplc="6E10F7F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1481A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230685C"/>
    <w:multiLevelType w:val="hybridMultilevel"/>
    <w:tmpl w:val="FF620664"/>
    <w:lvl w:ilvl="0" w:tplc="388816F2">
      <w:start w:val="2"/>
      <w:numFmt w:val="bullet"/>
      <w:lvlText w:val="-"/>
      <w:lvlJc w:val="left"/>
      <w:pPr>
        <w:ind w:left="437" w:hanging="360"/>
      </w:pPr>
      <w:rPr>
        <w:rFonts w:ascii="Calibri Light" w:eastAsiaTheme="minorHAnsi" w:hAnsi="Calibri Light" w:cs="Calibri Light" w:hint="default"/>
      </w:rPr>
    </w:lvl>
    <w:lvl w:ilvl="1" w:tplc="FFFFFFFF" w:tentative="1">
      <w:start w:val="1"/>
      <w:numFmt w:val="bullet"/>
      <w:lvlText w:val="o"/>
      <w:lvlJc w:val="left"/>
      <w:pPr>
        <w:ind w:left="1157" w:hanging="360"/>
      </w:pPr>
      <w:rPr>
        <w:rFonts w:ascii="Courier New" w:hAnsi="Courier New" w:cs="Courier New" w:hint="default"/>
      </w:rPr>
    </w:lvl>
    <w:lvl w:ilvl="2" w:tplc="FFFFFFFF" w:tentative="1">
      <w:start w:val="1"/>
      <w:numFmt w:val="bullet"/>
      <w:lvlText w:val=""/>
      <w:lvlJc w:val="left"/>
      <w:pPr>
        <w:ind w:left="1877" w:hanging="360"/>
      </w:pPr>
      <w:rPr>
        <w:rFonts w:ascii="Wingdings" w:hAnsi="Wingdings" w:hint="default"/>
      </w:rPr>
    </w:lvl>
    <w:lvl w:ilvl="3" w:tplc="FFFFFFFF" w:tentative="1">
      <w:start w:val="1"/>
      <w:numFmt w:val="bullet"/>
      <w:lvlText w:val=""/>
      <w:lvlJc w:val="left"/>
      <w:pPr>
        <w:ind w:left="2597" w:hanging="360"/>
      </w:pPr>
      <w:rPr>
        <w:rFonts w:ascii="Symbol" w:hAnsi="Symbol" w:hint="default"/>
      </w:rPr>
    </w:lvl>
    <w:lvl w:ilvl="4" w:tplc="FFFFFFFF" w:tentative="1">
      <w:start w:val="1"/>
      <w:numFmt w:val="bullet"/>
      <w:lvlText w:val="o"/>
      <w:lvlJc w:val="left"/>
      <w:pPr>
        <w:ind w:left="3317" w:hanging="360"/>
      </w:pPr>
      <w:rPr>
        <w:rFonts w:ascii="Courier New" w:hAnsi="Courier New" w:cs="Courier New" w:hint="default"/>
      </w:rPr>
    </w:lvl>
    <w:lvl w:ilvl="5" w:tplc="FFFFFFFF" w:tentative="1">
      <w:start w:val="1"/>
      <w:numFmt w:val="bullet"/>
      <w:lvlText w:val=""/>
      <w:lvlJc w:val="left"/>
      <w:pPr>
        <w:ind w:left="4037" w:hanging="360"/>
      </w:pPr>
      <w:rPr>
        <w:rFonts w:ascii="Wingdings" w:hAnsi="Wingdings" w:hint="default"/>
      </w:rPr>
    </w:lvl>
    <w:lvl w:ilvl="6" w:tplc="FFFFFFFF" w:tentative="1">
      <w:start w:val="1"/>
      <w:numFmt w:val="bullet"/>
      <w:lvlText w:val=""/>
      <w:lvlJc w:val="left"/>
      <w:pPr>
        <w:ind w:left="4757" w:hanging="360"/>
      </w:pPr>
      <w:rPr>
        <w:rFonts w:ascii="Symbol" w:hAnsi="Symbol" w:hint="default"/>
      </w:rPr>
    </w:lvl>
    <w:lvl w:ilvl="7" w:tplc="FFFFFFFF" w:tentative="1">
      <w:start w:val="1"/>
      <w:numFmt w:val="bullet"/>
      <w:lvlText w:val="o"/>
      <w:lvlJc w:val="left"/>
      <w:pPr>
        <w:ind w:left="5477" w:hanging="360"/>
      </w:pPr>
      <w:rPr>
        <w:rFonts w:ascii="Courier New" w:hAnsi="Courier New" w:cs="Courier New" w:hint="default"/>
      </w:rPr>
    </w:lvl>
    <w:lvl w:ilvl="8" w:tplc="FFFFFFFF" w:tentative="1">
      <w:start w:val="1"/>
      <w:numFmt w:val="bullet"/>
      <w:lvlText w:val=""/>
      <w:lvlJc w:val="left"/>
      <w:pPr>
        <w:ind w:left="6197" w:hanging="360"/>
      </w:pPr>
      <w:rPr>
        <w:rFonts w:ascii="Wingdings" w:hAnsi="Wingdings" w:hint="default"/>
      </w:rPr>
    </w:lvl>
  </w:abstractNum>
  <w:abstractNum w:abstractNumId="21" w15:restartNumberingAfterBreak="0">
    <w:nsid w:val="46C06F9C"/>
    <w:multiLevelType w:val="hybridMultilevel"/>
    <w:tmpl w:val="000E8A66"/>
    <w:lvl w:ilvl="0" w:tplc="388816F2">
      <w:start w:val="2"/>
      <w:numFmt w:val="bullet"/>
      <w:lvlText w:val="-"/>
      <w:lvlJc w:val="left"/>
      <w:pPr>
        <w:ind w:left="437" w:hanging="360"/>
      </w:pPr>
      <w:rPr>
        <w:rFonts w:ascii="Calibri Light" w:eastAsiaTheme="minorHAnsi" w:hAnsi="Calibri Light" w:cs="Calibri Light" w:hint="default"/>
        <w:color w:val="auto"/>
      </w:rPr>
    </w:lvl>
    <w:lvl w:ilvl="1" w:tplc="FFFFFFFF" w:tentative="1">
      <w:start w:val="1"/>
      <w:numFmt w:val="bullet"/>
      <w:lvlText w:val="o"/>
      <w:lvlJc w:val="left"/>
      <w:pPr>
        <w:ind w:left="1157" w:hanging="360"/>
      </w:pPr>
      <w:rPr>
        <w:rFonts w:ascii="Courier New" w:hAnsi="Courier New" w:cs="Courier New" w:hint="default"/>
      </w:rPr>
    </w:lvl>
    <w:lvl w:ilvl="2" w:tplc="FFFFFFFF" w:tentative="1">
      <w:start w:val="1"/>
      <w:numFmt w:val="bullet"/>
      <w:lvlText w:val=""/>
      <w:lvlJc w:val="left"/>
      <w:pPr>
        <w:ind w:left="1877" w:hanging="360"/>
      </w:pPr>
      <w:rPr>
        <w:rFonts w:ascii="Wingdings" w:hAnsi="Wingdings" w:hint="default"/>
      </w:rPr>
    </w:lvl>
    <w:lvl w:ilvl="3" w:tplc="FFFFFFFF" w:tentative="1">
      <w:start w:val="1"/>
      <w:numFmt w:val="bullet"/>
      <w:lvlText w:val=""/>
      <w:lvlJc w:val="left"/>
      <w:pPr>
        <w:ind w:left="2597" w:hanging="360"/>
      </w:pPr>
      <w:rPr>
        <w:rFonts w:ascii="Symbol" w:hAnsi="Symbol" w:hint="default"/>
      </w:rPr>
    </w:lvl>
    <w:lvl w:ilvl="4" w:tplc="FFFFFFFF" w:tentative="1">
      <w:start w:val="1"/>
      <w:numFmt w:val="bullet"/>
      <w:lvlText w:val="o"/>
      <w:lvlJc w:val="left"/>
      <w:pPr>
        <w:ind w:left="3317" w:hanging="360"/>
      </w:pPr>
      <w:rPr>
        <w:rFonts w:ascii="Courier New" w:hAnsi="Courier New" w:cs="Courier New" w:hint="default"/>
      </w:rPr>
    </w:lvl>
    <w:lvl w:ilvl="5" w:tplc="FFFFFFFF" w:tentative="1">
      <w:start w:val="1"/>
      <w:numFmt w:val="bullet"/>
      <w:lvlText w:val=""/>
      <w:lvlJc w:val="left"/>
      <w:pPr>
        <w:ind w:left="4037" w:hanging="360"/>
      </w:pPr>
      <w:rPr>
        <w:rFonts w:ascii="Wingdings" w:hAnsi="Wingdings" w:hint="default"/>
      </w:rPr>
    </w:lvl>
    <w:lvl w:ilvl="6" w:tplc="FFFFFFFF" w:tentative="1">
      <w:start w:val="1"/>
      <w:numFmt w:val="bullet"/>
      <w:lvlText w:val=""/>
      <w:lvlJc w:val="left"/>
      <w:pPr>
        <w:ind w:left="4757" w:hanging="360"/>
      </w:pPr>
      <w:rPr>
        <w:rFonts w:ascii="Symbol" w:hAnsi="Symbol" w:hint="default"/>
      </w:rPr>
    </w:lvl>
    <w:lvl w:ilvl="7" w:tplc="FFFFFFFF" w:tentative="1">
      <w:start w:val="1"/>
      <w:numFmt w:val="bullet"/>
      <w:lvlText w:val="o"/>
      <w:lvlJc w:val="left"/>
      <w:pPr>
        <w:ind w:left="5477" w:hanging="360"/>
      </w:pPr>
      <w:rPr>
        <w:rFonts w:ascii="Courier New" w:hAnsi="Courier New" w:cs="Courier New" w:hint="default"/>
      </w:rPr>
    </w:lvl>
    <w:lvl w:ilvl="8" w:tplc="FFFFFFFF" w:tentative="1">
      <w:start w:val="1"/>
      <w:numFmt w:val="bullet"/>
      <w:lvlText w:val=""/>
      <w:lvlJc w:val="left"/>
      <w:pPr>
        <w:ind w:left="6197" w:hanging="360"/>
      </w:pPr>
      <w:rPr>
        <w:rFonts w:ascii="Wingdings" w:hAnsi="Wingdings" w:hint="default"/>
      </w:rPr>
    </w:lvl>
  </w:abstractNum>
  <w:abstractNum w:abstractNumId="22" w15:restartNumberingAfterBreak="0">
    <w:nsid w:val="47084928"/>
    <w:multiLevelType w:val="hybridMultilevel"/>
    <w:tmpl w:val="753CDEBA"/>
    <w:lvl w:ilvl="0" w:tplc="27E4A3CA">
      <w:start w:val="9"/>
      <w:numFmt w:val="bullet"/>
      <w:lvlText w:val="-"/>
      <w:lvlJc w:val="left"/>
      <w:pPr>
        <w:ind w:left="437"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23" w15:restartNumberingAfterBreak="0">
    <w:nsid w:val="499634E9"/>
    <w:multiLevelType w:val="hybridMultilevel"/>
    <w:tmpl w:val="00C26542"/>
    <w:lvl w:ilvl="0" w:tplc="27E4A3CA">
      <w:start w:val="9"/>
      <w:numFmt w:val="bullet"/>
      <w:lvlText w:val="-"/>
      <w:lvlJc w:val="left"/>
      <w:pPr>
        <w:ind w:left="437"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24" w15:restartNumberingAfterBreak="0">
    <w:nsid w:val="4B931387"/>
    <w:multiLevelType w:val="multilevel"/>
    <w:tmpl w:val="A89854B6"/>
    <w:lvl w:ilvl="0">
      <w:start w:val="32"/>
      <w:numFmt w:val="bullet"/>
      <w:lvlText w:val="-"/>
      <w:lvlJc w:val="left"/>
      <w:pPr>
        <w:ind w:left="720" w:hanging="360"/>
      </w:pPr>
      <w:rPr>
        <w:rFonts w:ascii="Times New Roman" w:eastAsia="Times New Roman" w:hAnsi="Times New Roman" w:cs="Times New Roman"/>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DA8780E"/>
    <w:multiLevelType w:val="hybridMultilevel"/>
    <w:tmpl w:val="091E0E82"/>
    <w:lvl w:ilvl="0" w:tplc="0C0A0003">
      <w:start w:val="1"/>
      <w:numFmt w:val="bullet"/>
      <w:lvlText w:val="o"/>
      <w:lvlJc w:val="left"/>
      <w:pPr>
        <w:ind w:left="1157" w:hanging="360"/>
      </w:pPr>
      <w:rPr>
        <w:rFonts w:ascii="Courier New" w:hAnsi="Courier New" w:cs="Courier New" w:hint="default"/>
      </w:rPr>
    </w:lvl>
    <w:lvl w:ilvl="1" w:tplc="0C0A0003" w:tentative="1">
      <w:start w:val="1"/>
      <w:numFmt w:val="bullet"/>
      <w:lvlText w:val="o"/>
      <w:lvlJc w:val="left"/>
      <w:pPr>
        <w:ind w:left="1877" w:hanging="360"/>
      </w:pPr>
      <w:rPr>
        <w:rFonts w:ascii="Courier New" w:hAnsi="Courier New" w:cs="Courier New" w:hint="default"/>
      </w:rPr>
    </w:lvl>
    <w:lvl w:ilvl="2" w:tplc="0C0A0005" w:tentative="1">
      <w:start w:val="1"/>
      <w:numFmt w:val="bullet"/>
      <w:lvlText w:val=""/>
      <w:lvlJc w:val="left"/>
      <w:pPr>
        <w:ind w:left="2597" w:hanging="360"/>
      </w:pPr>
      <w:rPr>
        <w:rFonts w:ascii="Wingdings" w:hAnsi="Wingdings" w:hint="default"/>
      </w:rPr>
    </w:lvl>
    <w:lvl w:ilvl="3" w:tplc="0C0A0001" w:tentative="1">
      <w:start w:val="1"/>
      <w:numFmt w:val="bullet"/>
      <w:lvlText w:val=""/>
      <w:lvlJc w:val="left"/>
      <w:pPr>
        <w:ind w:left="3317" w:hanging="360"/>
      </w:pPr>
      <w:rPr>
        <w:rFonts w:ascii="Symbol" w:hAnsi="Symbol" w:hint="default"/>
      </w:rPr>
    </w:lvl>
    <w:lvl w:ilvl="4" w:tplc="0C0A0003" w:tentative="1">
      <w:start w:val="1"/>
      <w:numFmt w:val="bullet"/>
      <w:lvlText w:val="o"/>
      <w:lvlJc w:val="left"/>
      <w:pPr>
        <w:ind w:left="4037" w:hanging="360"/>
      </w:pPr>
      <w:rPr>
        <w:rFonts w:ascii="Courier New" w:hAnsi="Courier New" w:cs="Courier New" w:hint="default"/>
      </w:rPr>
    </w:lvl>
    <w:lvl w:ilvl="5" w:tplc="0C0A0005" w:tentative="1">
      <w:start w:val="1"/>
      <w:numFmt w:val="bullet"/>
      <w:lvlText w:val=""/>
      <w:lvlJc w:val="left"/>
      <w:pPr>
        <w:ind w:left="4757" w:hanging="360"/>
      </w:pPr>
      <w:rPr>
        <w:rFonts w:ascii="Wingdings" w:hAnsi="Wingdings" w:hint="default"/>
      </w:rPr>
    </w:lvl>
    <w:lvl w:ilvl="6" w:tplc="0C0A0001" w:tentative="1">
      <w:start w:val="1"/>
      <w:numFmt w:val="bullet"/>
      <w:lvlText w:val=""/>
      <w:lvlJc w:val="left"/>
      <w:pPr>
        <w:ind w:left="5477" w:hanging="360"/>
      </w:pPr>
      <w:rPr>
        <w:rFonts w:ascii="Symbol" w:hAnsi="Symbol" w:hint="default"/>
      </w:rPr>
    </w:lvl>
    <w:lvl w:ilvl="7" w:tplc="0C0A0003" w:tentative="1">
      <w:start w:val="1"/>
      <w:numFmt w:val="bullet"/>
      <w:lvlText w:val="o"/>
      <w:lvlJc w:val="left"/>
      <w:pPr>
        <w:ind w:left="6197" w:hanging="360"/>
      </w:pPr>
      <w:rPr>
        <w:rFonts w:ascii="Courier New" w:hAnsi="Courier New" w:cs="Courier New" w:hint="default"/>
      </w:rPr>
    </w:lvl>
    <w:lvl w:ilvl="8" w:tplc="0C0A0005" w:tentative="1">
      <w:start w:val="1"/>
      <w:numFmt w:val="bullet"/>
      <w:lvlText w:val=""/>
      <w:lvlJc w:val="left"/>
      <w:pPr>
        <w:ind w:left="6917" w:hanging="360"/>
      </w:pPr>
      <w:rPr>
        <w:rFonts w:ascii="Wingdings" w:hAnsi="Wingdings" w:hint="default"/>
      </w:rPr>
    </w:lvl>
  </w:abstractNum>
  <w:abstractNum w:abstractNumId="26" w15:restartNumberingAfterBreak="0">
    <w:nsid w:val="50F22A6D"/>
    <w:multiLevelType w:val="multilevel"/>
    <w:tmpl w:val="8312D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142120"/>
    <w:multiLevelType w:val="hybridMultilevel"/>
    <w:tmpl w:val="D6D43E68"/>
    <w:lvl w:ilvl="0" w:tplc="6E10F7F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7B204B4"/>
    <w:multiLevelType w:val="hybridMultilevel"/>
    <w:tmpl w:val="52A85356"/>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9" w15:restartNumberingAfterBreak="0">
    <w:nsid w:val="597F142B"/>
    <w:multiLevelType w:val="multilevel"/>
    <w:tmpl w:val="512EEB64"/>
    <w:lvl w:ilvl="0">
      <w:start w:val="1"/>
      <w:numFmt w:val="decimal"/>
      <w:pStyle w:val="Heading1"/>
      <w:lvlText w:val="%1."/>
      <w:lvlJc w:val="left"/>
      <w:pPr>
        <w:ind w:left="360" w:hanging="360"/>
      </w:pPr>
    </w:lvl>
    <w:lvl w:ilvl="1">
      <w:start w:val="1"/>
      <w:numFmt w:val="decimal"/>
      <w:pStyle w:val="Heading2"/>
      <w:lvlText w:val="%1.%2"/>
      <w:lvlJc w:val="left"/>
      <w:pPr>
        <w:ind w:left="576" w:hanging="576"/>
      </w:pPr>
    </w:lvl>
    <w:lvl w:ilvl="2">
      <w:start w:val="1"/>
      <w:numFmt w:val="decimal"/>
      <w:pStyle w:val="Heading3"/>
      <w:lvlText w:val="%1.%2.%3"/>
      <w:lvlJc w:val="left"/>
      <w:pPr>
        <w:ind w:left="2989" w:hanging="720"/>
      </w:pPr>
      <w:rPr>
        <w:color w:val="auto"/>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5AFC4749"/>
    <w:multiLevelType w:val="hybridMultilevel"/>
    <w:tmpl w:val="104689E4"/>
    <w:lvl w:ilvl="0" w:tplc="74B4B1DE">
      <w:numFmt w:val="bullet"/>
      <w:lvlText w:val="-"/>
      <w:lvlJc w:val="left"/>
      <w:pPr>
        <w:ind w:left="77" w:hanging="360"/>
      </w:pPr>
      <w:rPr>
        <w:rFonts w:ascii="Source Sans Pro" w:eastAsia="Source Sans Pro" w:hAnsi="Source Sans Pro" w:cs="Source Sans Pro" w:hint="default"/>
      </w:rPr>
    </w:lvl>
    <w:lvl w:ilvl="1" w:tplc="0C0A0003" w:tentative="1">
      <w:start w:val="1"/>
      <w:numFmt w:val="bullet"/>
      <w:lvlText w:val="o"/>
      <w:lvlJc w:val="left"/>
      <w:pPr>
        <w:ind w:left="797" w:hanging="360"/>
      </w:pPr>
      <w:rPr>
        <w:rFonts w:ascii="Courier New" w:hAnsi="Courier New" w:cs="Courier New" w:hint="default"/>
      </w:rPr>
    </w:lvl>
    <w:lvl w:ilvl="2" w:tplc="0C0A0005" w:tentative="1">
      <w:start w:val="1"/>
      <w:numFmt w:val="bullet"/>
      <w:lvlText w:val=""/>
      <w:lvlJc w:val="left"/>
      <w:pPr>
        <w:ind w:left="1517" w:hanging="360"/>
      </w:pPr>
      <w:rPr>
        <w:rFonts w:ascii="Wingdings" w:hAnsi="Wingdings" w:hint="default"/>
      </w:rPr>
    </w:lvl>
    <w:lvl w:ilvl="3" w:tplc="0C0A0001" w:tentative="1">
      <w:start w:val="1"/>
      <w:numFmt w:val="bullet"/>
      <w:lvlText w:val=""/>
      <w:lvlJc w:val="left"/>
      <w:pPr>
        <w:ind w:left="2237" w:hanging="360"/>
      </w:pPr>
      <w:rPr>
        <w:rFonts w:ascii="Symbol" w:hAnsi="Symbol" w:hint="default"/>
      </w:rPr>
    </w:lvl>
    <w:lvl w:ilvl="4" w:tplc="0C0A0003" w:tentative="1">
      <w:start w:val="1"/>
      <w:numFmt w:val="bullet"/>
      <w:lvlText w:val="o"/>
      <w:lvlJc w:val="left"/>
      <w:pPr>
        <w:ind w:left="2957" w:hanging="360"/>
      </w:pPr>
      <w:rPr>
        <w:rFonts w:ascii="Courier New" w:hAnsi="Courier New" w:cs="Courier New" w:hint="default"/>
      </w:rPr>
    </w:lvl>
    <w:lvl w:ilvl="5" w:tplc="0C0A0005" w:tentative="1">
      <w:start w:val="1"/>
      <w:numFmt w:val="bullet"/>
      <w:lvlText w:val=""/>
      <w:lvlJc w:val="left"/>
      <w:pPr>
        <w:ind w:left="3677" w:hanging="360"/>
      </w:pPr>
      <w:rPr>
        <w:rFonts w:ascii="Wingdings" w:hAnsi="Wingdings" w:hint="default"/>
      </w:rPr>
    </w:lvl>
    <w:lvl w:ilvl="6" w:tplc="0C0A0001" w:tentative="1">
      <w:start w:val="1"/>
      <w:numFmt w:val="bullet"/>
      <w:lvlText w:val=""/>
      <w:lvlJc w:val="left"/>
      <w:pPr>
        <w:ind w:left="4397" w:hanging="360"/>
      </w:pPr>
      <w:rPr>
        <w:rFonts w:ascii="Symbol" w:hAnsi="Symbol" w:hint="default"/>
      </w:rPr>
    </w:lvl>
    <w:lvl w:ilvl="7" w:tplc="0C0A0003" w:tentative="1">
      <w:start w:val="1"/>
      <w:numFmt w:val="bullet"/>
      <w:lvlText w:val="o"/>
      <w:lvlJc w:val="left"/>
      <w:pPr>
        <w:ind w:left="5117" w:hanging="360"/>
      </w:pPr>
      <w:rPr>
        <w:rFonts w:ascii="Courier New" w:hAnsi="Courier New" w:cs="Courier New" w:hint="default"/>
      </w:rPr>
    </w:lvl>
    <w:lvl w:ilvl="8" w:tplc="0C0A0005" w:tentative="1">
      <w:start w:val="1"/>
      <w:numFmt w:val="bullet"/>
      <w:lvlText w:val=""/>
      <w:lvlJc w:val="left"/>
      <w:pPr>
        <w:ind w:left="5837" w:hanging="360"/>
      </w:pPr>
      <w:rPr>
        <w:rFonts w:ascii="Wingdings" w:hAnsi="Wingdings" w:hint="default"/>
      </w:rPr>
    </w:lvl>
  </w:abstractNum>
  <w:abstractNum w:abstractNumId="31" w15:restartNumberingAfterBreak="0">
    <w:nsid w:val="5F8F49B5"/>
    <w:multiLevelType w:val="hybridMultilevel"/>
    <w:tmpl w:val="BEBA7380"/>
    <w:lvl w:ilvl="0" w:tplc="27E4A3CA">
      <w:start w:val="9"/>
      <w:numFmt w:val="bullet"/>
      <w:lvlText w:val="-"/>
      <w:lvlJc w:val="left"/>
      <w:pPr>
        <w:ind w:left="437" w:hanging="360"/>
      </w:pPr>
      <w:rPr>
        <w:rFonts w:ascii="Calibri" w:eastAsiaTheme="minorHAnsi" w:hAnsi="Calibri" w:cs="Calibri" w:hint="default"/>
      </w:rPr>
    </w:lvl>
    <w:lvl w:ilvl="1" w:tplc="04150003" w:tentative="1">
      <w:start w:val="1"/>
      <w:numFmt w:val="bullet"/>
      <w:lvlText w:val="o"/>
      <w:lvlJc w:val="left"/>
      <w:pPr>
        <w:ind w:left="1157" w:hanging="360"/>
      </w:pPr>
      <w:rPr>
        <w:rFonts w:ascii="Courier New" w:hAnsi="Courier New" w:cs="Courier New" w:hint="default"/>
      </w:rPr>
    </w:lvl>
    <w:lvl w:ilvl="2" w:tplc="04150005" w:tentative="1">
      <w:start w:val="1"/>
      <w:numFmt w:val="bullet"/>
      <w:lvlText w:val=""/>
      <w:lvlJc w:val="left"/>
      <w:pPr>
        <w:ind w:left="1877" w:hanging="360"/>
      </w:pPr>
      <w:rPr>
        <w:rFonts w:ascii="Wingdings" w:hAnsi="Wingdings" w:hint="default"/>
      </w:rPr>
    </w:lvl>
    <w:lvl w:ilvl="3" w:tplc="04150001" w:tentative="1">
      <w:start w:val="1"/>
      <w:numFmt w:val="bullet"/>
      <w:lvlText w:val=""/>
      <w:lvlJc w:val="left"/>
      <w:pPr>
        <w:ind w:left="2597" w:hanging="360"/>
      </w:pPr>
      <w:rPr>
        <w:rFonts w:ascii="Symbol" w:hAnsi="Symbol" w:hint="default"/>
      </w:rPr>
    </w:lvl>
    <w:lvl w:ilvl="4" w:tplc="04150003" w:tentative="1">
      <w:start w:val="1"/>
      <w:numFmt w:val="bullet"/>
      <w:lvlText w:val="o"/>
      <w:lvlJc w:val="left"/>
      <w:pPr>
        <w:ind w:left="3317" w:hanging="360"/>
      </w:pPr>
      <w:rPr>
        <w:rFonts w:ascii="Courier New" w:hAnsi="Courier New" w:cs="Courier New" w:hint="default"/>
      </w:rPr>
    </w:lvl>
    <w:lvl w:ilvl="5" w:tplc="04150005" w:tentative="1">
      <w:start w:val="1"/>
      <w:numFmt w:val="bullet"/>
      <w:lvlText w:val=""/>
      <w:lvlJc w:val="left"/>
      <w:pPr>
        <w:ind w:left="4037" w:hanging="360"/>
      </w:pPr>
      <w:rPr>
        <w:rFonts w:ascii="Wingdings" w:hAnsi="Wingdings" w:hint="default"/>
      </w:rPr>
    </w:lvl>
    <w:lvl w:ilvl="6" w:tplc="04150001" w:tentative="1">
      <w:start w:val="1"/>
      <w:numFmt w:val="bullet"/>
      <w:lvlText w:val=""/>
      <w:lvlJc w:val="left"/>
      <w:pPr>
        <w:ind w:left="4757" w:hanging="360"/>
      </w:pPr>
      <w:rPr>
        <w:rFonts w:ascii="Symbol" w:hAnsi="Symbol" w:hint="default"/>
      </w:rPr>
    </w:lvl>
    <w:lvl w:ilvl="7" w:tplc="04150003" w:tentative="1">
      <w:start w:val="1"/>
      <w:numFmt w:val="bullet"/>
      <w:lvlText w:val="o"/>
      <w:lvlJc w:val="left"/>
      <w:pPr>
        <w:ind w:left="5477" w:hanging="360"/>
      </w:pPr>
      <w:rPr>
        <w:rFonts w:ascii="Courier New" w:hAnsi="Courier New" w:cs="Courier New" w:hint="default"/>
      </w:rPr>
    </w:lvl>
    <w:lvl w:ilvl="8" w:tplc="04150005" w:tentative="1">
      <w:start w:val="1"/>
      <w:numFmt w:val="bullet"/>
      <w:lvlText w:val=""/>
      <w:lvlJc w:val="left"/>
      <w:pPr>
        <w:ind w:left="6197" w:hanging="360"/>
      </w:pPr>
      <w:rPr>
        <w:rFonts w:ascii="Wingdings" w:hAnsi="Wingdings" w:hint="default"/>
      </w:rPr>
    </w:lvl>
  </w:abstractNum>
  <w:abstractNum w:abstractNumId="32" w15:restartNumberingAfterBreak="0">
    <w:nsid w:val="5FBC785F"/>
    <w:multiLevelType w:val="hybridMultilevel"/>
    <w:tmpl w:val="2DCC4124"/>
    <w:lvl w:ilvl="0" w:tplc="27E4A3CA">
      <w:start w:val="9"/>
      <w:numFmt w:val="bullet"/>
      <w:lvlText w:val="-"/>
      <w:lvlJc w:val="left"/>
      <w:pPr>
        <w:ind w:left="154" w:hanging="360"/>
      </w:pPr>
      <w:rPr>
        <w:rFonts w:ascii="Calibri" w:eastAsiaTheme="minorHAnsi" w:hAnsi="Calibri" w:cs="Calibri" w:hint="default"/>
      </w:rPr>
    </w:lvl>
    <w:lvl w:ilvl="1" w:tplc="0C0A0003" w:tentative="1">
      <w:start w:val="1"/>
      <w:numFmt w:val="bullet"/>
      <w:lvlText w:val="o"/>
      <w:lvlJc w:val="left"/>
      <w:pPr>
        <w:ind w:left="1157" w:hanging="360"/>
      </w:pPr>
      <w:rPr>
        <w:rFonts w:ascii="Courier New" w:hAnsi="Courier New" w:cs="Courier New" w:hint="default"/>
      </w:rPr>
    </w:lvl>
    <w:lvl w:ilvl="2" w:tplc="0C0A0005" w:tentative="1">
      <w:start w:val="1"/>
      <w:numFmt w:val="bullet"/>
      <w:lvlText w:val=""/>
      <w:lvlJc w:val="left"/>
      <w:pPr>
        <w:ind w:left="1877" w:hanging="360"/>
      </w:pPr>
      <w:rPr>
        <w:rFonts w:ascii="Wingdings" w:hAnsi="Wingdings" w:hint="default"/>
      </w:rPr>
    </w:lvl>
    <w:lvl w:ilvl="3" w:tplc="0C0A0001" w:tentative="1">
      <w:start w:val="1"/>
      <w:numFmt w:val="bullet"/>
      <w:lvlText w:val=""/>
      <w:lvlJc w:val="left"/>
      <w:pPr>
        <w:ind w:left="2597" w:hanging="360"/>
      </w:pPr>
      <w:rPr>
        <w:rFonts w:ascii="Symbol" w:hAnsi="Symbol" w:hint="default"/>
      </w:rPr>
    </w:lvl>
    <w:lvl w:ilvl="4" w:tplc="0C0A0003" w:tentative="1">
      <w:start w:val="1"/>
      <w:numFmt w:val="bullet"/>
      <w:lvlText w:val="o"/>
      <w:lvlJc w:val="left"/>
      <w:pPr>
        <w:ind w:left="3317" w:hanging="360"/>
      </w:pPr>
      <w:rPr>
        <w:rFonts w:ascii="Courier New" w:hAnsi="Courier New" w:cs="Courier New" w:hint="default"/>
      </w:rPr>
    </w:lvl>
    <w:lvl w:ilvl="5" w:tplc="0C0A0005" w:tentative="1">
      <w:start w:val="1"/>
      <w:numFmt w:val="bullet"/>
      <w:lvlText w:val=""/>
      <w:lvlJc w:val="left"/>
      <w:pPr>
        <w:ind w:left="4037" w:hanging="360"/>
      </w:pPr>
      <w:rPr>
        <w:rFonts w:ascii="Wingdings" w:hAnsi="Wingdings" w:hint="default"/>
      </w:rPr>
    </w:lvl>
    <w:lvl w:ilvl="6" w:tplc="0C0A0001" w:tentative="1">
      <w:start w:val="1"/>
      <w:numFmt w:val="bullet"/>
      <w:lvlText w:val=""/>
      <w:lvlJc w:val="left"/>
      <w:pPr>
        <w:ind w:left="4757" w:hanging="360"/>
      </w:pPr>
      <w:rPr>
        <w:rFonts w:ascii="Symbol" w:hAnsi="Symbol" w:hint="default"/>
      </w:rPr>
    </w:lvl>
    <w:lvl w:ilvl="7" w:tplc="0C0A0003" w:tentative="1">
      <w:start w:val="1"/>
      <w:numFmt w:val="bullet"/>
      <w:lvlText w:val="o"/>
      <w:lvlJc w:val="left"/>
      <w:pPr>
        <w:ind w:left="5477" w:hanging="360"/>
      </w:pPr>
      <w:rPr>
        <w:rFonts w:ascii="Courier New" w:hAnsi="Courier New" w:cs="Courier New" w:hint="default"/>
      </w:rPr>
    </w:lvl>
    <w:lvl w:ilvl="8" w:tplc="0C0A0005" w:tentative="1">
      <w:start w:val="1"/>
      <w:numFmt w:val="bullet"/>
      <w:lvlText w:val=""/>
      <w:lvlJc w:val="left"/>
      <w:pPr>
        <w:ind w:left="6197" w:hanging="360"/>
      </w:pPr>
      <w:rPr>
        <w:rFonts w:ascii="Wingdings" w:hAnsi="Wingdings" w:hint="default"/>
      </w:rPr>
    </w:lvl>
  </w:abstractNum>
  <w:abstractNum w:abstractNumId="33" w15:restartNumberingAfterBreak="0">
    <w:nsid w:val="61C20CB5"/>
    <w:multiLevelType w:val="hybridMultilevel"/>
    <w:tmpl w:val="79180D2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1E85151"/>
    <w:multiLevelType w:val="hybridMultilevel"/>
    <w:tmpl w:val="FBC8EE92"/>
    <w:lvl w:ilvl="0" w:tplc="22E2B9DE">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6D5F1D28"/>
    <w:multiLevelType w:val="hybridMultilevel"/>
    <w:tmpl w:val="21702784"/>
    <w:lvl w:ilvl="0" w:tplc="3912D926">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6FA136B1"/>
    <w:multiLevelType w:val="hybridMultilevel"/>
    <w:tmpl w:val="D19E4C8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7" w15:restartNumberingAfterBreak="0">
    <w:nsid w:val="6FB37D09"/>
    <w:multiLevelType w:val="hybridMultilevel"/>
    <w:tmpl w:val="222EC9BE"/>
    <w:lvl w:ilvl="0" w:tplc="0C0A0003">
      <w:start w:val="1"/>
      <w:numFmt w:val="bullet"/>
      <w:lvlText w:val="o"/>
      <w:lvlJc w:val="left"/>
      <w:pPr>
        <w:ind w:left="1157" w:hanging="360"/>
      </w:pPr>
      <w:rPr>
        <w:rFonts w:ascii="Courier New" w:hAnsi="Courier New" w:cs="Courier New" w:hint="default"/>
      </w:rPr>
    </w:lvl>
    <w:lvl w:ilvl="1" w:tplc="0C0A0003" w:tentative="1">
      <w:start w:val="1"/>
      <w:numFmt w:val="bullet"/>
      <w:lvlText w:val="o"/>
      <w:lvlJc w:val="left"/>
      <w:pPr>
        <w:ind w:left="1877" w:hanging="360"/>
      </w:pPr>
      <w:rPr>
        <w:rFonts w:ascii="Courier New" w:hAnsi="Courier New" w:cs="Courier New" w:hint="default"/>
      </w:rPr>
    </w:lvl>
    <w:lvl w:ilvl="2" w:tplc="0C0A0005" w:tentative="1">
      <w:start w:val="1"/>
      <w:numFmt w:val="bullet"/>
      <w:lvlText w:val=""/>
      <w:lvlJc w:val="left"/>
      <w:pPr>
        <w:ind w:left="2597" w:hanging="360"/>
      </w:pPr>
      <w:rPr>
        <w:rFonts w:ascii="Wingdings" w:hAnsi="Wingdings" w:hint="default"/>
      </w:rPr>
    </w:lvl>
    <w:lvl w:ilvl="3" w:tplc="0C0A0001" w:tentative="1">
      <w:start w:val="1"/>
      <w:numFmt w:val="bullet"/>
      <w:lvlText w:val=""/>
      <w:lvlJc w:val="left"/>
      <w:pPr>
        <w:ind w:left="3317" w:hanging="360"/>
      </w:pPr>
      <w:rPr>
        <w:rFonts w:ascii="Symbol" w:hAnsi="Symbol" w:hint="default"/>
      </w:rPr>
    </w:lvl>
    <w:lvl w:ilvl="4" w:tplc="0C0A0003" w:tentative="1">
      <w:start w:val="1"/>
      <w:numFmt w:val="bullet"/>
      <w:lvlText w:val="o"/>
      <w:lvlJc w:val="left"/>
      <w:pPr>
        <w:ind w:left="4037" w:hanging="360"/>
      </w:pPr>
      <w:rPr>
        <w:rFonts w:ascii="Courier New" w:hAnsi="Courier New" w:cs="Courier New" w:hint="default"/>
      </w:rPr>
    </w:lvl>
    <w:lvl w:ilvl="5" w:tplc="0C0A0005" w:tentative="1">
      <w:start w:val="1"/>
      <w:numFmt w:val="bullet"/>
      <w:lvlText w:val=""/>
      <w:lvlJc w:val="left"/>
      <w:pPr>
        <w:ind w:left="4757" w:hanging="360"/>
      </w:pPr>
      <w:rPr>
        <w:rFonts w:ascii="Wingdings" w:hAnsi="Wingdings" w:hint="default"/>
      </w:rPr>
    </w:lvl>
    <w:lvl w:ilvl="6" w:tplc="0C0A0001" w:tentative="1">
      <w:start w:val="1"/>
      <w:numFmt w:val="bullet"/>
      <w:lvlText w:val=""/>
      <w:lvlJc w:val="left"/>
      <w:pPr>
        <w:ind w:left="5477" w:hanging="360"/>
      </w:pPr>
      <w:rPr>
        <w:rFonts w:ascii="Symbol" w:hAnsi="Symbol" w:hint="default"/>
      </w:rPr>
    </w:lvl>
    <w:lvl w:ilvl="7" w:tplc="0C0A0003" w:tentative="1">
      <w:start w:val="1"/>
      <w:numFmt w:val="bullet"/>
      <w:lvlText w:val="o"/>
      <w:lvlJc w:val="left"/>
      <w:pPr>
        <w:ind w:left="6197" w:hanging="360"/>
      </w:pPr>
      <w:rPr>
        <w:rFonts w:ascii="Courier New" w:hAnsi="Courier New" w:cs="Courier New" w:hint="default"/>
      </w:rPr>
    </w:lvl>
    <w:lvl w:ilvl="8" w:tplc="0C0A0005" w:tentative="1">
      <w:start w:val="1"/>
      <w:numFmt w:val="bullet"/>
      <w:lvlText w:val=""/>
      <w:lvlJc w:val="left"/>
      <w:pPr>
        <w:ind w:left="6917" w:hanging="360"/>
      </w:pPr>
      <w:rPr>
        <w:rFonts w:ascii="Wingdings" w:hAnsi="Wingdings" w:hint="default"/>
      </w:rPr>
    </w:lvl>
  </w:abstractNum>
  <w:abstractNum w:abstractNumId="38" w15:restartNumberingAfterBreak="0">
    <w:nsid w:val="716C1F78"/>
    <w:multiLevelType w:val="hybridMultilevel"/>
    <w:tmpl w:val="D2C20E46"/>
    <w:lvl w:ilvl="0" w:tplc="27E4A3CA">
      <w:start w:val="9"/>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4F76A3B"/>
    <w:multiLevelType w:val="hybridMultilevel"/>
    <w:tmpl w:val="BB900718"/>
    <w:lvl w:ilvl="0" w:tplc="27E4A3CA">
      <w:start w:val="9"/>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5DE11F9"/>
    <w:multiLevelType w:val="multilevel"/>
    <w:tmpl w:val="56D82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CC381E"/>
    <w:multiLevelType w:val="hybridMultilevel"/>
    <w:tmpl w:val="884094E6"/>
    <w:lvl w:ilvl="0" w:tplc="B01E1860">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78314D60"/>
    <w:multiLevelType w:val="hybridMultilevel"/>
    <w:tmpl w:val="EFB2FE10"/>
    <w:lvl w:ilvl="0" w:tplc="41F6CD64">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B123655"/>
    <w:multiLevelType w:val="hybridMultilevel"/>
    <w:tmpl w:val="3878DA3A"/>
    <w:lvl w:ilvl="0" w:tplc="27E4A3CA">
      <w:start w:val="9"/>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7C0B04CA"/>
    <w:multiLevelType w:val="multilevel"/>
    <w:tmpl w:val="0448920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num w:numId="1">
    <w:abstractNumId w:val="29"/>
  </w:num>
  <w:num w:numId="2">
    <w:abstractNumId w:val="38"/>
  </w:num>
  <w:num w:numId="3">
    <w:abstractNumId w:val="28"/>
  </w:num>
  <w:num w:numId="4">
    <w:abstractNumId w:val="39"/>
  </w:num>
  <w:num w:numId="5">
    <w:abstractNumId w:val="43"/>
  </w:num>
  <w:num w:numId="6">
    <w:abstractNumId w:val="30"/>
  </w:num>
  <w:num w:numId="7">
    <w:abstractNumId w:val="27"/>
  </w:num>
  <w:num w:numId="8">
    <w:abstractNumId w:val="10"/>
  </w:num>
  <w:num w:numId="9">
    <w:abstractNumId w:val="23"/>
  </w:num>
  <w:num w:numId="10">
    <w:abstractNumId w:val="22"/>
  </w:num>
  <w:num w:numId="11">
    <w:abstractNumId w:val="21"/>
  </w:num>
  <w:num w:numId="12">
    <w:abstractNumId w:val="20"/>
  </w:num>
  <w:num w:numId="13">
    <w:abstractNumId w:val="17"/>
  </w:num>
  <w:num w:numId="14">
    <w:abstractNumId w:val="37"/>
  </w:num>
  <w:num w:numId="15">
    <w:abstractNumId w:val="7"/>
  </w:num>
  <w:num w:numId="16">
    <w:abstractNumId w:val="6"/>
  </w:num>
  <w:num w:numId="17">
    <w:abstractNumId w:val="25"/>
  </w:num>
  <w:num w:numId="18">
    <w:abstractNumId w:val="18"/>
  </w:num>
  <w:num w:numId="19">
    <w:abstractNumId w:val="0"/>
  </w:num>
  <w:num w:numId="20">
    <w:abstractNumId w:val="26"/>
  </w:num>
  <w:num w:numId="21">
    <w:abstractNumId w:val="12"/>
  </w:num>
  <w:num w:numId="22">
    <w:abstractNumId w:val="3"/>
  </w:num>
  <w:num w:numId="23">
    <w:abstractNumId w:val="36"/>
  </w:num>
  <w:num w:numId="24">
    <w:abstractNumId w:val="33"/>
  </w:num>
  <w:num w:numId="25">
    <w:abstractNumId w:val="2"/>
  </w:num>
  <w:num w:numId="26">
    <w:abstractNumId w:val="32"/>
  </w:num>
  <w:num w:numId="27">
    <w:abstractNumId w:val="8"/>
  </w:num>
  <w:num w:numId="28">
    <w:abstractNumId w:val="14"/>
  </w:num>
  <w:num w:numId="29">
    <w:abstractNumId w:val="11"/>
  </w:num>
  <w:num w:numId="30">
    <w:abstractNumId w:val="16"/>
  </w:num>
  <w:num w:numId="31">
    <w:abstractNumId w:val="1"/>
  </w:num>
  <w:num w:numId="32">
    <w:abstractNumId w:val="24"/>
  </w:num>
  <w:num w:numId="33">
    <w:abstractNumId w:val="5"/>
  </w:num>
  <w:num w:numId="34">
    <w:abstractNumId w:val="35"/>
  </w:num>
  <w:num w:numId="35">
    <w:abstractNumId w:val="40"/>
  </w:num>
  <w:num w:numId="36">
    <w:abstractNumId w:val="34"/>
  </w:num>
  <w:num w:numId="37">
    <w:abstractNumId w:val="42"/>
  </w:num>
  <w:num w:numId="38">
    <w:abstractNumId w:val="15"/>
  </w:num>
  <w:num w:numId="39">
    <w:abstractNumId w:val="41"/>
  </w:num>
  <w:num w:numId="40">
    <w:abstractNumId w:val="9"/>
  </w:num>
  <w:num w:numId="41">
    <w:abstractNumId w:val="31"/>
  </w:num>
  <w:num w:numId="42">
    <w:abstractNumId w:val="4"/>
  </w:num>
  <w:num w:numId="43">
    <w:abstractNumId w:val="13"/>
  </w:num>
  <w:num w:numId="44">
    <w:abstractNumId w:val="19"/>
  </w:num>
  <w:num w:numId="45">
    <w:abstractNumId w:val="4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558"/>
    <w:rsid w:val="00001257"/>
    <w:rsid w:val="00002DFC"/>
    <w:rsid w:val="000033D6"/>
    <w:rsid w:val="00004374"/>
    <w:rsid w:val="00005348"/>
    <w:rsid w:val="00005A75"/>
    <w:rsid w:val="00010D5A"/>
    <w:rsid w:val="000114DD"/>
    <w:rsid w:val="00013A6C"/>
    <w:rsid w:val="00014C62"/>
    <w:rsid w:val="00016EB3"/>
    <w:rsid w:val="00020981"/>
    <w:rsid w:val="00020D68"/>
    <w:rsid w:val="00022353"/>
    <w:rsid w:val="00024CD6"/>
    <w:rsid w:val="00025047"/>
    <w:rsid w:val="00025A2C"/>
    <w:rsid w:val="00025B5B"/>
    <w:rsid w:val="00025CCA"/>
    <w:rsid w:val="00026531"/>
    <w:rsid w:val="00027D17"/>
    <w:rsid w:val="0003015F"/>
    <w:rsid w:val="000308A2"/>
    <w:rsid w:val="00032279"/>
    <w:rsid w:val="00033303"/>
    <w:rsid w:val="000338EC"/>
    <w:rsid w:val="0003404C"/>
    <w:rsid w:val="0003527C"/>
    <w:rsid w:val="00035D26"/>
    <w:rsid w:val="00037D9D"/>
    <w:rsid w:val="000410EA"/>
    <w:rsid w:val="00041557"/>
    <w:rsid w:val="00041BA4"/>
    <w:rsid w:val="000428A6"/>
    <w:rsid w:val="000430E3"/>
    <w:rsid w:val="00044211"/>
    <w:rsid w:val="000446A3"/>
    <w:rsid w:val="00044CCA"/>
    <w:rsid w:val="000452CC"/>
    <w:rsid w:val="00045452"/>
    <w:rsid w:val="00046C96"/>
    <w:rsid w:val="000522E6"/>
    <w:rsid w:val="000523E5"/>
    <w:rsid w:val="0005272F"/>
    <w:rsid w:val="0005276F"/>
    <w:rsid w:val="00053232"/>
    <w:rsid w:val="00053388"/>
    <w:rsid w:val="00054397"/>
    <w:rsid w:val="00054D64"/>
    <w:rsid w:val="000559D5"/>
    <w:rsid w:val="00055B95"/>
    <w:rsid w:val="00060002"/>
    <w:rsid w:val="00061B6B"/>
    <w:rsid w:val="00061EF3"/>
    <w:rsid w:val="000638B7"/>
    <w:rsid w:val="00065089"/>
    <w:rsid w:val="0006599C"/>
    <w:rsid w:val="00065F28"/>
    <w:rsid w:val="000670A9"/>
    <w:rsid w:val="00067241"/>
    <w:rsid w:val="00067729"/>
    <w:rsid w:val="00067CDA"/>
    <w:rsid w:val="000709F5"/>
    <w:rsid w:val="000711D4"/>
    <w:rsid w:val="0007258A"/>
    <w:rsid w:val="00074541"/>
    <w:rsid w:val="00081C9F"/>
    <w:rsid w:val="000821C2"/>
    <w:rsid w:val="00082E5E"/>
    <w:rsid w:val="0008387D"/>
    <w:rsid w:val="000848B1"/>
    <w:rsid w:val="00085051"/>
    <w:rsid w:val="000859E8"/>
    <w:rsid w:val="0008651C"/>
    <w:rsid w:val="000868B5"/>
    <w:rsid w:val="000870F2"/>
    <w:rsid w:val="00087391"/>
    <w:rsid w:val="00091129"/>
    <w:rsid w:val="00092342"/>
    <w:rsid w:val="00092655"/>
    <w:rsid w:val="00094DFF"/>
    <w:rsid w:val="00096A0B"/>
    <w:rsid w:val="000A09FC"/>
    <w:rsid w:val="000A2A98"/>
    <w:rsid w:val="000A5BBF"/>
    <w:rsid w:val="000A5F7B"/>
    <w:rsid w:val="000A5FC9"/>
    <w:rsid w:val="000A6D76"/>
    <w:rsid w:val="000A766E"/>
    <w:rsid w:val="000A776C"/>
    <w:rsid w:val="000B0976"/>
    <w:rsid w:val="000B1D9D"/>
    <w:rsid w:val="000B4AEF"/>
    <w:rsid w:val="000B5321"/>
    <w:rsid w:val="000B6574"/>
    <w:rsid w:val="000C0AED"/>
    <w:rsid w:val="000C2C3C"/>
    <w:rsid w:val="000C2F55"/>
    <w:rsid w:val="000C337D"/>
    <w:rsid w:val="000C37E3"/>
    <w:rsid w:val="000C4112"/>
    <w:rsid w:val="000C496F"/>
    <w:rsid w:val="000C50BD"/>
    <w:rsid w:val="000C50C9"/>
    <w:rsid w:val="000C5120"/>
    <w:rsid w:val="000C65B5"/>
    <w:rsid w:val="000C7CB1"/>
    <w:rsid w:val="000D1B16"/>
    <w:rsid w:val="000D459D"/>
    <w:rsid w:val="000D4ADC"/>
    <w:rsid w:val="000D604D"/>
    <w:rsid w:val="000D7559"/>
    <w:rsid w:val="000D7AE5"/>
    <w:rsid w:val="000D7E6B"/>
    <w:rsid w:val="000E1E4E"/>
    <w:rsid w:val="000E22DF"/>
    <w:rsid w:val="000E2A06"/>
    <w:rsid w:val="000E315E"/>
    <w:rsid w:val="000E7CDC"/>
    <w:rsid w:val="000F0575"/>
    <w:rsid w:val="000F1BB9"/>
    <w:rsid w:val="000F1F14"/>
    <w:rsid w:val="000F2ACF"/>
    <w:rsid w:val="000F352C"/>
    <w:rsid w:val="000F3B2D"/>
    <w:rsid w:val="000F5DA0"/>
    <w:rsid w:val="000F61CD"/>
    <w:rsid w:val="000F668E"/>
    <w:rsid w:val="000F7298"/>
    <w:rsid w:val="0010028A"/>
    <w:rsid w:val="00100864"/>
    <w:rsid w:val="00101AA6"/>
    <w:rsid w:val="00102230"/>
    <w:rsid w:val="001026CE"/>
    <w:rsid w:val="0011132F"/>
    <w:rsid w:val="001115C4"/>
    <w:rsid w:val="00113967"/>
    <w:rsid w:val="00113BBE"/>
    <w:rsid w:val="001141CA"/>
    <w:rsid w:val="00114A71"/>
    <w:rsid w:val="00117443"/>
    <w:rsid w:val="001217D4"/>
    <w:rsid w:val="0012306E"/>
    <w:rsid w:val="001230E8"/>
    <w:rsid w:val="0012314F"/>
    <w:rsid w:val="00123283"/>
    <w:rsid w:val="001235B9"/>
    <w:rsid w:val="001237CF"/>
    <w:rsid w:val="00124207"/>
    <w:rsid w:val="00124505"/>
    <w:rsid w:val="00124ED4"/>
    <w:rsid w:val="001253A9"/>
    <w:rsid w:val="001257D3"/>
    <w:rsid w:val="00130F19"/>
    <w:rsid w:val="001323F7"/>
    <w:rsid w:val="001333E2"/>
    <w:rsid w:val="00133921"/>
    <w:rsid w:val="00133A6E"/>
    <w:rsid w:val="001351FD"/>
    <w:rsid w:val="00135E3F"/>
    <w:rsid w:val="0013703E"/>
    <w:rsid w:val="001405BE"/>
    <w:rsid w:val="00140DAF"/>
    <w:rsid w:val="00142EF3"/>
    <w:rsid w:val="00146A82"/>
    <w:rsid w:val="00150A6B"/>
    <w:rsid w:val="0015221C"/>
    <w:rsid w:val="001553FC"/>
    <w:rsid w:val="00156AFF"/>
    <w:rsid w:val="00157B27"/>
    <w:rsid w:val="00161481"/>
    <w:rsid w:val="0016198D"/>
    <w:rsid w:val="00161E9C"/>
    <w:rsid w:val="001629E9"/>
    <w:rsid w:val="00162EA3"/>
    <w:rsid w:val="00164C54"/>
    <w:rsid w:val="001659B8"/>
    <w:rsid w:val="0016690F"/>
    <w:rsid w:val="00172757"/>
    <w:rsid w:val="001727B8"/>
    <w:rsid w:val="00172875"/>
    <w:rsid w:val="00173435"/>
    <w:rsid w:val="001767B3"/>
    <w:rsid w:val="00180D92"/>
    <w:rsid w:val="00182094"/>
    <w:rsid w:val="001820A0"/>
    <w:rsid w:val="0018365D"/>
    <w:rsid w:val="00183DA5"/>
    <w:rsid w:val="00185425"/>
    <w:rsid w:val="00186E50"/>
    <w:rsid w:val="00187A36"/>
    <w:rsid w:val="00187AED"/>
    <w:rsid w:val="00187E55"/>
    <w:rsid w:val="00191C5B"/>
    <w:rsid w:val="00191C82"/>
    <w:rsid w:val="00191FEB"/>
    <w:rsid w:val="00194902"/>
    <w:rsid w:val="001961DD"/>
    <w:rsid w:val="00197483"/>
    <w:rsid w:val="001A1637"/>
    <w:rsid w:val="001A1AC2"/>
    <w:rsid w:val="001A29B5"/>
    <w:rsid w:val="001A4CB2"/>
    <w:rsid w:val="001A5AD5"/>
    <w:rsid w:val="001A607F"/>
    <w:rsid w:val="001A72C6"/>
    <w:rsid w:val="001A73AD"/>
    <w:rsid w:val="001B0C09"/>
    <w:rsid w:val="001B28A2"/>
    <w:rsid w:val="001B31E6"/>
    <w:rsid w:val="001B3584"/>
    <w:rsid w:val="001B3B87"/>
    <w:rsid w:val="001B3EC1"/>
    <w:rsid w:val="001B3FFC"/>
    <w:rsid w:val="001B51C4"/>
    <w:rsid w:val="001B5D5A"/>
    <w:rsid w:val="001B5F97"/>
    <w:rsid w:val="001B7434"/>
    <w:rsid w:val="001C1049"/>
    <w:rsid w:val="001C2825"/>
    <w:rsid w:val="001C3766"/>
    <w:rsid w:val="001C4F32"/>
    <w:rsid w:val="001C517A"/>
    <w:rsid w:val="001C6F57"/>
    <w:rsid w:val="001D05EB"/>
    <w:rsid w:val="001D0B14"/>
    <w:rsid w:val="001D1BC8"/>
    <w:rsid w:val="001D1EE0"/>
    <w:rsid w:val="001D2343"/>
    <w:rsid w:val="001D270D"/>
    <w:rsid w:val="001D2DDB"/>
    <w:rsid w:val="001D71E6"/>
    <w:rsid w:val="001D7AF6"/>
    <w:rsid w:val="001E0589"/>
    <w:rsid w:val="001E3564"/>
    <w:rsid w:val="001E37B9"/>
    <w:rsid w:val="001E55BA"/>
    <w:rsid w:val="001E571E"/>
    <w:rsid w:val="001E6028"/>
    <w:rsid w:val="001E6988"/>
    <w:rsid w:val="001E6E8C"/>
    <w:rsid w:val="001E7625"/>
    <w:rsid w:val="001F09C1"/>
    <w:rsid w:val="001F179E"/>
    <w:rsid w:val="001F1EBD"/>
    <w:rsid w:val="001F2999"/>
    <w:rsid w:val="001F3E0C"/>
    <w:rsid w:val="001F5058"/>
    <w:rsid w:val="001F549D"/>
    <w:rsid w:val="001F6284"/>
    <w:rsid w:val="001F6DDA"/>
    <w:rsid w:val="001F7558"/>
    <w:rsid w:val="001F7C5C"/>
    <w:rsid w:val="00200828"/>
    <w:rsid w:val="00201E21"/>
    <w:rsid w:val="0020214D"/>
    <w:rsid w:val="00202DA2"/>
    <w:rsid w:val="00203A12"/>
    <w:rsid w:val="002057CD"/>
    <w:rsid w:val="00205888"/>
    <w:rsid w:val="00207B89"/>
    <w:rsid w:val="00210475"/>
    <w:rsid w:val="002110FE"/>
    <w:rsid w:val="00213CE9"/>
    <w:rsid w:val="00213E0C"/>
    <w:rsid w:val="00214015"/>
    <w:rsid w:val="00215997"/>
    <w:rsid w:val="00220C83"/>
    <w:rsid w:val="002217BE"/>
    <w:rsid w:val="00221F87"/>
    <w:rsid w:val="00224283"/>
    <w:rsid w:val="00224871"/>
    <w:rsid w:val="00224C77"/>
    <w:rsid w:val="002255A7"/>
    <w:rsid w:val="002268D3"/>
    <w:rsid w:val="00226B84"/>
    <w:rsid w:val="002272E1"/>
    <w:rsid w:val="00227918"/>
    <w:rsid w:val="00232164"/>
    <w:rsid w:val="00235DE5"/>
    <w:rsid w:val="002363E2"/>
    <w:rsid w:val="0023695D"/>
    <w:rsid w:val="00236BC1"/>
    <w:rsid w:val="002409C3"/>
    <w:rsid w:val="00241537"/>
    <w:rsid w:val="0024171D"/>
    <w:rsid w:val="00243ABB"/>
    <w:rsid w:val="00244095"/>
    <w:rsid w:val="00246168"/>
    <w:rsid w:val="00250196"/>
    <w:rsid w:val="00250A3A"/>
    <w:rsid w:val="002510C0"/>
    <w:rsid w:val="00251E59"/>
    <w:rsid w:val="0025208D"/>
    <w:rsid w:val="0025426E"/>
    <w:rsid w:val="00254E5A"/>
    <w:rsid w:val="002566A5"/>
    <w:rsid w:val="00257E12"/>
    <w:rsid w:val="00260084"/>
    <w:rsid w:val="0026091F"/>
    <w:rsid w:val="00260F3D"/>
    <w:rsid w:val="0026133A"/>
    <w:rsid w:val="00263550"/>
    <w:rsid w:val="00265458"/>
    <w:rsid w:val="00266272"/>
    <w:rsid w:val="00267739"/>
    <w:rsid w:val="002705AD"/>
    <w:rsid w:val="00270EAE"/>
    <w:rsid w:val="00271C47"/>
    <w:rsid w:val="00271C81"/>
    <w:rsid w:val="002725BD"/>
    <w:rsid w:val="002729AD"/>
    <w:rsid w:val="00272C43"/>
    <w:rsid w:val="00273250"/>
    <w:rsid w:val="00273A8E"/>
    <w:rsid w:val="00275AF8"/>
    <w:rsid w:val="00282DB4"/>
    <w:rsid w:val="00282DEB"/>
    <w:rsid w:val="002845BA"/>
    <w:rsid w:val="002869C2"/>
    <w:rsid w:val="00287905"/>
    <w:rsid w:val="002909EE"/>
    <w:rsid w:val="00290B79"/>
    <w:rsid w:val="002926DE"/>
    <w:rsid w:val="002926E4"/>
    <w:rsid w:val="00293E21"/>
    <w:rsid w:val="0029409B"/>
    <w:rsid w:val="002941B1"/>
    <w:rsid w:val="002951C2"/>
    <w:rsid w:val="00295B7D"/>
    <w:rsid w:val="002968C4"/>
    <w:rsid w:val="00297A5A"/>
    <w:rsid w:val="002A27F6"/>
    <w:rsid w:val="002A291A"/>
    <w:rsid w:val="002A550A"/>
    <w:rsid w:val="002A5627"/>
    <w:rsid w:val="002A6449"/>
    <w:rsid w:val="002A6B3C"/>
    <w:rsid w:val="002A7ED6"/>
    <w:rsid w:val="002B0C28"/>
    <w:rsid w:val="002B110B"/>
    <w:rsid w:val="002B12AC"/>
    <w:rsid w:val="002B16B1"/>
    <w:rsid w:val="002B1AEF"/>
    <w:rsid w:val="002B23B5"/>
    <w:rsid w:val="002B4FB1"/>
    <w:rsid w:val="002C08EF"/>
    <w:rsid w:val="002C0B30"/>
    <w:rsid w:val="002C2AE7"/>
    <w:rsid w:val="002C3205"/>
    <w:rsid w:val="002C3F5F"/>
    <w:rsid w:val="002C405C"/>
    <w:rsid w:val="002C660E"/>
    <w:rsid w:val="002C6D80"/>
    <w:rsid w:val="002D042C"/>
    <w:rsid w:val="002D081C"/>
    <w:rsid w:val="002D11E5"/>
    <w:rsid w:val="002D1263"/>
    <w:rsid w:val="002D14CA"/>
    <w:rsid w:val="002D26DA"/>
    <w:rsid w:val="002D2F9A"/>
    <w:rsid w:val="002D3627"/>
    <w:rsid w:val="002D3B27"/>
    <w:rsid w:val="002D5D4D"/>
    <w:rsid w:val="002D6198"/>
    <w:rsid w:val="002E0367"/>
    <w:rsid w:val="002E2E59"/>
    <w:rsid w:val="002E372A"/>
    <w:rsid w:val="002E4480"/>
    <w:rsid w:val="002E479E"/>
    <w:rsid w:val="002E4E72"/>
    <w:rsid w:val="002E51A8"/>
    <w:rsid w:val="002E5CBE"/>
    <w:rsid w:val="002E5E1D"/>
    <w:rsid w:val="002E6905"/>
    <w:rsid w:val="002E7635"/>
    <w:rsid w:val="002E7F27"/>
    <w:rsid w:val="002F00EB"/>
    <w:rsid w:val="002F1926"/>
    <w:rsid w:val="002F273A"/>
    <w:rsid w:val="002F363A"/>
    <w:rsid w:val="002F440C"/>
    <w:rsid w:val="002F5FE9"/>
    <w:rsid w:val="002F64AF"/>
    <w:rsid w:val="002F712B"/>
    <w:rsid w:val="002F712D"/>
    <w:rsid w:val="002F7F07"/>
    <w:rsid w:val="0030002E"/>
    <w:rsid w:val="00302438"/>
    <w:rsid w:val="00302A4B"/>
    <w:rsid w:val="0030397C"/>
    <w:rsid w:val="00304469"/>
    <w:rsid w:val="00304647"/>
    <w:rsid w:val="00304985"/>
    <w:rsid w:val="00304B40"/>
    <w:rsid w:val="00311852"/>
    <w:rsid w:val="00313528"/>
    <w:rsid w:val="00314C51"/>
    <w:rsid w:val="00315F27"/>
    <w:rsid w:val="00316230"/>
    <w:rsid w:val="00316665"/>
    <w:rsid w:val="003170D1"/>
    <w:rsid w:val="00317236"/>
    <w:rsid w:val="00317C13"/>
    <w:rsid w:val="003209F4"/>
    <w:rsid w:val="0032289E"/>
    <w:rsid w:val="0032563C"/>
    <w:rsid w:val="00326D08"/>
    <w:rsid w:val="003270BF"/>
    <w:rsid w:val="0033056F"/>
    <w:rsid w:val="00330B5B"/>
    <w:rsid w:val="0033117B"/>
    <w:rsid w:val="003321FA"/>
    <w:rsid w:val="00332AC1"/>
    <w:rsid w:val="00332B65"/>
    <w:rsid w:val="0033394F"/>
    <w:rsid w:val="00333FFC"/>
    <w:rsid w:val="003341B4"/>
    <w:rsid w:val="003342B6"/>
    <w:rsid w:val="003343B2"/>
    <w:rsid w:val="0033517B"/>
    <w:rsid w:val="0033584E"/>
    <w:rsid w:val="00336E49"/>
    <w:rsid w:val="00337505"/>
    <w:rsid w:val="00340D74"/>
    <w:rsid w:val="00341AEE"/>
    <w:rsid w:val="0034237F"/>
    <w:rsid w:val="003429BC"/>
    <w:rsid w:val="00342F0D"/>
    <w:rsid w:val="00343870"/>
    <w:rsid w:val="003444F0"/>
    <w:rsid w:val="003447FA"/>
    <w:rsid w:val="00344847"/>
    <w:rsid w:val="003449DA"/>
    <w:rsid w:val="00346282"/>
    <w:rsid w:val="00346E69"/>
    <w:rsid w:val="003474F1"/>
    <w:rsid w:val="00347CE2"/>
    <w:rsid w:val="003541B7"/>
    <w:rsid w:val="00354748"/>
    <w:rsid w:val="00355351"/>
    <w:rsid w:val="00356A81"/>
    <w:rsid w:val="0036011B"/>
    <w:rsid w:val="003605D8"/>
    <w:rsid w:val="00361706"/>
    <w:rsid w:val="0036338D"/>
    <w:rsid w:val="0036359A"/>
    <w:rsid w:val="00363B33"/>
    <w:rsid w:val="00363CDD"/>
    <w:rsid w:val="00364557"/>
    <w:rsid w:val="00364C8C"/>
    <w:rsid w:val="0036561A"/>
    <w:rsid w:val="00365CB0"/>
    <w:rsid w:val="00365DA1"/>
    <w:rsid w:val="003660F7"/>
    <w:rsid w:val="00366DBB"/>
    <w:rsid w:val="00367F23"/>
    <w:rsid w:val="0037072A"/>
    <w:rsid w:val="00371153"/>
    <w:rsid w:val="00371A72"/>
    <w:rsid w:val="00371D09"/>
    <w:rsid w:val="003732B1"/>
    <w:rsid w:val="003745BE"/>
    <w:rsid w:val="00374D85"/>
    <w:rsid w:val="00375D3B"/>
    <w:rsid w:val="00380726"/>
    <w:rsid w:val="003816A7"/>
    <w:rsid w:val="00384AC1"/>
    <w:rsid w:val="003852E4"/>
    <w:rsid w:val="00385938"/>
    <w:rsid w:val="00386910"/>
    <w:rsid w:val="003876AF"/>
    <w:rsid w:val="00390CBE"/>
    <w:rsid w:val="00390DB4"/>
    <w:rsid w:val="00391343"/>
    <w:rsid w:val="003921FD"/>
    <w:rsid w:val="003927EA"/>
    <w:rsid w:val="00393230"/>
    <w:rsid w:val="00394E86"/>
    <w:rsid w:val="003A0BDD"/>
    <w:rsid w:val="003A0EF4"/>
    <w:rsid w:val="003A1C4A"/>
    <w:rsid w:val="003A2045"/>
    <w:rsid w:val="003A3464"/>
    <w:rsid w:val="003A39B0"/>
    <w:rsid w:val="003A3C9F"/>
    <w:rsid w:val="003A4F9F"/>
    <w:rsid w:val="003A5423"/>
    <w:rsid w:val="003A5521"/>
    <w:rsid w:val="003A6587"/>
    <w:rsid w:val="003A6A87"/>
    <w:rsid w:val="003A6B8C"/>
    <w:rsid w:val="003B11A1"/>
    <w:rsid w:val="003B225A"/>
    <w:rsid w:val="003B32FE"/>
    <w:rsid w:val="003B406A"/>
    <w:rsid w:val="003B48A1"/>
    <w:rsid w:val="003B4B81"/>
    <w:rsid w:val="003B5C1F"/>
    <w:rsid w:val="003B6211"/>
    <w:rsid w:val="003B6476"/>
    <w:rsid w:val="003B6C41"/>
    <w:rsid w:val="003C15A3"/>
    <w:rsid w:val="003C189E"/>
    <w:rsid w:val="003C1DB7"/>
    <w:rsid w:val="003C24EF"/>
    <w:rsid w:val="003C3F07"/>
    <w:rsid w:val="003C47F2"/>
    <w:rsid w:val="003C6564"/>
    <w:rsid w:val="003C72F3"/>
    <w:rsid w:val="003C7ED9"/>
    <w:rsid w:val="003D0947"/>
    <w:rsid w:val="003D2030"/>
    <w:rsid w:val="003D3909"/>
    <w:rsid w:val="003D4727"/>
    <w:rsid w:val="003D4CDE"/>
    <w:rsid w:val="003D56BF"/>
    <w:rsid w:val="003D5D16"/>
    <w:rsid w:val="003D5D2B"/>
    <w:rsid w:val="003D619D"/>
    <w:rsid w:val="003E2FCC"/>
    <w:rsid w:val="003E3544"/>
    <w:rsid w:val="003E410A"/>
    <w:rsid w:val="003E6D8C"/>
    <w:rsid w:val="003E734E"/>
    <w:rsid w:val="003E76DF"/>
    <w:rsid w:val="003F17FD"/>
    <w:rsid w:val="003F2FA8"/>
    <w:rsid w:val="003F3094"/>
    <w:rsid w:val="003F4339"/>
    <w:rsid w:val="003F4FE8"/>
    <w:rsid w:val="003F54CC"/>
    <w:rsid w:val="003F56DA"/>
    <w:rsid w:val="003F62BC"/>
    <w:rsid w:val="003F6CEC"/>
    <w:rsid w:val="00400317"/>
    <w:rsid w:val="00400518"/>
    <w:rsid w:val="00400C3F"/>
    <w:rsid w:val="00401C8F"/>
    <w:rsid w:val="004025C4"/>
    <w:rsid w:val="0040300D"/>
    <w:rsid w:val="00403638"/>
    <w:rsid w:val="00404E3A"/>
    <w:rsid w:val="004054A2"/>
    <w:rsid w:val="004062B0"/>
    <w:rsid w:val="0040798B"/>
    <w:rsid w:val="00411A1E"/>
    <w:rsid w:val="00412C1D"/>
    <w:rsid w:val="0041476C"/>
    <w:rsid w:val="0041584D"/>
    <w:rsid w:val="00415E2A"/>
    <w:rsid w:val="004176D9"/>
    <w:rsid w:val="00417971"/>
    <w:rsid w:val="00420387"/>
    <w:rsid w:val="00421407"/>
    <w:rsid w:val="00421820"/>
    <w:rsid w:val="004224AA"/>
    <w:rsid w:val="00423EA4"/>
    <w:rsid w:val="00425988"/>
    <w:rsid w:val="00426029"/>
    <w:rsid w:val="00426B8D"/>
    <w:rsid w:val="00426BF6"/>
    <w:rsid w:val="004318A9"/>
    <w:rsid w:val="0043246E"/>
    <w:rsid w:val="0043249C"/>
    <w:rsid w:val="00432B1A"/>
    <w:rsid w:val="00433C92"/>
    <w:rsid w:val="004343ED"/>
    <w:rsid w:val="004343F8"/>
    <w:rsid w:val="004344EA"/>
    <w:rsid w:val="004353FE"/>
    <w:rsid w:val="0043609B"/>
    <w:rsid w:val="00436AFC"/>
    <w:rsid w:val="004376E2"/>
    <w:rsid w:val="00437729"/>
    <w:rsid w:val="00437AD2"/>
    <w:rsid w:val="00440834"/>
    <w:rsid w:val="00440C67"/>
    <w:rsid w:val="00442683"/>
    <w:rsid w:val="00442A71"/>
    <w:rsid w:val="00443904"/>
    <w:rsid w:val="0044434E"/>
    <w:rsid w:val="00445374"/>
    <w:rsid w:val="00445570"/>
    <w:rsid w:val="004461BA"/>
    <w:rsid w:val="00451670"/>
    <w:rsid w:val="0045185B"/>
    <w:rsid w:val="004520C9"/>
    <w:rsid w:val="004522AB"/>
    <w:rsid w:val="0045232E"/>
    <w:rsid w:val="00452F08"/>
    <w:rsid w:val="00454596"/>
    <w:rsid w:val="00460D7B"/>
    <w:rsid w:val="00460F1B"/>
    <w:rsid w:val="004624F8"/>
    <w:rsid w:val="004627C7"/>
    <w:rsid w:val="00462C84"/>
    <w:rsid w:val="00463185"/>
    <w:rsid w:val="00463962"/>
    <w:rsid w:val="00463ADA"/>
    <w:rsid w:val="00465148"/>
    <w:rsid w:val="004671E8"/>
    <w:rsid w:val="00467278"/>
    <w:rsid w:val="0047124B"/>
    <w:rsid w:val="00471948"/>
    <w:rsid w:val="004737C8"/>
    <w:rsid w:val="00473DFB"/>
    <w:rsid w:val="004749CE"/>
    <w:rsid w:val="00474C20"/>
    <w:rsid w:val="004751CD"/>
    <w:rsid w:val="00475D75"/>
    <w:rsid w:val="00476D87"/>
    <w:rsid w:val="00477F1F"/>
    <w:rsid w:val="00480659"/>
    <w:rsid w:val="00482326"/>
    <w:rsid w:val="004829A5"/>
    <w:rsid w:val="004836CD"/>
    <w:rsid w:val="0048528C"/>
    <w:rsid w:val="00485832"/>
    <w:rsid w:val="0048594F"/>
    <w:rsid w:val="00486337"/>
    <w:rsid w:val="004867FC"/>
    <w:rsid w:val="00487BA4"/>
    <w:rsid w:val="00487F03"/>
    <w:rsid w:val="00490E39"/>
    <w:rsid w:val="00491D8C"/>
    <w:rsid w:val="004929ED"/>
    <w:rsid w:val="00494416"/>
    <w:rsid w:val="00497D4F"/>
    <w:rsid w:val="004A34A6"/>
    <w:rsid w:val="004A5512"/>
    <w:rsid w:val="004A635F"/>
    <w:rsid w:val="004A7983"/>
    <w:rsid w:val="004A7FD7"/>
    <w:rsid w:val="004B1276"/>
    <w:rsid w:val="004B13FF"/>
    <w:rsid w:val="004B1830"/>
    <w:rsid w:val="004B3304"/>
    <w:rsid w:val="004B4B3D"/>
    <w:rsid w:val="004B5A47"/>
    <w:rsid w:val="004C15D1"/>
    <w:rsid w:val="004C2FC9"/>
    <w:rsid w:val="004C395F"/>
    <w:rsid w:val="004C3D9B"/>
    <w:rsid w:val="004C459D"/>
    <w:rsid w:val="004C4BA1"/>
    <w:rsid w:val="004C7D8B"/>
    <w:rsid w:val="004C7DE0"/>
    <w:rsid w:val="004D0140"/>
    <w:rsid w:val="004D02D6"/>
    <w:rsid w:val="004D0B09"/>
    <w:rsid w:val="004D0B87"/>
    <w:rsid w:val="004D28DE"/>
    <w:rsid w:val="004D2E54"/>
    <w:rsid w:val="004D33A7"/>
    <w:rsid w:val="004D3D59"/>
    <w:rsid w:val="004D3E06"/>
    <w:rsid w:val="004D3F5F"/>
    <w:rsid w:val="004D437F"/>
    <w:rsid w:val="004D4D53"/>
    <w:rsid w:val="004D56B2"/>
    <w:rsid w:val="004D5924"/>
    <w:rsid w:val="004D5D8B"/>
    <w:rsid w:val="004D6F35"/>
    <w:rsid w:val="004D78E7"/>
    <w:rsid w:val="004D7D86"/>
    <w:rsid w:val="004E006C"/>
    <w:rsid w:val="004E0AE0"/>
    <w:rsid w:val="004E1089"/>
    <w:rsid w:val="004E12A4"/>
    <w:rsid w:val="004E39EF"/>
    <w:rsid w:val="004E47BC"/>
    <w:rsid w:val="004E5C14"/>
    <w:rsid w:val="004F0180"/>
    <w:rsid w:val="004F2F74"/>
    <w:rsid w:val="004F3034"/>
    <w:rsid w:val="004F436E"/>
    <w:rsid w:val="004F4D4D"/>
    <w:rsid w:val="004F69E6"/>
    <w:rsid w:val="00500260"/>
    <w:rsid w:val="0050087F"/>
    <w:rsid w:val="00504C27"/>
    <w:rsid w:val="00506B71"/>
    <w:rsid w:val="00507B39"/>
    <w:rsid w:val="00507D09"/>
    <w:rsid w:val="00507DA9"/>
    <w:rsid w:val="00510051"/>
    <w:rsid w:val="0051120C"/>
    <w:rsid w:val="00511A48"/>
    <w:rsid w:val="00511B40"/>
    <w:rsid w:val="00511F7C"/>
    <w:rsid w:val="00512017"/>
    <w:rsid w:val="00512851"/>
    <w:rsid w:val="00513A3B"/>
    <w:rsid w:val="00515D5C"/>
    <w:rsid w:val="00516319"/>
    <w:rsid w:val="00516D6C"/>
    <w:rsid w:val="0051768C"/>
    <w:rsid w:val="00520C43"/>
    <w:rsid w:val="005222BE"/>
    <w:rsid w:val="0052235F"/>
    <w:rsid w:val="00523A28"/>
    <w:rsid w:val="00524E6E"/>
    <w:rsid w:val="005250F6"/>
    <w:rsid w:val="00525688"/>
    <w:rsid w:val="00525CD0"/>
    <w:rsid w:val="00526789"/>
    <w:rsid w:val="0052764F"/>
    <w:rsid w:val="00532480"/>
    <w:rsid w:val="00532892"/>
    <w:rsid w:val="0053327C"/>
    <w:rsid w:val="00534B6C"/>
    <w:rsid w:val="00535983"/>
    <w:rsid w:val="00535EE5"/>
    <w:rsid w:val="00535F45"/>
    <w:rsid w:val="00536B8A"/>
    <w:rsid w:val="00537534"/>
    <w:rsid w:val="00540CBD"/>
    <w:rsid w:val="00541587"/>
    <w:rsid w:val="00541F3D"/>
    <w:rsid w:val="00543470"/>
    <w:rsid w:val="0054592D"/>
    <w:rsid w:val="0054665C"/>
    <w:rsid w:val="005466D9"/>
    <w:rsid w:val="00546C84"/>
    <w:rsid w:val="00546C88"/>
    <w:rsid w:val="00547059"/>
    <w:rsid w:val="005502AD"/>
    <w:rsid w:val="00550AA5"/>
    <w:rsid w:val="005526CA"/>
    <w:rsid w:val="00553621"/>
    <w:rsid w:val="00554B54"/>
    <w:rsid w:val="00554DF2"/>
    <w:rsid w:val="00555274"/>
    <w:rsid w:val="005560D2"/>
    <w:rsid w:val="00560117"/>
    <w:rsid w:val="0056021B"/>
    <w:rsid w:val="00560BA3"/>
    <w:rsid w:val="005621E4"/>
    <w:rsid w:val="00562277"/>
    <w:rsid w:val="0056259D"/>
    <w:rsid w:val="00564A28"/>
    <w:rsid w:val="00564B49"/>
    <w:rsid w:val="00564C68"/>
    <w:rsid w:val="0056534F"/>
    <w:rsid w:val="0056769C"/>
    <w:rsid w:val="00567F76"/>
    <w:rsid w:val="00571518"/>
    <w:rsid w:val="005718ED"/>
    <w:rsid w:val="00574137"/>
    <w:rsid w:val="005748A6"/>
    <w:rsid w:val="00575621"/>
    <w:rsid w:val="00575A7C"/>
    <w:rsid w:val="00577280"/>
    <w:rsid w:val="005778BC"/>
    <w:rsid w:val="005825E3"/>
    <w:rsid w:val="005832AC"/>
    <w:rsid w:val="00584CF2"/>
    <w:rsid w:val="00584E0F"/>
    <w:rsid w:val="00584F00"/>
    <w:rsid w:val="005851AA"/>
    <w:rsid w:val="0058682E"/>
    <w:rsid w:val="00586AA8"/>
    <w:rsid w:val="00586CB7"/>
    <w:rsid w:val="00586D4D"/>
    <w:rsid w:val="00586FAD"/>
    <w:rsid w:val="005872E6"/>
    <w:rsid w:val="0059046F"/>
    <w:rsid w:val="00591892"/>
    <w:rsid w:val="00591A0D"/>
    <w:rsid w:val="00591BF4"/>
    <w:rsid w:val="00591D51"/>
    <w:rsid w:val="00594E43"/>
    <w:rsid w:val="0059592F"/>
    <w:rsid w:val="00595935"/>
    <w:rsid w:val="00596255"/>
    <w:rsid w:val="00597F46"/>
    <w:rsid w:val="005A0122"/>
    <w:rsid w:val="005A0836"/>
    <w:rsid w:val="005A122A"/>
    <w:rsid w:val="005A13B5"/>
    <w:rsid w:val="005A16A8"/>
    <w:rsid w:val="005A287A"/>
    <w:rsid w:val="005A2FAB"/>
    <w:rsid w:val="005A338D"/>
    <w:rsid w:val="005A4306"/>
    <w:rsid w:val="005A4803"/>
    <w:rsid w:val="005A624B"/>
    <w:rsid w:val="005B1000"/>
    <w:rsid w:val="005B215D"/>
    <w:rsid w:val="005B3D07"/>
    <w:rsid w:val="005B4A02"/>
    <w:rsid w:val="005B658E"/>
    <w:rsid w:val="005B73DE"/>
    <w:rsid w:val="005B78E2"/>
    <w:rsid w:val="005C000D"/>
    <w:rsid w:val="005C0201"/>
    <w:rsid w:val="005C071A"/>
    <w:rsid w:val="005C205B"/>
    <w:rsid w:val="005C289E"/>
    <w:rsid w:val="005C2C48"/>
    <w:rsid w:val="005C4829"/>
    <w:rsid w:val="005C4A04"/>
    <w:rsid w:val="005D0092"/>
    <w:rsid w:val="005D2003"/>
    <w:rsid w:val="005D26D4"/>
    <w:rsid w:val="005D3FC9"/>
    <w:rsid w:val="005D58DD"/>
    <w:rsid w:val="005D7982"/>
    <w:rsid w:val="005D7F6A"/>
    <w:rsid w:val="005E0532"/>
    <w:rsid w:val="005E06A2"/>
    <w:rsid w:val="005E1093"/>
    <w:rsid w:val="005E21BA"/>
    <w:rsid w:val="005E3F99"/>
    <w:rsid w:val="005E43F3"/>
    <w:rsid w:val="005E56DC"/>
    <w:rsid w:val="005E570B"/>
    <w:rsid w:val="005E5866"/>
    <w:rsid w:val="005E7161"/>
    <w:rsid w:val="005E7A80"/>
    <w:rsid w:val="005E7AA7"/>
    <w:rsid w:val="005E7FA3"/>
    <w:rsid w:val="005F0F0E"/>
    <w:rsid w:val="005F0F83"/>
    <w:rsid w:val="005F148C"/>
    <w:rsid w:val="005F1BBA"/>
    <w:rsid w:val="005F2071"/>
    <w:rsid w:val="005F2096"/>
    <w:rsid w:val="005F2632"/>
    <w:rsid w:val="005F26BB"/>
    <w:rsid w:val="005F272C"/>
    <w:rsid w:val="005F4193"/>
    <w:rsid w:val="005F42E1"/>
    <w:rsid w:val="005F4FCB"/>
    <w:rsid w:val="005F5807"/>
    <w:rsid w:val="005F5C2F"/>
    <w:rsid w:val="005F5E72"/>
    <w:rsid w:val="005F7D4F"/>
    <w:rsid w:val="0060067B"/>
    <w:rsid w:val="006032D6"/>
    <w:rsid w:val="00603AE5"/>
    <w:rsid w:val="00607C1E"/>
    <w:rsid w:val="006100E9"/>
    <w:rsid w:val="006107E6"/>
    <w:rsid w:val="00610CB1"/>
    <w:rsid w:val="0061222D"/>
    <w:rsid w:val="006126F3"/>
    <w:rsid w:val="00613512"/>
    <w:rsid w:val="006145A0"/>
    <w:rsid w:val="0061506F"/>
    <w:rsid w:val="00616627"/>
    <w:rsid w:val="00622735"/>
    <w:rsid w:val="00623817"/>
    <w:rsid w:val="00623C08"/>
    <w:rsid w:val="00624D00"/>
    <w:rsid w:val="00625253"/>
    <w:rsid w:val="006252D9"/>
    <w:rsid w:val="00625C7B"/>
    <w:rsid w:val="00627878"/>
    <w:rsid w:val="00627E54"/>
    <w:rsid w:val="006309C2"/>
    <w:rsid w:val="00631015"/>
    <w:rsid w:val="0063104C"/>
    <w:rsid w:val="00632034"/>
    <w:rsid w:val="00632C41"/>
    <w:rsid w:val="0063341B"/>
    <w:rsid w:val="00633524"/>
    <w:rsid w:val="00633CBB"/>
    <w:rsid w:val="006347C3"/>
    <w:rsid w:val="006359AB"/>
    <w:rsid w:val="00636FF6"/>
    <w:rsid w:val="00637F05"/>
    <w:rsid w:val="00642314"/>
    <w:rsid w:val="006446A2"/>
    <w:rsid w:val="006453E9"/>
    <w:rsid w:val="00645A71"/>
    <w:rsid w:val="00645CF7"/>
    <w:rsid w:val="006511B8"/>
    <w:rsid w:val="006538D5"/>
    <w:rsid w:val="00653BD2"/>
    <w:rsid w:val="00655041"/>
    <w:rsid w:val="006565E6"/>
    <w:rsid w:val="00656DAC"/>
    <w:rsid w:val="006601F0"/>
    <w:rsid w:val="00661449"/>
    <w:rsid w:val="0066159D"/>
    <w:rsid w:val="00661801"/>
    <w:rsid w:val="006629AE"/>
    <w:rsid w:val="00663E3E"/>
    <w:rsid w:val="0066425A"/>
    <w:rsid w:val="00664A3F"/>
    <w:rsid w:val="00665453"/>
    <w:rsid w:val="0066570C"/>
    <w:rsid w:val="00666DFD"/>
    <w:rsid w:val="006701AC"/>
    <w:rsid w:val="0067033A"/>
    <w:rsid w:val="00672DF0"/>
    <w:rsid w:val="006732DC"/>
    <w:rsid w:val="00673355"/>
    <w:rsid w:val="0067418E"/>
    <w:rsid w:val="00674C95"/>
    <w:rsid w:val="00674E06"/>
    <w:rsid w:val="00677A9A"/>
    <w:rsid w:val="00677B92"/>
    <w:rsid w:val="006803B7"/>
    <w:rsid w:val="00680F68"/>
    <w:rsid w:val="00681543"/>
    <w:rsid w:val="006834B3"/>
    <w:rsid w:val="00683884"/>
    <w:rsid w:val="00684DAE"/>
    <w:rsid w:val="00685061"/>
    <w:rsid w:val="0068583D"/>
    <w:rsid w:val="0068617A"/>
    <w:rsid w:val="006869C4"/>
    <w:rsid w:val="00686A48"/>
    <w:rsid w:val="00690342"/>
    <w:rsid w:val="00690C45"/>
    <w:rsid w:val="00690D15"/>
    <w:rsid w:val="006921B0"/>
    <w:rsid w:val="006933C3"/>
    <w:rsid w:val="006935B4"/>
    <w:rsid w:val="0069411A"/>
    <w:rsid w:val="006966E5"/>
    <w:rsid w:val="00697B4B"/>
    <w:rsid w:val="006A025A"/>
    <w:rsid w:val="006A1AB7"/>
    <w:rsid w:val="006A2A53"/>
    <w:rsid w:val="006A4201"/>
    <w:rsid w:val="006A60A8"/>
    <w:rsid w:val="006A69E1"/>
    <w:rsid w:val="006A7784"/>
    <w:rsid w:val="006B0859"/>
    <w:rsid w:val="006B1F3D"/>
    <w:rsid w:val="006B2C88"/>
    <w:rsid w:val="006B50BD"/>
    <w:rsid w:val="006B6227"/>
    <w:rsid w:val="006C018A"/>
    <w:rsid w:val="006C047D"/>
    <w:rsid w:val="006C1082"/>
    <w:rsid w:val="006C1C74"/>
    <w:rsid w:val="006C21CE"/>
    <w:rsid w:val="006C2293"/>
    <w:rsid w:val="006C22D4"/>
    <w:rsid w:val="006C32C6"/>
    <w:rsid w:val="006C6315"/>
    <w:rsid w:val="006C6D13"/>
    <w:rsid w:val="006C742B"/>
    <w:rsid w:val="006D1FA9"/>
    <w:rsid w:val="006D21F7"/>
    <w:rsid w:val="006D4065"/>
    <w:rsid w:val="006D4779"/>
    <w:rsid w:val="006D4845"/>
    <w:rsid w:val="006D62A2"/>
    <w:rsid w:val="006D632B"/>
    <w:rsid w:val="006D6AB8"/>
    <w:rsid w:val="006D6AEA"/>
    <w:rsid w:val="006D6EA6"/>
    <w:rsid w:val="006D7DA0"/>
    <w:rsid w:val="006E24D1"/>
    <w:rsid w:val="006E2A7B"/>
    <w:rsid w:val="006E359D"/>
    <w:rsid w:val="006E47B2"/>
    <w:rsid w:val="006F0105"/>
    <w:rsid w:val="006F1E05"/>
    <w:rsid w:val="006F1E44"/>
    <w:rsid w:val="006F3E6C"/>
    <w:rsid w:val="006F46AC"/>
    <w:rsid w:val="006F6C1E"/>
    <w:rsid w:val="006F7090"/>
    <w:rsid w:val="006F723C"/>
    <w:rsid w:val="006F7478"/>
    <w:rsid w:val="00701CCE"/>
    <w:rsid w:val="00702450"/>
    <w:rsid w:val="0070295F"/>
    <w:rsid w:val="0070427E"/>
    <w:rsid w:val="007053FD"/>
    <w:rsid w:val="007058CF"/>
    <w:rsid w:val="00705FA9"/>
    <w:rsid w:val="00706482"/>
    <w:rsid w:val="007064A3"/>
    <w:rsid w:val="0070686D"/>
    <w:rsid w:val="00710C82"/>
    <w:rsid w:val="007129AA"/>
    <w:rsid w:val="00713500"/>
    <w:rsid w:val="00713C24"/>
    <w:rsid w:val="0071557F"/>
    <w:rsid w:val="007159C6"/>
    <w:rsid w:val="00716419"/>
    <w:rsid w:val="007216C3"/>
    <w:rsid w:val="007226C8"/>
    <w:rsid w:val="00722C16"/>
    <w:rsid w:val="00723014"/>
    <w:rsid w:val="00723DD6"/>
    <w:rsid w:val="0072476A"/>
    <w:rsid w:val="007253A9"/>
    <w:rsid w:val="00726CA2"/>
    <w:rsid w:val="00727016"/>
    <w:rsid w:val="007301C7"/>
    <w:rsid w:val="00732795"/>
    <w:rsid w:val="00732DAB"/>
    <w:rsid w:val="0073431C"/>
    <w:rsid w:val="007350AF"/>
    <w:rsid w:val="0073576A"/>
    <w:rsid w:val="00736517"/>
    <w:rsid w:val="00737F76"/>
    <w:rsid w:val="00740292"/>
    <w:rsid w:val="007406A4"/>
    <w:rsid w:val="00740883"/>
    <w:rsid w:val="007427B7"/>
    <w:rsid w:val="007431B8"/>
    <w:rsid w:val="00743604"/>
    <w:rsid w:val="0074392A"/>
    <w:rsid w:val="0074400A"/>
    <w:rsid w:val="00747EF8"/>
    <w:rsid w:val="0075043D"/>
    <w:rsid w:val="007512AD"/>
    <w:rsid w:val="0075134C"/>
    <w:rsid w:val="0075190E"/>
    <w:rsid w:val="007539DF"/>
    <w:rsid w:val="00754B37"/>
    <w:rsid w:val="00755902"/>
    <w:rsid w:val="00755C01"/>
    <w:rsid w:val="0075714C"/>
    <w:rsid w:val="00757A85"/>
    <w:rsid w:val="0076065F"/>
    <w:rsid w:val="0076093C"/>
    <w:rsid w:val="00761114"/>
    <w:rsid w:val="007612E5"/>
    <w:rsid w:val="00761F08"/>
    <w:rsid w:val="00762DE8"/>
    <w:rsid w:val="00763808"/>
    <w:rsid w:val="00763EFA"/>
    <w:rsid w:val="007647F3"/>
    <w:rsid w:val="007654A8"/>
    <w:rsid w:val="00766388"/>
    <w:rsid w:val="0076662B"/>
    <w:rsid w:val="00766D6C"/>
    <w:rsid w:val="00767E91"/>
    <w:rsid w:val="007701BC"/>
    <w:rsid w:val="0077090D"/>
    <w:rsid w:val="007712F1"/>
    <w:rsid w:val="00772396"/>
    <w:rsid w:val="00772E09"/>
    <w:rsid w:val="007743F9"/>
    <w:rsid w:val="007746F1"/>
    <w:rsid w:val="00774B63"/>
    <w:rsid w:val="007751D0"/>
    <w:rsid w:val="007759C2"/>
    <w:rsid w:val="00775B6A"/>
    <w:rsid w:val="00776082"/>
    <w:rsid w:val="007764F9"/>
    <w:rsid w:val="00782EF7"/>
    <w:rsid w:val="007849FD"/>
    <w:rsid w:val="007852A1"/>
    <w:rsid w:val="0078623D"/>
    <w:rsid w:val="007875D0"/>
    <w:rsid w:val="00787B87"/>
    <w:rsid w:val="007901D8"/>
    <w:rsid w:val="00793B47"/>
    <w:rsid w:val="00795641"/>
    <w:rsid w:val="00796364"/>
    <w:rsid w:val="00796BFD"/>
    <w:rsid w:val="00796C3F"/>
    <w:rsid w:val="00797C11"/>
    <w:rsid w:val="007A11CA"/>
    <w:rsid w:val="007A1D54"/>
    <w:rsid w:val="007A1E0E"/>
    <w:rsid w:val="007A1E4B"/>
    <w:rsid w:val="007A1FD3"/>
    <w:rsid w:val="007A2F02"/>
    <w:rsid w:val="007A375F"/>
    <w:rsid w:val="007A3DEF"/>
    <w:rsid w:val="007A46FC"/>
    <w:rsid w:val="007A53AB"/>
    <w:rsid w:val="007A6F79"/>
    <w:rsid w:val="007A7921"/>
    <w:rsid w:val="007B30C5"/>
    <w:rsid w:val="007B3C59"/>
    <w:rsid w:val="007B76D7"/>
    <w:rsid w:val="007C3AC1"/>
    <w:rsid w:val="007C4CC4"/>
    <w:rsid w:val="007C55FA"/>
    <w:rsid w:val="007C59CE"/>
    <w:rsid w:val="007C6E20"/>
    <w:rsid w:val="007D01A8"/>
    <w:rsid w:val="007D0EA5"/>
    <w:rsid w:val="007D301F"/>
    <w:rsid w:val="007D4B33"/>
    <w:rsid w:val="007D4F34"/>
    <w:rsid w:val="007D68B5"/>
    <w:rsid w:val="007D7FF3"/>
    <w:rsid w:val="007E07ED"/>
    <w:rsid w:val="007E0B31"/>
    <w:rsid w:val="007E218F"/>
    <w:rsid w:val="007E2379"/>
    <w:rsid w:val="007E2F2C"/>
    <w:rsid w:val="007F15CA"/>
    <w:rsid w:val="007F3743"/>
    <w:rsid w:val="007F51E7"/>
    <w:rsid w:val="007F640D"/>
    <w:rsid w:val="007F7C44"/>
    <w:rsid w:val="007F7FE5"/>
    <w:rsid w:val="00800C90"/>
    <w:rsid w:val="00800DEB"/>
    <w:rsid w:val="00800EC7"/>
    <w:rsid w:val="00801588"/>
    <w:rsid w:val="00802707"/>
    <w:rsid w:val="00802B0F"/>
    <w:rsid w:val="00803930"/>
    <w:rsid w:val="008073A6"/>
    <w:rsid w:val="00807ABF"/>
    <w:rsid w:val="0081003B"/>
    <w:rsid w:val="00811C6E"/>
    <w:rsid w:val="00812C3F"/>
    <w:rsid w:val="008154D2"/>
    <w:rsid w:val="00817601"/>
    <w:rsid w:val="00820B48"/>
    <w:rsid w:val="008221EE"/>
    <w:rsid w:val="00822B27"/>
    <w:rsid w:val="008246B1"/>
    <w:rsid w:val="008248FF"/>
    <w:rsid w:val="00824D9D"/>
    <w:rsid w:val="00826A17"/>
    <w:rsid w:val="0083057F"/>
    <w:rsid w:val="00830A97"/>
    <w:rsid w:val="0083170E"/>
    <w:rsid w:val="0083315A"/>
    <w:rsid w:val="00835E9F"/>
    <w:rsid w:val="00836939"/>
    <w:rsid w:val="008373BF"/>
    <w:rsid w:val="00840370"/>
    <w:rsid w:val="00840CF9"/>
    <w:rsid w:val="00841AFB"/>
    <w:rsid w:val="00843E3E"/>
    <w:rsid w:val="00844BCA"/>
    <w:rsid w:val="0084789F"/>
    <w:rsid w:val="00852399"/>
    <w:rsid w:val="00854388"/>
    <w:rsid w:val="0085470F"/>
    <w:rsid w:val="0085486C"/>
    <w:rsid w:val="00855219"/>
    <w:rsid w:val="00855A94"/>
    <w:rsid w:val="00855F5E"/>
    <w:rsid w:val="00856235"/>
    <w:rsid w:val="0085747C"/>
    <w:rsid w:val="0085776F"/>
    <w:rsid w:val="00863DD8"/>
    <w:rsid w:val="00864128"/>
    <w:rsid w:val="00864C65"/>
    <w:rsid w:val="00864F27"/>
    <w:rsid w:val="00866AFC"/>
    <w:rsid w:val="008671C9"/>
    <w:rsid w:val="008703F6"/>
    <w:rsid w:val="00871BC3"/>
    <w:rsid w:val="008725BB"/>
    <w:rsid w:val="00872D57"/>
    <w:rsid w:val="00873CEC"/>
    <w:rsid w:val="008763F6"/>
    <w:rsid w:val="008768E7"/>
    <w:rsid w:val="00877737"/>
    <w:rsid w:val="00877DED"/>
    <w:rsid w:val="008804A8"/>
    <w:rsid w:val="00880E17"/>
    <w:rsid w:val="00881E8D"/>
    <w:rsid w:val="00881EA8"/>
    <w:rsid w:val="0088291D"/>
    <w:rsid w:val="00885924"/>
    <w:rsid w:val="0088623D"/>
    <w:rsid w:val="008866C0"/>
    <w:rsid w:val="00887067"/>
    <w:rsid w:val="0089024B"/>
    <w:rsid w:val="00893395"/>
    <w:rsid w:val="00894778"/>
    <w:rsid w:val="008953AC"/>
    <w:rsid w:val="008953DF"/>
    <w:rsid w:val="00897D01"/>
    <w:rsid w:val="008A015D"/>
    <w:rsid w:val="008A03F8"/>
    <w:rsid w:val="008A1033"/>
    <w:rsid w:val="008A1C33"/>
    <w:rsid w:val="008A1F58"/>
    <w:rsid w:val="008A2165"/>
    <w:rsid w:val="008A2E21"/>
    <w:rsid w:val="008A2EA4"/>
    <w:rsid w:val="008A4340"/>
    <w:rsid w:val="008A795C"/>
    <w:rsid w:val="008B10D4"/>
    <w:rsid w:val="008B210E"/>
    <w:rsid w:val="008B220A"/>
    <w:rsid w:val="008B3DEC"/>
    <w:rsid w:val="008B5281"/>
    <w:rsid w:val="008B6620"/>
    <w:rsid w:val="008B6F1D"/>
    <w:rsid w:val="008B7E0F"/>
    <w:rsid w:val="008C2B06"/>
    <w:rsid w:val="008C3845"/>
    <w:rsid w:val="008C3DC9"/>
    <w:rsid w:val="008C643A"/>
    <w:rsid w:val="008C64E0"/>
    <w:rsid w:val="008C7D0F"/>
    <w:rsid w:val="008D00F4"/>
    <w:rsid w:val="008D02D3"/>
    <w:rsid w:val="008D03D5"/>
    <w:rsid w:val="008D06B1"/>
    <w:rsid w:val="008D482B"/>
    <w:rsid w:val="008D5757"/>
    <w:rsid w:val="008D5B05"/>
    <w:rsid w:val="008D6904"/>
    <w:rsid w:val="008D6C79"/>
    <w:rsid w:val="008E53FF"/>
    <w:rsid w:val="008E5C8F"/>
    <w:rsid w:val="008E6B48"/>
    <w:rsid w:val="008F0F67"/>
    <w:rsid w:val="008F10F8"/>
    <w:rsid w:val="008F112A"/>
    <w:rsid w:val="008F1E01"/>
    <w:rsid w:val="008F29AD"/>
    <w:rsid w:val="008F2A0B"/>
    <w:rsid w:val="008F2AF4"/>
    <w:rsid w:val="008F2FD2"/>
    <w:rsid w:val="008F3052"/>
    <w:rsid w:val="008F33E8"/>
    <w:rsid w:val="008F5158"/>
    <w:rsid w:val="008F622F"/>
    <w:rsid w:val="0090009A"/>
    <w:rsid w:val="009008CB"/>
    <w:rsid w:val="00900DBA"/>
    <w:rsid w:val="009013A0"/>
    <w:rsid w:val="0090286B"/>
    <w:rsid w:val="00902D14"/>
    <w:rsid w:val="00903202"/>
    <w:rsid w:val="009039B8"/>
    <w:rsid w:val="009047BD"/>
    <w:rsid w:val="009059D3"/>
    <w:rsid w:val="009066D2"/>
    <w:rsid w:val="0090759A"/>
    <w:rsid w:val="00907BFC"/>
    <w:rsid w:val="00910540"/>
    <w:rsid w:val="0091275C"/>
    <w:rsid w:val="00912AAE"/>
    <w:rsid w:val="00914240"/>
    <w:rsid w:val="009175BE"/>
    <w:rsid w:val="00917C24"/>
    <w:rsid w:val="00917DBA"/>
    <w:rsid w:val="0092072F"/>
    <w:rsid w:val="00920A26"/>
    <w:rsid w:val="00920ABC"/>
    <w:rsid w:val="00921EA5"/>
    <w:rsid w:val="00922544"/>
    <w:rsid w:val="00923070"/>
    <w:rsid w:val="009241A4"/>
    <w:rsid w:val="00925021"/>
    <w:rsid w:val="00925268"/>
    <w:rsid w:val="00925494"/>
    <w:rsid w:val="0092668C"/>
    <w:rsid w:val="009266FD"/>
    <w:rsid w:val="009271AB"/>
    <w:rsid w:val="0092766C"/>
    <w:rsid w:val="00930160"/>
    <w:rsid w:val="009309D0"/>
    <w:rsid w:val="00930CFC"/>
    <w:rsid w:val="00933B72"/>
    <w:rsid w:val="00933DE6"/>
    <w:rsid w:val="00935738"/>
    <w:rsid w:val="009368B3"/>
    <w:rsid w:val="00937BB4"/>
    <w:rsid w:val="00937FAD"/>
    <w:rsid w:val="009402DF"/>
    <w:rsid w:val="00941228"/>
    <w:rsid w:val="009422B5"/>
    <w:rsid w:val="00942BD3"/>
    <w:rsid w:val="00942F11"/>
    <w:rsid w:val="0094309D"/>
    <w:rsid w:val="00943624"/>
    <w:rsid w:val="00943EDD"/>
    <w:rsid w:val="00944B75"/>
    <w:rsid w:val="0095252A"/>
    <w:rsid w:val="009531C3"/>
    <w:rsid w:val="009549F9"/>
    <w:rsid w:val="0095533B"/>
    <w:rsid w:val="00955BB4"/>
    <w:rsid w:val="00955E54"/>
    <w:rsid w:val="0095623E"/>
    <w:rsid w:val="009617C9"/>
    <w:rsid w:val="00964305"/>
    <w:rsid w:val="0096487F"/>
    <w:rsid w:val="00965566"/>
    <w:rsid w:val="009657DF"/>
    <w:rsid w:val="00965A2A"/>
    <w:rsid w:val="0096744F"/>
    <w:rsid w:val="00971E8F"/>
    <w:rsid w:val="0097230E"/>
    <w:rsid w:val="00973C5B"/>
    <w:rsid w:val="00974422"/>
    <w:rsid w:val="00974D8E"/>
    <w:rsid w:val="00975A29"/>
    <w:rsid w:val="0097775B"/>
    <w:rsid w:val="00977EA5"/>
    <w:rsid w:val="00980105"/>
    <w:rsid w:val="00980B24"/>
    <w:rsid w:val="00980C17"/>
    <w:rsid w:val="00980D54"/>
    <w:rsid w:val="00981D3D"/>
    <w:rsid w:val="0098204D"/>
    <w:rsid w:val="009825E8"/>
    <w:rsid w:val="0098281A"/>
    <w:rsid w:val="0098324C"/>
    <w:rsid w:val="009840DA"/>
    <w:rsid w:val="00984D15"/>
    <w:rsid w:val="00990735"/>
    <w:rsid w:val="00990CFE"/>
    <w:rsid w:val="00991114"/>
    <w:rsid w:val="00994F3E"/>
    <w:rsid w:val="0099550C"/>
    <w:rsid w:val="00995734"/>
    <w:rsid w:val="00996974"/>
    <w:rsid w:val="00996B76"/>
    <w:rsid w:val="009971EE"/>
    <w:rsid w:val="009972F0"/>
    <w:rsid w:val="00997368"/>
    <w:rsid w:val="009A0AA5"/>
    <w:rsid w:val="009A158D"/>
    <w:rsid w:val="009A1927"/>
    <w:rsid w:val="009A3998"/>
    <w:rsid w:val="009A3E1F"/>
    <w:rsid w:val="009A43F4"/>
    <w:rsid w:val="009A4619"/>
    <w:rsid w:val="009A48D9"/>
    <w:rsid w:val="009A679F"/>
    <w:rsid w:val="009A68DE"/>
    <w:rsid w:val="009A6D43"/>
    <w:rsid w:val="009B0359"/>
    <w:rsid w:val="009B5FB6"/>
    <w:rsid w:val="009B64A3"/>
    <w:rsid w:val="009B6A10"/>
    <w:rsid w:val="009B76E9"/>
    <w:rsid w:val="009B7E13"/>
    <w:rsid w:val="009C16D4"/>
    <w:rsid w:val="009C3433"/>
    <w:rsid w:val="009C7270"/>
    <w:rsid w:val="009C7385"/>
    <w:rsid w:val="009C75C8"/>
    <w:rsid w:val="009D01B7"/>
    <w:rsid w:val="009D04C5"/>
    <w:rsid w:val="009D0B23"/>
    <w:rsid w:val="009D17E3"/>
    <w:rsid w:val="009D2851"/>
    <w:rsid w:val="009D3DD7"/>
    <w:rsid w:val="009D4652"/>
    <w:rsid w:val="009D4B02"/>
    <w:rsid w:val="009E1537"/>
    <w:rsid w:val="009E17C4"/>
    <w:rsid w:val="009E1DF8"/>
    <w:rsid w:val="009E2155"/>
    <w:rsid w:val="009E38D1"/>
    <w:rsid w:val="009E3C27"/>
    <w:rsid w:val="009E452D"/>
    <w:rsid w:val="009E4B24"/>
    <w:rsid w:val="009E547D"/>
    <w:rsid w:val="009E6A5C"/>
    <w:rsid w:val="009E6AE3"/>
    <w:rsid w:val="009F0C6F"/>
    <w:rsid w:val="009F151B"/>
    <w:rsid w:val="009F2013"/>
    <w:rsid w:val="009F2ABB"/>
    <w:rsid w:val="009F2C9A"/>
    <w:rsid w:val="009F3AF4"/>
    <w:rsid w:val="009F45F1"/>
    <w:rsid w:val="009F5397"/>
    <w:rsid w:val="009F5E60"/>
    <w:rsid w:val="009F60B5"/>
    <w:rsid w:val="009F69BC"/>
    <w:rsid w:val="009F7462"/>
    <w:rsid w:val="009F74AC"/>
    <w:rsid w:val="009F7E33"/>
    <w:rsid w:val="00A00309"/>
    <w:rsid w:val="00A0045A"/>
    <w:rsid w:val="00A00A0A"/>
    <w:rsid w:val="00A012EB"/>
    <w:rsid w:val="00A02220"/>
    <w:rsid w:val="00A02486"/>
    <w:rsid w:val="00A02677"/>
    <w:rsid w:val="00A03964"/>
    <w:rsid w:val="00A04356"/>
    <w:rsid w:val="00A06E02"/>
    <w:rsid w:val="00A0781F"/>
    <w:rsid w:val="00A11E03"/>
    <w:rsid w:val="00A12782"/>
    <w:rsid w:val="00A12850"/>
    <w:rsid w:val="00A140A0"/>
    <w:rsid w:val="00A14881"/>
    <w:rsid w:val="00A14A28"/>
    <w:rsid w:val="00A168D7"/>
    <w:rsid w:val="00A1736B"/>
    <w:rsid w:val="00A1738E"/>
    <w:rsid w:val="00A206D7"/>
    <w:rsid w:val="00A22CE2"/>
    <w:rsid w:val="00A241A2"/>
    <w:rsid w:val="00A245EF"/>
    <w:rsid w:val="00A265A8"/>
    <w:rsid w:val="00A27A54"/>
    <w:rsid w:val="00A30BA0"/>
    <w:rsid w:val="00A32EED"/>
    <w:rsid w:val="00A37837"/>
    <w:rsid w:val="00A378CE"/>
    <w:rsid w:val="00A37954"/>
    <w:rsid w:val="00A40277"/>
    <w:rsid w:val="00A40A6C"/>
    <w:rsid w:val="00A40BC3"/>
    <w:rsid w:val="00A45F32"/>
    <w:rsid w:val="00A475C7"/>
    <w:rsid w:val="00A47CC3"/>
    <w:rsid w:val="00A51052"/>
    <w:rsid w:val="00A53FC8"/>
    <w:rsid w:val="00A54A24"/>
    <w:rsid w:val="00A556CA"/>
    <w:rsid w:val="00A562B5"/>
    <w:rsid w:val="00A578DB"/>
    <w:rsid w:val="00A60501"/>
    <w:rsid w:val="00A61025"/>
    <w:rsid w:val="00A613E9"/>
    <w:rsid w:val="00A615A7"/>
    <w:rsid w:val="00A62842"/>
    <w:rsid w:val="00A6390A"/>
    <w:rsid w:val="00A63B77"/>
    <w:rsid w:val="00A6453C"/>
    <w:rsid w:val="00A6566A"/>
    <w:rsid w:val="00A6568E"/>
    <w:rsid w:val="00A66DBD"/>
    <w:rsid w:val="00A67CF6"/>
    <w:rsid w:val="00A67EF5"/>
    <w:rsid w:val="00A714E0"/>
    <w:rsid w:val="00A7261F"/>
    <w:rsid w:val="00A72FFD"/>
    <w:rsid w:val="00A7318F"/>
    <w:rsid w:val="00A74101"/>
    <w:rsid w:val="00A74599"/>
    <w:rsid w:val="00A75A9E"/>
    <w:rsid w:val="00A805C2"/>
    <w:rsid w:val="00A80BD0"/>
    <w:rsid w:val="00A80F5F"/>
    <w:rsid w:val="00A81281"/>
    <w:rsid w:val="00A823B7"/>
    <w:rsid w:val="00A82400"/>
    <w:rsid w:val="00A83038"/>
    <w:rsid w:val="00A835B2"/>
    <w:rsid w:val="00A84A61"/>
    <w:rsid w:val="00A86782"/>
    <w:rsid w:val="00A90E1E"/>
    <w:rsid w:val="00A92846"/>
    <w:rsid w:val="00A93392"/>
    <w:rsid w:val="00A94392"/>
    <w:rsid w:val="00A94B9B"/>
    <w:rsid w:val="00A95F9A"/>
    <w:rsid w:val="00A9612F"/>
    <w:rsid w:val="00A961D6"/>
    <w:rsid w:val="00A96760"/>
    <w:rsid w:val="00AA0932"/>
    <w:rsid w:val="00AA0A82"/>
    <w:rsid w:val="00AA0AD6"/>
    <w:rsid w:val="00AA16ED"/>
    <w:rsid w:val="00AA1B9F"/>
    <w:rsid w:val="00AA25E0"/>
    <w:rsid w:val="00AA2C8C"/>
    <w:rsid w:val="00AA2F40"/>
    <w:rsid w:val="00AA3896"/>
    <w:rsid w:val="00AA3BB7"/>
    <w:rsid w:val="00AA4923"/>
    <w:rsid w:val="00AA5E15"/>
    <w:rsid w:val="00AA60C1"/>
    <w:rsid w:val="00AA6B65"/>
    <w:rsid w:val="00AA79EB"/>
    <w:rsid w:val="00AA7D08"/>
    <w:rsid w:val="00AB003F"/>
    <w:rsid w:val="00AB18C7"/>
    <w:rsid w:val="00AB1A18"/>
    <w:rsid w:val="00AB1BB1"/>
    <w:rsid w:val="00AB2124"/>
    <w:rsid w:val="00AB2320"/>
    <w:rsid w:val="00AB2C5A"/>
    <w:rsid w:val="00AB3BD4"/>
    <w:rsid w:val="00AB3E6F"/>
    <w:rsid w:val="00AB49FC"/>
    <w:rsid w:val="00AB5D25"/>
    <w:rsid w:val="00AB7D25"/>
    <w:rsid w:val="00AC0964"/>
    <w:rsid w:val="00AC0BEE"/>
    <w:rsid w:val="00AC1140"/>
    <w:rsid w:val="00AC15DD"/>
    <w:rsid w:val="00AC2192"/>
    <w:rsid w:val="00AC4C36"/>
    <w:rsid w:val="00AC4CC9"/>
    <w:rsid w:val="00AC4E63"/>
    <w:rsid w:val="00AC556B"/>
    <w:rsid w:val="00AC7967"/>
    <w:rsid w:val="00AC7A0F"/>
    <w:rsid w:val="00AD185F"/>
    <w:rsid w:val="00AD1F13"/>
    <w:rsid w:val="00AD293E"/>
    <w:rsid w:val="00AD3353"/>
    <w:rsid w:val="00AD379A"/>
    <w:rsid w:val="00AD5D4A"/>
    <w:rsid w:val="00AD5D5E"/>
    <w:rsid w:val="00AD613B"/>
    <w:rsid w:val="00AD61B4"/>
    <w:rsid w:val="00AD6BA3"/>
    <w:rsid w:val="00AD7C3C"/>
    <w:rsid w:val="00AD7C99"/>
    <w:rsid w:val="00AE0346"/>
    <w:rsid w:val="00AE1093"/>
    <w:rsid w:val="00AE11DF"/>
    <w:rsid w:val="00AE2053"/>
    <w:rsid w:val="00AE242C"/>
    <w:rsid w:val="00AE36DF"/>
    <w:rsid w:val="00AE387F"/>
    <w:rsid w:val="00AE410D"/>
    <w:rsid w:val="00AE540B"/>
    <w:rsid w:val="00AE78DA"/>
    <w:rsid w:val="00AF15E7"/>
    <w:rsid w:val="00AF1F38"/>
    <w:rsid w:val="00AF23C2"/>
    <w:rsid w:val="00AF3B0D"/>
    <w:rsid w:val="00AF42E7"/>
    <w:rsid w:val="00AF56DE"/>
    <w:rsid w:val="00AF6FC8"/>
    <w:rsid w:val="00AF7A1D"/>
    <w:rsid w:val="00B00F37"/>
    <w:rsid w:val="00B029E1"/>
    <w:rsid w:val="00B02DD8"/>
    <w:rsid w:val="00B03467"/>
    <w:rsid w:val="00B041FE"/>
    <w:rsid w:val="00B047F3"/>
    <w:rsid w:val="00B0553E"/>
    <w:rsid w:val="00B0607C"/>
    <w:rsid w:val="00B06827"/>
    <w:rsid w:val="00B135A0"/>
    <w:rsid w:val="00B13BA6"/>
    <w:rsid w:val="00B1405B"/>
    <w:rsid w:val="00B1687F"/>
    <w:rsid w:val="00B17E21"/>
    <w:rsid w:val="00B201A0"/>
    <w:rsid w:val="00B20298"/>
    <w:rsid w:val="00B20D55"/>
    <w:rsid w:val="00B20DA0"/>
    <w:rsid w:val="00B20E88"/>
    <w:rsid w:val="00B22A16"/>
    <w:rsid w:val="00B22E34"/>
    <w:rsid w:val="00B235B0"/>
    <w:rsid w:val="00B23AFA"/>
    <w:rsid w:val="00B23CA4"/>
    <w:rsid w:val="00B25186"/>
    <w:rsid w:val="00B25456"/>
    <w:rsid w:val="00B25E5E"/>
    <w:rsid w:val="00B310B3"/>
    <w:rsid w:val="00B31EC7"/>
    <w:rsid w:val="00B33169"/>
    <w:rsid w:val="00B33D97"/>
    <w:rsid w:val="00B34BBB"/>
    <w:rsid w:val="00B34F82"/>
    <w:rsid w:val="00B356D1"/>
    <w:rsid w:val="00B36EB4"/>
    <w:rsid w:val="00B370D6"/>
    <w:rsid w:val="00B37135"/>
    <w:rsid w:val="00B3781B"/>
    <w:rsid w:val="00B378DA"/>
    <w:rsid w:val="00B405BD"/>
    <w:rsid w:val="00B41E87"/>
    <w:rsid w:val="00B41EDF"/>
    <w:rsid w:val="00B421FB"/>
    <w:rsid w:val="00B42282"/>
    <w:rsid w:val="00B42580"/>
    <w:rsid w:val="00B4341B"/>
    <w:rsid w:val="00B44D63"/>
    <w:rsid w:val="00B45804"/>
    <w:rsid w:val="00B45D69"/>
    <w:rsid w:val="00B46363"/>
    <w:rsid w:val="00B46B04"/>
    <w:rsid w:val="00B46D63"/>
    <w:rsid w:val="00B502CB"/>
    <w:rsid w:val="00B53790"/>
    <w:rsid w:val="00B54201"/>
    <w:rsid w:val="00B5591A"/>
    <w:rsid w:val="00B56380"/>
    <w:rsid w:val="00B57DA5"/>
    <w:rsid w:val="00B601F6"/>
    <w:rsid w:val="00B60584"/>
    <w:rsid w:val="00B6147F"/>
    <w:rsid w:val="00B616AA"/>
    <w:rsid w:val="00B637AE"/>
    <w:rsid w:val="00B640F7"/>
    <w:rsid w:val="00B66306"/>
    <w:rsid w:val="00B71356"/>
    <w:rsid w:val="00B72317"/>
    <w:rsid w:val="00B7460A"/>
    <w:rsid w:val="00B74819"/>
    <w:rsid w:val="00B749BA"/>
    <w:rsid w:val="00B75A11"/>
    <w:rsid w:val="00B76027"/>
    <w:rsid w:val="00B801EC"/>
    <w:rsid w:val="00B80907"/>
    <w:rsid w:val="00B80944"/>
    <w:rsid w:val="00B817B3"/>
    <w:rsid w:val="00B81D5E"/>
    <w:rsid w:val="00B82A65"/>
    <w:rsid w:val="00B82B7A"/>
    <w:rsid w:val="00B83665"/>
    <w:rsid w:val="00B836DC"/>
    <w:rsid w:val="00B83CFB"/>
    <w:rsid w:val="00B83CFF"/>
    <w:rsid w:val="00B84B5D"/>
    <w:rsid w:val="00B84D1A"/>
    <w:rsid w:val="00B85591"/>
    <w:rsid w:val="00B85891"/>
    <w:rsid w:val="00B870C4"/>
    <w:rsid w:val="00B9109D"/>
    <w:rsid w:val="00B92F64"/>
    <w:rsid w:val="00B963B9"/>
    <w:rsid w:val="00B9640D"/>
    <w:rsid w:val="00BA02E3"/>
    <w:rsid w:val="00BA0C91"/>
    <w:rsid w:val="00BA0DB9"/>
    <w:rsid w:val="00BA149A"/>
    <w:rsid w:val="00BA1B13"/>
    <w:rsid w:val="00BA2499"/>
    <w:rsid w:val="00BA3002"/>
    <w:rsid w:val="00BA468A"/>
    <w:rsid w:val="00BA6780"/>
    <w:rsid w:val="00BA722B"/>
    <w:rsid w:val="00BB16C5"/>
    <w:rsid w:val="00BB7F1E"/>
    <w:rsid w:val="00BC028C"/>
    <w:rsid w:val="00BC1277"/>
    <w:rsid w:val="00BC1DC3"/>
    <w:rsid w:val="00BC3EE5"/>
    <w:rsid w:val="00BC4262"/>
    <w:rsid w:val="00BC4ECB"/>
    <w:rsid w:val="00BC4EE5"/>
    <w:rsid w:val="00BC55D0"/>
    <w:rsid w:val="00BC584E"/>
    <w:rsid w:val="00BC7A57"/>
    <w:rsid w:val="00BD23A3"/>
    <w:rsid w:val="00BD287F"/>
    <w:rsid w:val="00BD2B03"/>
    <w:rsid w:val="00BD4790"/>
    <w:rsid w:val="00BD509F"/>
    <w:rsid w:val="00BD7CD9"/>
    <w:rsid w:val="00BD7D63"/>
    <w:rsid w:val="00BE0CB4"/>
    <w:rsid w:val="00BE1C45"/>
    <w:rsid w:val="00BE1C88"/>
    <w:rsid w:val="00BE25C3"/>
    <w:rsid w:val="00BE2BC1"/>
    <w:rsid w:val="00BE55E8"/>
    <w:rsid w:val="00BE62FD"/>
    <w:rsid w:val="00BE669D"/>
    <w:rsid w:val="00BE6B7E"/>
    <w:rsid w:val="00BE78A2"/>
    <w:rsid w:val="00BF0183"/>
    <w:rsid w:val="00BF43A1"/>
    <w:rsid w:val="00BF61CC"/>
    <w:rsid w:val="00BF6270"/>
    <w:rsid w:val="00C000E3"/>
    <w:rsid w:val="00C01256"/>
    <w:rsid w:val="00C026D6"/>
    <w:rsid w:val="00C060B6"/>
    <w:rsid w:val="00C072BB"/>
    <w:rsid w:val="00C100AF"/>
    <w:rsid w:val="00C12622"/>
    <w:rsid w:val="00C1473D"/>
    <w:rsid w:val="00C16447"/>
    <w:rsid w:val="00C17031"/>
    <w:rsid w:val="00C1703E"/>
    <w:rsid w:val="00C17416"/>
    <w:rsid w:val="00C21011"/>
    <w:rsid w:val="00C221BA"/>
    <w:rsid w:val="00C2241D"/>
    <w:rsid w:val="00C236F2"/>
    <w:rsid w:val="00C256F5"/>
    <w:rsid w:val="00C26745"/>
    <w:rsid w:val="00C26934"/>
    <w:rsid w:val="00C27E88"/>
    <w:rsid w:val="00C30AC4"/>
    <w:rsid w:val="00C32058"/>
    <w:rsid w:val="00C3286E"/>
    <w:rsid w:val="00C331C1"/>
    <w:rsid w:val="00C342B1"/>
    <w:rsid w:val="00C343A6"/>
    <w:rsid w:val="00C345A0"/>
    <w:rsid w:val="00C3679A"/>
    <w:rsid w:val="00C36E82"/>
    <w:rsid w:val="00C40707"/>
    <w:rsid w:val="00C4147E"/>
    <w:rsid w:val="00C43A10"/>
    <w:rsid w:val="00C443B9"/>
    <w:rsid w:val="00C44720"/>
    <w:rsid w:val="00C45D60"/>
    <w:rsid w:val="00C46283"/>
    <w:rsid w:val="00C47EFC"/>
    <w:rsid w:val="00C51514"/>
    <w:rsid w:val="00C51BF0"/>
    <w:rsid w:val="00C51EC5"/>
    <w:rsid w:val="00C521B0"/>
    <w:rsid w:val="00C52528"/>
    <w:rsid w:val="00C52F6F"/>
    <w:rsid w:val="00C531DF"/>
    <w:rsid w:val="00C55574"/>
    <w:rsid w:val="00C556E8"/>
    <w:rsid w:val="00C56A19"/>
    <w:rsid w:val="00C57911"/>
    <w:rsid w:val="00C64A9A"/>
    <w:rsid w:val="00C6550C"/>
    <w:rsid w:val="00C66935"/>
    <w:rsid w:val="00C70684"/>
    <w:rsid w:val="00C70732"/>
    <w:rsid w:val="00C7395A"/>
    <w:rsid w:val="00C73F1F"/>
    <w:rsid w:val="00C74780"/>
    <w:rsid w:val="00C74A43"/>
    <w:rsid w:val="00C74DEB"/>
    <w:rsid w:val="00C74F12"/>
    <w:rsid w:val="00C773CF"/>
    <w:rsid w:val="00C800BC"/>
    <w:rsid w:val="00C8042C"/>
    <w:rsid w:val="00C81EFD"/>
    <w:rsid w:val="00C8205D"/>
    <w:rsid w:val="00C829A6"/>
    <w:rsid w:val="00C82AA9"/>
    <w:rsid w:val="00C82E51"/>
    <w:rsid w:val="00C830B3"/>
    <w:rsid w:val="00C84DE7"/>
    <w:rsid w:val="00C871CE"/>
    <w:rsid w:val="00C87576"/>
    <w:rsid w:val="00C90CED"/>
    <w:rsid w:val="00C9112B"/>
    <w:rsid w:val="00C91580"/>
    <w:rsid w:val="00C93141"/>
    <w:rsid w:val="00C9369B"/>
    <w:rsid w:val="00C93ED8"/>
    <w:rsid w:val="00C95DD2"/>
    <w:rsid w:val="00C960FF"/>
    <w:rsid w:val="00C96AD2"/>
    <w:rsid w:val="00CA05C9"/>
    <w:rsid w:val="00CA07A5"/>
    <w:rsid w:val="00CA0F86"/>
    <w:rsid w:val="00CA107C"/>
    <w:rsid w:val="00CA3593"/>
    <w:rsid w:val="00CA3985"/>
    <w:rsid w:val="00CA4557"/>
    <w:rsid w:val="00CA5362"/>
    <w:rsid w:val="00CB1332"/>
    <w:rsid w:val="00CB279D"/>
    <w:rsid w:val="00CB27C5"/>
    <w:rsid w:val="00CB2854"/>
    <w:rsid w:val="00CB2926"/>
    <w:rsid w:val="00CB3795"/>
    <w:rsid w:val="00CB3FF8"/>
    <w:rsid w:val="00CB4621"/>
    <w:rsid w:val="00CB5471"/>
    <w:rsid w:val="00CB6FE2"/>
    <w:rsid w:val="00CB78DC"/>
    <w:rsid w:val="00CC0BCB"/>
    <w:rsid w:val="00CC0E1A"/>
    <w:rsid w:val="00CC1087"/>
    <w:rsid w:val="00CC1F92"/>
    <w:rsid w:val="00CC2B61"/>
    <w:rsid w:val="00CC31CE"/>
    <w:rsid w:val="00CC4543"/>
    <w:rsid w:val="00CC6206"/>
    <w:rsid w:val="00CC7870"/>
    <w:rsid w:val="00CC7B6C"/>
    <w:rsid w:val="00CD08BB"/>
    <w:rsid w:val="00CD1692"/>
    <w:rsid w:val="00CD16A7"/>
    <w:rsid w:val="00CD2089"/>
    <w:rsid w:val="00CD3F77"/>
    <w:rsid w:val="00CD407C"/>
    <w:rsid w:val="00CD4748"/>
    <w:rsid w:val="00CD4D53"/>
    <w:rsid w:val="00CD589E"/>
    <w:rsid w:val="00CD7275"/>
    <w:rsid w:val="00CD74BF"/>
    <w:rsid w:val="00CE0D29"/>
    <w:rsid w:val="00CE1A3C"/>
    <w:rsid w:val="00CE2358"/>
    <w:rsid w:val="00CE2EB7"/>
    <w:rsid w:val="00CE452E"/>
    <w:rsid w:val="00CE49D1"/>
    <w:rsid w:val="00CE5A0E"/>
    <w:rsid w:val="00CE5D7E"/>
    <w:rsid w:val="00CE7405"/>
    <w:rsid w:val="00CF0EC7"/>
    <w:rsid w:val="00CF2427"/>
    <w:rsid w:val="00CF2C5E"/>
    <w:rsid w:val="00CF2E6E"/>
    <w:rsid w:val="00CF356D"/>
    <w:rsid w:val="00CF464F"/>
    <w:rsid w:val="00CF5415"/>
    <w:rsid w:val="00CF62C6"/>
    <w:rsid w:val="00CF62F4"/>
    <w:rsid w:val="00CF7203"/>
    <w:rsid w:val="00CF789A"/>
    <w:rsid w:val="00CF7D82"/>
    <w:rsid w:val="00D00B93"/>
    <w:rsid w:val="00D03ACC"/>
    <w:rsid w:val="00D0409F"/>
    <w:rsid w:val="00D04513"/>
    <w:rsid w:val="00D050CD"/>
    <w:rsid w:val="00D05DA8"/>
    <w:rsid w:val="00D06BD5"/>
    <w:rsid w:val="00D06DD7"/>
    <w:rsid w:val="00D105DE"/>
    <w:rsid w:val="00D10C6A"/>
    <w:rsid w:val="00D12EA4"/>
    <w:rsid w:val="00D12EB1"/>
    <w:rsid w:val="00D1307E"/>
    <w:rsid w:val="00D134FF"/>
    <w:rsid w:val="00D15D41"/>
    <w:rsid w:val="00D16346"/>
    <w:rsid w:val="00D16E62"/>
    <w:rsid w:val="00D178FF"/>
    <w:rsid w:val="00D202DA"/>
    <w:rsid w:val="00D214FF"/>
    <w:rsid w:val="00D22016"/>
    <w:rsid w:val="00D22DFE"/>
    <w:rsid w:val="00D2328E"/>
    <w:rsid w:val="00D238E0"/>
    <w:rsid w:val="00D239BF"/>
    <w:rsid w:val="00D23A5E"/>
    <w:rsid w:val="00D24549"/>
    <w:rsid w:val="00D25BCE"/>
    <w:rsid w:val="00D25D58"/>
    <w:rsid w:val="00D30885"/>
    <w:rsid w:val="00D316CA"/>
    <w:rsid w:val="00D3657A"/>
    <w:rsid w:val="00D3690C"/>
    <w:rsid w:val="00D36D92"/>
    <w:rsid w:val="00D37508"/>
    <w:rsid w:val="00D37A18"/>
    <w:rsid w:val="00D37E44"/>
    <w:rsid w:val="00D4172A"/>
    <w:rsid w:val="00D42AC3"/>
    <w:rsid w:val="00D43555"/>
    <w:rsid w:val="00D4591C"/>
    <w:rsid w:val="00D45BBF"/>
    <w:rsid w:val="00D51B53"/>
    <w:rsid w:val="00D52F11"/>
    <w:rsid w:val="00D53859"/>
    <w:rsid w:val="00D55A2B"/>
    <w:rsid w:val="00D57761"/>
    <w:rsid w:val="00D6098D"/>
    <w:rsid w:val="00D61692"/>
    <w:rsid w:val="00D616DB"/>
    <w:rsid w:val="00D62651"/>
    <w:rsid w:val="00D626AC"/>
    <w:rsid w:val="00D62CA7"/>
    <w:rsid w:val="00D649A1"/>
    <w:rsid w:val="00D64AEB"/>
    <w:rsid w:val="00D73279"/>
    <w:rsid w:val="00D73CBE"/>
    <w:rsid w:val="00D73E35"/>
    <w:rsid w:val="00D75358"/>
    <w:rsid w:val="00D753CB"/>
    <w:rsid w:val="00D758B4"/>
    <w:rsid w:val="00D7745A"/>
    <w:rsid w:val="00D779C3"/>
    <w:rsid w:val="00D8104B"/>
    <w:rsid w:val="00D83356"/>
    <w:rsid w:val="00D833CD"/>
    <w:rsid w:val="00D837DF"/>
    <w:rsid w:val="00D86A68"/>
    <w:rsid w:val="00D87129"/>
    <w:rsid w:val="00D91218"/>
    <w:rsid w:val="00D92FF5"/>
    <w:rsid w:val="00D93015"/>
    <w:rsid w:val="00D9452C"/>
    <w:rsid w:val="00D94E89"/>
    <w:rsid w:val="00D96293"/>
    <w:rsid w:val="00D968F8"/>
    <w:rsid w:val="00D969E8"/>
    <w:rsid w:val="00D96D94"/>
    <w:rsid w:val="00D97747"/>
    <w:rsid w:val="00D978A6"/>
    <w:rsid w:val="00DA1430"/>
    <w:rsid w:val="00DA162B"/>
    <w:rsid w:val="00DA181C"/>
    <w:rsid w:val="00DA1B09"/>
    <w:rsid w:val="00DA2361"/>
    <w:rsid w:val="00DA4461"/>
    <w:rsid w:val="00DA6862"/>
    <w:rsid w:val="00DA6915"/>
    <w:rsid w:val="00DB337E"/>
    <w:rsid w:val="00DB4093"/>
    <w:rsid w:val="00DB41AD"/>
    <w:rsid w:val="00DB41D8"/>
    <w:rsid w:val="00DB4EAE"/>
    <w:rsid w:val="00DB5165"/>
    <w:rsid w:val="00DB56AA"/>
    <w:rsid w:val="00DB58BC"/>
    <w:rsid w:val="00DB5CB2"/>
    <w:rsid w:val="00DB5D09"/>
    <w:rsid w:val="00DB6954"/>
    <w:rsid w:val="00DB7173"/>
    <w:rsid w:val="00DB73DC"/>
    <w:rsid w:val="00DC0AE7"/>
    <w:rsid w:val="00DC2321"/>
    <w:rsid w:val="00DC2A2D"/>
    <w:rsid w:val="00DC335F"/>
    <w:rsid w:val="00DC3CE9"/>
    <w:rsid w:val="00DC3FE9"/>
    <w:rsid w:val="00DC41B5"/>
    <w:rsid w:val="00DC4624"/>
    <w:rsid w:val="00DC5003"/>
    <w:rsid w:val="00DC51A9"/>
    <w:rsid w:val="00DC53F2"/>
    <w:rsid w:val="00DC5ABF"/>
    <w:rsid w:val="00DC6151"/>
    <w:rsid w:val="00DC7509"/>
    <w:rsid w:val="00DD0E86"/>
    <w:rsid w:val="00DD10E1"/>
    <w:rsid w:val="00DD1B0E"/>
    <w:rsid w:val="00DD29A3"/>
    <w:rsid w:val="00DD2ACA"/>
    <w:rsid w:val="00DD2C74"/>
    <w:rsid w:val="00DD4804"/>
    <w:rsid w:val="00DD4A26"/>
    <w:rsid w:val="00DD4D6B"/>
    <w:rsid w:val="00DD5E03"/>
    <w:rsid w:val="00DD5F45"/>
    <w:rsid w:val="00DD63FC"/>
    <w:rsid w:val="00DD71D0"/>
    <w:rsid w:val="00DE085B"/>
    <w:rsid w:val="00DE1092"/>
    <w:rsid w:val="00DE5264"/>
    <w:rsid w:val="00DE61FC"/>
    <w:rsid w:val="00DF07BD"/>
    <w:rsid w:val="00DF10DF"/>
    <w:rsid w:val="00DF1324"/>
    <w:rsid w:val="00DF2539"/>
    <w:rsid w:val="00DF2675"/>
    <w:rsid w:val="00DF36B1"/>
    <w:rsid w:val="00DF372C"/>
    <w:rsid w:val="00DF41C9"/>
    <w:rsid w:val="00DF4532"/>
    <w:rsid w:val="00DF5343"/>
    <w:rsid w:val="00DF68FE"/>
    <w:rsid w:val="00DF7DD5"/>
    <w:rsid w:val="00E003F1"/>
    <w:rsid w:val="00E00EC8"/>
    <w:rsid w:val="00E0121C"/>
    <w:rsid w:val="00E01BA4"/>
    <w:rsid w:val="00E022E5"/>
    <w:rsid w:val="00E023ED"/>
    <w:rsid w:val="00E052B7"/>
    <w:rsid w:val="00E0695D"/>
    <w:rsid w:val="00E06FE4"/>
    <w:rsid w:val="00E1026D"/>
    <w:rsid w:val="00E1085B"/>
    <w:rsid w:val="00E109D3"/>
    <w:rsid w:val="00E11CE6"/>
    <w:rsid w:val="00E13E4A"/>
    <w:rsid w:val="00E15632"/>
    <w:rsid w:val="00E1613C"/>
    <w:rsid w:val="00E164DC"/>
    <w:rsid w:val="00E169D0"/>
    <w:rsid w:val="00E17317"/>
    <w:rsid w:val="00E17AA8"/>
    <w:rsid w:val="00E20052"/>
    <w:rsid w:val="00E20146"/>
    <w:rsid w:val="00E2181C"/>
    <w:rsid w:val="00E221D2"/>
    <w:rsid w:val="00E23B1C"/>
    <w:rsid w:val="00E255BF"/>
    <w:rsid w:val="00E2560B"/>
    <w:rsid w:val="00E26189"/>
    <w:rsid w:val="00E26CC0"/>
    <w:rsid w:val="00E27011"/>
    <w:rsid w:val="00E276B3"/>
    <w:rsid w:val="00E27D97"/>
    <w:rsid w:val="00E30771"/>
    <w:rsid w:val="00E311C4"/>
    <w:rsid w:val="00E3144C"/>
    <w:rsid w:val="00E33864"/>
    <w:rsid w:val="00E360F1"/>
    <w:rsid w:val="00E36D88"/>
    <w:rsid w:val="00E377F2"/>
    <w:rsid w:val="00E40F81"/>
    <w:rsid w:val="00E424D3"/>
    <w:rsid w:val="00E436A2"/>
    <w:rsid w:val="00E439B5"/>
    <w:rsid w:val="00E44558"/>
    <w:rsid w:val="00E46438"/>
    <w:rsid w:val="00E47954"/>
    <w:rsid w:val="00E51B92"/>
    <w:rsid w:val="00E5327C"/>
    <w:rsid w:val="00E53E72"/>
    <w:rsid w:val="00E54AFA"/>
    <w:rsid w:val="00E54E8D"/>
    <w:rsid w:val="00E54FEA"/>
    <w:rsid w:val="00E55B3B"/>
    <w:rsid w:val="00E5600B"/>
    <w:rsid w:val="00E56710"/>
    <w:rsid w:val="00E61619"/>
    <w:rsid w:val="00E63F39"/>
    <w:rsid w:val="00E64C32"/>
    <w:rsid w:val="00E67156"/>
    <w:rsid w:val="00E67CFC"/>
    <w:rsid w:val="00E7054F"/>
    <w:rsid w:val="00E70C52"/>
    <w:rsid w:val="00E71832"/>
    <w:rsid w:val="00E73707"/>
    <w:rsid w:val="00E73970"/>
    <w:rsid w:val="00E73A02"/>
    <w:rsid w:val="00E743C2"/>
    <w:rsid w:val="00E74F00"/>
    <w:rsid w:val="00E74F46"/>
    <w:rsid w:val="00E76166"/>
    <w:rsid w:val="00E7746B"/>
    <w:rsid w:val="00E77EBF"/>
    <w:rsid w:val="00E806AD"/>
    <w:rsid w:val="00E81890"/>
    <w:rsid w:val="00E823CD"/>
    <w:rsid w:val="00E8427B"/>
    <w:rsid w:val="00E85273"/>
    <w:rsid w:val="00E87CBB"/>
    <w:rsid w:val="00E91310"/>
    <w:rsid w:val="00E93A35"/>
    <w:rsid w:val="00E93ED8"/>
    <w:rsid w:val="00E94A17"/>
    <w:rsid w:val="00E94C12"/>
    <w:rsid w:val="00E96326"/>
    <w:rsid w:val="00E973C3"/>
    <w:rsid w:val="00E9749C"/>
    <w:rsid w:val="00E977A1"/>
    <w:rsid w:val="00E977DD"/>
    <w:rsid w:val="00EA04D0"/>
    <w:rsid w:val="00EA0B24"/>
    <w:rsid w:val="00EA1575"/>
    <w:rsid w:val="00EA2B9D"/>
    <w:rsid w:val="00EA3A97"/>
    <w:rsid w:val="00EA5342"/>
    <w:rsid w:val="00EA540B"/>
    <w:rsid w:val="00EA5EEB"/>
    <w:rsid w:val="00EA6B1C"/>
    <w:rsid w:val="00EB1BCC"/>
    <w:rsid w:val="00EB1C6E"/>
    <w:rsid w:val="00EB2A93"/>
    <w:rsid w:val="00EB44A6"/>
    <w:rsid w:val="00EB44CF"/>
    <w:rsid w:val="00EB49D1"/>
    <w:rsid w:val="00EB51C7"/>
    <w:rsid w:val="00EB51D4"/>
    <w:rsid w:val="00EB6A4D"/>
    <w:rsid w:val="00EB6E66"/>
    <w:rsid w:val="00EB71DC"/>
    <w:rsid w:val="00EC0075"/>
    <w:rsid w:val="00EC1AFD"/>
    <w:rsid w:val="00EC1DAF"/>
    <w:rsid w:val="00EC2812"/>
    <w:rsid w:val="00EC3511"/>
    <w:rsid w:val="00EC3C12"/>
    <w:rsid w:val="00EC4ECE"/>
    <w:rsid w:val="00EC50B6"/>
    <w:rsid w:val="00EC5FE4"/>
    <w:rsid w:val="00EC5FF0"/>
    <w:rsid w:val="00EC680E"/>
    <w:rsid w:val="00EC6954"/>
    <w:rsid w:val="00EC70FA"/>
    <w:rsid w:val="00EC7C7B"/>
    <w:rsid w:val="00ED0FB5"/>
    <w:rsid w:val="00ED5A78"/>
    <w:rsid w:val="00ED7EB0"/>
    <w:rsid w:val="00EE28AB"/>
    <w:rsid w:val="00EE39AD"/>
    <w:rsid w:val="00EE410C"/>
    <w:rsid w:val="00EE76AD"/>
    <w:rsid w:val="00EE78C0"/>
    <w:rsid w:val="00EE7E1E"/>
    <w:rsid w:val="00EE7EEC"/>
    <w:rsid w:val="00EF0FBA"/>
    <w:rsid w:val="00EF2327"/>
    <w:rsid w:val="00EF2443"/>
    <w:rsid w:val="00EF3A6C"/>
    <w:rsid w:val="00EF4834"/>
    <w:rsid w:val="00EF5690"/>
    <w:rsid w:val="00EF58B5"/>
    <w:rsid w:val="00EF5BB3"/>
    <w:rsid w:val="00EF5D71"/>
    <w:rsid w:val="00EF6466"/>
    <w:rsid w:val="00EF7659"/>
    <w:rsid w:val="00EF7CF5"/>
    <w:rsid w:val="00EF7D54"/>
    <w:rsid w:val="00F000FE"/>
    <w:rsid w:val="00F018BB"/>
    <w:rsid w:val="00F01F4E"/>
    <w:rsid w:val="00F0440D"/>
    <w:rsid w:val="00F0483A"/>
    <w:rsid w:val="00F05D25"/>
    <w:rsid w:val="00F05F76"/>
    <w:rsid w:val="00F0651B"/>
    <w:rsid w:val="00F0732E"/>
    <w:rsid w:val="00F077C2"/>
    <w:rsid w:val="00F07EF1"/>
    <w:rsid w:val="00F07FCE"/>
    <w:rsid w:val="00F11C74"/>
    <w:rsid w:val="00F129F4"/>
    <w:rsid w:val="00F13304"/>
    <w:rsid w:val="00F13B6B"/>
    <w:rsid w:val="00F13CA8"/>
    <w:rsid w:val="00F1620A"/>
    <w:rsid w:val="00F167FA"/>
    <w:rsid w:val="00F1769E"/>
    <w:rsid w:val="00F2044E"/>
    <w:rsid w:val="00F2082B"/>
    <w:rsid w:val="00F20E35"/>
    <w:rsid w:val="00F2216E"/>
    <w:rsid w:val="00F22632"/>
    <w:rsid w:val="00F22BE6"/>
    <w:rsid w:val="00F232D0"/>
    <w:rsid w:val="00F236D3"/>
    <w:rsid w:val="00F25D4D"/>
    <w:rsid w:val="00F266AC"/>
    <w:rsid w:val="00F303AE"/>
    <w:rsid w:val="00F321A2"/>
    <w:rsid w:val="00F349F3"/>
    <w:rsid w:val="00F37576"/>
    <w:rsid w:val="00F377A5"/>
    <w:rsid w:val="00F406B0"/>
    <w:rsid w:val="00F416E8"/>
    <w:rsid w:val="00F44104"/>
    <w:rsid w:val="00F45D4B"/>
    <w:rsid w:val="00F46366"/>
    <w:rsid w:val="00F46CC3"/>
    <w:rsid w:val="00F5061E"/>
    <w:rsid w:val="00F519FF"/>
    <w:rsid w:val="00F521A8"/>
    <w:rsid w:val="00F52D9D"/>
    <w:rsid w:val="00F52DBE"/>
    <w:rsid w:val="00F54A39"/>
    <w:rsid w:val="00F564BE"/>
    <w:rsid w:val="00F5659C"/>
    <w:rsid w:val="00F56D66"/>
    <w:rsid w:val="00F575EF"/>
    <w:rsid w:val="00F6021F"/>
    <w:rsid w:val="00F61C18"/>
    <w:rsid w:val="00F63D40"/>
    <w:rsid w:val="00F65789"/>
    <w:rsid w:val="00F676CB"/>
    <w:rsid w:val="00F70240"/>
    <w:rsid w:val="00F7050E"/>
    <w:rsid w:val="00F72F34"/>
    <w:rsid w:val="00F73015"/>
    <w:rsid w:val="00F73461"/>
    <w:rsid w:val="00F737C4"/>
    <w:rsid w:val="00F73830"/>
    <w:rsid w:val="00F74CFD"/>
    <w:rsid w:val="00F74F8E"/>
    <w:rsid w:val="00F75FFE"/>
    <w:rsid w:val="00F76A29"/>
    <w:rsid w:val="00F776FA"/>
    <w:rsid w:val="00F810DE"/>
    <w:rsid w:val="00F81D4D"/>
    <w:rsid w:val="00F8353F"/>
    <w:rsid w:val="00F84379"/>
    <w:rsid w:val="00F85168"/>
    <w:rsid w:val="00F85ECE"/>
    <w:rsid w:val="00F86B4F"/>
    <w:rsid w:val="00F87BF3"/>
    <w:rsid w:val="00F90F94"/>
    <w:rsid w:val="00F914F0"/>
    <w:rsid w:val="00F92576"/>
    <w:rsid w:val="00F92F53"/>
    <w:rsid w:val="00F930C3"/>
    <w:rsid w:val="00F93BFA"/>
    <w:rsid w:val="00F9479D"/>
    <w:rsid w:val="00F96379"/>
    <w:rsid w:val="00FA06F0"/>
    <w:rsid w:val="00FA1477"/>
    <w:rsid w:val="00FA2D55"/>
    <w:rsid w:val="00FA3EC6"/>
    <w:rsid w:val="00FA5095"/>
    <w:rsid w:val="00FA6194"/>
    <w:rsid w:val="00FA66A5"/>
    <w:rsid w:val="00FA672E"/>
    <w:rsid w:val="00FA727B"/>
    <w:rsid w:val="00FA7904"/>
    <w:rsid w:val="00FA7CED"/>
    <w:rsid w:val="00FB17E9"/>
    <w:rsid w:val="00FB191C"/>
    <w:rsid w:val="00FB2DB5"/>
    <w:rsid w:val="00FB36F7"/>
    <w:rsid w:val="00FB3C65"/>
    <w:rsid w:val="00FB3E69"/>
    <w:rsid w:val="00FB3F65"/>
    <w:rsid w:val="00FB5470"/>
    <w:rsid w:val="00FB7353"/>
    <w:rsid w:val="00FC0091"/>
    <w:rsid w:val="00FC0CF1"/>
    <w:rsid w:val="00FC1896"/>
    <w:rsid w:val="00FC2A5A"/>
    <w:rsid w:val="00FC2CDF"/>
    <w:rsid w:val="00FC37B6"/>
    <w:rsid w:val="00FC4D28"/>
    <w:rsid w:val="00FC520F"/>
    <w:rsid w:val="00FC5307"/>
    <w:rsid w:val="00FC56BB"/>
    <w:rsid w:val="00FC6896"/>
    <w:rsid w:val="00FC6E4A"/>
    <w:rsid w:val="00FC75BB"/>
    <w:rsid w:val="00FC7EA1"/>
    <w:rsid w:val="00FC7EAF"/>
    <w:rsid w:val="00FD0040"/>
    <w:rsid w:val="00FD17BC"/>
    <w:rsid w:val="00FD2669"/>
    <w:rsid w:val="00FD2670"/>
    <w:rsid w:val="00FD3179"/>
    <w:rsid w:val="00FD4674"/>
    <w:rsid w:val="00FD6222"/>
    <w:rsid w:val="00FE0667"/>
    <w:rsid w:val="00FE152E"/>
    <w:rsid w:val="00FE18D1"/>
    <w:rsid w:val="00FE4E1C"/>
    <w:rsid w:val="00FE7D51"/>
    <w:rsid w:val="00FF017A"/>
    <w:rsid w:val="00FF03BB"/>
    <w:rsid w:val="00FF4E99"/>
    <w:rsid w:val="00FF7E22"/>
    <w:rsid w:val="31F516E3"/>
    <w:rsid w:val="379E7E85"/>
    <w:rsid w:val="3D449CB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997557"/>
  <w15:docId w15:val="{BCFA47D3-4508-4463-BCC6-E59D06002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ource Sans Pro" w:eastAsia="Source Sans Pro" w:hAnsi="Source Sans Pro" w:cs="Source Sans Pro"/>
        <w:color w:val="1C3001"/>
        <w:lang w:val="da" w:eastAsia="da-DK" w:bidi="ar-SA"/>
      </w:rPr>
    </w:rPrDefault>
    <w:pPrDefault>
      <w:pPr>
        <w:spacing w:line="276" w:lineRule="auto"/>
        <w:ind w:left="-283"/>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7FCE"/>
    <w:rPr>
      <w:lang w:val="en-US"/>
    </w:rPr>
  </w:style>
  <w:style w:type="paragraph" w:styleId="Heading1">
    <w:name w:val="heading 1"/>
    <w:aliases w:val="Title 1"/>
    <w:basedOn w:val="Normal"/>
    <w:next w:val="Normal"/>
    <w:link w:val="Heading1Char"/>
    <w:uiPriority w:val="9"/>
    <w:qFormat/>
    <w:rsid w:val="0071557F"/>
    <w:pPr>
      <w:keepNext/>
      <w:keepLines/>
      <w:numPr>
        <w:numId w:val="1"/>
      </w:numPr>
      <w:outlineLvl w:val="0"/>
    </w:pPr>
    <w:rPr>
      <w:rFonts w:ascii="Source Serif Pro" w:eastAsia="Source Serif Pro" w:hAnsi="Source Serif Pro" w:cs="Source Serif Pro"/>
      <w:b/>
      <w:sz w:val="30"/>
      <w:szCs w:val="30"/>
    </w:rPr>
  </w:style>
  <w:style w:type="paragraph" w:styleId="Heading2">
    <w:name w:val="heading 2"/>
    <w:basedOn w:val="Normal"/>
    <w:next w:val="Normal"/>
    <w:link w:val="Heading2Char"/>
    <w:uiPriority w:val="9"/>
    <w:unhideWhenUsed/>
    <w:qFormat/>
    <w:pPr>
      <w:keepNext/>
      <w:keepLines/>
      <w:numPr>
        <w:ilvl w:val="1"/>
        <w:numId w:val="1"/>
      </w:numPr>
      <w:outlineLvl w:val="1"/>
    </w:pPr>
    <w:rPr>
      <w:b/>
      <w:sz w:val="24"/>
      <w:szCs w:val="24"/>
    </w:rPr>
  </w:style>
  <w:style w:type="paragraph" w:styleId="Heading3">
    <w:name w:val="heading 3"/>
    <w:basedOn w:val="Normal"/>
    <w:next w:val="Normal"/>
    <w:link w:val="Heading3Char"/>
    <w:uiPriority w:val="9"/>
    <w:unhideWhenUsed/>
    <w:qFormat/>
    <w:pPr>
      <w:keepNext/>
      <w:keepLines/>
      <w:numPr>
        <w:ilvl w:val="2"/>
        <w:numId w:val="1"/>
      </w:numPr>
      <w:outlineLvl w:val="2"/>
    </w:pPr>
    <w:rPr>
      <w:b/>
      <w:sz w:val="22"/>
      <w:szCs w:val="22"/>
    </w:rPr>
  </w:style>
  <w:style w:type="paragraph" w:styleId="Heading4">
    <w:name w:val="heading 4"/>
    <w:basedOn w:val="Normal"/>
    <w:next w:val="Normal"/>
    <w:link w:val="Heading4Char"/>
    <w:uiPriority w:val="9"/>
    <w:unhideWhenUsed/>
    <w:qFormat/>
    <w:pPr>
      <w:keepNext/>
      <w:keepLines/>
      <w:numPr>
        <w:ilvl w:val="3"/>
        <w:numId w:val="1"/>
      </w:numPr>
      <w:outlineLvl w:val="3"/>
    </w:pPr>
    <w:rPr>
      <w:rFonts w:ascii="Source Sans Pro SemiBold" w:eastAsia="Source Sans Pro SemiBold" w:hAnsi="Source Sans Pro SemiBold" w:cs="Source Sans Pro SemiBold"/>
    </w:rPr>
  </w:style>
  <w:style w:type="paragraph" w:styleId="Heading5">
    <w:name w:val="heading 5"/>
    <w:basedOn w:val="Normal"/>
    <w:next w:val="Normal"/>
    <w:link w:val="Heading5Char"/>
    <w:uiPriority w:val="9"/>
    <w:semiHidden/>
    <w:unhideWhenUsed/>
    <w:qFormat/>
    <w:pPr>
      <w:keepNext/>
      <w:keepLines/>
      <w:numPr>
        <w:ilvl w:val="4"/>
        <w:numId w:val="1"/>
      </w:numPr>
      <w:spacing w:before="240" w:after="80"/>
      <w:outlineLvl w:val="4"/>
    </w:pPr>
    <w:rPr>
      <w:color w:val="666666"/>
      <w:sz w:val="22"/>
      <w:szCs w:val="22"/>
    </w:rPr>
  </w:style>
  <w:style w:type="paragraph" w:styleId="Heading6">
    <w:name w:val="heading 6"/>
    <w:basedOn w:val="Normal"/>
    <w:next w:val="Normal"/>
    <w:link w:val="Heading6Char"/>
    <w:uiPriority w:val="9"/>
    <w:semiHidden/>
    <w:unhideWhenUsed/>
    <w:qFormat/>
    <w:pPr>
      <w:keepNext/>
      <w:keepLines/>
      <w:numPr>
        <w:ilvl w:val="5"/>
        <w:numId w:val="1"/>
      </w:numPr>
      <w:spacing w:before="240" w:after="80"/>
      <w:outlineLvl w:val="5"/>
    </w:pPr>
    <w:rPr>
      <w:i/>
      <w:color w:val="666666"/>
      <w:sz w:val="22"/>
      <w:szCs w:val="22"/>
    </w:rPr>
  </w:style>
  <w:style w:type="paragraph" w:styleId="Heading7">
    <w:name w:val="heading 7"/>
    <w:basedOn w:val="Normal"/>
    <w:next w:val="Normal"/>
    <w:link w:val="Heading7Char"/>
    <w:uiPriority w:val="9"/>
    <w:semiHidden/>
    <w:unhideWhenUsed/>
    <w:qFormat/>
    <w:rsid w:val="00A805C2"/>
    <w:pPr>
      <w:keepNext/>
      <w:keepLines/>
      <w:numPr>
        <w:ilvl w:val="6"/>
        <w:numId w:val="1"/>
      </w:numPr>
      <w:spacing w:before="40"/>
      <w:outlineLvl w:val="6"/>
    </w:pPr>
    <w:rPr>
      <w:rFonts w:asciiTheme="majorHAnsi" w:eastAsiaTheme="majorEastAsia" w:hAnsiTheme="majorHAnsi" w:cstheme="majorBidi"/>
      <w:i/>
      <w:iCs/>
      <w:color w:val="3A6D00" w:themeColor="accent1" w:themeShade="7F"/>
    </w:rPr>
  </w:style>
  <w:style w:type="paragraph" w:styleId="Heading8">
    <w:name w:val="heading 8"/>
    <w:basedOn w:val="Normal"/>
    <w:next w:val="Normal"/>
    <w:link w:val="Heading8Char"/>
    <w:uiPriority w:val="9"/>
    <w:semiHidden/>
    <w:unhideWhenUsed/>
    <w:qFormat/>
    <w:rsid w:val="00A805C2"/>
    <w:pPr>
      <w:keepNext/>
      <w:keepLines/>
      <w:numPr>
        <w:ilvl w:val="7"/>
        <w:numId w:val="1"/>
      </w:numPr>
      <w:spacing w:before="40"/>
      <w:outlineLvl w:val="7"/>
    </w:pPr>
    <w:rPr>
      <w:rFonts w:asciiTheme="majorHAnsi" w:eastAsiaTheme="majorEastAsia" w:hAnsiTheme="majorHAnsi" w:cstheme="majorBidi"/>
      <w:color w:val="437402" w:themeColor="text1" w:themeTint="D8"/>
      <w:sz w:val="21"/>
      <w:szCs w:val="21"/>
    </w:rPr>
  </w:style>
  <w:style w:type="paragraph" w:styleId="Heading9">
    <w:name w:val="heading 9"/>
    <w:basedOn w:val="Normal"/>
    <w:next w:val="Normal"/>
    <w:link w:val="Heading9Char"/>
    <w:uiPriority w:val="9"/>
    <w:semiHidden/>
    <w:unhideWhenUsed/>
    <w:qFormat/>
    <w:rsid w:val="00A805C2"/>
    <w:pPr>
      <w:keepNext/>
      <w:keepLines/>
      <w:numPr>
        <w:ilvl w:val="8"/>
        <w:numId w:val="1"/>
      </w:numPr>
      <w:spacing w:before="40"/>
      <w:outlineLvl w:val="8"/>
    </w:pPr>
    <w:rPr>
      <w:rFonts w:asciiTheme="majorHAnsi" w:eastAsiaTheme="majorEastAsia" w:hAnsiTheme="majorHAnsi" w:cstheme="majorBidi"/>
      <w:i/>
      <w:iCs/>
      <w:color w:val="437402"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1 Char"/>
    <w:basedOn w:val="DefaultParagraphFont"/>
    <w:link w:val="Heading1"/>
    <w:uiPriority w:val="9"/>
    <w:rsid w:val="00412C1D"/>
    <w:rPr>
      <w:rFonts w:ascii="Source Serif Pro" w:eastAsia="Source Serif Pro" w:hAnsi="Source Serif Pro" w:cs="Source Serif Pro"/>
      <w:b/>
      <w:sz w:val="30"/>
      <w:szCs w:val="30"/>
    </w:rPr>
  </w:style>
  <w:style w:type="character" w:customStyle="1" w:styleId="Heading2Char">
    <w:name w:val="Heading 2 Char"/>
    <w:basedOn w:val="DefaultParagraphFont"/>
    <w:link w:val="Heading2"/>
    <w:uiPriority w:val="9"/>
    <w:rsid w:val="00412C1D"/>
    <w:rPr>
      <w:b/>
      <w:sz w:val="24"/>
      <w:szCs w:val="24"/>
    </w:rPr>
  </w:style>
  <w:style w:type="character" w:customStyle="1" w:styleId="Heading3Char">
    <w:name w:val="Heading 3 Char"/>
    <w:basedOn w:val="DefaultParagraphFont"/>
    <w:link w:val="Heading3"/>
    <w:uiPriority w:val="9"/>
    <w:rsid w:val="00412C1D"/>
    <w:rPr>
      <w:b/>
      <w:sz w:val="22"/>
      <w:szCs w:val="22"/>
    </w:rPr>
  </w:style>
  <w:style w:type="character" w:customStyle="1" w:styleId="Heading4Char">
    <w:name w:val="Heading 4 Char"/>
    <w:basedOn w:val="DefaultParagraphFont"/>
    <w:link w:val="Heading4"/>
    <w:uiPriority w:val="9"/>
    <w:rsid w:val="00412C1D"/>
    <w:rPr>
      <w:rFonts w:ascii="Source Sans Pro SemiBold" w:eastAsia="Source Sans Pro SemiBold" w:hAnsi="Source Sans Pro SemiBold" w:cs="Source Sans Pro SemiBold"/>
    </w:rPr>
  </w:style>
  <w:style w:type="character" w:customStyle="1" w:styleId="Heading5Char">
    <w:name w:val="Heading 5 Char"/>
    <w:basedOn w:val="DefaultParagraphFont"/>
    <w:link w:val="Heading5"/>
    <w:uiPriority w:val="9"/>
    <w:semiHidden/>
    <w:rsid w:val="00412C1D"/>
    <w:rPr>
      <w:color w:val="666666"/>
      <w:sz w:val="22"/>
      <w:szCs w:val="22"/>
    </w:rPr>
  </w:style>
  <w:style w:type="character" w:customStyle="1" w:styleId="Heading6Char">
    <w:name w:val="Heading 6 Char"/>
    <w:basedOn w:val="DefaultParagraphFont"/>
    <w:link w:val="Heading6"/>
    <w:uiPriority w:val="9"/>
    <w:semiHidden/>
    <w:rsid w:val="00412C1D"/>
    <w:rPr>
      <w:i/>
      <w:color w:val="666666"/>
      <w:sz w:val="22"/>
      <w:szCs w:val="22"/>
    </w:rPr>
  </w:style>
  <w:style w:type="character" w:customStyle="1" w:styleId="Heading7Char">
    <w:name w:val="Heading 7 Char"/>
    <w:basedOn w:val="DefaultParagraphFont"/>
    <w:link w:val="Heading7"/>
    <w:uiPriority w:val="9"/>
    <w:semiHidden/>
    <w:rsid w:val="00A805C2"/>
    <w:rPr>
      <w:rFonts w:asciiTheme="majorHAnsi" w:eastAsiaTheme="majorEastAsia" w:hAnsiTheme="majorHAnsi" w:cstheme="majorBidi"/>
      <w:i/>
      <w:iCs/>
      <w:color w:val="3A6D00" w:themeColor="accent1" w:themeShade="7F"/>
    </w:rPr>
  </w:style>
  <w:style w:type="character" w:customStyle="1" w:styleId="Heading8Char">
    <w:name w:val="Heading 8 Char"/>
    <w:basedOn w:val="DefaultParagraphFont"/>
    <w:link w:val="Heading8"/>
    <w:uiPriority w:val="9"/>
    <w:semiHidden/>
    <w:rsid w:val="00A805C2"/>
    <w:rPr>
      <w:rFonts w:asciiTheme="majorHAnsi" w:eastAsiaTheme="majorEastAsia" w:hAnsiTheme="majorHAnsi" w:cstheme="majorBidi"/>
      <w:color w:val="437402" w:themeColor="text1" w:themeTint="D8"/>
      <w:sz w:val="21"/>
      <w:szCs w:val="21"/>
    </w:rPr>
  </w:style>
  <w:style w:type="character" w:customStyle="1" w:styleId="Heading9Char">
    <w:name w:val="Heading 9 Char"/>
    <w:basedOn w:val="DefaultParagraphFont"/>
    <w:link w:val="Heading9"/>
    <w:uiPriority w:val="9"/>
    <w:semiHidden/>
    <w:rsid w:val="00A805C2"/>
    <w:rPr>
      <w:rFonts w:asciiTheme="majorHAnsi" w:eastAsiaTheme="majorEastAsia" w:hAnsiTheme="majorHAnsi" w:cstheme="majorBidi"/>
      <w:i/>
      <w:iCs/>
      <w:color w:val="437402" w:themeColor="text1" w:themeTint="D8"/>
      <w:sz w:val="21"/>
      <w:szCs w:val="21"/>
    </w:rPr>
  </w:style>
  <w:style w:type="paragraph" w:styleId="Title">
    <w:name w:val="Title"/>
    <w:basedOn w:val="Normal"/>
    <w:next w:val="Normal"/>
    <w:link w:val="TitleChar"/>
    <w:uiPriority w:val="10"/>
    <w:qFormat/>
    <w:pPr>
      <w:keepNext/>
      <w:keepLines/>
    </w:pPr>
    <w:rPr>
      <w:rFonts w:ascii="Source Serif Pro" w:eastAsia="Source Serif Pro" w:hAnsi="Source Serif Pro" w:cs="Source Serif Pro"/>
      <w:b/>
      <w:sz w:val="48"/>
      <w:szCs w:val="48"/>
    </w:rPr>
  </w:style>
  <w:style w:type="character" w:customStyle="1" w:styleId="TitleChar">
    <w:name w:val="Title Char"/>
    <w:basedOn w:val="DefaultParagraphFont"/>
    <w:link w:val="Title"/>
    <w:uiPriority w:val="10"/>
    <w:rsid w:val="00412C1D"/>
    <w:rPr>
      <w:rFonts w:ascii="Source Serif Pro" w:eastAsia="Source Serif Pro" w:hAnsi="Source Serif Pro" w:cs="Source Serif Pro"/>
      <w:b/>
      <w:sz w:val="48"/>
      <w:szCs w:val="48"/>
    </w:rPr>
  </w:style>
  <w:style w:type="paragraph" w:styleId="Subtitle">
    <w:name w:val="Subtitle"/>
    <w:basedOn w:val="Normal"/>
    <w:next w:val="Normal"/>
    <w:link w:val="SubtitleChar"/>
    <w:uiPriority w:val="11"/>
    <w:qFormat/>
    <w:rsid w:val="00B20D55"/>
    <w:pPr>
      <w:keepNext/>
      <w:keepLines/>
    </w:pPr>
    <w:rPr>
      <w:b/>
      <w:color w:val="538601" w:themeColor="accent2"/>
      <w:sz w:val="28"/>
      <w:szCs w:val="28"/>
    </w:rPr>
  </w:style>
  <w:style w:type="character" w:customStyle="1" w:styleId="SubtitleChar">
    <w:name w:val="Subtitle Char"/>
    <w:basedOn w:val="DefaultParagraphFont"/>
    <w:link w:val="Subtitle"/>
    <w:uiPriority w:val="11"/>
    <w:rsid w:val="00412C1D"/>
    <w:rPr>
      <w:b/>
      <w:color w:val="538601" w:themeColor="accent2"/>
      <w:sz w:val="28"/>
      <w:szCs w:val="2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D214F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2">
    <w:name w:val="Grid Table 5 Dark Accent 2"/>
    <w:basedOn w:val="TableNormal"/>
    <w:uiPriority w:val="50"/>
    <w:rsid w:val="00D214FF"/>
    <w:pPr>
      <w:spacing w:line="240" w:lineRule="auto"/>
    </w:pPr>
    <w:rPr>
      <w:color w:val="1C3001" w:themeColor="text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3860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3860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3860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38601" w:themeFill="accent2"/>
      </w:tcPr>
    </w:tblStylePr>
    <w:tblStylePr w:type="band1Vert">
      <w:tblPr/>
      <w:tcPr>
        <w:shd w:val="clear" w:color="auto" w:fill="C5FE6A" w:themeFill="accent2" w:themeFillTint="66"/>
      </w:tcPr>
    </w:tblStylePr>
    <w:tblStylePr w:type="band1Horz">
      <w:tblPr/>
      <w:tcPr>
        <w:shd w:val="clear" w:color="auto" w:fill="C5FE6A" w:themeFill="accent2" w:themeFillTint="66"/>
      </w:tcPr>
    </w:tblStylePr>
  </w:style>
  <w:style w:type="table" w:styleId="ListTable3-Accent2">
    <w:name w:val="List Table 3 Accent 2"/>
    <w:basedOn w:val="TableNormal"/>
    <w:uiPriority w:val="48"/>
    <w:rsid w:val="00D214FF"/>
    <w:pPr>
      <w:spacing w:line="240" w:lineRule="auto"/>
    </w:pPr>
    <w:tblPr>
      <w:tblStyleRowBandSize w:val="1"/>
      <w:tblStyleColBandSize w:val="1"/>
      <w:tblBorders>
        <w:top w:val="single" w:sz="4" w:space="0" w:color="538601" w:themeColor="accent2"/>
        <w:left w:val="single" w:sz="4" w:space="0" w:color="538601" w:themeColor="accent2"/>
        <w:bottom w:val="single" w:sz="4" w:space="0" w:color="538601" w:themeColor="accent2"/>
        <w:right w:val="single" w:sz="4" w:space="0" w:color="538601" w:themeColor="accent2"/>
      </w:tblBorders>
    </w:tblPr>
    <w:tblStylePr w:type="firstRow">
      <w:rPr>
        <w:b/>
        <w:bCs/>
        <w:color w:val="FFFFFF" w:themeColor="background1"/>
      </w:rPr>
      <w:tblPr/>
      <w:tcPr>
        <w:shd w:val="clear" w:color="auto" w:fill="538601" w:themeFill="accent2"/>
      </w:tcPr>
    </w:tblStylePr>
    <w:tblStylePr w:type="lastRow">
      <w:rPr>
        <w:b/>
        <w:bCs/>
      </w:rPr>
      <w:tblPr/>
      <w:tcPr>
        <w:tcBorders>
          <w:top w:val="double" w:sz="4" w:space="0" w:color="53860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38601" w:themeColor="accent2"/>
          <w:right w:val="single" w:sz="4" w:space="0" w:color="538601" w:themeColor="accent2"/>
        </w:tcBorders>
      </w:tcPr>
    </w:tblStylePr>
    <w:tblStylePr w:type="band1Horz">
      <w:tblPr/>
      <w:tcPr>
        <w:tcBorders>
          <w:top w:val="single" w:sz="4" w:space="0" w:color="538601" w:themeColor="accent2"/>
          <w:bottom w:val="single" w:sz="4" w:space="0" w:color="53860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38601" w:themeColor="accent2"/>
          <w:left w:val="nil"/>
        </w:tcBorders>
      </w:tcPr>
    </w:tblStylePr>
    <w:tblStylePr w:type="swCell">
      <w:tblPr/>
      <w:tcPr>
        <w:tcBorders>
          <w:top w:val="double" w:sz="4" w:space="0" w:color="538601" w:themeColor="accent2"/>
          <w:right w:val="nil"/>
        </w:tcBorders>
      </w:tcPr>
    </w:tblStylePr>
  </w:style>
  <w:style w:type="table" w:styleId="ListTable5Dark-Accent2">
    <w:name w:val="List Table 5 Dark Accent 2"/>
    <w:basedOn w:val="TableNormal"/>
    <w:uiPriority w:val="50"/>
    <w:rsid w:val="00D214FF"/>
    <w:pPr>
      <w:spacing w:line="240" w:lineRule="auto"/>
    </w:pPr>
    <w:rPr>
      <w:color w:val="FFFFFF" w:themeColor="background1"/>
    </w:rPr>
    <w:tblPr>
      <w:tblStyleRowBandSize w:val="1"/>
      <w:tblStyleColBandSize w:val="1"/>
      <w:tblBorders>
        <w:top w:val="single" w:sz="24" w:space="0" w:color="538601" w:themeColor="accent2"/>
        <w:left w:val="single" w:sz="24" w:space="0" w:color="538601" w:themeColor="accent2"/>
        <w:bottom w:val="single" w:sz="24" w:space="0" w:color="538601" w:themeColor="accent2"/>
        <w:right w:val="single" w:sz="24" w:space="0" w:color="538601" w:themeColor="accent2"/>
      </w:tblBorders>
    </w:tblPr>
    <w:tcPr>
      <w:shd w:val="clear" w:color="auto" w:fill="53860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styleId="Header">
    <w:name w:val="header"/>
    <w:basedOn w:val="Normal"/>
    <w:link w:val="HeaderChar"/>
    <w:uiPriority w:val="99"/>
    <w:unhideWhenUsed/>
    <w:rsid w:val="008F2FD2"/>
    <w:pPr>
      <w:tabs>
        <w:tab w:val="center" w:pos="4819"/>
        <w:tab w:val="right" w:pos="9638"/>
      </w:tabs>
      <w:spacing w:line="240" w:lineRule="auto"/>
    </w:pPr>
  </w:style>
  <w:style w:type="character" w:customStyle="1" w:styleId="HeaderChar">
    <w:name w:val="Header Char"/>
    <w:basedOn w:val="DefaultParagraphFont"/>
    <w:link w:val="Header"/>
    <w:uiPriority w:val="99"/>
    <w:rsid w:val="008F2FD2"/>
  </w:style>
  <w:style w:type="paragraph" w:styleId="Footer">
    <w:name w:val="footer"/>
    <w:basedOn w:val="Normal"/>
    <w:link w:val="FooterChar"/>
    <w:uiPriority w:val="99"/>
    <w:unhideWhenUsed/>
    <w:rsid w:val="008F2FD2"/>
    <w:pPr>
      <w:tabs>
        <w:tab w:val="center" w:pos="4819"/>
        <w:tab w:val="right" w:pos="9638"/>
      </w:tabs>
      <w:spacing w:line="240" w:lineRule="auto"/>
    </w:pPr>
  </w:style>
  <w:style w:type="character" w:customStyle="1" w:styleId="FooterChar">
    <w:name w:val="Footer Char"/>
    <w:basedOn w:val="DefaultParagraphFont"/>
    <w:link w:val="Footer"/>
    <w:uiPriority w:val="99"/>
    <w:rsid w:val="008F2FD2"/>
  </w:style>
  <w:style w:type="paragraph" w:styleId="ListParagraph">
    <w:name w:val="List Paragraph"/>
    <w:aliases w:val="3 Txt tabla,Titulo 2,Lista OBJETIVOS,NIVEL 2 Corker,Párrafo de lista1,Fiche List Paragraph,Task Body,Viñetas (Inicio Parrafo),Zerrenda-paragrafoa,Lista multicolor - Énfasis 11,Dot pt,No Spacing1,Lista viñetas,Bullets,lp"/>
    <w:basedOn w:val="Normal"/>
    <w:link w:val="ListParagraphChar"/>
    <w:uiPriority w:val="34"/>
    <w:qFormat/>
    <w:rsid w:val="006B2C88"/>
    <w:pPr>
      <w:ind w:left="720"/>
      <w:contextualSpacing/>
    </w:pPr>
  </w:style>
  <w:style w:type="character" w:customStyle="1" w:styleId="ListParagraphChar">
    <w:name w:val="List Paragraph Char"/>
    <w:aliases w:val="3 Txt tabla Char,Titulo 2 Char,Lista OBJETIVOS Char,NIVEL 2 Corker Char,Párrafo de lista1 Char,Fiche List Paragraph Char,Task Body Char,Viñetas (Inicio Parrafo) Char,Zerrenda-paragrafoa Char,Lista multicolor - Énfasis 11 Char,lp Char"/>
    <w:link w:val="ListParagraph"/>
    <w:uiPriority w:val="34"/>
    <w:qFormat/>
    <w:locked/>
    <w:rsid w:val="00087391"/>
  </w:style>
  <w:style w:type="paragraph" w:styleId="TOCHeading">
    <w:name w:val="TOC Heading"/>
    <w:basedOn w:val="Heading1"/>
    <w:next w:val="Normal"/>
    <w:uiPriority w:val="39"/>
    <w:unhideWhenUsed/>
    <w:qFormat/>
    <w:rsid w:val="00173435"/>
    <w:pPr>
      <w:spacing w:before="240" w:line="259" w:lineRule="auto"/>
      <w:ind w:left="0"/>
      <w:outlineLvl w:val="9"/>
    </w:pPr>
    <w:rPr>
      <w:rFonts w:asciiTheme="majorHAnsi" w:eastAsiaTheme="majorEastAsia" w:hAnsiTheme="majorHAnsi" w:cstheme="majorBidi"/>
      <w:b w:val="0"/>
      <w:color w:val="58A400" w:themeColor="accent1" w:themeShade="BF"/>
      <w:sz w:val="32"/>
      <w:szCs w:val="32"/>
      <w:lang w:val="da-DK"/>
    </w:rPr>
  </w:style>
  <w:style w:type="paragraph" w:styleId="TOC1">
    <w:name w:val="toc 1"/>
    <w:basedOn w:val="Normal"/>
    <w:next w:val="Normal"/>
    <w:autoRedefine/>
    <w:uiPriority w:val="39"/>
    <w:unhideWhenUsed/>
    <w:rsid w:val="00BE2BC1"/>
    <w:pPr>
      <w:tabs>
        <w:tab w:val="left" w:pos="426"/>
        <w:tab w:val="right" w:leader="dot" w:pos="9019"/>
      </w:tabs>
      <w:spacing w:after="100" w:line="240" w:lineRule="auto"/>
      <w:ind w:left="0"/>
      <w:jc w:val="both"/>
    </w:pPr>
  </w:style>
  <w:style w:type="character" w:styleId="Hyperlink">
    <w:name w:val="Hyperlink"/>
    <w:basedOn w:val="DefaultParagraphFont"/>
    <w:uiPriority w:val="99"/>
    <w:unhideWhenUsed/>
    <w:rsid w:val="00173435"/>
    <w:rPr>
      <w:color w:val="538601" w:themeColor="hyperlink"/>
      <w:u w:val="single"/>
    </w:rPr>
  </w:style>
  <w:style w:type="table" w:customStyle="1" w:styleId="TableNormal1">
    <w:name w:val="Table Normal1"/>
    <w:rsid w:val="004D3E06"/>
    <w:tblPr>
      <w:tblCellMar>
        <w:top w:w="0" w:type="dxa"/>
        <w:left w:w="0" w:type="dxa"/>
        <w:bottom w:w="0" w:type="dxa"/>
        <w:right w:w="0" w:type="dxa"/>
      </w:tblCellMar>
    </w:tblPr>
  </w:style>
  <w:style w:type="paragraph" w:styleId="TOC2">
    <w:name w:val="toc 2"/>
    <w:basedOn w:val="Normal"/>
    <w:next w:val="Normal"/>
    <w:autoRedefine/>
    <w:uiPriority w:val="39"/>
    <w:unhideWhenUsed/>
    <w:rsid w:val="00625253"/>
    <w:pPr>
      <w:spacing w:after="100"/>
      <w:ind w:left="200"/>
    </w:pPr>
  </w:style>
  <w:style w:type="paragraph" w:styleId="TOC3">
    <w:name w:val="toc 3"/>
    <w:basedOn w:val="Normal"/>
    <w:next w:val="Normal"/>
    <w:autoRedefine/>
    <w:uiPriority w:val="39"/>
    <w:unhideWhenUsed/>
    <w:rsid w:val="00625253"/>
    <w:pPr>
      <w:spacing w:after="100"/>
      <w:ind w:left="400"/>
    </w:pPr>
  </w:style>
  <w:style w:type="character" w:styleId="CommentReference">
    <w:name w:val="annotation reference"/>
    <w:basedOn w:val="DefaultParagraphFont"/>
    <w:uiPriority w:val="99"/>
    <w:semiHidden/>
    <w:unhideWhenUsed/>
    <w:rsid w:val="00087391"/>
    <w:rPr>
      <w:sz w:val="16"/>
      <w:szCs w:val="16"/>
    </w:rPr>
  </w:style>
  <w:style w:type="paragraph" w:styleId="CommentText">
    <w:name w:val="annotation text"/>
    <w:basedOn w:val="Normal"/>
    <w:link w:val="CommentTextChar"/>
    <w:uiPriority w:val="99"/>
    <w:unhideWhenUsed/>
    <w:rsid w:val="00087391"/>
    <w:pPr>
      <w:spacing w:after="160" w:line="240" w:lineRule="auto"/>
      <w:ind w:left="0"/>
      <w:jc w:val="both"/>
    </w:pPr>
    <w:rPr>
      <w:rFonts w:ascii="Arial" w:eastAsiaTheme="minorHAnsi" w:hAnsi="Arial" w:cstheme="minorBidi"/>
      <w:color w:val="auto"/>
      <w:lang w:val="es-ES" w:eastAsia="en-US"/>
    </w:rPr>
  </w:style>
  <w:style w:type="character" w:customStyle="1" w:styleId="CommentTextChar">
    <w:name w:val="Comment Text Char"/>
    <w:basedOn w:val="DefaultParagraphFont"/>
    <w:link w:val="CommentText"/>
    <w:uiPriority w:val="99"/>
    <w:rsid w:val="00087391"/>
    <w:rPr>
      <w:rFonts w:ascii="Arial" w:eastAsiaTheme="minorHAnsi" w:hAnsi="Arial" w:cstheme="minorBidi"/>
      <w:color w:val="auto"/>
      <w:lang w:val="es-ES" w:eastAsia="en-US"/>
    </w:rPr>
  </w:style>
  <w:style w:type="paragraph" w:styleId="Caption">
    <w:name w:val="caption"/>
    <w:basedOn w:val="Normal"/>
    <w:next w:val="Normal"/>
    <w:uiPriority w:val="35"/>
    <w:unhideWhenUsed/>
    <w:qFormat/>
    <w:rsid w:val="00087391"/>
    <w:pPr>
      <w:spacing w:after="200" w:line="240" w:lineRule="auto"/>
      <w:ind w:left="0"/>
      <w:jc w:val="center"/>
    </w:pPr>
    <w:rPr>
      <w:rFonts w:ascii="Arial" w:eastAsiaTheme="minorHAnsi" w:hAnsi="Arial" w:cstheme="minorBidi"/>
      <w:iCs/>
      <w:color w:val="auto"/>
      <w:sz w:val="18"/>
      <w:szCs w:val="18"/>
      <w:lang w:val="es-ES" w:eastAsia="en-US"/>
    </w:rPr>
  </w:style>
  <w:style w:type="paragraph" w:styleId="FootnoteText">
    <w:name w:val="footnote text"/>
    <w:basedOn w:val="Normal"/>
    <w:link w:val="FootnoteTextChar"/>
    <w:uiPriority w:val="99"/>
    <w:unhideWhenUsed/>
    <w:rsid w:val="00087391"/>
    <w:pPr>
      <w:spacing w:line="240" w:lineRule="auto"/>
      <w:ind w:left="0"/>
      <w:jc w:val="both"/>
    </w:pPr>
    <w:rPr>
      <w:rFonts w:ascii="Arial" w:eastAsiaTheme="minorHAnsi" w:hAnsi="Arial" w:cstheme="minorBidi"/>
      <w:color w:val="auto"/>
      <w:lang w:val="es-ES" w:eastAsia="en-US"/>
    </w:rPr>
  </w:style>
  <w:style w:type="character" w:customStyle="1" w:styleId="FootnoteTextChar">
    <w:name w:val="Footnote Text Char"/>
    <w:basedOn w:val="DefaultParagraphFont"/>
    <w:link w:val="FootnoteText"/>
    <w:uiPriority w:val="99"/>
    <w:rsid w:val="00087391"/>
    <w:rPr>
      <w:rFonts w:ascii="Arial" w:eastAsiaTheme="minorHAnsi" w:hAnsi="Arial" w:cstheme="minorBidi"/>
      <w:color w:val="auto"/>
      <w:lang w:val="es-ES" w:eastAsia="en-US"/>
    </w:rPr>
  </w:style>
  <w:style w:type="character" w:styleId="FootnoteReference">
    <w:name w:val="footnote reference"/>
    <w:basedOn w:val="DefaultParagraphFont"/>
    <w:uiPriority w:val="99"/>
    <w:semiHidden/>
    <w:unhideWhenUsed/>
    <w:rsid w:val="00087391"/>
    <w:rPr>
      <w:vertAlign w:val="superscript"/>
    </w:rPr>
  </w:style>
  <w:style w:type="paragraph" w:styleId="NormalWeb">
    <w:name w:val="Normal (Web)"/>
    <w:basedOn w:val="Normal"/>
    <w:uiPriority w:val="99"/>
    <w:unhideWhenUsed/>
    <w:rsid w:val="00087391"/>
    <w:pPr>
      <w:spacing w:before="100" w:beforeAutospacing="1" w:after="100" w:afterAutospacing="1" w:line="240" w:lineRule="auto"/>
      <w:ind w:left="0"/>
    </w:pPr>
    <w:rPr>
      <w:rFonts w:ascii="Times New Roman" w:eastAsia="Times New Roman" w:hAnsi="Times New Roman" w:cs="Times New Roman"/>
      <w:color w:val="auto"/>
      <w:sz w:val="24"/>
      <w:szCs w:val="24"/>
      <w:lang w:val="es-ES" w:eastAsia="es-ES"/>
    </w:rPr>
  </w:style>
  <w:style w:type="paragraph" w:styleId="BodyText">
    <w:name w:val="Body Text"/>
    <w:basedOn w:val="Normal"/>
    <w:link w:val="BodyTextChar"/>
    <w:uiPriority w:val="1"/>
    <w:qFormat/>
    <w:rsid w:val="00087391"/>
    <w:pPr>
      <w:widowControl w:val="0"/>
      <w:autoSpaceDE w:val="0"/>
      <w:autoSpaceDN w:val="0"/>
      <w:adjustRightInd w:val="0"/>
      <w:spacing w:line="240" w:lineRule="auto"/>
      <w:ind w:left="0"/>
    </w:pPr>
    <w:rPr>
      <w:rFonts w:ascii="Arial" w:eastAsiaTheme="minorEastAsia" w:hAnsi="Arial" w:cs="Arial"/>
      <w:color w:val="auto"/>
      <w:sz w:val="18"/>
      <w:szCs w:val="18"/>
      <w:lang w:val="nl-BE" w:eastAsia="nl-BE"/>
    </w:rPr>
  </w:style>
  <w:style w:type="character" w:customStyle="1" w:styleId="BodyTextChar">
    <w:name w:val="Body Text Char"/>
    <w:basedOn w:val="DefaultParagraphFont"/>
    <w:link w:val="BodyText"/>
    <w:uiPriority w:val="1"/>
    <w:rsid w:val="00087391"/>
    <w:rPr>
      <w:rFonts w:ascii="Arial" w:eastAsiaTheme="minorEastAsia" w:hAnsi="Arial" w:cs="Arial"/>
      <w:color w:val="auto"/>
      <w:sz w:val="18"/>
      <w:szCs w:val="18"/>
      <w:lang w:val="nl-BE" w:eastAsia="nl-BE"/>
    </w:rPr>
  </w:style>
  <w:style w:type="paragraph" w:styleId="CommentSubject">
    <w:name w:val="annotation subject"/>
    <w:basedOn w:val="CommentText"/>
    <w:next w:val="CommentText"/>
    <w:link w:val="CommentSubjectChar"/>
    <w:uiPriority w:val="99"/>
    <w:semiHidden/>
    <w:unhideWhenUsed/>
    <w:rsid w:val="005A13B5"/>
    <w:pPr>
      <w:spacing w:after="0"/>
      <w:ind w:left="-283"/>
      <w:jc w:val="left"/>
    </w:pPr>
    <w:rPr>
      <w:rFonts w:ascii="Source Sans Pro" w:eastAsia="Source Sans Pro" w:hAnsi="Source Sans Pro" w:cs="Source Sans Pro"/>
      <w:b/>
      <w:bCs/>
      <w:color w:val="1C3001"/>
      <w:lang w:val="da" w:eastAsia="da-DK"/>
    </w:rPr>
  </w:style>
  <w:style w:type="character" w:customStyle="1" w:styleId="CommentSubjectChar">
    <w:name w:val="Comment Subject Char"/>
    <w:basedOn w:val="CommentTextChar"/>
    <w:link w:val="CommentSubject"/>
    <w:uiPriority w:val="99"/>
    <w:semiHidden/>
    <w:rsid w:val="005A13B5"/>
    <w:rPr>
      <w:rFonts w:ascii="Arial" w:eastAsiaTheme="minorHAnsi" w:hAnsi="Arial" w:cstheme="minorBidi"/>
      <w:b/>
      <w:bCs/>
      <w:color w:val="auto"/>
      <w:lang w:val="es-ES" w:eastAsia="en-US"/>
    </w:rPr>
  </w:style>
  <w:style w:type="character" w:styleId="UnresolvedMention">
    <w:name w:val="Unresolved Mention"/>
    <w:basedOn w:val="DefaultParagraphFont"/>
    <w:uiPriority w:val="99"/>
    <w:semiHidden/>
    <w:unhideWhenUsed/>
    <w:rsid w:val="00D36D92"/>
    <w:rPr>
      <w:color w:val="605E5C"/>
      <w:shd w:val="clear" w:color="auto" w:fill="E1DFDD"/>
    </w:rPr>
  </w:style>
  <w:style w:type="character" w:styleId="Strong">
    <w:name w:val="Strong"/>
    <w:basedOn w:val="DefaultParagraphFont"/>
    <w:uiPriority w:val="22"/>
    <w:qFormat/>
    <w:rsid w:val="00AF15E7"/>
    <w:rPr>
      <w:b/>
      <w:bCs/>
    </w:rPr>
  </w:style>
  <w:style w:type="paragraph" w:styleId="NoSpacing">
    <w:name w:val="No Spacing"/>
    <w:uiPriority w:val="1"/>
    <w:qFormat/>
    <w:rsid w:val="00CE5A0E"/>
    <w:pPr>
      <w:ind w:left="0"/>
    </w:pPr>
    <w:rPr>
      <w:rFonts w:asciiTheme="minorHAnsi" w:eastAsia="Times New Roman" w:hAnsiTheme="minorHAnsi" w:cstheme="minorHAnsi"/>
      <w:color w:val="auto"/>
      <w:sz w:val="22"/>
      <w:szCs w:val="22"/>
      <w:lang w:val="es-ES" w:eastAsia="en-GB"/>
    </w:rPr>
  </w:style>
  <w:style w:type="character" w:styleId="FollowedHyperlink">
    <w:name w:val="FollowedHyperlink"/>
    <w:basedOn w:val="DefaultParagraphFont"/>
    <w:uiPriority w:val="99"/>
    <w:semiHidden/>
    <w:unhideWhenUsed/>
    <w:rsid w:val="00053388"/>
    <w:rPr>
      <w:color w:val="1C3001" w:themeColor="followedHyperlink"/>
      <w:u w:val="single"/>
    </w:rPr>
  </w:style>
  <w:style w:type="paragraph" w:styleId="EndnoteText">
    <w:name w:val="endnote text"/>
    <w:basedOn w:val="Normal"/>
    <w:link w:val="EndnoteTextChar"/>
    <w:uiPriority w:val="99"/>
    <w:semiHidden/>
    <w:unhideWhenUsed/>
    <w:rsid w:val="00FD3179"/>
    <w:pPr>
      <w:spacing w:line="240" w:lineRule="auto"/>
      <w:ind w:left="0"/>
    </w:pPr>
    <w:rPr>
      <w:rFonts w:asciiTheme="minorHAnsi" w:eastAsiaTheme="minorHAnsi" w:hAnsiTheme="minorHAnsi" w:cstheme="minorBidi"/>
      <w:color w:val="auto"/>
      <w:lang w:val="es-ES" w:eastAsia="en-US"/>
    </w:rPr>
  </w:style>
  <w:style w:type="character" w:customStyle="1" w:styleId="EndnoteTextChar">
    <w:name w:val="Endnote Text Char"/>
    <w:basedOn w:val="DefaultParagraphFont"/>
    <w:link w:val="EndnoteText"/>
    <w:uiPriority w:val="99"/>
    <w:semiHidden/>
    <w:rsid w:val="00FD3179"/>
    <w:rPr>
      <w:rFonts w:asciiTheme="minorHAnsi" w:eastAsiaTheme="minorHAnsi" w:hAnsiTheme="minorHAnsi" w:cstheme="minorBidi"/>
      <w:color w:val="auto"/>
      <w:lang w:val="es-ES" w:eastAsia="en-US"/>
    </w:rPr>
  </w:style>
  <w:style w:type="character" w:styleId="EndnoteReference">
    <w:name w:val="endnote reference"/>
    <w:basedOn w:val="DefaultParagraphFont"/>
    <w:uiPriority w:val="99"/>
    <w:semiHidden/>
    <w:unhideWhenUsed/>
    <w:rsid w:val="00FD3179"/>
    <w:rPr>
      <w:vertAlign w:val="superscript"/>
    </w:rPr>
  </w:style>
  <w:style w:type="paragraph" w:styleId="Revision">
    <w:name w:val="Revision"/>
    <w:hidden/>
    <w:uiPriority w:val="99"/>
    <w:semiHidden/>
    <w:rsid w:val="00645CF7"/>
    <w:pPr>
      <w:spacing w:line="240" w:lineRule="auto"/>
      <w:ind w:left="0"/>
    </w:pPr>
  </w:style>
  <w:style w:type="character" w:styleId="Emphasis">
    <w:name w:val="Emphasis"/>
    <w:basedOn w:val="DefaultParagraphFont"/>
    <w:uiPriority w:val="20"/>
    <w:qFormat/>
    <w:rsid w:val="00B20E88"/>
    <w:rPr>
      <w:i/>
      <w:iCs/>
    </w:rPr>
  </w:style>
  <w:style w:type="character" w:customStyle="1" w:styleId="cf01">
    <w:name w:val="cf01"/>
    <w:basedOn w:val="DefaultParagraphFont"/>
    <w:rsid w:val="006E2A7B"/>
    <w:rPr>
      <w:rFonts w:ascii="Segoe UI" w:hAnsi="Segoe UI" w:cs="Segoe UI" w:hint="default"/>
      <w:color w:val="1C3001"/>
      <w:sz w:val="18"/>
      <w:szCs w:val="18"/>
      <w:shd w:val="clear" w:color="auto" w:fill="FFFF00"/>
    </w:rPr>
  </w:style>
  <w:style w:type="character" w:customStyle="1" w:styleId="cf11">
    <w:name w:val="cf11"/>
    <w:basedOn w:val="DefaultParagraphFont"/>
    <w:rsid w:val="006E2A7B"/>
    <w:rPr>
      <w:rFonts w:ascii="Segoe UI" w:hAnsi="Segoe UI" w:cs="Segoe UI" w:hint="default"/>
      <w:color w:val="1C3001"/>
      <w:sz w:val="18"/>
      <w:szCs w:val="18"/>
    </w:rPr>
  </w:style>
  <w:style w:type="paragraph" w:styleId="TableofFigures">
    <w:name w:val="table of figures"/>
    <w:basedOn w:val="Normal"/>
    <w:next w:val="Normal"/>
    <w:uiPriority w:val="99"/>
    <w:unhideWhenUsed/>
    <w:rsid w:val="00AA6B65"/>
    <w:pPr>
      <w:ind w:left="0"/>
    </w:pPr>
  </w:style>
  <w:style w:type="table" w:customStyle="1" w:styleId="Tablaconcuadrcula1">
    <w:name w:val="Tabla con cuadrícula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C0201"/>
    <w:rPr>
      <w:color w:val="808080"/>
    </w:rPr>
  </w:style>
  <w:style w:type="table" w:customStyle="1" w:styleId="Tablaconcuadrcula2">
    <w:name w:val="Tabla con cuadrícula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5C0201"/>
    <w:pPr>
      <w:spacing w:before="100" w:beforeAutospacing="1" w:after="100" w:afterAutospacing="1" w:line="240" w:lineRule="auto"/>
      <w:ind w:left="0"/>
    </w:pPr>
    <w:rPr>
      <w:rFonts w:ascii="Times New Roman" w:eastAsia="Times New Roman" w:hAnsi="Times New Roman" w:cs="Times New Roman"/>
      <w:color w:val="auto"/>
      <w:sz w:val="24"/>
      <w:szCs w:val="24"/>
      <w:lang w:val="es-ES" w:eastAsia="es-ES"/>
    </w:rPr>
  </w:style>
  <w:style w:type="table" w:customStyle="1" w:styleId="Tablaconcuadrcula3">
    <w:name w:val="Tabla con cuadrícula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11">
    <w:name w:val="Tabla con cuadrícula 5 oscura - Énfasis 11"/>
    <w:basedOn w:val="TableNormal"/>
    <w:next w:val="GridTable5Dark-Accent1"/>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GridTable5Dark-Accent1">
    <w:name w:val="Grid Table 5 Dark Accent 1"/>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4FFC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6DB00"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6DB00"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6DB00"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6DB00" w:themeFill="accent1"/>
      </w:tcPr>
    </w:tblStylePr>
    <w:tblStylePr w:type="band1Vert">
      <w:tblPr/>
      <w:tcPr>
        <w:shd w:val="clear" w:color="auto" w:fill="C9FF8A" w:themeFill="accent1" w:themeFillTint="66"/>
      </w:tcPr>
    </w:tblStylePr>
    <w:tblStylePr w:type="band1Horz">
      <w:tblPr/>
      <w:tcPr>
        <w:shd w:val="clear" w:color="auto" w:fill="C9FF8A" w:themeFill="accent1" w:themeFillTint="66"/>
      </w:tcPr>
    </w:tblStylePr>
  </w:style>
  <w:style w:type="table" w:customStyle="1" w:styleId="Tablaconcuadrcula5oscura-nfasis21">
    <w:name w:val="Tabla con cuadrícula 5 oscura - Énfasis 21"/>
    <w:basedOn w:val="TableNormal"/>
    <w:next w:val="GridTable5Dark-Accent2"/>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Tablaconcuadrcula5oscura-nfasis61">
    <w:name w:val="Tabla con cuadrícula 5 oscura - Énfasis 61"/>
    <w:basedOn w:val="TableNormal"/>
    <w:next w:val="GridTable5Dark-Accent6"/>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GridTable5Dark-Accent6">
    <w:name w:val="Grid Table 5 Dark Accent 6"/>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FFF"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FFF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FFF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FFF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FFFF" w:themeFill="accent6"/>
      </w:tcPr>
    </w:tblStylePr>
    <w:tblStylePr w:type="band1Vert">
      <w:tblPr/>
      <w:tcPr>
        <w:shd w:val="clear" w:color="auto" w:fill="FFFFFF" w:themeFill="accent6" w:themeFillTint="66"/>
      </w:tcPr>
    </w:tblStylePr>
    <w:tblStylePr w:type="band1Horz">
      <w:tblPr/>
      <w:tcPr>
        <w:shd w:val="clear" w:color="auto" w:fill="FFFFFF" w:themeFill="accent6" w:themeFillTint="66"/>
      </w:tcPr>
    </w:tblStylePr>
  </w:style>
  <w:style w:type="table" w:customStyle="1" w:styleId="Tablaconcuadrcula5oscura1">
    <w:name w:val="Tabla con cuadrícula 5 oscura1"/>
    <w:basedOn w:val="TableNormal"/>
    <w:next w:val="GridTable5Dark"/>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GridTable5Dark">
    <w:name w:val="Grid Table 5 Dark"/>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7FDA4"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C3001"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C3001"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C3001"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C3001" w:themeFill="text1"/>
      </w:tcPr>
    </w:tblStylePr>
    <w:tblStylePr w:type="band1Vert">
      <w:tblPr/>
      <w:tcPr>
        <w:shd w:val="clear" w:color="auto" w:fill="AFFB4A" w:themeFill="text1" w:themeFillTint="66"/>
      </w:tcPr>
    </w:tblStylePr>
    <w:tblStylePr w:type="band1Horz">
      <w:tblPr/>
      <w:tcPr>
        <w:shd w:val="clear" w:color="auto" w:fill="AFFB4A" w:themeFill="text1" w:themeFillTint="66"/>
      </w:tcPr>
    </w:tblStylePr>
  </w:style>
  <w:style w:type="table" w:customStyle="1" w:styleId="Tablaconcuadrcula5oscura-nfasis31">
    <w:name w:val="Tabla con cuadrícula 5 oscura - Énfasis 31"/>
    <w:basedOn w:val="TableNormal"/>
    <w:next w:val="GridTable5Dark-Accent3"/>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GridTable5Dark-Accent3">
    <w:name w:val="Grid Table 5 Dark Accent 3"/>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accent3"/>
      </w:tcPr>
    </w:tblStylePr>
    <w:tblStylePr w:type="band1Vert">
      <w:tblPr/>
      <w:tcPr>
        <w:shd w:val="clear" w:color="auto" w:fill="999999" w:themeFill="accent3" w:themeFillTint="66"/>
      </w:tcPr>
    </w:tblStylePr>
    <w:tblStylePr w:type="band1Horz">
      <w:tblPr/>
      <w:tcPr>
        <w:shd w:val="clear" w:color="auto" w:fill="999999" w:themeFill="accent3" w:themeFillTint="66"/>
      </w:tcPr>
    </w:tblStylePr>
  </w:style>
  <w:style w:type="character" w:customStyle="1" w:styleId="nfasissutil1">
    <w:name w:val="Énfasis sutil1"/>
    <w:basedOn w:val="DefaultParagraphFont"/>
    <w:uiPriority w:val="19"/>
    <w:qFormat/>
    <w:rsid w:val="005C0201"/>
    <w:rPr>
      <w:i/>
      <w:iCs/>
      <w:color w:val="404040"/>
    </w:rPr>
  </w:style>
  <w:style w:type="character" w:customStyle="1" w:styleId="Estilo2">
    <w:name w:val="Estilo2"/>
    <w:basedOn w:val="DefaultParagraphFont"/>
    <w:uiPriority w:val="1"/>
    <w:rsid w:val="005C0201"/>
    <w:rPr>
      <w:rFonts w:ascii="Calibri" w:hAnsi="Calibri"/>
      <w:sz w:val="20"/>
    </w:rPr>
  </w:style>
  <w:style w:type="character" w:customStyle="1" w:styleId="Estilo3">
    <w:name w:val="Estilo3"/>
    <w:basedOn w:val="DefaultParagraphFont"/>
    <w:uiPriority w:val="1"/>
    <w:rsid w:val="005C0201"/>
    <w:rPr>
      <w:rFonts w:ascii="Calibri" w:hAnsi="Calibri"/>
      <w:sz w:val="20"/>
    </w:rPr>
  </w:style>
  <w:style w:type="character" w:customStyle="1" w:styleId="Estilo5">
    <w:name w:val="Estilo5"/>
    <w:basedOn w:val="DefaultParagraphFont"/>
    <w:uiPriority w:val="1"/>
    <w:rsid w:val="005C0201"/>
    <w:rPr>
      <w:rFonts w:ascii="Calibri" w:hAnsi="Calibri"/>
      <w:sz w:val="20"/>
    </w:rPr>
  </w:style>
  <w:style w:type="character" w:customStyle="1" w:styleId="Estilo7">
    <w:name w:val="Estilo7"/>
    <w:basedOn w:val="DefaultParagraphFont"/>
    <w:uiPriority w:val="1"/>
    <w:rsid w:val="005C0201"/>
    <w:rPr>
      <w:rFonts w:ascii="Calibri" w:hAnsi="Calibri"/>
      <w:sz w:val="20"/>
    </w:rPr>
  </w:style>
  <w:style w:type="character" w:customStyle="1" w:styleId="Estilo8">
    <w:name w:val="Estilo8"/>
    <w:basedOn w:val="DefaultParagraphFont"/>
    <w:uiPriority w:val="1"/>
    <w:rsid w:val="005C0201"/>
    <w:rPr>
      <w:rFonts w:ascii="Calibri" w:hAnsi="Calibri"/>
      <w:sz w:val="20"/>
    </w:rPr>
  </w:style>
  <w:style w:type="character" w:customStyle="1" w:styleId="Estilo1">
    <w:name w:val="Estilo1"/>
    <w:basedOn w:val="DefaultParagraphFont"/>
    <w:uiPriority w:val="1"/>
    <w:rsid w:val="005C0201"/>
    <w:rPr>
      <w:rFonts w:ascii="Calibri" w:hAnsi="Calibri"/>
      <w:sz w:val="20"/>
    </w:rPr>
  </w:style>
  <w:style w:type="character" w:customStyle="1" w:styleId="Estilo4">
    <w:name w:val="Estilo4"/>
    <w:basedOn w:val="DefaultParagraphFont"/>
    <w:uiPriority w:val="1"/>
    <w:rsid w:val="005C0201"/>
    <w:rPr>
      <w:rFonts w:ascii="Calibri" w:hAnsi="Calibri"/>
      <w:sz w:val="20"/>
    </w:rPr>
  </w:style>
  <w:style w:type="character" w:customStyle="1" w:styleId="Estilo6">
    <w:name w:val="Estilo6"/>
    <w:basedOn w:val="DefaultParagraphFont"/>
    <w:uiPriority w:val="1"/>
    <w:rsid w:val="005C0201"/>
    <w:rPr>
      <w:rFonts w:ascii="Calibri" w:hAnsi="Calibri"/>
      <w:sz w:val="20"/>
    </w:rPr>
  </w:style>
  <w:style w:type="character" w:customStyle="1" w:styleId="Estilo9">
    <w:name w:val="Estilo9"/>
    <w:basedOn w:val="DefaultParagraphFont"/>
    <w:uiPriority w:val="1"/>
    <w:rsid w:val="005C0201"/>
    <w:rPr>
      <w:rFonts w:ascii="Calibri" w:hAnsi="Calibri"/>
      <w:sz w:val="20"/>
    </w:rPr>
  </w:style>
  <w:style w:type="character" w:customStyle="1" w:styleId="Estilo10">
    <w:name w:val="Estilo10"/>
    <w:basedOn w:val="DefaultParagraphFont"/>
    <w:uiPriority w:val="1"/>
    <w:rsid w:val="005C0201"/>
    <w:rPr>
      <w:rFonts w:ascii="Calibri Light" w:hAnsi="Calibri Light"/>
      <w:i/>
      <w:sz w:val="22"/>
    </w:rPr>
  </w:style>
  <w:style w:type="character" w:customStyle="1" w:styleId="Estilo11">
    <w:name w:val="Estilo11"/>
    <w:basedOn w:val="DefaultParagraphFont"/>
    <w:uiPriority w:val="1"/>
    <w:rsid w:val="005C0201"/>
    <w:rPr>
      <w:color w:val="C00000"/>
    </w:rPr>
  </w:style>
  <w:style w:type="character" w:customStyle="1" w:styleId="Estilo12">
    <w:name w:val="Estilo12"/>
    <w:basedOn w:val="DefaultParagraphFont"/>
    <w:uiPriority w:val="1"/>
    <w:rsid w:val="005C0201"/>
    <w:rPr>
      <w:rFonts w:ascii="Calibri Light" w:hAnsi="Calibri Light"/>
      <w:b w:val="0"/>
      <w:i/>
      <w:color w:val="C00000"/>
      <w:sz w:val="22"/>
    </w:rPr>
  </w:style>
  <w:style w:type="character" w:customStyle="1" w:styleId="Estilo13">
    <w:name w:val="Estilo13"/>
    <w:basedOn w:val="DefaultParagraphFont"/>
    <w:uiPriority w:val="1"/>
    <w:rsid w:val="005C0201"/>
    <w:rPr>
      <w:rFonts w:ascii="Calibri Light" w:hAnsi="Calibri Light"/>
      <w:b w:val="0"/>
      <w:i/>
      <w:color w:val="C00000"/>
      <w:sz w:val="22"/>
    </w:rPr>
  </w:style>
  <w:style w:type="character" w:customStyle="1" w:styleId="Estilo14">
    <w:name w:val="Estilo14"/>
    <w:basedOn w:val="DefaultParagraphFont"/>
    <w:uiPriority w:val="1"/>
    <w:rsid w:val="005C0201"/>
    <w:rPr>
      <w:rFonts w:ascii="Calibri Light" w:hAnsi="Calibri Light"/>
      <w:b w:val="0"/>
      <w:i/>
      <w:color w:val="C00000"/>
      <w:sz w:val="22"/>
    </w:rPr>
  </w:style>
  <w:style w:type="character" w:customStyle="1" w:styleId="Estilo15">
    <w:name w:val="Estilo15"/>
    <w:basedOn w:val="DefaultParagraphFont"/>
    <w:uiPriority w:val="1"/>
    <w:rsid w:val="005C0201"/>
    <w:rPr>
      <w:rFonts w:ascii="Calibri Light" w:hAnsi="Calibri Light"/>
      <w:i/>
      <w:color w:val="C00000"/>
      <w:sz w:val="22"/>
    </w:rPr>
  </w:style>
  <w:style w:type="character" w:customStyle="1" w:styleId="Estilo16">
    <w:name w:val="Estilo16"/>
    <w:basedOn w:val="DefaultParagraphFont"/>
    <w:uiPriority w:val="1"/>
    <w:rsid w:val="005C0201"/>
    <w:rPr>
      <w:rFonts w:ascii="Calibri Light" w:hAnsi="Calibri Light"/>
      <w:i/>
      <w:color w:val="C00000"/>
      <w:sz w:val="22"/>
    </w:rPr>
  </w:style>
  <w:style w:type="character" w:customStyle="1" w:styleId="Estilo17">
    <w:name w:val="Estilo17"/>
    <w:basedOn w:val="DefaultParagraphFont"/>
    <w:uiPriority w:val="1"/>
    <w:rsid w:val="005C0201"/>
    <w:rPr>
      <w:rFonts w:ascii="Calibri Light" w:hAnsi="Calibri Light"/>
      <w:i/>
      <w:color w:val="C00000"/>
      <w:sz w:val="22"/>
    </w:rPr>
  </w:style>
  <w:style w:type="character" w:customStyle="1" w:styleId="Estilo18">
    <w:name w:val="Estilo18"/>
    <w:basedOn w:val="DefaultParagraphFont"/>
    <w:uiPriority w:val="1"/>
    <w:rsid w:val="005C0201"/>
    <w:rPr>
      <w:rFonts w:ascii="Calibri Light" w:hAnsi="Calibri Light"/>
      <w:i/>
      <w:color w:val="C00000"/>
      <w:sz w:val="22"/>
    </w:rPr>
  </w:style>
  <w:style w:type="character" w:customStyle="1" w:styleId="Estilo19">
    <w:name w:val="Estilo19"/>
    <w:basedOn w:val="DefaultParagraphFont"/>
    <w:uiPriority w:val="1"/>
    <w:rsid w:val="005C0201"/>
    <w:rPr>
      <w:rFonts w:ascii="Calibri Light" w:hAnsi="Calibri Light"/>
      <w:i/>
      <w:color w:val="C00000"/>
      <w:sz w:val="22"/>
    </w:rPr>
  </w:style>
  <w:style w:type="character" w:customStyle="1" w:styleId="Estilo20">
    <w:name w:val="Estilo20"/>
    <w:basedOn w:val="DefaultParagraphFont"/>
    <w:uiPriority w:val="1"/>
    <w:rsid w:val="005C0201"/>
    <w:rPr>
      <w:rFonts w:ascii="Calibri Light" w:hAnsi="Calibri Light"/>
      <w:i/>
      <w:color w:val="C00000"/>
      <w:sz w:val="22"/>
    </w:rPr>
  </w:style>
  <w:style w:type="character" w:customStyle="1" w:styleId="Estilo21">
    <w:name w:val="Estilo21"/>
    <w:basedOn w:val="DefaultParagraphFont"/>
    <w:uiPriority w:val="1"/>
    <w:rsid w:val="005C0201"/>
    <w:rPr>
      <w:rFonts w:ascii="Calibri Light" w:hAnsi="Calibri Light"/>
      <w:i/>
      <w:color w:val="C00000"/>
      <w:sz w:val="22"/>
    </w:rPr>
  </w:style>
  <w:style w:type="character" w:customStyle="1" w:styleId="Estilo22">
    <w:name w:val="Estilo22"/>
    <w:basedOn w:val="DefaultParagraphFont"/>
    <w:uiPriority w:val="1"/>
    <w:rsid w:val="005C0201"/>
    <w:rPr>
      <w:rFonts w:ascii="Calibri Light" w:hAnsi="Calibri Light"/>
      <w:i/>
      <w:color w:val="C00000"/>
      <w:sz w:val="22"/>
    </w:rPr>
  </w:style>
  <w:style w:type="character" w:customStyle="1" w:styleId="Estilo23">
    <w:name w:val="Estilo23"/>
    <w:basedOn w:val="DefaultParagraphFont"/>
    <w:uiPriority w:val="1"/>
    <w:rsid w:val="005C0201"/>
    <w:rPr>
      <w:rFonts w:ascii="Calibri Light" w:hAnsi="Calibri Light"/>
      <w:i/>
      <w:color w:val="C00000"/>
      <w:sz w:val="22"/>
    </w:rPr>
  </w:style>
  <w:style w:type="character" w:customStyle="1" w:styleId="Estilo24">
    <w:name w:val="Estilo24"/>
    <w:basedOn w:val="DefaultParagraphFont"/>
    <w:uiPriority w:val="1"/>
    <w:rsid w:val="005C0201"/>
    <w:rPr>
      <w:rFonts w:ascii="Calibri Light" w:hAnsi="Calibri Light"/>
      <w:i/>
      <w:color w:val="C00000"/>
      <w:sz w:val="22"/>
    </w:rPr>
  </w:style>
  <w:style w:type="character" w:customStyle="1" w:styleId="Estilo25">
    <w:name w:val="Estilo25"/>
    <w:basedOn w:val="DefaultParagraphFont"/>
    <w:uiPriority w:val="1"/>
    <w:rsid w:val="005C0201"/>
    <w:rPr>
      <w:rFonts w:ascii="Calibri Light" w:hAnsi="Calibri Light"/>
      <w:i/>
      <w:color w:val="C00000"/>
      <w:sz w:val="22"/>
    </w:rPr>
  </w:style>
  <w:style w:type="character" w:customStyle="1" w:styleId="Estilo26">
    <w:name w:val="Estilo26"/>
    <w:basedOn w:val="DefaultParagraphFont"/>
    <w:uiPriority w:val="1"/>
    <w:rsid w:val="005C0201"/>
    <w:rPr>
      <w:i/>
      <w:color w:val="C00000"/>
    </w:rPr>
  </w:style>
  <w:style w:type="character" w:styleId="SubtleEmphasis">
    <w:name w:val="Subtle Emphasis"/>
    <w:basedOn w:val="DefaultParagraphFont"/>
    <w:uiPriority w:val="19"/>
    <w:qFormat/>
    <w:rsid w:val="005C0201"/>
    <w:rPr>
      <w:i/>
      <w:iCs/>
      <w:color w:val="5DA103" w:themeColor="text1" w:themeTint="BF"/>
    </w:rPr>
  </w:style>
  <w:style w:type="table" w:customStyle="1" w:styleId="Tablaconcuadrcula4">
    <w:name w:val="Tabla con cuadrícula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12">
    <w:name w:val="Tabla con cuadrícula 5 oscura - Énfasis 12"/>
    <w:basedOn w:val="TableNormal"/>
    <w:next w:val="GridTable5Dark-Accent1"/>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laconcuadrcula5oscura-nfasis22">
    <w:name w:val="Tabla con cuadrícula 5 oscura - Énfasis 22"/>
    <w:basedOn w:val="TableNormal"/>
    <w:next w:val="GridTable5Dark-Accent2"/>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Tablaconcuadrcula5oscura-nfasis62">
    <w:name w:val="Tabla con cuadrícula 5 oscura - Énfasis 62"/>
    <w:basedOn w:val="TableNormal"/>
    <w:next w:val="GridTable5Dark-Accent6"/>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Tablaconcuadrcula5oscura2">
    <w:name w:val="Tabla con cuadrícula 5 oscura2"/>
    <w:basedOn w:val="TableNormal"/>
    <w:next w:val="GridTable5Dark"/>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Tablaconcuadrcula5oscura-nfasis32">
    <w:name w:val="Tabla con cuadrícula 5 oscura - Énfasis 32"/>
    <w:basedOn w:val="TableNormal"/>
    <w:next w:val="GridTable5Dark-Accent3"/>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customStyle="1" w:styleId="normaltextrun">
    <w:name w:val="normaltextrun"/>
    <w:basedOn w:val="DefaultParagraphFont"/>
    <w:rsid w:val="005C0201"/>
  </w:style>
  <w:style w:type="table" w:customStyle="1" w:styleId="Tablaconcuadrcula5">
    <w:name w:val="Tabla con cuadrícula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eNormal"/>
    <w:next w:val="TableGrid"/>
    <w:uiPriority w:val="39"/>
    <w:rsid w:val="005C0201"/>
    <w:pPr>
      <w:spacing w:line="240" w:lineRule="auto"/>
      <w:ind w:left="0"/>
    </w:pPr>
    <w:rPr>
      <w:rFonts w:ascii="Calibri" w:eastAsia="Calibri" w:hAnsi="Calibri" w:cs="Arial"/>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0">
    <w:name w:val="Tabla con cuadrícula3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DefaultParagraphFont"/>
    <w:rsid w:val="00412C1D"/>
  </w:style>
  <w:style w:type="character" w:customStyle="1" w:styleId="qowt-font4-arial">
    <w:name w:val="qowt-font4-arial"/>
    <w:basedOn w:val="DefaultParagraphFont"/>
    <w:rsid w:val="00412C1D"/>
  </w:style>
  <w:style w:type="character" w:customStyle="1" w:styleId="author">
    <w:name w:val="author"/>
    <w:basedOn w:val="DefaultParagraphFont"/>
    <w:rsid w:val="00412C1D"/>
  </w:style>
  <w:style w:type="character" w:customStyle="1" w:styleId="articletitle">
    <w:name w:val="articletitle"/>
    <w:basedOn w:val="DefaultParagraphFont"/>
    <w:rsid w:val="00412C1D"/>
  </w:style>
  <w:style w:type="character" w:customStyle="1" w:styleId="pubyear">
    <w:name w:val="pubyear"/>
    <w:basedOn w:val="DefaultParagraphFont"/>
    <w:rsid w:val="00412C1D"/>
  </w:style>
  <w:style w:type="character" w:customStyle="1" w:styleId="vol">
    <w:name w:val="vol"/>
    <w:basedOn w:val="DefaultParagraphFont"/>
    <w:rsid w:val="00412C1D"/>
  </w:style>
  <w:style w:type="character" w:customStyle="1" w:styleId="pagefirst">
    <w:name w:val="pagefirst"/>
    <w:basedOn w:val="DefaultParagraphFont"/>
    <w:rsid w:val="00412C1D"/>
  </w:style>
  <w:style w:type="character" w:customStyle="1" w:styleId="pagelast">
    <w:name w:val="pagelast"/>
    <w:basedOn w:val="DefaultParagraphFont"/>
    <w:rsid w:val="00412C1D"/>
  </w:style>
  <w:style w:type="character" w:customStyle="1" w:styleId="hlfld-contribauthor">
    <w:name w:val="hlfld-contribauthor"/>
    <w:basedOn w:val="DefaultParagraphFont"/>
    <w:rsid w:val="00412C1D"/>
  </w:style>
  <w:style w:type="character" w:customStyle="1" w:styleId="journalname">
    <w:name w:val="journalname"/>
    <w:basedOn w:val="DefaultParagraphFont"/>
    <w:rsid w:val="00412C1D"/>
  </w:style>
  <w:style w:type="character" w:customStyle="1" w:styleId="year">
    <w:name w:val="year"/>
    <w:basedOn w:val="DefaultParagraphFont"/>
    <w:rsid w:val="00412C1D"/>
  </w:style>
  <w:style w:type="character" w:customStyle="1" w:styleId="volume">
    <w:name w:val="volume"/>
    <w:basedOn w:val="DefaultParagraphFont"/>
    <w:rsid w:val="00412C1D"/>
  </w:style>
  <w:style w:type="character" w:customStyle="1" w:styleId="issue">
    <w:name w:val="issue"/>
    <w:basedOn w:val="DefaultParagraphFont"/>
    <w:rsid w:val="00412C1D"/>
  </w:style>
  <w:style w:type="character" w:customStyle="1" w:styleId="page">
    <w:name w:val="page"/>
    <w:basedOn w:val="DefaultParagraphFont"/>
    <w:rsid w:val="00412C1D"/>
  </w:style>
  <w:style w:type="character" w:customStyle="1" w:styleId="authors">
    <w:name w:val="authors"/>
    <w:basedOn w:val="DefaultParagraphFont"/>
    <w:rsid w:val="00412C1D"/>
  </w:style>
  <w:style w:type="character" w:customStyle="1" w:styleId="Date1">
    <w:name w:val="Date1"/>
    <w:basedOn w:val="DefaultParagraphFont"/>
    <w:rsid w:val="00412C1D"/>
  </w:style>
  <w:style w:type="character" w:customStyle="1" w:styleId="arttitle">
    <w:name w:val="art_title"/>
    <w:basedOn w:val="DefaultParagraphFont"/>
    <w:rsid w:val="00412C1D"/>
  </w:style>
  <w:style w:type="character" w:customStyle="1" w:styleId="serialtitle">
    <w:name w:val="serial_title"/>
    <w:basedOn w:val="DefaultParagraphFont"/>
    <w:rsid w:val="00412C1D"/>
  </w:style>
  <w:style w:type="character" w:customStyle="1" w:styleId="volumeissue">
    <w:name w:val="volume_issue"/>
    <w:basedOn w:val="DefaultParagraphFont"/>
    <w:rsid w:val="00412C1D"/>
  </w:style>
  <w:style w:type="character" w:customStyle="1" w:styleId="doilink">
    <w:name w:val="doi_link"/>
    <w:basedOn w:val="DefaultParagraphFont"/>
    <w:rsid w:val="00412C1D"/>
  </w:style>
  <w:style w:type="paragraph" w:styleId="BalloonText">
    <w:name w:val="Balloon Text"/>
    <w:basedOn w:val="Normal"/>
    <w:link w:val="BalloonTextChar"/>
    <w:uiPriority w:val="99"/>
    <w:semiHidden/>
    <w:unhideWhenUsed/>
    <w:rsid w:val="00412C1D"/>
    <w:pPr>
      <w:spacing w:line="240" w:lineRule="auto"/>
      <w:ind w:left="0"/>
    </w:pPr>
    <w:rPr>
      <w:rFonts w:ascii="Times New Roman" w:eastAsia="Calibri" w:hAnsi="Times New Roman" w:cs="Times New Roman"/>
      <w:color w:val="auto"/>
      <w:sz w:val="18"/>
      <w:szCs w:val="18"/>
      <w:lang w:eastAsia="pl-PL"/>
    </w:rPr>
  </w:style>
  <w:style w:type="character" w:customStyle="1" w:styleId="BalloonTextChar">
    <w:name w:val="Balloon Text Char"/>
    <w:basedOn w:val="DefaultParagraphFont"/>
    <w:link w:val="BalloonText"/>
    <w:uiPriority w:val="99"/>
    <w:semiHidden/>
    <w:rsid w:val="00412C1D"/>
    <w:rPr>
      <w:rFonts w:ascii="Times New Roman" w:eastAsia="Calibri" w:hAnsi="Times New Roman" w:cs="Times New Roman"/>
      <w:color w:val="auto"/>
      <w:sz w:val="18"/>
      <w:szCs w:val="18"/>
      <w:lang w:val="en-US" w:eastAsia="pl-PL"/>
    </w:rPr>
  </w:style>
  <w:style w:type="character" w:customStyle="1" w:styleId="ref-title">
    <w:name w:val="ref-title"/>
    <w:basedOn w:val="DefaultParagraphFont"/>
    <w:rsid w:val="00412C1D"/>
  </w:style>
  <w:style w:type="character" w:customStyle="1" w:styleId="ref-journal">
    <w:name w:val="ref-journal"/>
    <w:basedOn w:val="DefaultParagraphFont"/>
    <w:rsid w:val="00412C1D"/>
  </w:style>
  <w:style w:type="character" w:customStyle="1" w:styleId="ref-vol">
    <w:name w:val="ref-vol"/>
    <w:basedOn w:val="DefaultParagraphFont"/>
    <w:rsid w:val="00412C1D"/>
  </w:style>
  <w:style w:type="character" w:customStyle="1" w:styleId="ref-iss">
    <w:name w:val="ref-iss"/>
    <w:basedOn w:val="DefaultParagraphFont"/>
    <w:rsid w:val="00412C1D"/>
  </w:style>
  <w:style w:type="paragraph" w:customStyle="1" w:styleId="epblock">
    <w:name w:val="ep_block"/>
    <w:basedOn w:val="Normal"/>
    <w:rsid w:val="00412C1D"/>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personname">
    <w:name w:val="person_name"/>
    <w:basedOn w:val="DefaultParagraphFont"/>
    <w:rsid w:val="00412C1D"/>
  </w:style>
  <w:style w:type="paragraph" w:customStyle="1" w:styleId="loaitem">
    <w:name w:val="loa__item"/>
    <w:basedOn w:val="Normal"/>
    <w:rsid w:val="00412C1D"/>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article-headeraccess">
    <w:name w:val="article-header__access"/>
    <w:basedOn w:val="DefaultParagraphFont"/>
    <w:rsid w:val="00412C1D"/>
  </w:style>
  <w:style w:type="character" w:customStyle="1" w:styleId="article-headerpublish-datelabel">
    <w:name w:val="article-header__publish-date__label"/>
    <w:basedOn w:val="DefaultParagraphFont"/>
    <w:rsid w:val="00412C1D"/>
  </w:style>
  <w:style w:type="character" w:customStyle="1" w:styleId="article-headerpublish-datevalue">
    <w:name w:val="article-header__publish-date__value"/>
    <w:basedOn w:val="DefaultParagraphFont"/>
    <w:rsid w:val="00412C1D"/>
  </w:style>
  <w:style w:type="character" w:customStyle="1" w:styleId="article-headerdoilabel">
    <w:name w:val="article-header__doi__label"/>
    <w:basedOn w:val="DefaultParagraphFont"/>
    <w:rsid w:val="00412C1D"/>
  </w:style>
  <w:style w:type="character" w:customStyle="1" w:styleId="comma-separator">
    <w:name w:val="comma-separator"/>
    <w:basedOn w:val="DefaultParagraphFont"/>
    <w:rsid w:val="00412C1D"/>
  </w:style>
  <w:style w:type="character" w:customStyle="1" w:styleId="epub-state">
    <w:name w:val="epub-state"/>
    <w:basedOn w:val="DefaultParagraphFont"/>
    <w:rsid w:val="00412C1D"/>
  </w:style>
  <w:style w:type="character" w:customStyle="1" w:styleId="epub-date">
    <w:name w:val="epub-date"/>
    <w:basedOn w:val="DefaultParagraphFont"/>
    <w:rsid w:val="00412C1D"/>
  </w:style>
  <w:style w:type="character" w:customStyle="1" w:styleId="html-italic">
    <w:name w:val="html-italic"/>
    <w:basedOn w:val="DefaultParagraphFont"/>
    <w:rsid w:val="00412C1D"/>
  </w:style>
  <w:style w:type="character" w:customStyle="1" w:styleId="booktitle">
    <w:name w:val="booktitle"/>
    <w:basedOn w:val="DefaultParagraphFont"/>
    <w:rsid w:val="00412C1D"/>
  </w:style>
  <w:style w:type="character" w:customStyle="1" w:styleId="publisherlocation">
    <w:name w:val="publisherlocation"/>
    <w:basedOn w:val="DefaultParagraphFont"/>
    <w:rsid w:val="00412C1D"/>
  </w:style>
  <w:style w:type="character" w:styleId="PageNumber">
    <w:name w:val="page number"/>
    <w:basedOn w:val="DefaultParagraphFont"/>
    <w:uiPriority w:val="99"/>
    <w:semiHidden/>
    <w:unhideWhenUsed/>
    <w:rsid w:val="00511F7C"/>
  </w:style>
  <w:style w:type="paragraph" w:customStyle="1" w:styleId="x-scope">
    <w:name w:val="x-scope"/>
    <w:basedOn w:val="Normal"/>
    <w:rsid w:val="0083170E"/>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qowt-font2-timesnewroman">
    <w:name w:val="qowt-font2-timesnewroman"/>
    <w:basedOn w:val="DefaultParagraphFont"/>
    <w:rsid w:val="0083170E"/>
  </w:style>
  <w:style w:type="paragraph" w:customStyle="1" w:styleId="qowt-stl-m2846478533982981635msobodytext">
    <w:name w:val="qowt-stl-m2846478533982981635msobodytext"/>
    <w:basedOn w:val="Normal"/>
    <w:rsid w:val="0083170E"/>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qowt-stl-il">
    <w:name w:val="qowt-stl-il"/>
    <w:basedOn w:val="DefaultParagraphFont"/>
    <w:rsid w:val="00831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38561">
      <w:bodyDiv w:val="1"/>
      <w:marLeft w:val="0"/>
      <w:marRight w:val="0"/>
      <w:marTop w:val="0"/>
      <w:marBottom w:val="0"/>
      <w:divBdr>
        <w:top w:val="none" w:sz="0" w:space="0" w:color="auto"/>
        <w:left w:val="none" w:sz="0" w:space="0" w:color="auto"/>
        <w:bottom w:val="none" w:sz="0" w:space="0" w:color="auto"/>
        <w:right w:val="none" w:sz="0" w:space="0" w:color="auto"/>
      </w:divBdr>
    </w:div>
    <w:div w:id="35473830">
      <w:bodyDiv w:val="1"/>
      <w:marLeft w:val="0"/>
      <w:marRight w:val="0"/>
      <w:marTop w:val="0"/>
      <w:marBottom w:val="0"/>
      <w:divBdr>
        <w:top w:val="none" w:sz="0" w:space="0" w:color="auto"/>
        <w:left w:val="none" w:sz="0" w:space="0" w:color="auto"/>
        <w:bottom w:val="none" w:sz="0" w:space="0" w:color="auto"/>
        <w:right w:val="none" w:sz="0" w:space="0" w:color="auto"/>
      </w:divBdr>
    </w:div>
    <w:div w:id="66457803">
      <w:bodyDiv w:val="1"/>
      <w:marLeft w:val="0"/>
      <w:marRight w:val="0"/>
      <w:marTop w:val="0"/>
      <w:marBottom w:val="0"/>
      <w:divBdr>
        <w:top w:val="none" w:sz="0" w:space="0" w:color="auto"/>
        <w:left w:val="none" w:sz="0" w:space="0" w:color="auto"/>
        <w:bottom w:val="none" w:sz="0" w:space="0" w:color="auto"/>
        <w:right w:val="none" w:sz="0" w:space="0" w:color="auto"/>
      </w:divBdr>
    </w:div>
    <w:div w:id="276371157">
      <w:bodyDiv w:val="1"/>
      <w:marLeft w:val="0"/>
      <w:marRight w:val="0"/>
      <w:marTop w:val="0"/>
      <w:marBottom w:val="0"/>
      <w:divBdr>
        <w:top w:val="none" w:sz="0" w:space="0" w:color="auto"/>
        <w:left w:val="none" w:sz="0" w:space="0" w:color="auto"/>
        <w:bottom w:val="none" w:sz="0" w:space="0" w:color="auto"/>
        <w:right w:val="none" w:sz="0" w:space="0" w:color="auto"/>
      </w:divBdr>
    </w:div>
    <w:div w:id="358315101">
      <w:bodyDiv w:val="1"/>
      <w:marLeft w:val="0"/>
      <w:marRight w:val="0"/>
      <w:marTop w:val="0"/>
      <w:marBottom w:val="0"/>
      <w:divBdr>
        <w:top w:val="none" w:sz="0" w:space="0" w:color="auto"/>
        <w:left w:val="none" w:sz="0" w:space="0" w:color="auto"/>
        <w:bottom w:val="none" w:sz="0" w:space="0" w:color="auto"/>
        <w:right w:val="none" w:sz="0" w:space="0" w:color="auto"/>
      </w:divBdr>
    </w:div>
    <w:div w:id="367217028">
      <w:bodyDiv w:val="1"/>
      <w:marLeft w:val="0"/>
      <w:marRight w:val="0"/>
      <w:marTop w:val="0"/>
      <w:marBottom w:val="0"/>
      <w:divBdr>
        <w:top w:val="none" w:sz="0" w:space="0" w:color="auto"/>
        <w:left w:val="none" w:sz="0" w:space="0" w:color="auto"/>
        <w:bottom w:val="none" w:sz="0" w:space="0" w:color="auto"/>
        <w:right w:val="none" w:sz="0" w:space="0" w:color="auto"/>
      </w:divBdr>
    </w:div>
    <w:div w:id="381906447">
      <w:bodyDiv w:val="1"/>
      <w:marLeft w:val="0"/>
      <w:marRight w:val="0"/>
      <w:marTop w:val="0"/>
      <w:marBottom w:val="0"/>
      <w:divBdr>
        <w:top w:val="none" w:sz="0" w:space="0" w:color="auto"/>
        <w:left w:val="none" w:sz="0" w:space="0" w:color="auto"/>
        <w:bottom w:val="none" w:sz="0" w:space="0" w:color="auto"/>
        <w:right w:val="none" w:sz="0" w:space="0" w:color="auto"/>
      </w:divBdr>
    </w:div>
    <w:div w:id="411704722">
      <w:bodyDiv w:val="1"/>
      <w:marLeft w:val="0"/>
      <w:marRight w:val="0"/>
      <w:marTop w:val="0"/>
      <w:marBottom w:val="0"/>
      <w:divBdr>
        <w:top w:val="none" w:sz="0" w:space="0" w:color="auto"/>
        <w:left w:val="none" w:sz="0" w:space="0" w:color="auto"/>
        <w:bottom w:val="none" w:sz="0" w:space="0" w:color="auto"/>
        <w:right w:val="none" w:sz="0" w:space="0" w:color="auto"/>
      </w:divBdr>
      <w:divsChild>
        <w:div w:id="674773182">
          <w:marLeft w:val="446"/>
          <w:marRight w:val="0"/>
          <w:marTop w:val="0"/>
          <w:marBottom w:val="0"/>
          <w:divBdr>
            <w:top w:val="none" w:sz="0" w:space="0" w:color="auto"/>
            <w:left w:val="none" w:sz="0" w:space="0" w:color="auto"/>
            <w:bottom w:val="none" w:sz="0" w:space="0" w:color="auto"/>
            <w:right w:val="none" w:sz="0" w:space="0" w:color="auto"/>
          </w:divBdr>
        </w:div>
        <w:div w:id="1130587261">
          <w:marLeft w:val="446"/>
          <w:marRight w:val="0"/>
          <w:marTop w:val="0"/>
          <w:marBottom w:val="0"/>
          <w:divBdr>
            <w:top w:val="none" w:sz="0" w:space="0" w:color="auto"/>
            <w:left w:val="none" w:sz="0" w:space="0" w:color="auto"/>
            <w:bottom w:val="none" w:sz="0" w:space="0" w:color="auto"/>
            <w:right w:val="none" w:sz="0" w:space="0" w:color="auto"/>
          </w:divBdr>
        </w:div>
        <w:div w:id="1200125194">
          <w:marLeft w:val="446"/>
          <w:marRight w:val="0"/>
          <w:marTop w:val="0"/>
          <w:marBottom w:val="0"/>
          <w:divBdr>
            <w:top w:val="none" w:sz="0" w:space="0" w:color="auto"/>
            <w:left w:val="none" w:sz="0" w:space="0" w:color="auto"/>
            <w:bottom w:val="none" w:sz="0" w:space="0" w:color="auto"/>
            <w:right w:val="none" w:sz="0" w:space="0" w:color="auto"/>
          </w:divBdr>
        </w:div>
      </w:divsChild>
    </w:div>
    <w:div w:id="428357870">
      <w:bodyDiv w:val="1"/>
      <w:marLeft w:val="0"/>
      <w:marRight w:val="0"/>
      <w:marTop w:val="0"/>
      <w:marBottom w:val="0"/>
      <w:divBdr>
        <w:top w:val="none" w:sz="0" w:space="0" w:color="auto"/>
        <w:left w:val="none" w:sz="0" w:space="0" w:color="auto"/>
        <w:bottom w:val="none" w:sz="0" w:space="0" w:color="auto"/>
        <w:right w:val="none" w:sz="0" w:space="0" w:color="auto"/>
      </w:divBdr>
    </w:div>
    <w:div w:id="492112139">
      <w:bodyDiv w:val="1"/>
      <w:marLeft w:val="0"/>
      <w:marRight w:val="0"/>
      <w:marTop w:val="0"/>
      <w:marBottom w:val="0"/>
      <w:divBdr>
        <w:top w:val="none" w:sz="0" w:space="0" w:color="auto"/>
        <w:left w:val="none" w:sz="0" w:space="0" w:color="auto"/>
        <w:bottom w:val="none" w:sz="0" w:space="0" w:color="auto"/>
        <w:right w:val="none" w:sz="0" w:space="0" w:color="auto"/>
      </w:divBdr>
    </w:div>
    <w:div w:id="499388572">
      <w:bodyDiv w:val="1"/>
      <w:marLeft w:val="0"/>
      <w:marRight w:val="0"/>
      <w:marTop w:val="0"/>
      <w:marBottom w:val="0"/>
      <w:divBdr>
        <w:top w:val="none" w:sz="0" w:space="0" w:color="auto"/>
        <w:left w:val="none" w:sz="0" w:space="0" w:color="auto"/>
        <w:bottom w:val="none" w:sz="0" w:space="0" w:color="auto"/>
        <w:right w:val="none" w:sz="0" w:space="0" w:color="auto"/>
      </w:divBdr>
    </w:div>
    <w:div w:id="642854608">
      <w:bodyDiv w:val="1"/>
      <w:marLeft w:val="0"/>
      <w:marRight w:val="0"/>
      <w:marTop w:val="0"/>
      <w:marBottom w:val="0"/>
      <w:divBdr>
        <w:top w:val="none" w:sz="0" w:space="0" w:color="auto"/>
        <w:left w:val="none" w:sz="0" w:space="0" w:color="auto"/>
        <w:bottom w:val="none" w:sz="0" w:space="0" w:color="auto"/>
        <w:right w:val="none" w:sz="0" w:space="0" w:color="auto"/>
      </w:divBdr>
      <w:divsChild>
        <w:div w:id="2054842640">
          <w:marLeft w:val="446"/>
          <w:marRight w:val="0"/>
          <w:marTop w:val="0"/>
          <w:marBottom w:val="0"/>
          <w:divBdr>
            <w:top w:val="none" w:sz="0" w:space="0" w:color="auto"/>
            <w:left w:val="none" w:sz="0" w:space="0" w:color="auto"/>
            <w:bottom w:val="none" w:sz="0" w:space="0" w:color="auto"/>
            <w:right w:val="none" w:sz="0" w:space="0" w:color="auto"/>
          </w:divBdr>
        </w:div>
        <w:div w:id="106851827">
          <w:marLeft w:val="446"/>
          <w:marRight w:val="0"/>
          <w:marTop w:val="0"/>
          <w:marBottom w:val="0"/>
          <w:divBdr>
            <w:top w:val="none" w:sz="0" w:space="0" w:color="auto"/>
            <w:left w:val="none" w:sz="0" w:space="0" w:color="auto"/>
            <w:bottom w:val="none" w:sz="0" w:space="0" w:color="auto"/>
            <w:right w:val="none" w:sz="0" w:space="0" w:color="auto"/>
          </w:divBdr>
        </w:div>
      </w:divsChild>
    </w:div>
    <w:div w:id="650525518">
      <w:bodyDiv w:val="1"/>
      <w:marLeft w:val="0"/>
      <w:marRight w:val="0"/>
      <w:marTop w:val="0"/>
      <w:marBottom w:val="0"/>
      <w:divBdr>
        <w:top w:val="none" w:sz="0" w:space="0" w:color="auto"/>
        <w:left w:val="none" w:sz="0" w:space="0" w:color="auto"/>
        <w:bottom w:val="none" w:sz="0" w:space="0" w:color="auto"/>
        <w:right w:val="none" w:sz="0" w:space="0" w:color="auto"/>
      </w:divBdr>
    </w:div>
    <w:div w:id="747923295">
      <w:bodyDiv w:val="1"/>
      <w:marLeft w:val="0"/>
      <w:marRight w:val="0"/>
      <w:marTop w:val="0"/>
      <w:marBottom w:val="0"/>
      <w:divBdr>
        <w:top w:val="none" w:sz="0" w:space="0" w:color="auto"/>
        <w:left w:val="none" w:sz="0" w:space="0" w:color="auto"/>
        <w:bottom w:val="none" w:sz="0" w:space="0" w:color="auto"/>
        <w:right w:val="none" w:sz="0" w:space="0" w:color="auto"/>
      </w:divBdr>
    </w:div>
    <w:div w:id="793795947">
      <w:bodyDiv w:val="1"/>
      <w:marLeft w:val="0"/>
      <w:marRight w:val="0"/>
      <w:marTop w:val="0"/>
      <w:marBottom w:val="0"/>
      <w:divBdr>
        <w:top w:val="none" w:sz="0" w:space="0" w:color="auto"/>
        <w:left w:val="none" w:sz="0" w:space="0" w:color="auto"/>
        <w:bottom w:val="none" w:sz="0" w:space="0" w:color="auto"/>
        <w:right w:val="none" w:sz="0" w:space="0" w:color="auto"/>
      </w:divBdr>
    </w:div>
    <w:div w:id="801384302">
      <w:bodyDiv w:val="1"/>
      <w:marLeft w:val="0"/>
      <w:marRight w:val="0"/>
      <w:marTop w:val="0"/>
      <w:marBottom w:val="0"/>
      <w:divBdr>
        <w:top w:val="none" w:sz="0" w:space="0" w:color="auto"/>
        <w:left w:val="none" w:sz="0" w:space="0" w:color="auto"/>
        <w:bottom w:val="none" w:sz="0" w:space="0" w:color="auto"/>
        <w:right w:val="none" w:sz="0" w:space="0" w:color="auto"/>
      </w:divBdr>
      <w:divsChild>
        <w:div w:id="1252397206">
          <w:marLeft w:val="446"/>
          <w:marRight w:val="0"/>
          <w:marTop w:val="0"/>
          <w:marBottom w:val="0"/>
          <w:divBdr>
            <w:top w:val="none" w:sz="0" w:space="0" w:color="auto"/>
            <w:left w:val="none" w:sz="0" w:space="0" w:color="auto"/>
            <w:bottom w:val="none" w:sz="0" w:space="0" w:color="auto"/>
            <w:right w:val="none" w:sz="0" w:space="0" w:color="auto"/>
          </w:divBdr>
        </w:div>
        <w:div w:id="1039629311">
          <w:marLeft w:val="1886"/>
          <w:marRight w:val="0"/>
          <w:marTop w:val="0"/>
          <w:marBottom w:val="0"/>
          <w:divBdr>
            <w:top w:val="none" w:sz="0" w:space="0" w:color="auto"/>
            <w:left w:val="none" w:sz="0" w:space="0" w:color="auto"/>
            <w:bottom w:val="none" w:sz="0" w:space="0" w:color="auto"/>
            <w:right w:val="none" w:sz="0" w:space="0" w:color="auto"/>
          </w:divBdr>
        </w:div>
        <w:div w:id="2082020542">
          <w:marLeft w:val="1886"/>
          <w:marRight w:val="0"/>
          <w:marTop w:val="0"/>
          <w:marBottom w:val="0"/>
          <w:divBdr>
            <w:top w:val="none" w:sz="0" w:space="0" w:color="auto"/>
            <w:left w:val="none" w:sz="0" w:space="0" w:color="auto"/>
            <w:bottom w:val="none" w:sz="0" w:space="0" w:color="auto"/>
            <w:right w:val="none" w:sz="0" w:space="0" w:color="auto"/>
          </w:divBdr>
        </w:div>
      </w:divsChild>
    </w:div>
    <w:div w:id="823397784">
      <w:bodyDiv w:val="1"/>
      <w:marLeft w:val="0"/>
      <w:marRight w:val="0"/>
      <w:marTop w:val="0"/>
      <w:marBottom w:val="0"/>
      <w:divBdr>
        <w:top w:val="none" w:sz="0" w:space="0" w:color="auto"/>
        <w:left w:val="none" w:sz="0" w:space="0" w:color="auto"/>
        <w:bottom w:val="none" w:sz="0" w:space="0" w:color="auto"/>
        <w:right w:val="none" w:sz="0" w:space="0" w:color="auto"/>
      </w:divBdr>
    </w:div>
    <w:div w:id="859658840">
      <w:bodyDiv w:val="1"/>
      <w:marLeft w:val="0"/>
      <w:marRight w:val="0"/>
      <w:marTop w:val="0"/>
      <w:marBottom w:val="0"/>
      <w:divBdr>
        <w:top w:val="none" w:sz="0" w:space="0" w:color="auto"/>
        <w:left w:val="none" w:sz="0" w:space="0" w:color="auto"/>
        <w:bottom w:val="none" w:sz="0" w:space="0" w:color="auto"/>
        <w:right w:val="none" w:sz="0" w:space="0" w:color="auto"/>
      </w:divBdr>
    </w:div>
    <w:div w:id="870923698">
      <w:bodyDiv w:val="1"/>
      <w:marLeft w:val="0"/>
      <w:marRight w:val="0"/>
      <w:marTop w:val="0"/>
      <w:marBottom w:val="0"/>
      <w:divBdr>
        <w:top w:val="none" w:sz="0" w:space="0" w:color="auto"/>
        <w:left w:val="none" w:sz="0" w:space="0" w:color="auto"/>
        <w:bottom w:val="none" w:sz="0" w:space="0" w:color="auto"/>
        <w:right w:val="none" w:sz="0" w:space="0" w:color="auto"/>
      </w:divBdr>
    </w:div>
    <w:div w:id="897397241">
      <w:bodyDiv w:val="1"/>
      <w:marLeft w:val="0"/>
      <w:marRight w:val="0"/>
      <w:marTop w:val="0"/>
      <w:marBottom w:val="0"/>
      <w:divBdr>
        <w:top w:val="none" w:sz="0" w:space="0" w:color="auto"/>
        <w:left w:val="none" w:sz="0" w:space="0" w:color="auto"/>
        <w:bottom w:val="none" w:sz="0" w:space="0" w:color="auto"/>
        <w:right w:val="none" w:sz="0" w:space="0" w:color="auto"/>
      </w:divBdr>
      <w:divsChild>
        <w:div w:id="1461075890">
          <w:marLeft w:val="446"/>
          <w:marRight w:val="0"/>
          <w:marTop w:val="0"/>
          <w:marBottom w:val="0"/>
          <w:divBdr>
            <w:top w:val="none" w:sz="0" w:space="0" w:color="auto"/>
            <w:left w:val="none" w:sz="0" w:space="0" w:color="auto"/>
            <w:bottom w:val="none" w:sz="0" w:space="0" w:color="auto"/>
            <w:right w:val="none" w:sz="0" w:space="0" w:color="auto"/>
          </w:divBdr>
        </w:div>
        <w:div w:id="1982998439">
          <w:marLeft w:val="446"/>
          <w:marRight w:val="0"/>
          <w:marTop w:val="0"/>
          <w:marBottom w:val="0"/>
          <w:divBdr>
            <w:top w:val="none" w:sz="0" w:space="0" w:color="auto"/>
            <w:left w:val="none" w:sz="0" w:space="0" w:color="auto"/>
            <w:bottom w:val="none" w:sz="0" w:space="0" w:color="auto"/>
            <w:right w:val="none" w:sz="0" w:space="0" w:color="auto"/>
          </w:divBdr>
        </w:div>
      </w:divsChild>
    </w:div>
    <w:div w:id="1038313099">
      <w:bodyDiv w:val="1"/>
      <w:marLeft w:val="0"/>
      <w:marRight w:val="0"/>
      <w:marTop w:val="0"/>
      <w:marBottom w:val="0"/>
      <w:divBdr>
        <w:top w:val="none" w:sz="0" w:space="0" w:color="auto"/>
        <w:left w:val="none" w:sz="0" w:space="0" w:color="auto"/>
        <w:bottom w:val="none" w:sz="0" w:space="0" w:color="auto"/>
        <w:right w:val="none" w:sz="0" w:space="0" w:color="auto"/>
      </w:divBdr>
      <w:divsChild>
        <w:div w:id="1561595583">
          <w:marLeft w:val="446"/>
          <w:marRight w:val="0"/>
          <w:marTop w:val="0"/>
          <w:marBottom w:val="0"/>
          <w:divBdr>
            <w:top w:val="none" w:sz="0" w:space="0" w:color="auto"/>
            <w:left w:val="none" w:sz="0" w:space="0" w:color="auto"/>
            <w:bottom w:val="none" w:sz="0" w:space="0" w:color="auto"/>
            <w:right w:val="none" w:sz="0" w:space="0" w:color="auto"/>
          </w:divBdr>
        </w:div>
        <w:div w:id="46612520">
          <w:marLeft w:val="446"/>
          <w:marRight w:val="0"/>
          <w:marTop w:val="0"/>
          <w:marBottom w:val="0"/>
          <w:divBdr>
            <w:top w:val="none" w:sz="0" w:space="0" w:color="auto"/>
            <w:left w:val="none" w:sz="0" w:space="0" w:color="auto"/>
            <w:bottom w:val="none" w:sz="0" w:space="0" w:color="auto"/>
            <w:right w:val="none" w:sz="0" w:space="0" w:color="auto"/>
          </w:divBdr>
        </w:div>
        <w:div w:id="840317067">
          <w:marLeft w:val="446"/>
          <w:marRight w:val="0"/>
          <w:marTop w:val="0"/>
          <w:marBottom w:val="0"/>
          <w:divBdr>
            <w:top w:val="none" w:sz="0" w:space="0" w:color="auto"/>
            <w:left w:val="none" w:sz="0" w:space="0" w:color="auto"/>
            <w:bottom w:val="none" w:sz="0" w:space="0" w:color="auto"/>
            <w:right w:val="none" w:sz="0" w:space="0" w:color="auto"/>
          </w:divBdr>
        </w:div>
      </w:divsChild>
    </w:div>
    <w:div w:id="1106267309">
      <w:bodyDiv w:val="1"/>
      <w:marLeft w:val="0"/>
      <w:marRight w:val="0"/>
      <w:marTop w:val="0"/>
      <w:marBottom w:val="0"/>
      <w:divBdr>
        <w:top w:val="none" w:sz="0" w:space="0" w:color="auto"/>
        <w:left w:val="none" w:sz="0" w:space="0" w:color="auto"/>
        <w:bottom w:val="none" w:sz="0" w:space="0" w:color="auto"/>
        <w:right w:val="none" w:sz="0" w:space="0" w:color="auto"/>
      </w:divBdr>
    </w:div>
    <w:div w:id="1121191565">
      <w:bodyDiv w:val="1"/>
      <w:marLeft w:val="0"/>
      <w:marRight w:val="0"/>
      <w:marTop w:val="0"/>
      <w:marBottom w:val="0"/>
      <w:divBdr>
        <w:top w:val="none" w:sz="0" w:space="0" w:color="auto"/>
        <w:left w:val="none" w:sz="0" w:space="0" w:color="auto"/>
        <w:bottom w:val="none" w:sz="0" w:space="0" w:color="auto"/>
        <w:right w:val="none" w:sz="0" w:space="0" w:color="auto"/>
      </w:divBdr>
    </w:div>
    <w:div w:id="1176188751">
      <w:bodyDiv w:val="1"/>
      <w:marLeft w:val="0"/>
      <w:marRight w:val="0"/>
      <w:marTop w:val="0"/>
      <w:marBottom w:val="0"/>
      <w:divBdr>
        <w:top w:val="none" w:sz="0" w:space="0" w:color="auto"/>
        <w:left w:val="none" w:sz="0" w:space="0" w:color="auto"/>
        <w:bottom w:val="none" w:sz="0" w:space="0" w:color="auto"/>
        <w:right w:val="none" w:sz="0" w:space="0" w:color="auto"/>
      </w:divBdr>
    </w:div>
    <w:div w:id="1210914729">
      <w:bodyDiv w:val="1"/>
      <w:marLeft w:val="0"/>
      <w:marRight w:val="0"/>
      <w:marTop w:val="0"/>
      <w:marBottom w:val="0"/>
      <w:divBdr>
        <w:top w:val="none" w:sz="0" w:space="0" w:color="auto"/>
        <w:left w:val="none" w:sz="0" w:space="0" w:color="auto"/>
        <w:bottom w:val="none" w:sz="0" w:space="0" w:color="auto"/>
        <w:right w:val="none" w:sz="0" w:space="0" w:color="auto"/>
      </w:divBdr>
    </w:div>
    <w:div w:id="1224678535">
      <w:bodyDiv w:val="1"/>
      <w:marLeft w:val="0"/>
      <w:marRight w:val="0"/>
      <w:marTop w:val="0"/>
      <w:marBottom w:val="0"/>
      <w:divBdr>
        <w:top w:val="none" w:sz="0" w:space="0" w:color="auto"/>
        <w:left w:val="none" w:sz="0" w:space="0" w:color="auto"/>
        <w:bottom w:val="none" w:sz="0" w:space="0" w:color="auto"/>
        <w:right w:val="none" w:sz="0" w:space="0" w:color="auto"/>
      </w:divBdr>
    </w:div>
    <w:div w:id="1330256294">
      <w:bodyDiv w:val="1"/>
      <w:marLeft w:val="0"/>
      <w:marRight w:val="0"/>
      <w:marTop w:val="0"/>
      <w:marBottom w:val="0"/>
      <w:divBdr>
        <w:top w:val="none" w:sz="0" w:space="0" w:color="auto"/>
        <w:left w:val="none" w:sz="0" w:space="0" w:color="auto"/>
        <w:bottom w:val="none" w:sz="0" w:space="0" w:color="auto"/>
        <w:right w:val="none" w:sz="0" w:space="0" w:color="auto"/>
      </w:divBdr>
    </w:div>
    <w:div w:id="1334453882">
      <w:bodyDiv w:val="1"/>
      <w:marLeft w:val="0"/>
      <w:marRight w:val="0"/>
      <w:marTop w:val="0"/>
      <w:marBottom w:val="0"/>
      <w:divBdr>
        <w:top w:val="none" w:sz="0" w:space="0" w:color="auto"/>
        <w:left w:val="none" w:sz="0" w:space="0" w:color="auto"/>
        <w:bottom w:val="none" w:sz="0" w:space="0" w:color="auto"/>
        <w:right w:val="none" w:sz="0" w:space="0" w:color="auto"/>
      </w:divBdr>
    </w:div>
    <w:div w:id="1334911179">
      <w:bodyDiv w:val="1"/>
      <w:marLeft w:val="0"/>
      <w:marRight w:val="0"/>
      <w:marTop w:val="0"/>
      <w:marBottom w:val="0"/>
      <w:divBdr>
        <w:top w:val="none" w:sz="0" w:space="0" w:color="auto"/>
        <w:left w:val="none" w:sz="0" w:space="0" w:color="auto"/>
        <w:bottom w:val="none" w:sz="0" w:space="0" w:color="auto"/>
        <w:right w:val="none" w:sz="0" w:space="0" w:color="auto"/>
      </w:divBdr>
    </w:div>
    <w:div w:id="1337148947">
      <w:bodyDiv w:val="1"/>
      <w:marLeft w:val="0"/>
      <w:marRight w:val="0"/>
      <w:marTop w:val="0"/>
      <w:marBottom w:val="0"/>
      <w:divBdr>
        <w:top w:val="none" w:sz="0" w:space="0" w:color="auto"/>
        <w:left w:val="none" w:sz="0" w:space="0" w:color="auto"/>
        <w:bottom w:val="none" w:sz="0" w:space="0" w:color="auto"/>
        <w:right w:val="none" w:sz="0" w:space="0" w:color="auto"/>
      </w:divBdr>
      <w:divsChild>
        <w:div w:id="216743362">
          <w:marLeft w:val="446"/>
          <w:marRight w:val="0"/>
          <w:marTop w:val="0"/>
          <w:marBottom w:val="0"/>
          <w:divBdr>
            <w:top w:val="none" w:sz="0" w:space="0" w:color="auto"/>
            <w:left w:val="none" w:sz="0" w:space="0" w:color="auto"/>
            <w:bottom w:val="none" w:sz="0" w:space="0" w:color="auto"/>
            <w:right w:val="none" w:sz="0" w:space="0" w:color="auto"/>
          </w:divBdr>
        </w:div>
        <w:div w:id="1401366599">
          <w:marLeft w:val="1886"/>
          <w:marRight w:val="0"/>
          <w:marTop w:val="0"/>
          <w:marBottom w:val="0"/>
          <w:divBdr>
            <w:top w:val="none" w:sz="0" w:space="0" w:color="auto"/>
            <w:left w:val="none" w:sz="0" w:space="0" w:color="auto"/>
            <w:bottom w:val="none" w:sz="0" w:space="0" w:color="auto"/>
            <w:right w:val="none" w:sz="0" w:space="0" w:color="auto"/>
          </w:divBdr>
        </w:div>
        <w:div w:id="1571036732">
          <w:marLeft w:val="1886"/>
          <w:marRight w:val="0"/>
          <w:marTop w:val="0"/>
          <w:marBottom w:val="0"/>
          <w:divBdr>
            <w:top w:val="none" w:sz="0" w:space="0" w:color="auto"/>
            <w:left w:val="none" w:sz="0" w:space="0" w:color="auto"/>
            <w:bottom w:val="none" w:sz="0" w:space="0" w:color="auto"/>
            <w:right w:val="none" w:sz="0" w:space="0" w:color="auto"/>
          </w:divBdr>
        </w:div>
        <w:div w:id="1467158071">
          <w:marLeft w:val="446"/>
          <w:marRight w:val="0"/>
          <w:marTop w:val="0"/>
          <w:marBottom w:val="0"/>
          <w:divBdr>
            <w:top w:val="none" w:sz="0" w:space="0" w:color="auto"/>
            <w:left w:val="none" w:sz="0" w:space="0" w:color="auto"/>
            <w:bottom w:val="none" w:sz="0" w:space="0" w:color="auto"/>
            <w:right w:val="none" w:sz="0" w:space="0" w:color="auto"/>
          </w:divBdr>
        </w:div>
      </w:divsChild>
    </w:div>
    <w:div w:id="1441797882">
      <w:bodyDiv w:val="1"/>
      <w:marLeft w:val="0"/>
      <w:marRight w:val="0"/>
      <w:marTop w:val="0"/>
      <w:marBottom w:val="0"/>
      <w:divBdr>
        <w:top w:val="none" w:sz="0" w:space="0" w:color="auto"/>
        <w:left w:val="none" w:sz="0" w:space="0" w:color="auto"/>
        <w:bottom w:val="none" w:sz="0" w:space="0" w:color="auto"/>
        <w:right w:val="none" w:sz="0" w:space="0" w:color="auto"/>
      </w:divBdr>
    </w:div>
    <w:div w:id="1556240248">
      <w:bodyDiv w:val="1"/>
      <w:marLeft w:val="0"/>
      <w:marRight w:val="0"/>
      <w:marTop w:val="0"/>
      <w:marBottom w:val="0"/>
      <w:divBdr>
        <w:top w:val="none" w:sz="0" w:space="0" w:color="auto"/>
        <w:left w:val="none" w:sz="0" w:space="0" w:color="auto"/>
        <w:bottom w:val="none" w:sz="0" w:space="0" w:color="auto"/>
        <w:right w:val="none" w:sz="0" w:space="0" w:color="auto"/>
      </w:divBdr>
    </w:div>
    <w:div w:id="1671836609">
      <w:bodyDiv w:val="1"/>
      <w:marLeft w:val="0"/>
      <w:marRight w:val="0"/>
      <w:marTop w:val="0"/>
      <w:marBottom w:val="0"/>
      <w:divBdr>
        <w:top w:val="none" w:sz="0" w:space="0" w:color="auto"/>
        <w:left w:val="none" w:sz="0" w:space="0" w:color="auto"/>
        <w:bottom w:val="none" w:sz="0" w:space="0" w:color="auto"/>
        <w:right w:val="none" w:sz="0" w:space="0" w:color="auto"/>
      </w:divBdr>
    </w:div>
    <w:div w:id="1718698174">
      <w:bodyDiv w:val="1"/>
      <w:marLeft w:val="0"/>
      <w:marRight w:val="0"/>
      <w:marTop w:val="0"/>
      <w:marBottom w:val="0"/>
      <w:divBdr>
        <w:top w:val="none" w:sz="0" w:space="0" w:color="auto"/>
        <w:left w:val="none" w:sz="0" w:space="0" w:color="auto"/>
        <w:bottom w:val="none" w:sz="0" w:space="0" w:color="auto"/>
        <w:right w:val="none" w:sz="0" w:space="0" w:color="auto"/>
      </w:divBdr>
    </w:div>
    <w:div w:id="1755278803">
      <w:bodyDiv w:val="1"/>
      <w:marLeft w:val="0"/>
      <w:marRight w:val="0"/>
      <w:marTop w:val="0"/>
      <w:marBottom w:val="0"/>
      <w:divBdr>
        <w:top w:val="none" w:sz="0" w:space="0" w:color="auto"/>
        <w:left w:val="none" w:sz="0" w:space="0" w:color="auto"/>
        <w:bottom w:val="none" w:sz="0" w:space="0" w:color="auto"/>
        <w:right w:val="none" w:sz="0" w:space="0" w:color="auto"/>
      </w:divBdr>
    </w:div>
    <w:div w:id="1944796837">
      <w:bodyDiv w:val="1"/>
      <w:marLeft w:val="0"/>
      <w:marRight w:val="0"/>
      <w:marTop w:val="0"/>
      <w:marBottom w:val="0"/>
      <w:divBdr>
        <w:top w:val="none" w:sz="0" w:space="0" w:color="auto"/>
        <w:left w:val="none" w:sz="0" w:space="0" w:color="auto"/>
        <w:bottom w:val="none" w:sz="0" w:space="0" w:color="auto"/>
        <w:right w:val="none" w:sz="0" w:space="0" w:color="auto"/>
      </w:divBdr>
    </w:div>
    <w:div w:id="1962611086">
      <w:bodyDiv w:val="1"/>
      <w:marLeft w:val="0"/>
      <w:marRight w:val="0"/>
      <w:marTop w:val="0"/>
      <w:marBottom w:val="0"/>
      <w:divBdr>
        <w:top w:val="none" w:sz="0" w:space="0" w:color="auto"/>
        <w:left w:val="none" w:sz="0" w:space="0" w:color="auto"/>
        <w:bottom w:val="none" w:sz="0" w:space="0" w:color="auto"/>
        <w:right w:val="none" w:sz="0" w:space="0" w:color="auto"/>
      </w:divBdr>
    </w:div>
    <w:div w:id="1996714520">
      <w:bodyDiv w:val="1"/>
      <w:marLeft w:val="0"/>
      <w:marRight w:val="0"/>
      <w:marTop w:val="0"/>
      <w:marBottom w:val="0"/>
      <w:divBdr>
        <w:top w:val="none" w:sz="0" w:space="0" w:color="auto"/>
        <w:left w:val="none" w:sz="0" w:space="0" w:color="auto"/>
        <w:bottom w:val="none" w:sz="0" w:space="0" w:color="auto"/>
        <w:right w:val="none" w:sz="0" w:space="0" w:color="auto"/>
      </w:divBdr>
    </w:div>
    <w:div w:id="2096703773">
      <w:bodyDiv w:val="1"/>
      <w:marLeft w:val="0"/>
      <w:marRight w:val="0"/>
      <w:marTop w:val="0"/>
      <w:marBottom w:val="0"/>
      <w:divBdr>
        <w:top w:val="none" w:sz="0" w:space="0" w:color="auto"/>
        <w:left w:val="none" w:sz="0" w:space="0" w:color="auto"/>
        <w:bottom w:val="none" w:sz="0" w:space="0" w:color="auto"/>
        <w:right w:val="none" w:sz="0" w:space="0" w:color="auto"/>
      </w:divBdr>
    </w:div>
    <w:div w:id="2123110014">
      <w:bodyDiv w:val="1"/>
      <w:marLeft w:val="0"/>
      <w:marRight w:val="0"/>
      <w:marTop w:val="0"/>
      <w:marBottom w:val="0"/>
      <w:divBdr>
        <w:top w:val="none" w:sz="0" w:space="0" w:color="auto"/>
        <w:left w:val="none" w:sz="0" w:space="0" w:color="auto"/>
        <w:bottom w:val="none" w:sz="0" w:space="0" w:color="auto"/>
        <w:right w:val="none" w:sz="0" w:space="0" w:color="auto"/>
      </w:divBdr>
    </w:div>
    <w:div w:id="21387205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doi.org/10.1108/JCM-10-2018-2906" TargetMode="External"/><Relationship Id="rId26" Type="http://schemas.openxmlformats.org/officeDocument/2006/relationships/hyperlink" Target="https://doi.org/10.1016/j.tifs.2019.07.046" TargetMode="External"/><Relationship Id="rId39" Type="http://schemas.openxmlformats.org/officeDocument/2006/relationships/hyperlink" Target="https://doi.org/10.3390/su141610391" TargetMode="External"/><Relationship Id="rId21" Type="http://schemas.openxmlformats.org/officeDocument/2006/relationships/hyperlink" Target="https://doi.org/10.1016/j.appet.2023.106454" TargetMode="External"/><Relationship Id="rId34" Type="http://schemas.openxmlformats.org/officeDocument/2006/relationships/hyperlink" Target="https://doi.org/10.1111/ijcs.12797" TargetMode="External"/><Relationship Id="rId42" Type="http://schemas.openxmlformats.org/officeDocument/2006/relationships/hyperlink" Target="https://doi.org/10.1080/10408398.2022.2054939" TargetMode="Externa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111/ijfs.15167" TargetMode="External"/><Relationship Id="rId29" Type="http://schemas.openxmlformats.org/officeDocument/2006/relationships/hyperlink" Target="https://doi.org/10.1111/1541-4337.1261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doi.org/10.3390/foods11223643" TargetMode="External"/><Relationship Id="rId32" Type="http://schemas.openxmlformats.org/officeDocument/2006/relationships/hyperlink" Target="https://doi.org/10.1016/j.foodres.2019.01.041" TargetMode="External"/><Relationship Id="rId37" Type="http://schemas.openxmlformats.org/officeDocument/2006/relationships/hyperlink" Target="https://doi.org/10.3390/su142215370" TargetMode="External"/><Relationship Id="rId40" Type="http://schemas.openxmlformats.org/officeDocument/2006/relationships/hyperlink" Target="https://doi.org/10.3390/foods11091274" TargetMode="External"/><Relationship Id="rId45" Type="http://schemas.openxmlformats.org/officeDocument/2006/relationships/hyperlink" Target="https://doi.org/10.1016/j.cofs.2021.01.007"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doi.org/10.3390/nu13103602" TargetMode="External"/><Relationship Id="rId28" Type="http://schemas.openxmlformats.org/officeDocument/2006/relationships/hyperlink" Target="https://doi.org/10.1016/j.tifs.2016.12.006" TargetMode="External"/><Relationship Id="rId36" Type="http://schemas.openxmlformats.org/officeDocument/2006/relationships/hyperlink" Target="https://doi.org/10.13140/2.1.1018.4643" TargetMode="External"/><Relationship Id="rId10" Type="http://schemas.openxmlformats.org/officeDocument/2006/relationships/endnotes" Target="endnotes.xml"/><Relationship Id="rId19" Type="http://schemas.openxmlformats.org/officeDocument/2006/relationships/hyperlink" Target="https://doi.org/10.1016/j.jclinepi.2018.08.019" TargetMode="External"/><Relationship Id="rId31" Type="http://schemas.openxmlformats.org/officeDocument/2006/relationships/hyperlink" Target="https://doi.org/10.3389/fnut.2021.759885" TargetMode="External"/><Relationship Id="rId44" Type="http://schemas.openxmlformats.org/officeDocument/2006/relationships/hyperlink" Target="https://doi.org/10.3390/su1115402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hyperlink" Target="https://doi.org/10.1016/j.foodqual.2015.02.007" TargetMode="External"/><Relationship Id="rId27" Type="http://schemas.openxmlformats.org/officeDocument/2006/relationships/hyperlink" Target="https://doi.org/10.1146/annurev-food-062520-093642" TargetMode="External"/><Relationship Id="rId30" Type="http://schemas.openxmlformats.org/officeDocument/2006/relationships/hyperlink" Target="https://doi.org/10.1386/ijfd.4.1.39_1" TargetMode="External"/><Relationship Id="rId35" Type="http://schemas.openxmlformats.org/officeDocument/2006/relationships/hyperlink" Target="https://doi.org/10.1016/j.appet.2020.105058" TargetMode="External"/><Relationship Id="rId43" Type="http://schemas.openxmlformats.org/officeDocument/2006/relationships/hyperlink" Target="https://doi.org/10.3920/JIFF2020.0130" TargetMode="Externa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https://doi.org/10.1080/87559129.2020.1762091" TargetMode="External"/><Relationship Id="rId25" Type="http://schemas.openxmlformats.org/officeDocument/2006/relationships/hyperlink" Target="https://doi.org/10.1016/j.ijgfs.2017.10.001" TargetMode="External"/><Relationship Id="rId33" Type="http://schemas.openxmlformats.org/officeDocument/2006/relationships/hyperlink" Target="https://doi.org/10.3390/foods12030646" TargetMode="External"/><Relationship Id="rId38" Type="http://schemas.openxmlformats.org/officeDocument/2006/relationships/hyperlink" Target="https://doi.org/10.1080/10408398.2022.2036096" TargetMode="External"/><Relationship Id="rId46" Type="http://schemas.openxmlformats.org/officeDocument/2006/relationships/hyperlink" Target="https://doi.org/10.1016/j.foodqual.2023.104811" TargetMode="External"/><Relationship Id="rId20" Type="http://schemas.openxmlformats.org/officeDocument/2006/relationships/hyperlink" Target="https://doi.org/10.3920/JIFF2020.0052" TargetMode="External"/><Relationship Id="rId41" Type="http://schemas.openxmlformats.org/officeDocument/2006/relationships/hyperlink" Target="https://doi.org/10.3390/ejihpe1002004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RENA\Downloads\LIKE-A-PRO%20Deliverable%20Template%20(1).dotx" TargetMode="External"/></Relationships>
</file>

<file path=word/theme/theme1.xml><?xml version="1.0" encoding="utf-8"?>
<a:theme xmlns:a="http://schemas.openxmlformats.org/drawingml/2006/main" name="Like a Pro tema">
  <a:themeElements>
    <a:clrScheme name="Like a Pro farvetema2">
      <a:dk1>
        <a:srgbClr val="1C3001"/>
      </a:dk1>
      <a:lt1>
        <a:srgbClr val="FFFFFF"/>
      </a:lt1>
      <a:dk2>
        <a:srgbClr val="1C3001"/>
      </a:dk2>
      <a:lt2>
        <a:srgbClr val="8E9573"/>
      </a:lt2>
      <a:accent1>
        <a:srgbClr val="76DB00"/>
      </a:accent1>
      <a:accent2>
        <a:srgbClr val="538601"/>
      </a:accent2>
      <a:accent3>
        <a:srgbClr val="000000"/>
      </a:accent3>
      <a:accent4>
        <a:srgbClr val="FFFFFF"/>
      </a:accent4>
      <a:accent5>
        <a:srgbClr val="FFFFFF"/>
      </a:accent5>
      <a:accent6>
        <a:srgbClr val="FFFFFF"/>
      </a:accent6>
      <a:hlink>
        <a:srgbClr val="538601"/>
      </a:hlink>
      <a:folHlink>
        <a:srgbClr val="1C30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77b5e2-426a-4a07-a254-745edae7d593">
      <Terms xmlns="http://schemas.microsoft.com/office/infopath/2007/PartnerControls"/>
    </lcf76f155ced4ddcb4097134ff3c332f>
    <TaxCatchAll xmlns="c09275f3-a690-4754-b326-a709ac2f699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D3E3312C392BE04D8757B2C8DC01D6BF" ma:contentTypeVersion="15" ma:contentTypeDescription="Crear nuevo documento." ma:contentTypeScope="" ma:versionID="cc30a1af639c1947820154e47e55223b">
  <xsd:schema xmlns:xsd="http://www.w3.org/2001/XMLSchema" xmlns:xs="http://www.w3.org/2001/XMLSchema" xmlns:p="http://schemas.microsoft.com/office/2006/metadata/properties" xmlns:ns2="3477b5e2-426a-4a07-a254-745edae7d593" xmlns:ns3="c09275f3-a690-4754-b326-a709ac2f6999" targetNamespace="http://schemas.microsoft.com/office/2006/metadata/properties" ma:root="true" ma:fieldsID="7d2ec77d64b9e53da51fe78d0ab8128c" ns2:_="" ns3:_="">
    <xsd:import namespace="3477b5e2-426a-4a07-a254-745edae7d593"/>
    <xsd:import namespace="c09275f3-a690-4754-b326-a709ac2f699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77b5e2-426a-4a07-a254-745edae7d5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Etiquetas de imagen" ma:readOnly="false" ma:fieldId="{5cf76f15-5ced-4ddc-b409-7134ff3c332f}" ma:taxonomyMulti="true" ma:sspId="4cb62f09-5d78-4739-9594-37fb03ea938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09275f3-a690-4754-b326-a709ac2f6999"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16" nillable="true" ma:displayName="Taxonomy Catch All Column" ma:hidden="true" ma:list="{24ac6c55-6c43-4d2a-816d-3cfbe9cea8be}" ma:internalName="TaxCatchAll" ma:showField="CatchAllData" ma:web="c09275f3-a690-4754-b326-a709ac2f69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83FA07-6874-4433-BB04-6AADF1EBE8D7}">
  <ds:schemaRefs>
    <ds:schemaRef ds:uri="http://schemas.microsoft.com/office/2006/metadata/properties"/>
    <ds:schemaRef ds:uri="http://schemas.microsoft.com/office/infopath/2007/PartnerControls"/>
    <ds:schemaRef ds:uri="3477b5e2-426a-4a07-a254-745edae7d593"/>
    <ds:schemaRef ds:uri="c09275f3-a690-4754-b326-a709ac2f6999"/>
  </ds:schemaRefs>
</ds:datastoreItem>
</file>

<file path=customXml/itemProps2.xml><?xml version="1.0" encoding="utf-8"?>
<ds:datastoreItem xmlns:ds="http://schemas.openxmlformats.org/officeDocument/2006/customXml" ds:itemID="{2A5F4002-6AB8-2B47-802C-630AC5BF128D}">
  <ds:schemaRefs>
    <ds:schemaRef ds:uri="http://schemas.openxmlformats.org/officeDocument/2006/bibliography"/>
  </ds:schemaRefs>
</ds:datastoreItem>
</file>

<file path=customXml/itemProps3.xml><?xml version="1.0" encoding="utf-8"?>
<ds:datastoreItem xmlns:ds="http://schemas.openxmlformats.org/officeDocument/2006/customXml" ds:itemID="{5D484219-525F-40C0-934F-8355C5E208C1}">
  <ds:schemaRefs>
    <ds:schemaRef ds:uri="http://schemas.microsoft.com/sharepoint/v3/contenttype/forms"/>
  </ds:schemaRefs>
</ds:datastoreItem>
</file>

<file path=customXml/itemProps4.xml><?xml version="1.0" encoding="utf-8"?>
<ds:datastoreItem xmlns:ds="http://schemas.openxmlformats.org/officeDocument/2006/customXml" ds:itemID="{D2FECE20-430D-4E3E-9F1E-9D1173C23C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77b5e2-426a-4a07-a254-745edae7d593"/>
    <ds:schemaRef ds:uri="c09275f3-a690-4754-b326-a709ac2f69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LIKE-A-PRO Deliverable Template (1)</Template>
  <TotalTime>0</TotalTime>
  <Pages>53</Pages>
  <Words>9472</Words>
  <Characters>56838</Characters>
  <Application>Microsoft Office Word</Application>
  <DocSecurity>0</DocSecurity>
  <Lines>473</Lines>
  <Paragraphs>132</Paragraphs>
  <ScaleCrop>false</ScaleCrop>
  <HeadingPairs>
    <vt:vector size="6" baseType="variant">
      <vt:variant>
        <vt:lpstr>Tytuł</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Manager/>
  <Company/>
  <LinksUpToDate>false</LinksUpToDate>
  <CharactersWithSpaces>66178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Morena Silvestrini</dc:creator>
  <cp:keywords/>
  <dc:description/>
  <cp:lastModifiedBy>Aleksandra Łuszczyńska</cp:lastModifiedBy>
  <cp:revision>2</cp:revision>
  <dcterms:created xsi:type="dcterms:W3CDTF">2024-09-12T11:02:00Z</dcterms:created>
  <dcterms:modified xsi:type="dcterms:W3CDTF">2024-09-12T11:02:00Z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0x010100D3E3312C392BE04D8757B2C8DC01D6BF</vt:lpwstr>
  </property>
  <property fmtid="{D5CDD505-2E9C-101B-9397-08002B2CF9AE}" pid="3" name="MediaServiceImageTags">
    <vt:lpwstr/>
  </property>
  <property fmtid="{D5CDD505-2E9C-101B-9397-08002B2CF9AE}" pid="4" name="GrammarlyDocumentId">
    <vt:lpwstr>70d13ebb31745654e26d022e0b02f91bbc6acf73b888be3d4915193a30423005</vt:lpwstr>
  </property>
  <property fmtid="{D5CDD505-2E9C-101B-9397-08002B2CF9AE}" pid="5" name="ZOTERO_PREF_1">
    <vt:lpwstr>&lt;data data-version="3" zotero-version="6.0.30"&gt;&lt;session id="I8MwbzGg"/&gt;&lt;style id="http://www.zotero.org/styles/apa" locale="en-GB" hasBibliography="1" bibliographyStyleHasBeenSet="0"/&gt;&lt;prefs&gt;&lt;pref name="fieldType" value="Field"/&gt;&lt;pref name="automaticJourn</vt:lpwstr>
  </property>
  <property fmtid="{D5CDD505-2E9C-101B-9397-08002B2CF9AE}" pid="6" name="ZOTERO_PREF_2">
    <vt:lpwstr>alAbbreviations" value="true"/&gt;&lt;/prefs&gt;&lt;/data&gt;</vt:lpwstr>
  </property>
</Properties>
</file>