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3239" w:rsidRDefault="00330FA8" w:rsidP="00BF2DC0">
      <w:pPr>
        <w:spacing w:line="276" w:lineRule="auto"/>
        <w:jc w:val="center"/>
        <w:rPr>
          <w:b/>
          <w:lang w:val="en-GB"/>
        </w:rPr>
      </w:pPr>
      <w:r>
        <w:rPr>
          <w:b/>
          <w:lang w:val="en-GB"/>
        </w:rPr>
        <w:t>SUPPLEMENTARY MATERIAL</w:t>
      </w:r>
    </w:p>
    <w:p w:rsidR="007C3239" w:rsidRDefault="007C3239" w:rsidP="00BF2DC0">
      <w:pPr>
        <w:spacing w:line="276" w:lineRule="auto"/>
        <w:jc w:val="both"/>
        <w:rPr>
          <w:b/>
          <w:lang w:val="en-GB"/>
        </w:rPr>
      </w:pPr>
      <w:r>
        <w:rPr>
          <w:b/>
          <w:lang w:val="en-GB"/>
        </w:rPr>
        <w:t>Search strategy</w:t>
      </w:r>
    </w:p>
    <w:p w:rsidR="007C3239" w:rsidRPr="00275E17" w:rsidRDefault="008F2A7E" w:rsidP="00353A58">
      <w:pPr>
        <w:spacing w:line="276" w:lineRule="auto"/>
        <w:jc w:val="both"/>
        <w:rPr>
          <w:rFonts w:ascii="Segoe UI" w:hAnsi="Segoe UI" w:cs="Segoe UI"/>
          <w:sz w:val="20"/>
          <w:szCs w:val="20"/>
          <w:lang w:val="en-GB"/>
        </w:rPr>
      </w:pPr>
      <w:r>
        <w:rPr>
          <w:rFonts w:ascii="Segoe UI" w:hAnsi="Segoe UI" w:cs="Segoe UI"/>
          <w:sz w:val="20"/>
          <w:szCs w:val="20"/>
          <w:lang w:val="en-GB"/>
        </w:rPr>
        <w:t>A</w:t>
      </w:r>
      <w:r w:rsidR="00C15D16" w:rsidRPr="00C15D16">
        <w:rPr>
          <w:rFonts w:ascii="Segoe UI" w:hAnsi="Segoe UI" w:cs="Segoe UI"/>
          <w:sz w:val="20"/>
          <w:szCs w:val="20"/>
          <w:lang w:val="en-GB"/>
        </w:rPr>
        <w:t xml:space="preserve"> comprehensive search </w:t>
      </w:r>
      <w:r>
        <w:rPr>
          <w:rFonts w:ascii="Segoe UI" w:hAnsi="Segoe UI" w:cs="Segoe UI"/>
          <w:sz w:val="20"/>
          <w:szCs w:val="20"/>
          <w:lang w:val="en-GB"/>
        </w:rPr>
        <w:t xml:space="preserve">was conducted </w:t>
      </w:r>
      <w:r w:rsidR="00C15D16" w:rsidRPr="00C15D16">
        <w:rPr>
          <w:rFonts w:ascii="Segoe UI" w:hAnsi="Segoe UI" w:cs="Segoe UI"/>
          <w:sz w:val="20"/>
          <w:szCs w:val="20"/>
          <w:lang w:val="en-GB"/>
        </w:rPr>
        <w:t xml:space="preserve">among the </w:t>
      </w:r>
      <w:r>
        <w:rPr>
          <w:rFonts w:ascii="Segoe UI" w:hAnsi="Segoe UI" w:cs="Segoe UI"/>
          <w:sz w:val="20"/>
          <w:szCs w:val="20"/>
          <w:lang w:val="en-GB"/>
        </w:rPr>
        <w:t>main</w:t>
      </w:r>
      <w:r w:rsidR="00C15D16" w:rsidRPr="00C15D16">
        <w:rPr>
          <w:rFonts w:ascii="Segoe UI" w:hAnsi="Segoe UI" w:cs="Segoe UI"/>
          <w:sz w:val="20"/>
          <w:szCs w:val="20"/>
          <w:lang w:val="en-GB"/>
        </w:rPr>
        <w:t xml:space="preserve"> database platforms, as Scopus, MEDLINE (PubMed platform), EMBASE and Web of Science Core Collection (Clarivate) to May, 2024.</w:t>
      </w:r>
      <w:r>
        <w:rPr>
          <w:rFonts w:ascii="Segoe UI" w:hAnsi="Segoe UI" w:cs="Segoe UI"/>
          <w:sz w:val="20"/>
          <w:szCs w:val="20"/>
          <w:lang w:val="en-GB"/>
        </w:rPr>
        <w:t xml:space="preserve"> Keywords as “EUS”, “GBD”, “gallbladder drainage”, “malignant biliary obstruction” and “EUS biliary drainage”, were used into various strings. One of the used string is: “</w:t>
      </w:r>
      <w:r w:rsidR="007C3239" w:rsidRPr="00275E17">
        <w:rPr>
          <w:rFonts w:ascii="Segoe UI" w:hAnsi="Segoe UI" w:cs="Segoe UI"/>
          <w:sz w:val="20"/>
          <w:szCs w:val="20"/>
          <w:lang w:val="en-GB"/>
        </w:rPr>
        <w:t>((((EUS-GBD) OR (EUS guided gallbladder drainage) OR (EUS gallbladder)) AND (malignant biliary obstruction))) AND (EUS-BD)) OR (EUS biliary drainage)</w:t>
      </w:r>
      <w:r>
        <w:rPr>
          <w:rFonts w:ascii="Segoe UI" w:hAnsi="Segoe UI" w:cs="Segoe UI"/>
          <w:sz w:val="20"/>
          <w:szCs w:val="20"/>
          <w:lang w:val="en-GB"/>
        </w:rPr>
        <w:t>”.</w:t>
      </w:r>
    </w:p>
    <w:p w:rsidR="00FA32CC" w:rsidRDefault="00FA32CC" w:rsidP="00BF2DC0">
      <w:pPr>
        <w:spacing w:line="276" w:lineRule="auto"/>
        <w:rPr>
          <w:lang w:val="en-GB"/>
        </w:rPr>
      </w:pPr>
      <w:r>
        <w:rPr>
          <w:b/>
          <w:lang w:val="en-GB"/>
        </w:rPr>
        <w:t>Supplementary figure 1.</w:t>
      </w:r>
      <w:r w:rsidRPr="002530C5">
        <w:rPr>
          <w:rFonts w:ascii="Calibri" w:hAnsi="Calibri" w:cs="Calibri"/>
          <w:color w:val="333333"/>
          <w:kern w:val="24"/>
          <w:sz w:val="36"/>
          <w:szCs w:val="36"/>
          <w:lang w:val="en-US"/>
        </w:rPr>
        <w:t xml:space="preserve"> </w:t>
      </w:r>
      <w:r>
        <w:rPr>
          <w:lang w:val="en-US"/>
        </w:rPr>
        <w:t xml:space="preserve">Flowchart showing the results of the search and </w:t>
      </w:r>
      <w:r w:rsidR="00775A86">
        <w:rPr>
          <w:lang w:val="en-GB"/>
        </w:rPr>
        <w:t xml:space="preserve">the review process. </w:t>
      </w:r>
      <w:r w:rsidR="001F5F58">
        <w:rPr>
          <w:lang w:val="en-GB"/>
        </w:rPr>
        <w:t>Eight</w:t>
      </w:r>
      <w:r w:rsidR="00775A86">
        <w:rPr>
          <w:lang w:val="en-GB"/>
        </w:rPr>
        <w:t xml:space="preserve"> studies were included in the pooled analysis</w:t>
      </w:r>
    </w:p>
    <w:p w:rsidR="00B34829" w:rsidRPr="00B12752" w:rsidRDefault="00B12752" w:rsidP="00775F4E">
      <w:pPr>
        <w:spacing w:after="240" w:line="360" w:lineRule="auto"/>
        <w:jc w:val="center"/>
        <w:rPr>
          <w:b/>
          <w:noProof/>
          <w:lang w:val="en-GB" w:eastAsia="it-IT"/>
        </w:rPr>
      </w:pPr>
      <w:r>
        <w:rPr>
          <w:b/>
          <w:noProof/>
          <w:lang w:val="en-GB"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366pt;height:361.1pt">
            <v:imagedata r:id="rId5" o:title="R1 - Flowchart MA DMBO" cropbottom="13694f" cropleft="6184f" cropright="29779f"/>
          </v:shape>
        </w:pict>
      </w:r>
    </w:p>
    <w:p w:rsidR="00B34829" w:rsidRPr="00B12752" w:rsidRDefault="00B34829">
      <w:pPr>
        <w:rPr>
          <w:b/>
          <w:noProof/>
          <w:lang w:val="en-GB" w:eastAsia="it-IT"/>
        </w:rPr>
      </w:pPr>
      <w:r w:rsidRPr="00B12752">
        <w:rPr>
          <w:b/>
          <w:noProof/>
          <w:lang w:val="en-GB" w:eastAsia="it-IT"/>
        </w:rPr>
        <w:br w:type="page"/>
      </w:r>
    </w:p>
    <w:p w:rsidR="00D36FBA" w:rsidRDefault="00D36FBA" w:rsidP="00775F4E">
      <w:pPr>
        <w:spacing w:after="240" w:line="360" w:lineRule="auto"/>
        <w:jc w:val="center"/>
        <w:rPr>
          <w:b/>
          <w:lang w:val="en-GB"/>
        </w:rPr>
      </w:pPr>
    </w:p>
    <w:p w:rsidR="00C928E6" w:rsidRDefault="00C928E6" w:rsidP="00D36FBA">
      <w:pPr>
        <w:spacing w:after="240" w:line="360" w:lineRule="auto"/>
        <w:jc w:val="both"/>
        <w:rPr>
          <w:lang w:val="en-GB"/>
        </w:rPr>
      </w:pPr>
      <w:r>
        <w:rPr>
          <w:b/>
          <w:lang w:val="en-GB"/>
        </w:rPr>
        <w:t xml:space="preserve">Supplementary figure 2. </w:t>
      </w:r>
      <w:r>
        <w:rPr>
          <w:lang w:val="en-GB"/>
        </w:rPr>
        <w:t>Pooled mean age among studies divided according to geographical areas (European vs Extra-European)</w:t>
      </w:r>
      <w:r w:rsidR="005A353A">
        <w:rPr>
          <w:lang w:val="en-GB"/>
        </w:rPr>
        <w:t xml:space="preserve"> </w:t>
      </w:r>
    </w:p>
    <w:p w:rsidR="00C928E6" w:rsidRDefault="003A094F" w:rsidP="003A094F">
      <w:pPr>
        <w:spacing w:after="240" w:line="360" w:lineRule="auto"/>
        <w:jc w:val="center"/>
        <w:rPr>
          <w:b/>
          <w:lang w:val="en-GB"/>
        </w:rPr>
      </w:pPr>
      <w:r>
        <w:rPr>
          <w:rFonts w:ascii="Segoe UI" w:eastAsia="Times New Roman" w:hAnsi="Segoe UI" w:cs="Segoe UI"/>
          <w:noProof/>
          <w:color w:val="333333"/>
          <w:kern w:val="0"/>
          <w:sz w:val="18"/>
          <w:szCs w:val="18"/>
          <w:lang w:eastAsia="it-IT"/>
          <w14:ligatures w14:val="none"/>
        </w:rPr>
        <w:drawing>
          <wp:inline distT="0" distB="0" distL="0" distR="0">
            <wp:extent cx="5003800" cy="3820435"/>
            <wp:effectExtent l="0" t="0" r="6350" b="8890"/>
            <wp:docPr id="1" name="Picture 1" descr="C:\Users\grizz\AppData\Local\Microsoft\Windows\INetCache\Content.Word\Figure S2 - age geographi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rizz\AppData\Local\Microsoft\Windows\INetCache\Content.Word\Figure S2 - age geographical.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036085" cy="3845085"/>
                    </a:xfrm>
                    <a:prstGeom prst="rect">
                      <a:avLst/>
                    </a:prstGeom>
                    <a:noFill/>
                    <a:ln>
                      <a:noFill/>
                    </a:ln>
                  </pic:spPr>
                </pic:pic>
              </a:graphicData>
            </a:graphic>
          </wp:inline>
        </w:drawing>
      </w:r>
    </w:p>
    <w:p w:rsidR="003A094F" w:rsidRDefault="003A094F" w:rsidP="003A094F">
      <w:pPr>
        <w:spacing w:after="240" w:line="360" w:lineRule="auto"/>
        <w:jc w:val="both"/>
        <w:rPr>
          <w:lang w:val="en-GB"/>
        </w:rPr>
      </w:pPr>
      <w:r>
        <w:rPr>
          <w:b/>
          <w:lang w:val="en-GB"/>
        </w:rPr>
        <w:t xml:space="preserve">Supplementary figure 3. </w:t>
      </w:r>
      <w:r>
        <w:rPr>
          <w:lang w:val="en-GB"/>
        </w:rPr>
        <w:t>Gender distribution among studies</w:t>
      </w:r>
    </w:p>
    <w:p w:rsidR="005A353A" w:rsidRDefault="00B12752" w:rsidP="003A094F">
      <w:pPr>
        <w:spacing w:after="240" w:line="360" w:lineRule="auto"/>
        <w:jc w:val="center"/>
        <w:rPr>
          <w:lang w:val="en-GB"/>
        </w:rPr>
      </w:pPr>
      <w:r>
        <w:rPr>
          <w:lang w:val="en-GB"/>
        </w:rPr>
        <w:pict>
          <v:shape id="_x0000_i1026" type="#_x0000_t75" style="width:429.8pt;height:236.2pt">
            <v:imagedata r:id="rId7" o:title="Figure S3 - Graph gender distribution"/>
          </v:shape>
        </w:pict>
      </w:r>
    </w:p>
    <w:p w:rsidR="005A353A" w:rsidRDefault="005A353A">
      <w:pPr>
        <w:rPr>
          <w:lang w:val="en-GB"/>
        </w:rPr>
      </w:pPr>
      <w:r>
        <w:rPr>
          <w:lang w:val="en-GB"/>
        </w:rPr>
        <w:br w:type="page"/>
      </w:r>
    </w:p>
    <w:p w:rsidR="003A094F" w:rsidRPr="00D36FBA" w:rsidRDefault="003A094F" w:rsidP="003A094F">
      <w:pPr>
        <w:spacing w:after="240" w:line="360" w:lineRule="auto"/>
        <w:jc w:val="center"/>
        <w:rPr>
          <w:rFonts w:ascii="Segoe UI" w:eastAsia="Times New Roman" w:hAnsi="Segoe UI" w:cs="Segoe UI"/>
          <w:color w:val="333333"/>
          <w:kern w:val="0"/>
          <w:sz w:val="18"/>
          <w:szCs w:val="18"/>
          <w:lang w:val="en-GB" w:eastAsia="it-IT"/>
          <w14:ligatures w14:val="none"/>
        </w:rPr>
      </w:pPr>
    </w:p>
    <w:p w:rsidR="00D36FBA" w:rsidRPr="00D36FBA" w:rsidRDefault="00D93917" w:rsidP="00D36FBA">
      <w:pPr>
        <w:spacing w:after="240" w:line="360" w:lineRule="auto"/>
        <w:jc w:val="both"/>
        <w:rPr>
          <w:rFonts w:ascii="Segoe UI" w:eastAsia="Times New Roman" w:hAnsi="Segoe UI" w:cs="Segoe UI"/>
          <w:color w:val="333333"/>
          <w:kern w:val="0"/>
          <w:sz w:val="18"/>
          <w:szCs w:val="18"/>
          <w:lang w:val="en-GB" w:eastAsia="it-IT"/>
          <w14:ligatures w14:val="none"/>
        </w:rPr>
      </w:pPr>
      <w:r>
        <w:rPr>
          <w:b/>
          <w:lang w:val="en-GB"/>
        </w:rPr>
        <w:t xml:space="preserve">Supplementary figure </w:t>
      </w:r>
      <w:r w:rsidR="00AB68E4">
        <w:rPr>
          <w:b/>
          <w:lang w:val="en-GB"/>
        </w:rPr>
        <w:t>4</w:t>
      </w:r>
      <w:r>
        <w:rPr>
          <w:b/>
          <w:lang w:val="en-GB"/>
        </w:rPr>
        <w:t>.</w:t>
      </w:r>
      <w:r w:rsidR="00581A8C">
        <w:rPr>
          <w:b/>
          <w:lang w:val="en-GB"/>
        </w:rPr>
        <w:t xml:space="preserve"> </w:t>
      </w:r>
      <w:r w:rsidR="00581A8C">
        <w:rPr>
          <w:lang w:val="en-GB"/>
        </w:rPr>
        <w:t xml:space="preserve">Mean bilirubin before procedure among the </w:t>
      </w:r>
      <w:r w:rsidR="00D36FBA">
        <w:rPr>
          <w:lang w:val="en-GB"/>
        </w:rPr>
        <w:t>four</w:t>
      </w:r>
      <w:r w:rsidR="00581A8C">
        <w:rPr>
          <w:lang w:val="en-GB"/>
        </w:rPr>
        <w:t xml:space="preserve"> studies with extractable data</w:t>
      </w:r>
      <w:r w:rsidR="00581A8C" w:rsidRPr="002530C5">
        <w:rPr>
          <w:lang w:val="en-US"/>
        </w:rPr>
        <w:t xml:space="preserve">. </w:t>
      </w:r>
      <w:r w:rsidR="00581A8C" w:rsidRPr="002530C5">
        <w:rPr>
          <w:b/>
          <w:bCs/>
          <w:lang w:val="en-US"/>
        </w:rPr>
        <w:t>I</w:t>
      </w:r>
      <w:r w:rsidR="00581A8C" w:rsidRPr="002530C5">
        <w:rPr>
          <w:b/>
          <w:bCs/>
          <w:vertAlign w:val="superscript"/>
          <w:lang w:val="en-US"/>
        </w:rPr>
        <w:t>2</w:t>
      </w:r>
      <w:r w:rsidR="00581A8C">
        <w:rPr>
          <w:b/>
          <w:bCs/>
          <w:lang w:val="en-US"/>
        </w:rPr>
        <w:t>=0</w:t>
      </w:r>
      <w:r w:rsidR="00581A8C" w:rsidRPr="002530C5">
        <w:rPr>
          <w:b/>
          <w:bCs/>
          <w:lang w:val="en-US"/>
        </w:rPr>
        <w:t>%, p=0.</w:t>
      </w:r>
      <w:r w:rsidR="00D36FBA">
        <w:rPr>
          <w:b/>
          <w:bCs/>
          <w:lang w:val="en-US"/>
        </w:rPr>
        <w:t>4</w:t>
      </w:r>
      <w:r w:rsidR="003A094F">
        <w:rPr>
          <w:b/>
          <w:bCs/>
          <w:lang w:val="en-US"/>
        </w:rPr>
        <w:t>68</w:t>
      </w:r>
    </w:p>
    <w:p w:rsidR="00581A8C" w:rsidRPr="004638EB" w:rsidRDefault="00AB68E4" w:rsidP="00AB68E4">
      <w:pPr>
        <w:spacing w:line="240" w:lineRule="auto"/>
        <w:jc w:val="center"/>
        <w:rPr>
          <w:rFonts w:ascii="Segoe UI" w:eastAsia="Times New Roman" w:hAnsi="Segoe UI" w:cs="Segoe UI"/>
          <w:color w:val="333333"/>
          <w:kern w:val="0"/>
          <w:sz w:val="18"/>
          <w:szCs w:val="18"/>
          <w:lang w:val="en-GB" w:eastAsia="it-IT"/>
          <w14:ligatures w14:val="none"/>
        </w:rPr>
      </w:pPr>
      <w:r>
        <w:rPr>
          <w:noProof/>
          <w:lang w:eastAsia="it-IT"/>
        </w:rPr>
        <w:drawing>
          <wp:inline distT="0" distB="0" distL="0" distR="0">
            <wp:extent cx="5664200" cy="2398879"/>
            <wp:effectExtent l="0" t="0" r="0" b="1905"/>
            <wp:docPr id="4" name="Picture 4" descr="C:\Users\grizz\AppData\Local\Microsoft\Windows\INetCache\Content.Word\Bilirubin p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grizz\AppData\Local\Microsoft\Windows\INetCache\Content.Word\Bilirubin pr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9234" cy="2422187"/>
                    </a:xfrm>
                    <a:prstGeom prst="rect">
                      <a:avLst/>
                    </a:prstGeom>
                    <a:noFill/>
                    <a:ln>
                      <a:noFill/>
                    </a:ln>
                  </pic:spPr>
                </pic:pic>
              </a:graphicData>
            </a:graphic>
          </wp:inline>
        </w:drawing>
      </w:r>
      <w:r w:rsidR="00D36FBA" w:rsidRPr="00D36FBA">
        <w:rPr>
          <w:rFonts w:ascii="Segoe UI" w:eastAsia="Times New Roman" w:hAnsi="Segoe UI" w:cs="Segoe UI"/>
          <w:color w:val="333333"/>
          <w:kern w:val="0"/>
          <w:sz w:val="18"/>
          <w:szCs w:val="18"/>
          <w:lang w:val="en-GB" w:eastAsia="it-IT"/>
          <w14:ligatures w14:val="none"/>
        </w:rPr>
        <w:br w:type="textWrapping" w:clear="all"/>
      </w:r>
    </w:p>
    <w:p w:rsidR="00581A8C" w:rsidRPr="00581A8C" w:rsidRDefault="00D93917" w:rsidP="00581A8C">
      <w:pPr>
        <w:spacing w:after="240" w:line="360" w:lineRule="auto"/>
        <w:jc w:val="both"/>
        <w:rPr>
          <w:lang w:val="en-GB"/>
        </w:rPr>
      </w:pPr>
      <w:r>
        <w:rPr>
          <w:b/>
          <w:lang w:val="en-GB"/>
        </w:rPr>
        <w:t xml:space="preserve">Supplementary figure </w:t>
      </w:r>
      <w:r w:rsidR="00AB68E4">
        <w:rPr>
          <w:b/>
          <w:lang w:val="en-GB"/>
        </w:rPr>
        <w:t>5</w:t>
      </w:r>
      <w:r>
        <w:rPr>
          <w:b/>
          <w:lang w:val="en-GB"/>
        </w:rPr>
        <w:t>.</w:t>
      </w:r>
      <w:r w:rsidR="00581A8C" w:rsidRPr="00581A8C">
        <w:rPr>
          <w:lang w:val="en-GB"/>
        </w:rPr>
        <w:t xml:space="preserve"> </w:t>
      </w:r>
      <w:r w:rsidR="00581A8C">
        <w:rPr>
          <w:lang w:val="en-GB"/>
        </w:rPr>
        <w:t xml:space="preserve">Mean bilirubin </w:t>
      </w:r>
      <w:r w:rsidR="00D36FBA">
        <w:rPr>
          <w:lang w:val="en-GB"/>
        </w:rPr>
        <w:t>after</w:t>
      </w:r>
      <w:r w:rsidR="00581A8C">
        <w:rPr>
          <w:lang w:val="en-GB"/>
        </w:rPr>
        <w:t xml:space="preserve"> procedure among the </w:t>
      </w:r>
      <w:r w:rsidR="00D36FBA">
        <w:rPr>
          <w:lang w:val="en-GB"/>
        </w:rPr>
        <w:t>three</w:t>
      </w:r>
      <w:r w:rsidR="00581A8C">
        <w:rPr>
          <w:lang w:val="en-GB"/>
        </w:rPr>
        <w:t xml:space="preserve"> studies with extractable data. </w:t>
      </w:r>
      <w:r w:rsidR="00581A8C" w:rsidRPr="002530C5">
        <w:rPr>
          <w:b/>
          <w:bCs/>
          <w:lang w:val="en-US"/>
        </w:rPr>
        <w:t>I</w:t>
      </w:r>
      <w:r w:rsidR="00581A8C" w:rsidRPr="002530C5">
        <w:rPr>
          <w:b/>
          <w:bCs/>
          <w:vertAlign w:val="superscript"/>
          <w:lang w:val="en-US"/>
        </w:rPr>
        <w:t>2</w:t>
      </w:r>
      <w:r w:rsidR="00581A8C">
        <w:rPr>
          <w:b/>
          <w:bCs/>
          <w:lang w:val="en-US"/>
        </w:rPr>
        <w:t>=0</w:t>
      </w:r>
      <w:r w:rsidR="00581A8C" w:rsidRPr="002530C5">
        <w:rPr>
          <w:b/>
          <w:bCs/>
          <w:lang w:val="en-US"/>
        </w:rPr>
        <w:t>%, p=0.</w:t>
      </w:r>
      <w:r w:rsidR="00D36FBA">
        <w:rPr>
          <w:b/>
          <w:bCs/>
          <w:lang w:val="en-US"/>
        </w:rPr>
        <w:t>960</w:t>
      </w:r>
    </w:p>
    <w:p w:rsidR="00D36FBA" w:rsidRDefault="00B12752" w:rsidP="00D36FBA">
      <w:pPr>
        <w:spacing w:line="240" w:lineRule="auto"/>
        <w:jc w:val="center"/>
        <w:rPr>
          <w:rFonts w:ascii="Segoe UI" w:eastAsia="Times New Roman" w:hAnsi="Segoe UI" w:cs="Segoe UI"/>
          <w:color w:val="333333"/>
          <w:kern w:val="0"/>
          <w:sz w:val="18"/>
          <w:szCs w:val="18"/>
          <w:lang w:eastAsia="it-IT"/>
          <w14:ligatures w14:val="none"/>
        </w:rPr>
      </w:pPr>
      <w:r>
        <w:rPr>
          <w:rFonts w:ascii="Segoe UI" w:eastAsia="Times New Roman" w:hAnsi="Segoe UI" w:cs="Segoe UI"/>
          <w:color w:val="333333"/>
          <w:kern w:val="0"/>
          <w:sz w:val="18"/>
          <w:szCs w:val="18"/>
          <w:lang w:eastAsia="it-IT"/>
          <w14:ligatures w14:val="none"/>
        </w:rPr>
        <w:pict>
          <v:shape id="_x0000_i1027" type="#_x0000_t75" style="width:471.8pt;height:171.8pt">
            <v:imagedata r:id="rId9" o:title="Bilirubin post"/>
          </v:shape>
        </w:pict>
      </w:r>
    </w:p>
    <w:p w:rsidR="005A353A" w:rsidRPr="00D36FBA" w:rsidRDefault="005A353A" w:rsidP="00D36FBA">
      <w:pPr>
        <w:spacing w:line="240" w:lineRule="auto"/>
        <w:jc w:val="center"/>
        <w:rPr>
          <w:rFonts w:ascii="Segoe UI" w:eastAsia="Times New Roman" w:hAnsi="Segoe UI" w:cs="Segoe UI"/>
          <w:color w:val="333333"/>
          <w:kern w:val="0"/>
          <w:sz w:val="18"/>
          <w:szCs w:val="18"/>
          <w:lang w:eastAsia="it-IT"/>
          <w14:ligatures w14:val="none"/>
        </w:rPr>
      </w:pPr>
    </w:p>
    <w:p w:rsidR="0082536A" w:rsidRDefault="0082536A" w:rsidP="00313998">
      <w:pPr>
        <w:spacing w:after="240" w:line="360" w:lineRule="auto"/>
        <w:jc w:val="both"/>
        <w:rPr>
          <w:b/>
          <w:lang w:val="en-GB"/>
        </w:rPr>
      </w:pPr>
    </w:p>
    <w:p w:rsidR="005A353A" w:rsidRDefault="005A353A">
      <w:pPr>
        <w:rPr>
          <w:b/>
          <w:lang w:val="en-GB"/>
        </w:rPr>
      </w:pPr>
      <w:r>
        <w:rPr>
          <w:b/>
          <w:lang w:val="en-GB"/>
        </w:rPr>
        <w:br w:type="page"/>
      </w:r>
    </w:p>
    <w:p w:rsidR="00581A8C" w:rsidRDefault="00872679" w:rsidP="00313998">
      <w:pPr>
        <w:spacing w:after="240" w:line="360" w:lineRule="auto"/>
        <w:jc w:val="both"/>
        <w:rPr>
          <w:bCs/>
          <w:lang w:val="en-GB"/>
        </w:rPr>
      </w:pPr>
      <w:r>
        <w:rPr>
          <w:b/>
          <w:lang w:val="en-GB"/>
        </w:rPr>
        <w:lastRenderedPageBreak/>
        <w:t xml:space="preserve">Supplementary figure </w:t>
      </w:r>
      <w:r w:rsidR="007A7B77">
        <w:rPr>
          <w:b/>
          <w:lang w:val="en-GB"/>
        </w:rPr>
        <w:t>6</w:t>
      </w:r>
      <w:r w:rsidR="0073304D">
        <w:rPr>
          <w:b/>
          <w:lang w:val="en-GB"/>
        </w:rPr>
        <w:t xml:space="preserve">. </w:t>
      </w:r>
      <w:r w:rsidR="0073304D" w:rsidRPr="0073304D">
        <w:rPr>
          <w:bCs/>
          <w:lang w:val="en-GB"/>
        </w:rPr>
        <w:t>Subgroup analysis</w:t>
      </w:r>
      <w:r w:rsidR="006532E1">
        <w:rPr>
          <w:bCs/>
          <w:lang w:val="en-GB"/>
        </w:rPr>
        <w:t xml:space="preserve"> evaluating </w:t>
      </w:r>
      <w:r w:rsidR="006532E1" w:rsidRPr="00822E2F">
        <w:rPr>
          <w:b/>
          <w:bCs/>
          <w:lang w:val="en-GB"/>
        </w:rPr>
        <w:t>clinical success</w:t>
      </w:r>
      <w:r w:rsidR="0073304D" w:rsidRPr="0073304D">
        <w:rPr>
          <w:bCs/>
          <w:lang w:val="en-GB"/>
        </w:rPr>
        <w:t xml:space="preserve"> based on the </w:t>
      </w:r>
      <w:r w:rsidR="00831700">
        <w:rPr>
          <w:bCs/>
          <w:lang w:val="en-GB"/>
        </w:rPr>
        <w:t>definition of clinical success</w:t>
      </w:r>
      <w:r>
        <w:rPr>
          <w:bCs/>
          <w:lang w:val="en-GB"/>
        </w:rPr>
        <w:t xml:space="preserve"> (</w:t>
      </w:r>
      <w:r w:rsidR="00831700">
        <w:rPr>
          <w:bCs/>
          <w:lang w:val="en-GB"/>
        </w:rPr>
        <w:t>decrease of bilirubin &gt; 50% vs other</w:t>
      </w:r>
      <w:r>
        <w:rPr>
          <w:bCs/>
          <w:lang w:val="en-GB"/>
        </w:rPr>
        <w:t>)</w:t>
      </w:r>
    </w:p>
    <w:p w:rsidR="0082536A" w:rsidRDefault="007A7B77" w:rsidP="005A353A">
      <w:pPr>
        <w:spacing w:after="240" w:line="360" w:lineRule="auto"/>
        <w:jc w:val="center"/>
        <w:rPr>
          <w:bCs/>
          <w:lang w:val="en-GB"/>
        </w:rPr>
      </w:pPr>
      <w:r w:rsidRPr="007A7B77">
        <w:rPr>
          <w:bCs/>
          <w:noProof/>
          <w:lang w:eastAsia="it-IT"/>
        </w:rPr>
        <w:drawing>
          <wp:inline distT="0" distB="0" distL="0" distR="0">
            <wp:extent cx="5529943" cy="4350699"/>
            <wp:effectExtent l="0" t="0" r="0" b="0"/>
            <wp:docPr id="5" name="Picture 5" descr="C:\Users\grizz\OneDrive\Desktop\Lavori\Consensus 2024 - EUS GBD\Paper MA Fuccio EUS-GBD in DMBO\Submission EUS Journal\R1 - EUS GBD MA - Fuccio\R1 - analisi STATA - EUS GBD\Figures plots STATA EUS GBD\Figure S6- clinica subgroup - definiti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grizz\OneDrive\Desktop\Lavori\Consensus 2024 - EUS GBD\Paper MA Fuccio EUS-GBD in DMBO\Submission EUS Journal\R1 - EUS GBD MA - Fuccio\R1 - analisi STATA - EUS GBD\Figures plots STATA EUS GBD\Figure S6- clinica subgroup - definitions.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47405" cy="4364437"/>
                    </a:xfrm>
                    <a:prstGeom prst="rect">
                      <a:avLst/>
                    </a:prstGeom>
                    <a:noFill/>
                    <a:ln>
                      <a:noFill/>
                    </a:ln>
                  </pic:spPr>
                </pic:pic>
              </a:graphicData>
            </a:graphic>
          </wp:inline>
        </w:drawing>
      </w:r>
    </w:p>
    <w:p w:rsidR="003151D1" w:rsidRDefault="007A7B77" w:rsidP="00313998">
      <w:pPr>
        <w:spacing w:after="240" w:line="360" w:lineRule="auto"/>
        <w:jc w:val="both"/>
        <w:rPr>
          <w:bCs/>
          <w:lang w:val="en-GB"/>
        </w:rPr>
      </w:pPr>
      <w:r>
        <w:rPr>
          <w:b/>
          <w:lang w:val="en-GB"/>
        </w:rPr>
        <w:t>Supplementary figure 7</w:t>
      </w:r>
      <w:r w:rsidR="00872679">
        <w:rPr>
          <w:b/>
          <w:lang w:val="en-GB"/>
        </w:rPr>
        <w:t xml:space="preserve">. </w:t>
      </w:r>
      <w:r w:rsidR="00872679" w:rsidRPr="0073304D">
        <w:rPr>
          <w:bCs/>
          <w:lang w:val="en-GB"/>
        </w:rPr>
        <w:t>Subgroup analysis</w:t>
      </w:r>
      <w:r w:rsidR="006532E1" w:rsidRPr="006532E1">
        <w:rPr>
          <w:bCs/>
          <w:lang w:val="en-GB"/>
        </w:rPr>
        <w:t xml:space="preserve"> </w:t>
      </w:r>
      <w:r w:rsidR="006532E1">
        <w:rPr>
          <w:bCs/>
          <w:lang w:val="en-GB"/>
        </w:rPr>
        <w:t xml:space="preserve">evaluating </w:t>
      </w:r>
      <w:r w:rsidR="006532E1" w:rsidRPr="00822E2F">
        <w:rPr>
          <w:b/>
          <w:bCs/>
          <w:lang w:val="en-GB"/>
        </w:rPr>
        <w:t>clinical success</w:t>
      </w:r>
      <w:r w:rsidR="00872679" w:rsidRPr="0073304D">
        <w:rPr>
          <w:bCs/>
          <w:lang w:val="en-GB"/>
        </w:rPr>
        <w:t xml:space="preserve"> based on the </w:t>
      </w:r>
      <w:r w:rsidR="00353A58">
        <w:rPr>
          <w:bCs/>
          <w:lang w:val="en-GB"/>
        </w:rPr>
        <w:t xml:space="preserve">involved </w:t>
      </w:r>
      <w:proofErr w:type="spellStart"/>
      <w:r w:rsidR="00872679">
        <w:rPr>
          <w:bCs/>
          <w:lang w:val="en-GB"/>
        </w:rPr>
        <w:t>centers</w:t>
      </w:r>
      <w:proofErr w:type="spellEnd"/>
      <w:r w:rsidR="00061369">
        <w:rPr>
          <w:bCs/>
          <w:lang w:val="en-GB"/>
        </w:rPr>
        <w:t xml:space="preserve"> </w:t>
      </w:r>
      <w:r w:rsidR="00872679">
        <w:rPr>
          <w:bCs/>
          <w:lang w:val="en-GB"/>
        </w:rPr>
        <w:t>(</w:t>
      </w:r>
      <w:r w:rsidR="00061369">
        <w:rPr>
          <w:bCs/>
          <w:lang w:val="en-GB"/>
        </w:rPr>
        <w:t xml:space="preserve">Single </w:t>
      </w:r>
      <w:proofErr w:type="spellStart"/>
      <w:r w:rsidR="00061369">
        <w:rPr>
          <w:bCs/>
          <w:lang w:val="en-GB"/>
        </w:rPr>
        <w:t>center</w:t>
      </w:r>
      <w:proofErr w:type="spellEnd"/>
      <w:r w:rsidR="00061369">
        <w:rPr>
          <w:bCs/>
          <w:lang w:val="en-GB"/>
        </w:rPr>
        <w:t xml:space="preserve"> vs </w:t>
      </w:r>
      <w:proofErr w:type="spellStart"/>
      <w:r w:rsidR="00061369">
        <w:rPr>
          <w:bCs/>
          <w:lang w:val="en-GB"/>
        </w:rPr>
        <w:t>multicentric</w:t>
      </w:r>
      <w:proofErr w:type="spellEnd"/>
      <w:r w:rsidR="00061369">
        <w:rPr>
          <w:bCs/>
          <w:lang w:val="en-GB"/>
        </w:rPr>
        <w:t xml:space="preserve"> studies</w:t>
      </w:r>
      <w:r w:rsidR="00872679">
        <w:rPr>
          <w:bCs/>
          <w:lang w:val="en-GB"/>
        </w:rPr>
        <w:t>)</w:t>
      </w:r>
    </w:p>
    <w:p w:rsidR="00872679" w:rsidRDefault="001F01F0" w:rsidP="003151D1">
      <w:pPr>
        <w:spacing w:after="240" w:line="360" w:lineRule="auto"/>
        <w:jc w:val="center"/>
        <w:rPr>
          <w:bCs/>
          <w:lang w:val="en-GB"/>
        </w:rPr>
      </w:pPr>
      <w:r w:rsidRPr="001F01F0">
        <w:rPr>
          <w:bCs/>
          <w:noProof/>
          <w:lang w:eastAsia="it-IT"/>
        </w:rPr>
        <w:drawing>
          <wp:inline distT="0" distB="0" distL="0" distR="0">
            <wp:extent cx="4648200" cy="3786999"/>
            <wp:effectExtent l="0" t="0" r="0" b="4445"/>
            <wp:docPr id="6" name="Picture 6" descr="C:\Users\grizz\OneDrive\Desktop\Lavori\Consensus 2024 - EUS GBD\Paper MA Fuccio EUS-GBD in DMBO\Submission EUS Journal\R1 - EUS GBD MA - Fuccio\R1 - analisi STATA - EUS GBD\Figures plots STATA EUS GBD\Figure S7 - clinical subbgroup - cent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grizz\OneDrive\Desktop\Lavori\Consensus 2024 - EUS GBD\Paper MA Fuccio EUS-GBD in DMBO\Submission EUS Journal\R1 - EUS GBD MA - Fuccio\R1 - analisi STATA - EUS GBD\Figures plots STATA EUS GBD\Figure S7 - clinical subbgroup - center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4521" cy="3816591"/>
                    </a:xfrm>
                    <a:prstGeom prst="rect">
                      <a:avLst/>
                    </a:prstGeom>
                    <a:noFill/>
                    <a:ln>
                      <a:noFill/>
                    </a:ln>
                  </pic:spPr>
                </pic:pic>
              </a:graphicData>
            </a:graphic>
          </wp:inline>
        </w:drawing>
      </w:r>
    </w:p>
    <w:p w:rsidR="00822E2F" w:rsidRDefault="001F01F0" w:rsidP="00822E2F">
      <w:pPr>
        <w:spacing w:after="240" w:line="360" w:lineRule="auto"/>
        <w:jc w:val="both"/>
        <w:rPr>
          <w:bCs/>
          <w:lang w:val="en-GB"/>
        </w:rPr>
      </w:pPr>
      <w:r>
        <w:rPr>
          <w:b/>
          <w:lang w:val="en-GB"/>
        </w:rPr>
        <w:lastRenderedPageBreak/>
        <w:t>Supplementary figure 8</w:t>
      </w:r>
      <w:r w:rsidR="00822E2F">
        <w:rPr>
          <w:b/>
          <w:lang w:val="en-GB"/>
        </w:rPr>
        <w:t xml:space="preserve">. </w:t>
      </w:r>
      <w:r w:rsidR="00822E2F" w:rsidRPr="0073304D">
        <w:rPr>
          <w:bCs/>
          <w:lang w:val="en-GB"/>
        </w:rPr>
        <w:t>Subgroup analysis</w:t>
      </w:r>
      <w:r w:rsidR="00822E2F" w:rsidRPr="006532E1">
        <w:rPr>
          <w:bCs/>
          <w:lang w:val="en-GB"/>
        </w:rPr>
        <w:t xml:space="preserve"> </w:t>
      </w:r>
      <w:r w:rsidR="00822E2F">
        <w:rPr>
          <w:bCs/>
          <w:lang w:val="en-GB"/>
        </w:rPr>
        <w:t xml:space="preserve">evaluating </w:t>
      </w:r>
      <w:r w:rsidR="00822E2F" w:rsidRPr="00822E2F">
        <w:rPr>
          <w:b/>
          <w:bCs/>
          <w:lang w:val="en-GB"/>
        </w:rPr>
        <w:t>clinical success</w:t>
      </w:r>
      <w:r w:rsidR="00822E2F" w:rsidRPr="0073304D">
        <w:rPr>
          <w:bCs/>
          <w:lang w:val="en-GB"/>
        </w:rPr>
        <w:t xml:space="preserve"> based on the</w:t>
      </w:r>
      <w:r w:rsidR="00822E2F">
        <w:rPr>
          <w:bCs/>
          <w:lang w:val="en-GB"/>
        </w:rPr>
        <w:t xml:space="preserve"> quality of the studies (low quality </w:t>
      </w:r>
      <w:r w:rsidR="00822E2F">
        <w:rPr>
          <w:rFonts w:cstheme="minorHAnsi"/>
          <w:bCs/>
          <w:lang w:val="en-GB"/>
        </w:rPr>
        <w:t>≤</w:t>
      </w:r>
      <w:r w:rsidR="00822E2F">
        <w:rPr>
          <w:bCs/>
          <w:lang w:val="en-GB"/>
        </w:rPr>
        <w:t xml:space="preserve">3, moderate quality 4-5, </w:t>
      </w:r>
      <w:proofErr w:type="gramStart"/>
      <w:r w:rsidR="00822E2F">
        <w:rPr>
          <w:bCs/>
          <w:lang w:val="en-GB"/>
        </w:rPr>
        <w:t>high</w:t>
      </w:r>
      <w:proofErr w:type="gramEnd"/>
      <w:r w:rsidR="00822E2F">
        <w:rPr>
          <w:bCs/>
          <w:lang w:val="en-GB"/>
        </w:rPr>
        <w:t xml:space="preserve"> quality </w:t>
      </w:r>
      <w:r w:rsidR="00822E2F">
        <w:rPr>
          <w:rFonts w:cstheme="minorHAnsi"/>
          <w:bCs/>
          <w:lang w:val="en-GB"/>
        </w:rPr>
        <w:t>≥</w:t>
      </w:r>
      <w:r w:rsidR="00822E2F">
        <w:rPr>
          <w:bCs/>
          <w:lang w:val="en-GB"/>
        </w:rPr>
        <w:t>6)</w:t>
      </w:r>
    </w:p>
    <w:p w:rsidR="00822E2F" w:rsidRDefault="001F01F0" w:rsidP="003151D1">
      <w:pPr>
        <w:spacing w:after="240" w:line="360" w:lineRule="auto"/>
        <w:jc w:val="center"/>
        <w:rPr>
          <w:bCs/>
          <w:lang w:val="en-GB"/>
        </w:rPr>
      </w:pPr>
      <w:r w:rsidRPr="001F01F0">
        <w:rPr>
          <w:bCs/>
          <w:noProof/>
          <w:lang w:eastAsia="it-IT"/>
        </w:rPr>
        <w:drawing>
          <wp:inline distT="0" distB="0" distL="0" distR="0">
            <wp:extent cx="4546600" cy="3704223"/>
            <wp:effectExtent l="0" t="0" r="6350" b="0"/>
            <wp:docPr id="7" name="Picture 7" descr="C:\Users\grizz\OneDrive\Desktop\Lavori\Consensus 2024 - EUS GBD\Paper MA Fuccio EUS-GBD in DMBO\Submission EUS Journal\R1 - EUS GBD MA - Fuccio\R1 - analisi STATA - EUS GBD\Figures plots STATA EUS GBD\Figure S8 Clinical subgroup - qual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grizz\OneDrive\Desktop\Lavori\Consensus 2024 - EUS GBD\Paper MA Fuccio EUS-GBD in DMBO\Submission EUS Journal\R1 - EUS GBD MA - Fuccio\R1 - analisi STATA - EUS GBD\Figures plots STATA EUS GBD\Figure S8 Clinical subgroup - quality.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21161" cy="3764969"/>
                    </a:xfrm>
                    <a:prstGeom prst="rect">
                      <a:avLst/>
                    </a:prstGeom>
                    <a:noFill/>
                    <a:ln>
                      <a:noFill/>
                    </a:ln>
                  </pic:spPr>
                </pic:pic>
              </a:graphicData>
            </a:graphic>
          </wp:inline>
        </w:drawing>
      </w:r>
    </w:p>
    <w:p w:rsidR="00DA10E5" w:rsidRDefault="00DA10E5" w:rsidP="00DA10E5">
      <w:pPr>
        <w:spacing w:after="240" w:line="360" w:lineRule="auto"/>
        <w:jc w:val="both"/>
        <w:rPr>
          <w:bCs/>
          <w:lang w:val="en-GB"/>
        </w:rPr>
      </w:pPr>
      <w:r>
        <w:rPr>
          <w:b/>
          <w:lang w:val="en-GB"/>
        </w:rPr>
        <w:t xml:space="preserve">Supplementary figure </w:t>
      </w:r>
      <w:r w:rsidR="00D23F73">
        <w:rPr>
          <w:b/>
          <w:lang w:val="en-GB"/>
        </w:rPr>
        <w:t>9</w:t>
      </w:r>
      <w:r>
        <w:rPr>
          <w:b/>
          <w:lang w:val="en-GB"/>
        </w:rPr>
        <w:t xml:space="preserve">. </w:t>
      </w:r>
      <w:r w:rsidRPr="0073304D">
        <w:rPr>
          <w:bCs/>
          <w:lang w:val="en-GB"/>
        </w:rPr>
        <w:t>Subgroup analysis</w:t>
      </w:r>
      <w:r w:rsidRPr="006532E1">
        <w:rPr>
          <w:bCs/>
          <w:lang w:val="en-GB"/>
        </w:rPr>
        <w:t xml:space="preserve"> </w:t>
      </w:r>
      <w:r>
        <w:rPr>
          <w:bCs/>
          <w:lang w:val="en-GB"/>
        </w:rPr>
        <w:t xml:space="preserve">evaluating </w:t>
      </w:r>
      <w:r>
        <w:rPr>
          <w:b/>
          <w:bCs/>
          <w:lang w:val="en-GB"/>
        </w:rPr>
        <w:t>safety</w:t>
      </w:r>
      <w:r w:rsidRPr="0073304D">
        <w:rPr>
          <w:bCs/>
          <w:lang w:val="en-GB"/>
        </w:rPr>
        <w:t xml:space="preserve"> based on the </w:t>
      </w:r>
      <w:r>
        <w:rPr>
          <w:bCs/>
          <w:lang w:val="en-GB"/>
        </w:rPr>
        <w:t xml:space="preserve">involved </w:t>
      </w:r>
      <w:proofErr w:type="spellStart"/>
      <w:r>
        <w:rPr>
          <w:bCs/>
          <w:lang w:val="en-GB"/>
        </w:rPr>
        <w:t>centers</w:t>
      </w:r>
      <w:proofErr w:type="spellEnd"/>
      <w:r>
        <w:rPr>
          <w:bCs/>
          <w:lang w:val="en-GB"/>
        </w:rPr>
        <w:t xml:space="preserve"> (Single </w:t>
      </w:r>
      <w:proofErr w:type="spellStart"/>
      <w:r>
        <w:rPr>
          <w:bCs/>
          <w:lang w:val="en-GB"/>
        </w:rPr>
        <w:t>center</w:t>
      </w:r>
      <w:proofErr w:type="spellEnd"/>
      <w:r>
        <w:rPr>
          <w:bCs/>
          <w:lang w:val="en-GB"/>
        </w:rPr>
        <w:t xml:space="preserve"> vs </w:t>
      </w:r>
      <w:proofErr w:type="spellStart"/>
      <w:r>
        <w:rPr>
          <w:bCs/>
          <w:lang w:val="en-GB"/>
        </w:rPr>
        <w:t>multicentric</w:t>
      </w:r>
      <w:proofErr w:type="spellEnd"/>
      <w:r>
        <w:rPr>
          <w:bCs/>
          <w:lang w:val="en-GB"/>
        </w:rPr>
        <w:t xml:space="preserve"> studies)</w:t>
      </w:r>
    </w:p>
    <w:p w:rsidR="005A353A" w:rsidRDefault="00D23F73" w:rsidP="00DA10E5">
      <w:pPr>
        <w:spacing w:after="240" w:line="360" w:lineRule="auto"/>
        <w:jc w:val="center"/>
        <w:rPr>
          <w:bCs/>
          <w:lang w:val="en-GB"/>
        </w:rPr>
      </w:pPr>
      <w:r w:rsidRPr="00D23F73">
        <w:rPr>
          <w:bCs/>
          <w:noProof/>
          <w:lang w:eastAsia="it-IT"/>
        </w:rPr>
        <w:drawing>
          <wp:inline distT="0" distB="0" distL="0" distR="0">
            <wp:extent cx="4648200" cy="3682409"/>
            <wp:effectExtent l="0" t="0" r="0" b="0"/>
            <wp:docPr id="8" name="Picture 8" descr="C:\Users\grizz\OneDrive\Desktop\Lavori\Consensus 2024 - EUS GBD\Paper MA Fuccio EUS-GBD in DMBO\Submission EUS Journal\R1 - EUS GBD MA - Fuccio\R1 - analisi STATA - EUS GBD\Figures plots STATA EUS GBD\Figure S9 - Safety subgroup -  cent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grizz\OneDrive\Desktop\Lavori\Consensus 2024 - EUS GBD\Paper MA Fuccio EUS-GBD in DMBO\Submission EUS Journal\R1 - EUS GBD MA - Fuccio\R1 - analisi STATA - EUS GBD\Figures plots STATA EUS GBD\Figure S9 - Safety subgroup -  centers.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75748" cy="3704233"/>
                    </a:xfrm>
                    <a:prstGeom prst="rect">
                      <a:avLst/>
                    </a:prstGeom>
                    <a:noFill/>
                    <a:ln>
                      <a:noFill/>
                    </a:ln>
                  </pic:spPr>
                </pic:pic>
              </a:graphicData>
            </a:graphic>
          </wp:inline>
        </w:drawing>
      </w:r>
    </w:p>
    <w:p w:rsidR="005A353A" w:rsidRDefault="005A353A">
      <w:pPr>
        <w:rPr>
          <w:bCs/>
          <w:lang w:val="en-GB"/>
        </w:rPr>
      </w:pPr>
      <w:r>
        <w:rPr>
          <w:bCs/>
          <w:lang w:val="en-GB"/>
        </w:rPr>
        <w:br w:type="page"/>
      </w:r>
    </w:p>
    <w:p w:rsidR="00DA10E5" w:rsidRDefault="00DA10E5" w:rsidP="00DA10E5">
      <w:pPr>
        <w:spacing w:after="240" w:line="360" w:lineRule="auto"/>
        <w:jc w:val="both"/>
        <w:rPr>
          <w:bCs/>
          <w:lang w:val="en-GB"/>
        </w:rPr>
      </w:pPr>
      <w:r>
        <w:rPr>
          <w:b/>
          <w:lang w:val="en-GB"/>
        </w:rPr>
        <w:lastRenderedPageBreak/>
        <w:t xml:space="preserve">Supplementary figure </w:t>
      </w:r>
      <w:r w:rsidR="00D23F73">
        <w:rPr>
          <w:b/>
          <w:lang w:val="en-GB"/>
        </w:rPr>
        <w:t>10</w:t>
      </w:r>
      <w:r>
        <w:rPr>
          <w:b/>
          <w:lang w:val="en-GB"/>
        </w:rPr>
        <w:t xml:space="preserve">. </w:t>
      </w:r>
      <w:r w:rsidRPr="0073304D">
        <w:rPr>
          <w:bCs/>
          <w:lang w:val="en-GB"/>
        </w:rPr>
        <w:t>Subgroup analysis</w:t>
      </w:r>
      <w:r w:rsidRPr="006532E1">
        <w:rPr>
          <w:bCs/>
          <w:lang w:val="en-GB"/>
        </w:rPr>
        <w:t xml:space="preserve"> </w:t>
      </w:r>
      <w:r>
        <w:rPr>
          <w:bCs/>
          <w:lang w:val="en-GB"/>
        </w:rPr>
        <w:t xml:space="preserve">evaluating </w:t>
      </w:r>
      <w:r>
        <w:rPr>
          <w:b/>
          <w:bCs/>
          <w:lang w:val="en-GB"/>
        </w:rPr>
        <w:t>safety</w:t>
      </w:r>
      <w:r w:rsidRPr="0073304D">
        <w:rPr>
          <w:bCs/>
          <w:lang w:val="en-GB"/>
        </w:rPr>
        <w:t xml:space="preserve"> based on the</w:t>
      </w:r>
      <w:r>
        <w:rPr>
          <w:bCs/>
          <w:lang w:val="en-GB"/>
        </w:rPr>
        <w:t xml:space="preserve"> quality of the studies (low quality </w:t>
      </w:r>
      <w:r>
        <w:rPr>
          <w:rFonts w:cstheme="minorHAnsi"/>
          <w:bCs/>
          <w:lang w:val="en-GB"/>
        </w:rPr>
        <w:t>≤</w:t>
      </w:r>
      <w:r>
        <w:rPr>
          <w:bCs/>
          <w:lang w:val="en-GB"/>
        </w:rPr>
        <w:t xml:space="preserve">3, moderate quality 4-5, </w:t>
      </w:r>
      <w:r w:rsidR="002B4019">
        <w:rPr>
          <w:bCs/>
          <w:lang w:val="en-GB"/>
        </w:rPr>
        <w:t>and high</w:t>
      </w:r>
      <w:r>
        <w:rPr>
          <w:bCs/>
          <w:lang w:val="en-GB"/>
        </w:rPr>
        <w:t xml:space="preserve"> quality </w:t>
      </w:r>
      <w:r>
        <w:rPr>
          <w:rFonts w:cstheme="minorHAnsi"/>
          <w:bCs/>
          <w:lang w:val="en-GB"/>
        </w:rPr>
        <w:t>≥</w:t>
      </w:r>
      <w:r>
        <w:rPr>
          <w:bCs/>
          <w:lang w:val="en-GB"/>
        </w:rPr>
        <w:t>6)</w:t>
      </w:r>
    </w:p>
    <w:p w:rsidR="00DA10E5" w:rsidRDefault="00D23F73" w:rsidP="00DA10E5">
      <w:pPr>
        <w:spacing w:after="240" w:line="360" w:lineRule="auto"/>
        <w:jc w:val="center"/>
        <w:rPr>
          <w:bCs/>
          <w:lang w:val="en-GB"/>
        </w:rPr>
      </w:pPr>
      <w:r w:rsidRPr="00D23F73">
        <w:rPr>
          <w:bCs/>
          <w:noProof/>
          <w:lang w:eastAsia="it-IT"/>
        </w:rPr>
        <w:drawing>
          <wp:inline distT="0" distB="0" distL="0" distR="0">
            <wp:extent cx="4800600" cy="3881836"/>
            <wp:effectExtent l="0" t="0" r="0" b="4445"/>
            <wp:docPr id="9" name="Picture 9" descr="C:\Users\grizz\OneDrive\Desktop\Lavori\Consensus 2024 - EUS GBD\Paper MA Fuccio EUS-GBD in DMBO\Submission EUS Journal\R1 - EUS GBD MA - Fuccio\R1 - analisi STATA - EUS GBD\Figures plots STATA EUS GBD\Figure S10 - Safety subgroup -  qual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grizz\OneDrive\Desktop\Lavori\Consensus 2024 - EUS GBD\Paper MA Fuccio EUS-GBD in DMBO\Submission EUS Journal\R1 - EUS GBD MA - Fuccio\R1 - analisi STATA - EUS GBD\Figures plots STATA EUS GBD\Figure S10 - Safety subgroup -  quality.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38383" cy="3912388"/>
                    </a:xfrm>
                    <a:prstGeom prst="rect">
                      <a:avLst/>
                    </a:prstGeom>
                    <a:noFill/>
                    <a:ln>
                      <a:noFill/>
                    </a:ln>
                  </pic:spPr>
                </pic:pic>
              </a:graphicData>
            </a:graphic>
          </wp:inline>
        </w:drawing>
      </w:r>
    </w:p>
    <w:p w:rsidR="004749CD" w:rsidRDefault="004749CD" w:rsidP="004749CD">
      <w:pPr>
        <w:spacing w:after="240" w:line="360" w:lineRule="auto"/>
        <w:jc w:val="both"/>
        <w:rPr>
          <w:bCs/>
          <w:lang w:val="en-GB"/>
        </w:rPr>
      </w:pPr>
      <w:r>
        <w:rPr>
          <w:b/>
          <w:lang w:val="en-GB"/>
        </w:rPr>
        <w:t xml:space="preserve">Supplementary figure 11. </w:t>
      </w:r>
      <w:r w:rsidRPr="0073304D">
        <w:rPr>
          <w:bCs/>
          <w:lang w:val="en-GB"/>
        </w:rPr>
        <w:t>Subgroup analysis</w:t>
      </w:r>
      <w:r w:rsidRPr="006532E1">
        <w:rPr>
          <w:bCs/>
          <w:lang w:val="en-GB"/>
        </w:rPr>
        <w:t xml:space="preserve"> </w:t>
      </w:r>
      <w:r>
        <w:rPr>
          <w:bCs/>
          <w:lang w:val="en-GB"/>
        </w:rPr>
        <w:t xml:space="preserve">evaluating </w:t>
      </w:r>
      <w:r>
        <w:rPr>
          <w:b/>
          <w:bCs/>
          <w:lang w:val="en-GB"/>
        </w:rPr>
        <w:t>safety</w:t>
      </w:r>
      <w:r w:rsidRPr="0073304D">
        <w:rPr>
          <w:bCs/>
          <w:lang w:val="en-GB"/>
        </w:rPr>
        <w:t xml:space="preserve"> based on </w:t>
      </w:r>
      <w:r w:rsidR="00734D8C">
        <w:rPr>
          <w:bCs/>
          <w:lang w:val="en-GB"/>
        </w:rPr>
        <w:t>the type of stent used.</w:t>
      </w:r>
    </w:p>
    <w:p w:rsidR="005A353A" w:rsidRDefault="00B12752" w:rsidP="0087098E">
      <w:pPr>
        <w:spacing w:after="240" w:line="360" w:lineRule="auto"/>
        <w:jc w:val="center"/>
        <w:rPr>
          <w:bCs/>
          <w:lang w:val="en-GB"/>
        </w:rPr>
      </w:pPr>
      <w:r>
        <w:rPr>
          <w:bCs/>
          <w:lang w:val="en-GB"/>
        </w:rPr>
        <w:pict>
          <v:shape id="_x0000_i1028" type="#_x0000_t75" style="width:381.8pt;height:303.8pt">
            <v:imagedata r:id="rId15" o:title="Figure S11 -Safety subg -  type of stent"/>
          </v:shape>
        </w:pict>
      </w:r>
    </w:p>
    <w:p w:rsidR="005A353A" w:rsidRDefault="005A353A">
      <w:pPr>
        <w:rPr>
          <w:bCs/>
          <w:lang w:val="en-GB"/>
        </w:rPr>
      </w:pPr>
      <w:r>
        <w:rPr>
          <w:bCs/>
          <w:lang w:val="en-GB"/>
        </w:rPr>
        <w:br w:type="page"/>
      </w:r>
    </w:p>
    <w:p w:rsidR="004749CD" w:rsidRDefault="004749CD" w:rsidP="004749CD">
      <w:pPr>
        <w:spacing w:after="240" w:line="360" w:lineRule="auto"/>
        <w:jc w:val="both"/>
        <w:rPr>
          <w:bCs/>
          <w:lang w:val="en-GB"/>
        </w:rPr>
      </w:pPr>
      <w:r>
        <w:rPr>
          <w:b/>
          <w:lang w:val="en-GB"/>
        </w:rPr>
        <w:lastRenderedPageBreak/>
        <w:t xml:space="preserve">Supplementary figure 12. </w:t>
      </w:r>
      <w:r w:rsidRPr="0073304D">
        <w:rPr>
          <w:bCs/>
          <w:lang w:val="en-GB"/>
        </w:rPr>
        <w:t>Subgroup analysis</w:t>
      </w:r>
      <w:r w:rsidRPr="006532E1">
        <w:rPr>
          <w:bCs/>
          <w:lang w:val="en-GB"/>
        </w:rPr>
        <w:t xml:space="preserve"> </w:t>
      </w:r>
      <w:r>
        <w:rPr>
          <w:bCs/>
          <w:lang w:val="en-GB"/>
        </w:rPr>
        <w:t xml:space="preserve">evaluating </w:t>
      </w:r>
      <w:proofErr w:type="spellStart"/>
      <w:r w:rsidR="0087098E">
        <w:rPr>
          <w:b/>
          <w:bCs/>
          <w:lang w:val="en-GB"/>
        </w:rPr>
        <w:t>reintervention</w:t>
      </w:r>
      <w:proofErr w:type="spellEnd"/>
      <w:r w:rsidR="0087098E">
        <w:rPr>
          <w:b/>
          <w:bCs/>
          <w:lang w:val="en-GB"/>
        </w:rPr>
        <w:t xml:space="preserve"> rate</w:t>
      </w:r>
      <w:r w:rsidR="0087098E" w:rsidRPr="0073304D">
        <w:rPr>
          <w:bCs/>
          <w:lang w:val="en-GB"/>
        </w:rPr>
        <w:t xml:space="preserve"> </w:t>
      </w:r>
      <w:r w:rsidRPr="0073304D">
        <w:rPr>
          <w:bCs/>
          <w:lang w:val="en-GB"/>
        </w:rPr>
        <w:t xml:space="preserve">based on </w:t>
      </w:r>
      <w:r w:rsidR="0087098E">
        <w:rPr>
          <w:bCs/>
          <w:lang w:val="en-GB"/>
        </w:rPr>
        <w:t>the type of failure (ERCP alone vs b</w:t>
      </w:r>
      <w:r w:rsidR="0087098E" w:rsidRPr="0087098E">
        <w:rPr>
          <w:bCs/>
          <w:lang w:val="en-GB"/>
        </w:rPr>
        <w:t>oth ERCP and EUS-BD</w:t>
      </w:r>
      <w:r w:rsidR="0087098E">
        <w:rPr>
          <w:bCs/>
          <w:lang w:val="en-GB"/>
        </w:rPr>
        <w:t>)</w:t>
      </w:r>
    </w:p>
    <w:p w:rsidR="005F1E4C" w:rsidRDefault="00B12752" w:rsidP="0082536A">
      <w:pPr>
        <w:spacing w:after="240" w:line="360" w:lineRule="auto"/>
        <w:jc w:val="center"/>
        <w:rPr>
          <w:bCs/>
          <w:lang w:val="en-GB"/>
        </w:rPr>
        <w:sectPr w:rsidR="005F1E4C" w:rsidSect="005F1E4C">
          <w:pgSz w:w="11906" w:h="16838"/>
          <w:pgMar w:top="720" w:right="720" w:bottom="720" w:left="720" w:header="709" w:footer="709" w:gutter="0"/>
          <w:cols w:space="708"/>
          <w:docGrid w:linePitch="360"/>
        </w:sectPr>
      </w:pPr>
      <w:r>
        <w:rPr>
          <w:bCs/>
          <w:lang w:val="en-GB"/>
        </w:rPr>
        <w:pict>
          <v:shape id="_x0000_i1029" type="#_x0000_t75" style="width:342pt;height:289.65pt">
            <v:imagedata r:id="rId16" o:title="Figure S12 -reintervention - subg previous"/>
          </v:shape>
        </w:pict>
      </w:r>
    </w:p>
    <w:p w:rsidR="009A3703" w:rsidRDefault="009A3703" w:rsidP="0082536A">
      <w:pPr>
        <w:spacing w:after="240" w:line="360" w:lineRule="auto"/>
        <w:jc w:val="center"/>
        <w:rPr>
          <w:b/>
          <w:lang w:val="en-GB"/>
        </w:rPr>
      </w:pPr>
    </w:p>
    <w:p w:rsidR="00313998" w:rsidRDefault="00313998" w:rsidP="00313998">
      <w:pPr>
        <w:spacing w:after="240" w:line="360" w:lineRule="auto"/>
        <w:jc w:val="both"/>
        <w:rPr>
          <w:lang w:val="en-GB"/>
        </w:rPr>
      </w:pPr>
      <w:r w:rsidRPr="00F90F2D">
        <w:rPr>
          <w:b/>
          <w:lang w:val="en-GB"/>
        </w:rPr>
        <w:t xml:space="preserve">Supplementary Table </w:t>
      </w:r>
      <w:r w:rsidR="001B1B79">
        <w:rPr>
          <w:b/>
          <w:lang w:val="en-GB"/>
        </w:rPr>
        <w:t>1</w:t>
      </w:r>
      <w:r>
        <w:rPr>
          <w:lang w:val="en-GB"/>
        </w:rPr>
        <w:t xml:space="preserve">. </w:t>
      </w:r>
      <w:r w:rsidR="0088595A">
        <w:rPr>
          <w:lang w:val="en-GB"/>
        </w:rPr>
        <w:t>The</w:t>
      </w:r>
      <w:r>
        <w:rPr>
          <w:lang w:val="en-GB"/>
        </w:rPr>
        <w:t xml:space="preserve"> Modified New Castle-Ottawa quality assessment scale (NOS) </w:t>
      </w:r>
      <w:r w:rsidR="006630DC">
        <w:rPr>
          <w:lang w:val="en-GB"/>
        </w:rPr>
        <w:fldChar w:fldCharType="begin"/>
      </w:r>
      <w:r w:rsidR="00FA4E15">
        <w:rPr>
          <w:lang w:val="en-GB"/>
        </w:rPr>
        <w:instrText xml:space="preserve"> ADDIN ZOTERO_ITEM CSL_CITATION {"citationID":"1O3zPPxO","properties":{"formattedCitation":"(1)","plainCitation":"(1)","noteIndex":0},"citationItems":[{"id":2182,"uris":["http://zotero.org/users/12145087/items/JXINRIRY"],"itemData":{"id":2182,"type":"article-journal","language":"en","source":"Zotero","title":"NEWCASTLE - OTTAWA QUALITY ASSESSMENT SCALE COHORT STUDIES"}}],"schema":"https://github.com/citation-style-language/schema/raw/master/csl-citation.json"} </w:instrText>
      </w:r>
      <w:r w:rsidR="006630DC">
        <w:rPr>
          <w:lang w:val="en-GB"/>
        </w:rPr>
        <w:fldChar w:fldCharType="separate"/>
      </w:r>
      <w:r w:rsidR="00FA4E15" w:rsidRPr="00FA4E15">
        <w:rPr>
          <w:rFonts w:ascii="Calibri" w:hAnsi="Calibri" w:cs="Calibri"/>
          <w:lang w:val="en-GB"/>
        </w:rPr>
        <w:t>(1)</w:t>
      </w:r>
      <w:r w:rsidR="006630DC">
        <w:rPr>
          <w:lang w:val="en-GB"/>
        </w:rPr>
        <w:fldChar w:fldCharType="end"/>
      </w:r>
    </w:p>
    <w:tbl>
      <w:tblPr>
        <w:tblStyle w:val="TableGrid"/>
        <w:tblW w:w="0" w:type="auto"/>
        <w:tblLook w:val="04A0" w:firstRow="1" w:lastRow="0" w:firstColumn="1" w:lastColumn="0" w:noHBand="0" w:noVBand="1"/>
      </w:tblPr>
      <w:tblGrid>
        <w:gridCol w:w="4759"/>
        <w:gridCol w:w="8136"/>
        <w:gridCol w:w="1382"/>
      </w:tblGrid>
      <w:tr w:rsidR="003B4B65" w:rsidRPr="00B12752" w:rsidTr="00E45219">
        <w:tc>
          <w:tcPr>
            <w:tcW w:w="4759" w:type="dxa"/>
          </w:tcPr>
          <w:p w:rsidR="003B4B65" w:rsidRDefault="007606FC" w:rsidP="003B4B65">
            <w:pPr>
              <w:pStyle w:val="Default"/>
            </w:pPr>
            <w:r>
              <w:rPr>
                <w:sz w:val="22"/>
                <w:szCs w:val="22"/>
                <w:lang w:val="en-GB"/>
              </w:rPr>
              <w:t>Study population</w:t>
            </w:r>
          </w:p>
        </w:tc>
        <w:tc>
          <w:tcPr>
            <w:tcW w:w="8136" w:type="dxa"/>
          </w:tcPr>
          <w:p w:rsidR="003B4B65" w:rsidRPr="003B4B65" w:rsidRDefault="003B4B65" w:rsidP="003B4B65">
            <w:pPr>
              <w:pStyle w:val="Default"/>
              <w:spacing w:after="74"/>
              <w:rPr>
                <w:sz w:val="22"/>
                <w:szCs w:val="22"/>
                <w:lang w:val="en-GB"/>
              </w:rPr>
            </w:pPr>
            <w:r w:rsidRPr="003B4B65">
              <w:rPr>
                <w:sz w:val="22"/>
                <w:szCs w:val="22"/>
                <w:lang w:val="en-GB"/>
              </w:rPr>
              <w:t xml:space="preserve">1. </w:t>
            </w:r>
            <w:r w:rsidR="00B34B90">
              <w:rPr>
                <w:sz w:val="22"/>
                <w:szCs w:val="22"/>
                <w:lang w:val="en-GB"/>
              </w:rPr>
              <w:t xml:space="preserve">Did </w:t>
            </w:r>
            <w:r w:rsidR="00011451">
              <w:rPr>
                <w:sz w:val="22"/>
                <w:szCs w:val="22"/>
                <w:lang w:val="en-GB"/>
              </w:rPr>
              <w:t>study group</w:t>
            </w:r>
            <w:r w:rsidR="00B34B90">
              <w:rPr>
                <w:sz w:val="22"/>
                <w:szCs w:val="22"/>
                <w:lang w:val="en-GB"/>
              </w:rPr>
              <w:t xml:space="preserve"> derive</w:t>
            </w:r>
            <w:r w:rsidRPr="003B4B65">
              <w:rPr>
                <w:sz w:val="22"/>
                <w:szCs w:val="22"/>
                <w:lang w:val="en-GB"/>
              </w:rPr>
              <w:t xml:space="preserve"> from </w:t>
            </w:r>
            <w:r w:rsidR="004943E4">
              <w:rPr>
                <w:sz w:val="22"/>
                <w:szCs w:val="22"/>
                <w:lang w:val="en-GB"/>
              </w:rPr>
              <w:t>population of interest</w:t>
            </w:r>
            <w:r w:rsidRPr="003B4B65">
              <w:rPr>
                <w:sz w:val="22"/>
                <w:szCs w:val="22"/>
                <w:lang w:val="en-GB"/>
              </w:rPr>
              <w:t xml:space="preserve">? </w:t>
            </w:r>
          </w:p>
          <w:p w:rsidR="00E35B81" w:rsidRDefault="003B4B65" w:rsidP="00E45219">
            <w:pPr>
              <w:pStyle w:val="Default"/>
              <w:rPr>
                <w:sz w:val="22"/>
                <w:szCs w:val="22"/>
                <w:lang w:val="en-GB"/>
              </w:rPr>
            </w:pPr>
            <w:r w:rsidRPr="003B4B65">
              <w:rPr>
                <w:sz w:val="22"/>
                <w:szCs w:val="22"/>
                <w:lang w:val="en-GB"/>
              </w:rPr>
              <w:t>2.</w:t>
            </w:r>
            <w:r w:rsidR="00E35B81" w:rsidRPr="00E45219">
              <w:rPr>
                <w:sz w:val="22"/>
                <w:szCs w:val="22"/>
                <w:lang w:val="en-GB"/>
              </w:rPr>
              <w:t xml:space="preserve"> Ascertainment of exposure</w:t>
            </w:r>
          </w:p>
          <w:p w:rsidR="003B4B65" w:rsidRPr="004404CD" w:rsidRDefault="00E35B81" w:rsidP="00E45219">
            <w:pPr>
              <w:pStyle w:val="Default"/>
              <w:rPr>
                <w:lang w:val="en-GB"/>
              </w:rPr>
            </w:pPr>
            <w:r>
              <w:rPr>
                <w:sz w:val="22"/>
                <w:szCs w:val="22"/>
                <w:lang w:val="en-GB"/>
              </w:rPr>
              <w:t>3.</w:t>
            </w:r>
            <w:r w:rsidR="003B4B65" w:rsidRPr="003B4B65">
              <w:rPr>
                <w:sz w:val="22"/>
                <w:szCs w:val="22"/>
                <w:lang w:val="en-GB"/>
              </w:rPr>
              <w:t xml:space="preserve"> </w:t>
            </w:r>
            <w:r w:rsidR="00E45219">
              <w:rPr>
                <w:sz w:val="22"/>
                <w:szCs w:val="22"/>
                <w:lang w:val="en-GB"/>
              </w:rPr>
              <w:t>Demonstration that outcome of interest was not present at the start of the study</w:t>
            </w:r>
            <w:r w:rsidR="003B4B65" w:rsidRPr="003B4B65">
              <w:rPr>
                <w:sz w:val="22"/>
                <w:szCs w:val="22"/>
                <w:lang w:val="en-GB"/>
              </w:rPr>
              <w:t xml:space="preserve"> </w:t>
            </w:r>
          </w:p>
        </w:tc>
        <w:tc>
          <w:tcPr>
            <w:tcW w:w="1382" w:type="dxa"/>
          </w:tcPr>
          <w:p w:rsidR="003B4B65" w:rsidRPr="004404CD" w:rsidRDefault="003B4B65" w:rsidP="003B4B65">
            <w:pPr>
              <w:pStyle w:val="Default"/>
              <w:rPr>
                <w:lang w:val="en-GB"/>
              </w:rPr>
            </w:pPr>
          </w:p>
        </w:tc>
      </w:tr>
      <w:tr w:rsidR="003B4B65" w:rsidRPr="00B12752" w:rsidTr="00E45219">
        <w:tc>
          <w:tcPr>
            <w:tcW w:w="4759" w:type="dxa"/>
          </w:tcPr>
          <w:p w:rsidR="003B4B65" w:rsidRPr="003B4B65" w:rsidRDefault="00E35B81" w:rsidP="003B4B65">
            <w:pPr>
              <w:pStyle w:val="Default"/>
              <w:rPr>
                <w:sz w:val="22"/>
                <w:szCs w:val="22"/>
                <w:lang w:val="en-GB"/>
              </w:rPr>
            </w:pPr>
            <w:r>
              <w:rPr>
                <w:sz w:val="22"/>
                <w:szCs w:val="22"/>
                <w:lang w:val="en-GB"/>
              </w:rPr>
              <w:t>Comparability</w:t>
            </w:r>
          </w:p>
          <w:p w:rsidR="003B4B65" w:rsidRPr="007606FC" w:rsidRDefault="003B4B65" w:rsidP="003B4B65">
            <w:pPr>
              <w:pStyle w:val="Default"/>
              <w:rPr>
                <w:lang w:val="en-GB"/>
              </w:rPr>
            </w:pPr>
          </w:p>
        </w:tc>
        <w:tc>
          <w:tcPr>
            <w:tcW w:w="8136" w:type="dxa"/>
          </w:tcPr>
          <w:p w:rsidR="003B4B65" w:rsidRPr="00E45219" w:rsidRDefault="00E35B81" w:rsidP="00B34B90">
            <w:pPr>
              <w:pStyle w:val="Default"/>
              <w:spacing w:after="74"/>
              <w:rPr>
                <w:sz w:val="22"/>
                <w:szCs w:val="22"/>
                <w:lang w:val="en-GB"/>
              </w:rPr>
            </w:pPr>
            <w:r>
              <w:rPr>
                <w:sz w:val="22"/>
                <w:szCs w:val="22"/>
                <w:lang w:val="en-GB"/>
              </w:rPr>
              <w:t>4. Did the study include a comparative cohort?</w:t>
            </w:r>
          </w:p>
        </w:tc>
        <w:tc>
          <w:tcPr>
            <w:tcW w:w="1382" w:type="dxa"/>
          </w:tcPr>
          <w:p w:rsidR="003B4B65" w:rsidRPr="004404CD" w:rsidRDefault="003B4B65" w:rsidP="003B4B65">
            <w:pPr>
              <w:pStyle w:val="Default"/>
              <w:rPr>
                <w:lang w:val="en-GB"/>
              </w:rPr>
            </w:pPr>
          </w:p>
        </w:tc>
      </w:tr>
      <w:tr w:rsidR="003B4B65" w:rsidRPr="00F44A70" w:rsidTr="00E45219">
        <w:tc>
          <w:tcPr>
            <w:tcW w:w="4759" w:type="dxa"/>
          </w:tcPr>
          <w:p w:rsidR="003B4B65" w:rsidRPr="003B4B65" w:rsidRDefault="00E35B81" w:rsidP="003B4B65">
            <w:pPr>
              <w:pStyle w:val="Default"/>
              <w:rPr>
                <w:sz w:val="22"/>
                <w:szCs w:val="22"/>
                <w:lang w:val="en-GB"/>
              </w:rPr>
            </w:pPr>
            <w:r>
              <w:rPr>
                <w:sz w:val="22"/>
                <w:szCs w:val="22"/>
                <w:lang w:val="en-GB"/>
              </w:rPr>
              <w:t>Outcomes assessment and c</w:t>
            </w:r>
            <w:r w:rsidR="007606FC">
              <w:rPr>
                <w:sz w:val="22"/>
                <w:szCs w:val="22"/>
                <w:lang w:val="en-GB"/>
              </w:rPr>
              <w:t>onfounders</w:t>
            </w:r>
          </w:p>
          <w:p w:rsidR="003B4B65" w:rsidRDefault="003B4B65" w:rsidP="003B4B65">
            <w:pPr>
              <w:pStyle w:val="Default"/>
            </w:pPr>
          </w:p>
        </w:tc>
        <w:tc>
          <w:tcPr>
            <w:tcW w:w="8136" w:type="dxa"/>
          </w:tcPr>
          <w:p w:rsidR="00E35B81" w:rsidRDefault="00E35B81" w:rsidP="003B4B65">
            <w:pPr>
              <w:pStyle w:val="Default"/>
              <w:spacing w:after="74"/>
              <w:rPr>
                <w:sz w:val="22"/>
                <w:szCs w:val="22"/>
                <w:lang w:val="en-GB"/>
              </w:rPr>
            </w:pPr>
            <w:r>
              <w:rPr>
                <w:sz w:val="22"/>
                <w:szCs w:val="22"/>
                <w:lang w:val="en-GB"/>
              </w:rPr>
              <w:t>5</w:t>
            </w:r>
            <w:r w:rsidRPr="003B4B65">
              <w:rPr>
                <w:sz w:val="22"/>
                <w:szCs w:val="22"/>
                <w:lang w:val="en-GB"/>
              </w:rPr>
              <w:t>.</w:t>
            </w:r>
            <w:r>
              <w:rPr>
                <w:sz w:val="22"/>
                <w:szCs w:val="22"/>
                <w:lang w:val="en-GB"/>
              </w:rPr>
              <w:t xml:space="preserve"> Is the measure of outcome </w:t>
            </w:r>
            <w:r w:rsidRPr="003B4B65">
              <w:rPr>
                <w:sz w:val="22"/>
                <w:szCs w:val="22"/>
                <w:lang w:val="en-GB"/>
              </w:rPr>
              <w:t xml:space="preserve">valid? </w:t>
            </w:r>
          </w:p>
          <w:p w:rsidR="003B4B65" w:rsidRPr="003B4B65" w:rsidRDefault="003B4B65" w:rsidP="003B4B65">
            <w:pPr>
              <w:pStyle w:val="Default"/>
              <w:spacing w:after="74"/>
              <w:rPr>
                <w:sz w:val="22"/>
                <w:szCs w:val="22"/>
                <w:lang w:val="en-GB"/>
              </w:rPr>
            </w:pPr>
            <w:r w:rsidRPr="003B4B65">
              <w:rPr>
                <w:sz w:val="22"/>
                <w:szCs w:val="22"/>
                <w:lang w:val="en-GB"/>
              </w:rPr>
              <w:t xml:space="preserve">6. Potential confounders identified (e.g., comorbidities, multicomponent interventions, etc.)? </w:t>
            </w:r>
          </w:p>
          <w:p w:rsidR="003B4B65" w:rsidRPr="004404CD" w:rsidRDefault="003B4B65" w:rsidP="00E45219">
            <w:pPr>
              <w:pStyle w:val="Default"/>
              <w:spacing w:after="74"/>
              <w:rPr>
                <w:lang w:val="en-GB"/>
              </w:rPr>
            </w:pPr>
            <w:r w:rsidRPr="003B4B65">
              <w:rPr>
                <w:sz w:val="22"/>
                <w:szCs w:val="22"/>
                <w:lang w:val="en-GB"/>
              </w:rPr>
              <w:t xml:space="preserve">7. </w:t>
            </w:r>
            <w:r w:rsidR="00E45219">
              <w:rPr>
                <w:sz w:val="22"/>
                <w:szCs w:val="22"/>
                <w:lang w:val="en-GB"/>
              </w:rPr>
              <w:t>Adequacy of follow up</w:t>
            </w:r>
          </w:p>
        </w:tc>
        <w:tc>
          <w:tcPr>
            <w:tcW w:w="1382" w:type="dxa"/>
          </w:tcPr>
          <w:p w:rsidR="003B4B65" w:rsidRPr="004404CD" w:rsidRDefault="003B4B65" w:rsidP="003B4B65">
            <w:pPr>
              <w:pStyle w:val="Default"/>
              <w:rPr>
                <w:lang w:val="en-GB"/>
              </w:rPr>
            </w:pPr>
          </w:p>
        </w:tc>
      </w:tr>
    </w:tbl>
    <w:p w:rsidR="003B4B65" w:rsidRPr="004404CD" w:rsidRDefault="003B4B65" w:rsidP="003B4B65">
      <w:pPr>
        <w:pStyle w:val="Default"/>
        <w:rPr>
          <w:lang w:val="en-GB"/>
        </w:rPr>
      </w:pPr>
    </w:p>
    <w:p w:rsidR="003B4B65" w:rsidRPr="003B4B65" w:rsidRDefault="003B4B65" w:rsidP="003B4B65">
      <w:pPr>
        <w:pStyle w:val="Default"/>
        <w:rPr>
          <w:sz w:val="22"/>
          <w:szCs w:val="22"/>
          <w:lang w:val="en-GB"/>
        </w:rPr>
      </w:pPr>
      <w:r w:rsidRPr="003B4B65">
        <w:rPr>
          <w:lang w:val="en-GB"/>
        </w:rPr>
        <w:t xml:space="preserve"> </w:t>
      </w:r>
    </w:p>
    <w:p w:rsidR="003B4B65" w:rsidRDefault="001B1B79" w:rsidP="003B4B65">
      <w:pPr>
        <w:spacing w:after="240" w:line="360" w:lineRule="auto"/>
        <w:jc w:val="both"/>
        <w:rPr>
          <w:lang w:val="en-GB"/>
        </w:rPr>
      </w:pPr>
      <w:r>
        <w:rPr>
          <w:b/>
          <w:lang w:val="en-GB"/>
        </w:rPr>
        <w:t>Supplementary Table 2</w:t>
      </w:r>
      <w:r w:rsidR="003B4B65">
        <w:rPr>
          <w:lang w:val="en-GB"/>
        </w:rPr>
        <w:t>. The</w:t>
      </w:r>
      <w:r w:rsidR="004A7381">
        <w:rPr>
          <w:lang w:val="en-GB"/>
        </w:rPr>
        <w:t xml:space="preserve"> evaluation of the quality among studies according to the</w:t>
      </w:r>
      <w:r w:rsidR="003B4B65">
        <w:rPr>
          <w:lang w:val="en-GB"/>
        </w:rPr>
        <w:t xml:space="preserve"> Modified New Castle-Ottawa quality assessment scale (NOS) </w:t>
      </w:r>
    </w:p>
    <w:tbl>
      <w:tblPr>
        <w:tblStyle w:val="TableGrid"/>
        <w:tblW w:w="5000" w:type="pct"/>
        <w:tblLook w:val="04A0" w:firstRow="1" w:lastRow="0" w:firstColumn="1" w:lastColumn="0" w:noHBand="0" w:noVBand="1"/>
      </w:tblPr>
      <w:tblGrid>
        <w:gridCol w:w="1446"/>
        <w:gridCol w:w="2290"/>
        <w:gridCol w:w="1607"/>
        <w:gridCol w:w="1705"/>
        <w:gridCol w:w="1551"/>
        <w:gridCol w:w="1431"/>
        <w:gridCol w:w="1462"/>
        <w:gridCol w:w="1548"/>
        <w:gridCol w:w="2348"/>
      </w:tblGrid>
      <w:tr w:rsidR="00E35B81" w:rsidRPr="000D77F4" w:rsidTr="00E57488">
        <w:trPr>
          <w:trHeight w:val="1265"/>
        </w:trPr>
        <w:tc>
          <w:tcPr>
            <w:tcW w:w="470" w:type="pct"/>
            <w:shd w:val="clear" w:color="auto" w:fill="F2F2F2" w:themeFill="background1" w:themeFillShade="F2"/>
            <w:vAlign w:val="center"/>
          </w:tcPr>
          <w:p w:rsidR="00E35B81" w:rsidRPr="00E51675" w:rsidRDefault="00E35B81" w:rsidP="0071308F">
            <w:pPr>
              <w:jc w:val="center"/>
              <w:rPr>
                <w:rFonts w:ascii="Arial" w:hAnsi="Arial" w:cs="Arial"/>
                <w:b/>
                <w:bCs/>
                <w:sz w:val="20"/>
                <w:lang w:val="en-US"/>
              </w:rPr>
            </w:pPr>
            <w:r w:rsidRPr="00E51675">
              <w:rPr>
                <w:rFonts w:ascii="Arial" w:hAnsi="Arial" w:cs="Arial"/>
                <w:b/>
                <w:bCs/>
                <w:sz w:val="20"/>
                <w:lang w:val="en-US"/>
              </w:rPr>
              <w:t>Study</w:t>
            </w:r>
          </w:p>
        </w:tc>
        <w:tc>
          <w:tcPr>
            <w:tcW w:w="744" w:type="pct"/>
            <w:shd w:val="clear" w:color="auto" w:fill="F2F2F2" w:themeFill="background1" w:themeFillShade="F2"/>
            <w:vAlign w:val="center"/>
          </w:tcPr>
          <w:p w:rsidR="00E35B81" w:rsidRPr="00E51675" w:rsidRDefault="00E35B81" w:rsidP="0071308F">
            <w:pPr>
              <w:jc w:val="center"/>
              <w:rPr>
                <w:rFonts w:ascii="Arial" w:hAnsi="Arial" w:cs="Arial"/>
                <w:b/>
                <w:bCs/>
                <w:sz w:val="20"/>
                <w:lang w:val="en-US"/>
              </w:rPr>
            </w:pPr>
            <w:r w:rsidRPr="00E51675">
              <w:rPr>
                <w:rFonts w:ascii="Arial" w:hAnsi="Arial" w:cs="Arial"/>
                <w:b/>
                <w:bCs/>
                <w:sz w:val="20"/>
                <w:lang w:val="en-US"/>
              </w:rPr>
              <w:t>Representativeness</w:t>
            </w:r>
          </w:p>
        </w:tc>
        <w:tc>
          <w:tcPr>
            <w:tcW w:w="522" w:type="pct"/>
            <w:shd w:val="clear" w:color="auto" w:fill="F2F2F2" w:themeFill="background1" w:themeFillShade="F2"/>
            <w:vAlign w:val="center"/>
          </w:tcPr>
          <w:p w:rsidR="00E35B81" w:rsidRPr="00E51675" w:rsidRDefault="00E35B81" w:rsidP="0071308F">
            <w:pPr>
              <w:jc w:val="center"/>
              <w:rPr>
                <w:rFonts w:ascii="Arial" w:hAnsi="Arial" w:cs="Arial"/>
                <w:b/>
                <w:bCs/>
                <w:sz w:val="20"/>
                <w:lang w:val="en-US"/>
              </w:rPr>
            </w:pPr>
            <w:r w:rsidRPr="00E51675">
              <w:rPr>
                <w:rFonts w:ascii="Arial" w:hAnsi="Arial" w:cs="Arial"/>
                <w:b/>
                <w:bCs/>
                <w:sz w:val="20"/>
                <w:lang w:val="en-US"/>
              </w:rPr>
              <w:t>Ascertainment of exposure</w:t>
            </w:r>
          </w:p>
        </w:tc>
        <w:tc>
          <w:tcPr>
            <w:tcW w:w="554" w:type="pct"/>
            <w:shd w:val="clear" w:color="auto" w:fill="F2F2F2" w:themeFill="background1" w:themeFillShade="F2"/>
            <w:vAlign w:val="center"/>
          </w:tcPr>
          <w:p w:rsidR="00E35B81" w:rsidRPr="00E51675" w:rsidRDefault="00E35B81" w:rsidP="0071308F">
            <w:pPr>
              <w:jc w:val="center"/>
              <w:rPr>
                <w:rFonts w:ascii="Arial" w:hAnsi="Arial" w:cs="Arial"/>
                <w:b/>
                <w:bCs/>
                <w:sz w:val="20"/>
                <w:lang w:val="en-US"/>
              </w:rPr>
            </w:pPr>
            <w:r w:rsidRPr="00E51675">
              <w:rPr>
                <w:rFonts w:ascii="Arial" w:hAnsi="Arial" w:cs="Arial"/>
                <w:b/>
                <w:bCs/>
                <w:sz w:val="20"/>
                <w:lang w:val="en-US"/>
              </w:rPr>
              <w:t>Selection</w:t>
            </w:r>
          </w:p>
          <w:p w:rsidR="00E35B81" w:rsidRPr="00E51675" w:rsidRDefault="00E35B81" w:rsidP="0071308F">
            <w:pPr>
              <w:jc w:val="center"/>
              <w:rPr>
                <w:rFonts w:ascii="Arial" w:hAnsi="Arial" w:cs="Arial"/>
                <w:b/>
                <w:bCs/>
                <w:sz w:val="20"/>
                <w:lang w:val="en-US"/>
              </w:rPr>
            </w:pPr>
          </w:p>
        </w:tc>
        <w:tc>
          <w:tcPr>
            <w:tcW w:w="504" w:type="pct"/>
            <w:shd w:val="clear" w:color="auto" w:fill="F2F2F2" w:themeFill="background1" w:themeFillShade="F2"/>
            <w:vAlign w:val="center"/>
          </w:tcPr>
          <w:p w:rsidR="00E35B81" w:rsidRPr="00E51675" w:rsidRDefault="00E35B81" w:rsidP="00EC47E4">
            <w:pPr>
              <w:jc w:val="center"/>
              <w:rPr>
                <w:rFonts w:ascii="Arial" w:hAnsi="Arial" w:cs="Arial"/>
                <w:b/>
                <w:bCs/>
                <w:sz w:val="20"/>
                <w:lang w:val="en-US"/>
              </w:rPr>
            </w:pPr>
            <w:r w:rsidRPr="00E51675">
              <w:rPr>
                <w:rFonts w:ascii="Arial" w:hAnsi="Arial" w:cs="Arial"/>
                <w:b/>
                <w:bCs/>
                <w:sz w:val="20"/>
                <w:lang w:val="en-US"/>
              </w:rPr>
              <w:t>Comparability</w:t>
            </w:r>
          </w:p>
        </w:tc>
        <w:tc>
          <w:tcPr>
            <w:tcW w:w="465" w:type="pct"/>
            <w:shd w:val="clear" w:color="auto" w:fill="F2F2F2" w:themeFill="background1" w:themeFillShade="F2"/>
            <w:vAlign w:val="center"/>
          </w:tcPr>
          <w:p w:rsidR="00E35B81" w:rsidRPr="00E51675" w:rsidRDefault="00E35B81" w:rsidP="00EC47E4">
            <w:pPr>
              <w:jc w:val="center"/>
              <w:rPr>
                <w:rFonts w:ascii="Arial" w:hAnsi="Arial" w:cs="Arial"/>
                <w:b/>
                <w:bCs/>
                <w:sz w:val="20"/>
                <w:lang w:val="en-US"/>
              </w:rPr>
            </w:pPr>
            <w:r w:rsidRPr="00E51675">
              <w:rPr>
                <w:rFonts w:ascii="Arial" w:hAnsi="Arial" w:cs="Arial"/>
                <w:b/>
                <w:bCs/>
                <w:sz w:val="20"/>
                <w:lang w:val="en-US"/>
              </w:rPr>
              <w:t>Assessment of outcomes?</w:t>
            </w:r>
          </w:p>
        </w:tc>
        <w:tc>
          <w:tcPr>
            <w:tcW w:w="475" w:type="pct"/>
            <w:shd w:val="clear" w:color="auto" w:fill="F2F2F2" w:themeFill="background1" w:themeFillShade="F2"/>
            <w:vAlign w:val="center"/>
          </w:tcPr>
          <w:p w:rsidR="00E35B81" w:rsidRPr="00E51675" w:rsidRDefault="00E35B81" w:rsidP="0071308F">
            <w:pPr>
              <w:jc w:val="center"/>
              <w:rPr>
                <w:rFonts w:ascii="Arial" w:hAnsi="Arial" w:cs="Arial"/>
                <w:b/>
                <w:bCs/>
                <w:sz w:val="20"/>
                <w:lang w:val="en-US"/>
              </w:rPr>
            </w:pPr>
            <w:r w:rsidRPr="00E51675">
              <w:rPr>
                <w:rFonts w:ascii="Arial" w:hAnsi="Arial" w:cs="Arial"/>
                <w:b/>
                <w:bCs/>
                <w:sz w:val="20"/>
                <w:lang w:val="en-US"/>
              </w:rPr>
              <w:t>Confounders</w:t>
            </w:r>
          </w:p>
        </w:tc>
        <w:tc>
          <w:tcPr>
            <w:tcW w:w="503" w:type="pct"/>
            <w:shd w:val="clear" w:color="auto" w:fill="F2F2F2" w:themeFill="background1" w:themeFillShade="F2"/>
            <w:vAlign w:val="center"/>
          </w:tcPr>
          <w:p w:rsidR="00E35B81" w:rsidRPr="00E51675" w:rsidRDefault="00E35B81" w:rsidP="0071308F">
            <w:pPr>
              <w:jc w:val="center"/>
              <w:rPr>
                <w:rFonts w:ascii="Arial" w:hAnsi="Arial" w:cs="Arial"/>
                <w:b/>
                <w:bCs/>
                <w:sz w:val="20"/>
                <w:lang w:val="en-US"/>
              </w:rPr>
            </w:pPr>
            <w:r w:rsidRPr="00E51675">
              <w:rPr>
                <w:rFonts w:ascii="Arial" w:hAnsi="Arial" w:cs="Arial"/>
                <w:b/>
                <w:bCs/>
                <w:sz w:val="20"/>
                <w:lang w:val="en-US"/>
              </w:rPr>
              <w:t>Adequacy of follow-up</w:t>
            </w:r>
          </w:p>
        </w:tc>
        <w:tc>
          <w:tcPr>
            <w:tcW w:w="763" w:type="pct"/>
            <w:shd w:val="clear" w:color="auto" w:fill="F2F2F2" w:themeFill="background1" w:themeFillShade="F2"/>
            <w:vAlign w:val="center"/>
          </w:tcPr>
          <w:p w:rsidR="00E35B81" w:rsidRPr="00E51675" w:rsidRDefault="00E35B81" w:rsidP="0071308F">
            <w:pPr>
              <w:jc w:val="center"/>
              <w:rPr>
                <w:rFonts w:ascii="Arial" w:hAnsi="Arial" w:cs="Arial"/>
                <w:b/>
                <w:bCs/>
                <w:sz w:val="20"/>
                <w:lang w:val="en-US"/>
              </w:rPr>
            </w:pPr>
          </w:p>
          <w:p w:rsidR="00E35B81" w:rsidRPr="00E51675" w:rsidRDefault="00E35B81" w:rsidP="0071308F">
            <w:pPr>
              <w:jc w:val="center"/>
              <w:rPr>
                <w:rFonts w:ascii="Arial" w:hAnsi="Arial" w:cs="Arial"/>
                <w:b/>
                <w:bCs/>
                <w:sz w:val="20"/>
                <w:lang w:val="en-US"/>
              </w:rPr>
            </w:pPr>
            <w:r w:rsidRPr="00E51675">
              <w:rPr>
                <w:rFonts w:ascii="Arial" w:hAnsi="Arial" w:cs="Arial"/>
                <w:b/>
                <w:bCs/>
                <w:sz w:val="20"/>
                <w:lang w:val="en-US"/>
              </w:rPr>
              <w:t xml:space="preserve">Overall Quality Score </w:t>
            </w:r>
          </w:p>
          <w:p w:rsidR="00E35B81" w:rsidRPr="00E51675" w:rsidRDefault="00E35B81" w:rsidP="00EC47E4">
            <w:pPr>
              <w:jc w:val="center"/>
              <w:rPr>
                <w:rFonts w:ascii="Arial" w:hAnsi="Arial" w:cs="Arial"/>
                <w:b/>
                <w:bCs/>
                <w:sz w:val="20"/>
                <w:lang w:val="en-US"/>
              </w:rPr>
            </w:pPr>
            <w:r w:rsidRPr="00E51675">
              <w:rPr>
                <w:rFonts w:ascii="Arial" w:hAnsi="Arial" w:cs="Arial"/>
                <w:b/>
                <w:bCs/>
                <w:sz w:val="20"/>
                <w:lang w:val="en-US"/>
              </w:rPr>
              <w:t>(Maximum = 6)</w:t>
            </w:r>
          </w:p>
        </w:tc>
      </w:tr>
      <w:tr w:rsidR="00CA08D4" w:rsidRPr="000D77F4" w:rsidTr="00E57488">
        <w:trPr>
          <w:trHeight w:val="853"/>
        </w:trPr>
        <w:tc>
          <w:tcPr>
            <w:tcW w:w="470" w:type="pct"/>
            <w:vAlign w:val="center"/>
          </w:tcPr>
          <w:p w:rsidR="00CA08D4" w:rsidRPr="0088595A" w:rsidRDefault="00CA08D4" w:rsidP="00CA08D4">
            <w:pPr>
              <w:jc w:val="center"/>
              <w:rPr>
                <w:rFonts w:eastAsia="Times New Roman" w:cs="Segoe UI"/>
                <w:b/>
                <w:color w:val="000000"/>
                <w:kern w:val="0"/>
                <w:sz w:val="20"/>
                <w:szCs w:val="20"/>
                <w:lang w:eastAsia="it-IT"/>
                <w14:ligatures w14:val="none"/>
              </w:rPr>
            </w:pPr>
            <w:r w:rsidRPr="0088595A">
              <w:rPr>
                <w:rFonts w:eastAsia="Times New Roman" w:cs="Segoe UI"/>
                <w:b/>
                <w:color w:val="000000"/>
                <w:kern w:val="0"/>
                <w:sz w:val="20"/>
                <w:szCs w:val="20"/>
                <w:lang w:eastAsia="it-IT"/>
                <w14:ligatures w14:val="none"/>
              </w:rPr>
              <w:t xml:space="preserve">Imai, 2016 </w:t>
            </w:r>
            <w:r w:rsidRPr="0088595A">
              <w:rPr>
                <w:rFonts w:eastAsia="Times New Roman" w:cs="Segoe UI"/>
                <w:b/>
                <w:color w:val="000000"/>
                <w:kern w:val="0"/>
                <w:sz w:val="20"/>
                <w:szCs w:val="20"/>
                <w:lang w:eastAsia="it-IT"/>
                <w14:ligatures w14:val="none"/>
              </w:rPr>
              <w:fldChar w:fldCharType="begin"/>
            </w:r>
            <w:r w:rsidR="00F23601">
              <w:rPr>
                <w:rFonts w:eastAsia="Times New Roman" w:cs="Segoe UI"/>
                <w:b/>
                <w:color w:val="000000"/>
                <w:kern w:val="0"/>
                <w:sz w:val="20"/>
                <w:szCs w:val="20"/>
                <w:lang w:eastAsia="it-IT"/>
                <w14:ligatures w14:val="none"/>
              </w:rPr>
              <w:instrText xml:space="preserve"> ADDIN ZOTERO_ITEM CSL_CITATION {"citationID":"7xsDQ2Nm","properties":{"formattedCitation":"(2)","plainCitation":"(2)","noteIndex":0},"citationItems":[{"id":1817,"uris":["http://zotero.org/users/12145087/items/I5CE5XBJ"],"itemData":{"id":1817,"type":"article-journal","abstract":"Background and Aims: EUS-guided bile duct drainage (EUS-BD) is a well-recognized rescue biliary drainage method after unsuccessful ERCP. EUS-guided gallbladder drainage (EUS-GBD) was recently used to treat acute cholecystitis. The aim of this study was to assess the efﬁcacy and safety of EUS-GBD for malignant biliary stricture–induced obstructive jaundice after unsuccessful ERCP as well as unsuccessful or impractical EUS-BD.\nMethods: Between January 2006 and October 2014, 12 patients with obstructive jaundice due to unresectable malignant distal biliary stricture underwent EUS-GBD after ERCP failed. EUS-GBD was performed under the guidance of EUS and ﬂuoroscopy by puncturing the gallbladder with a needle, inserting a guidewire, dilating the puncture hole, and placing a stent. The technical and functional success rates, adverse events rate, overall patient survival time, and stent dysfunction rate during patient survival were measured.\nResults: The rates of technical success, functional success, adverse events, and stent dysfunction were 100%, 91.7%, 16.7%, and 8.3%, respectively. The median survival time after EUS-GBD was 105 days (range 15 - 236 days).\nConclusions: EUS-GBD is a possible alternative route for decompression of the biliary system when ERCP is unsuccessful.","container-title":"Gastrointestinal Endoscopy","DOI":"10.1016/j.gie.2015.12.024","ISSN":"00165107","issue":"1","journalAbbreviation":"Gastrointestinal Endoscopy","language":"en","page":"147-151","source":"DOI.org (Crossref)","title":"EUS-guided gallbladder drainage for rescue treatment of malignant distal biliary obstruction after unsuccessful ERCP","volume":"84","author":[{"family":"Imai","given":"Hajime"},{"family":"Kitano","given":"Masayuki"},{"family":"Omoto","given":"Shunsuke"},{"family":"Kadosaka","given":"Kumpei"},{"family":"Kamata","given":"Ken"},{"family":"Miyata","given":"Takeshi"},{"family":"Yamao","given":"Kentaro"},{"family":"Sakamoto","given":"Hiroki"},{"family":"Harwani","given":"Yogesh"},{"family":"Kudo","given":"Masatoshi"}],"issued":{"date-parts":[["2016",7]]}}}],"schema":"https://github.com/citation-style-language/schema/raw/master/csl-citation.json"} </w:instrText>
            </w:r>
            <w:r w:rsidRPr="0088595A">
              <w:rPr>
                <w:rFonts w:eastAsia="Times New Roman" w:cs="Segoe UI"/>
                <w:b/>
                <w:color w:val="000000"/>
                <w:kern w:val="0"/>
                <w:sz w:val="20"/>
                <w:szCs w:val="20"/>
                <w:lang w:eastAsia="it-IT"/>
                <w14:ligatures w14:val="none"/>
              </w:rPr>
              <w:fldChar w:fldCharType="separate"/>
            </w:r>
            <w:r w:rsidR="00F23601" w:rsidRPr="00F23601">
              <w:rPr>
                <w:rFonts w:ascii="Calibri" w:hAnsi="Calibri" w:cs="Calibri"/>
                <w:sz w:val="20"/>
              </w:rPr>
              <w:t>(2)</w:t>
            </w:r>
            <w:r w:rsidRPr="0088595A">
              <w:rPr>
                <w:rFonts w:eastAsia="Times New Roman" w:cs="Segoe UI"/>
                <w:b/>
                <w:color w:val="000000"/>
                <w:kern w:val="0"/>
                <w:sz w:val="20"/>
                <w:szCs w:val="20"/>
                <w:lang w:eastAsia="it-IT"/>
                <w14:ligatures w14:val="none"/>
              </w:rPr>
              <w:fldChar w:fldCharType="end"/>
            </w:r>
          </w:p>
        </w:tc>
        <w:tc>
          <w:tcPr>
            <w:tcW w:w="744"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lang w:val="en-US"/>
              </w:rPr>
              <w:t>★</w:t>
            </w:r>
          </w:p>
        </w:tc>
        <w:tc>
          <w:tcPr>
            <w:tcW w:w="522"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lang w:val="en-US"/>
              </w:rPr>
              <w:t>★</w:t>
            </w:r>
          </w:p>
        </w:tc>
        <w:tc>
          <w:tcPr>
            <w:tcW w:w="554"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lang w:val="en-US"/>
              </w:rPr>
              <w:t>★</w:t>
            </w:r>
          </w:p>
        </w:tc>
        <w:tc>
          <w:tcPr>
            <w:tcW w:w="504" w:type="pct"/>
            <w:vAlign w:val="center"/>
          </w:tcPr>
          <w:p w:rsidR="00CA08D4" w:rsidRPr="000D77F4" w:rsidRDefault="00CA08D4" w:rsidP="00CA08D4">
            <w:pPr>
              <w:jc w:val="center"/>
              <w:rPr>
                <w:rFonts w:ascii="Segoe UI Symbol" w:hAnsi="Segoe UI Symbol" w:cs="Segoe UI Symbol"/>
                <w:color w:val="202124"/>
                <w:sz w:val="16"/>
              </w:rPr>
            </w:pPr>
            <w:r>
              <w:rPr>
                <w:rFonts w:ascii="Segoe UI Symbol" w:hAnsi="Segoe UI Symbol" w:cs="Segoe UI Symbol"/>
                <w:color w:val="202124"/>
                <w:sz w:val="16"/>
              </w:rPr>
              <w:t>-</w:t>
            </w:r>
          </w:p>
        </w:tc>
        <w:tc>
          <w:tcPr>
            <w:tcW w:w="465"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rPr>
              <w:t>★</w:t>
            </w:r>
          </w:p>
        </w:tc>
        <w:tc>
          <w:tcPr>
            <w:tcW w:w="475" w:type="pct"/>
            <w:vAlign w:val="center"/>
          </w:tcPr>
          <w:p w:rsidR="00CA08D4" w:rsidRPr="000D77F4" w:rsidRDefault="00CA08D4" w:rsidP="00CA08D4">
            <w:pPr>
              <w:jc w:val="center"/>
              <w:rPr>
                <w:rFonts w:ascii="Arial" w:hAnsi="Arial" w:cs="Arial"/>
                <w:sz w:val="16"/>
                <w:lang w:val="en-US"/>
              </w:rPr>
            </w:pPr>
            <w:r>
              <w:rPr>
                <w:rFonts w:ascii="Segoe UI Symbol" w:hAnsi="Segoe UI Symbol" w:cs="Segoe UI Symbol"/>
                <w:color w:val="202124"/>
                <w:sz w:val="16"/>
              </w:rPr>
              <w:t>-</w:t>
            </w:r>
          </w:p>
        </w:tc>
        <w:tc>
          <w:tcPr>
            <w:tcW w:w="503" w:type="pct"/>
            <w:vAlign w:val="center"/>
          </w:tcPr>
          <w:p w:rsidR="00CA08D4" w:rsidRPr="000D77F4" w:rsidRDefault="00CA08D4" w:rsidP="00CA08D4">
            <w:pPr>
              <w:jc w:val="center"/>
              <w:rPr>
                <w:rFonts w:ascii="Arial" w:hAnsi="Arial" w:cs="Arial"/>
                <w:sz w:val="16"/>
                <w:lang w:val="en-US"/>
              </w:rPr>
            </w:pPr>
            <w:r>
              <w:rPr>
                <w:rFonts w:ascii="Segoe UI Symbol" w:hAnsi="Segoe UI Symbol" w:cs="Segoe UI Symbol"/>
                <w:color w:val="202124"/>
                <w:sz w:val="16"/>
              </w:rPr>
              <w:t>-</w:t>
            </w:r>
          </w:p>
        </w:tc>
        <w:tc>
          <w:tcPr>
            <w:tcW w:w="763" w:type="pct"/>
            <w:vAlign w:val="center"/>
          </w:tcPr>
          <w:p w:rsidR="00CA08D4" w:rsidRPr="000D77F4" w:rsidRDefault="00CA08D4" w:rsidP="00CA08D4">
            <w:pPr>
              <w:jc w:val="center"/>
              <w:rPr>
                <w:rFonts w:ascii="Arial" w:hAnsi="Arial" w:cs="Arial"/>
                <w:b/>
                <w:bCs/>
                <w:color w:val="202124"/>
                <w:sz w:val="16"/>
                <w:shd w:val="clear" w:color="auto" w:fill="FFFFFF"/>
                <w:lang w:val="en-US"/>
              </w:rPr>
            </w:pPr>
            <w:r>
              <w:rPr>
                <w:rFonts w:ascii="Arial" w:hAnsi="Arial" w:cs="Arial"/>
                <w:b/>
                <w:bCs/>
                <w:color w:val="202124"/>
                <w:sz w:val="16"/>
                <w:shd w:val="clear" w:color="auto" w:fill="FFFFFF"/>
                <w:lang w:val="en-US"/>
              </w:rPr>
              <w:t>4</w:t>
            </w:r>
          </w:p>
        </w:tc>
      </w:tr>
      <w:tr w:rsidR="00CA08D4" w:rsidRPr="000D77F4" w:rsidTr="00E57488">
        <w:trPr>
          <w:trHeight w:val="808"/>
        </w:trPr>
        <w:tc>
          <w:tcPr>
            <w:tcW w:w="470" w:type="pct"/>
            <w:vAlign w:val="center"/>
          </w:tcPr>
          <w:p w:rsidR="00CA08D4" w:rsidRPr="0088595A" w:rsidRDefault="00CA08D4" w:rsidP="00CA08D4">
            <w:pPr>
              <w:jc w:val="center"/>
              <w:rPr>
                <w:rFonts w:eastAsia="Times New Roman" w:cs="Segoe UI"/>
                <w:b/>
                <w:color w:val="000000"/>
                <w:kern w:val="0"/>
                <w:sz w:val="20"/>
                <w:szCs w:val="20"/>
                <w:lang w:eastAsia="it-IT"/>
                <w14:ligatures w14:val="none"/>
              </w:rPr>
            </w:pPr>
            <w:r w:rsidRPr="0088595A">
              <w:rPr>
                <w:rFonts w:eastAsia="Times New Roman" w:cs="Segoe UI"/>
                <w:b/>
                <w:color w:val="000000"/>
                <w:kern w:val="0"/>
                <w:sz w:val="20"/>
                <w:szCs w:val="20"/>
                <w:lang w:eastAsia="it-IT"/>
                <w14:ligatures w14:val="none"/>
              </w:rPr>
              <w:t xml:space="preserve">Chang, 2019 </w:t>
            </w:r>
            <w:r w:rsidRPr="0088595A">
              <w:rPr>
                <w:rFonts w:eastAsia="Times New Roman" w:cs="Segoe UI"/>
                <w:b/>
                <w:color w:val="000000"/>
                <w:kern w:val="0"/>
                <w:sz w:val="20"/>
                <w:szCs w:val="20"/>
                <w:lang w:eastAsia="it-IT"/>
                <w14:ligatures w14:val="none"/>
              </w:rPr>
              <w:fldChar w:fldCharType="begin"/>
            </w:r>
            <w:r w:rsidR="00F23601">
              <w:rPr>
                <w:rFonts w:eastAsia="Times New Roman" w:cs="Segoe UI"/>
                <w:b/>
                <w:color w:val="000000"/>
                <w:kern w:val="0"/>
                <w:sz w:val="20"/>
                <w:szCs w:val="20"/>
                <w:lang w:eastAsia="it-IT"/>
                <w14:ligatures w14:val="none"/>
              </w:rPr>
              <w:instrText xml:space="preserve"> ADDIN ZOTERO_ITEM CSL_CITATION {"citationID":"AoM1BM03","properties":{"formattedCitation":"(3)","plainCitation":"(3)","noteIndex":0},"citationItems":[{"id":1781,"uris":["http://zotero.org/users/12145087/items/7KBZUKP6"],"itemData":{"id":1781,"type":"article-journal","abstract":"Background and aims  Current endoscopic methods of biliary decompression in malignant pancreatic neoplasms are often limited by anatomical and technical challenges. In this case series, we report our experience with endoscopic ultrasound (EUS)-guided placement of an electrocautery-enhanced, lumen-apposing self-expandable metallic stent (LAMS) via transmural gallbladder drainage. Methods  This is a retrospective case series of nine patients (five male, mean age 63.1 years) who underwent EUS-guided LAMS placement for malignant, obstructive jaundice in the pancreatic head. All nine cases were performed by an experienced interventional endoscopist at a single, tertiary medical center. We review the technical and clinical success rates as well as the incidence of procedural adverse events across the nine patients. Results  LAMS placement was technically successful in all cases and there were no procedural adverse events. Seven of nine (77.78 %) patients showed clinical and laboratory improvement immediately following the procedure. One case required re-intervention with interventional radiology guided biliary drain placement. The mean fluoroscopy time was 1.02 minutes. Conclusions  EUS-guided LAMS placement for transmural gallbladder drainage in malignant obstruction appears to be a safe and effective technique, allowing patients to proceed to surgery, chemotherapy, or hospice care.","container-title":"Endoscopy International Open","DOI":"10.1055/a-0826-4309","ISSN":"2364-3722","issue":"5","journalAbbreviation":"Endosc Int Open","language":"eng","note":"PMID: 31058208\nPMCID: PMC6497498","page":"E655-E661","source":"PubMed","title":"Endoscopic ultrasound-guided transmural gallbladder drainage in malignant obstruction using a novel lumen-apposing stent: a case series (with video)","title-short":"Endoscopic ultrasound-guided transmural gallbladder drainage in malignant obstruction using a novel lumen-apposing stent","volume":"7","author":[{"family":"Chang","given":"Jonathan I."},{"family":"Dong","given":"Elizabeth"},{"family":"Kwok","given":"Karl K."}],"issued":{"date-parts":[["2019",5]]}}}],"schema":"https://github.com/citation-style-language/schema/raw/master/csl-citation.json"} </w:instrText>
            </w:r>
            <w:r w:rsidRPr="0088595A">
              <w:rPr>
                <w:rFonts w:eastAsia="Times New Roman" w:cs="Segoe UI"/>
                <w:b/>
                <w:color w:val="000000"/>
                <w:kern w:val="0"/>
                <w:sz w:val="20"/>
                <w:szCs w:val="20"/>
                <w:lang w:eastAsia="it-IT"/>
                <w14:ligatures w14:val="none"/>
              </w:rPr>
              <w:fldChar w:fldCharType="separate"/>
            </w:r>
            <w:r w:rsidR="00F23601" w:rsidRPr="00F23601">
              <w:rPr>
                <w:rFonts w:ascii="Calibri" w:hAnsi="Calibri" w:cs="Calibri"/>
                <w:sz w:val="20"/>
              </w:rPr>
              <w:t>(3)</w:t>
            </w:r>
            <w:r w:rsidRPr="0088595A">
              <w:rPr>
                <w:rFonts w:eastAsia="Times New Roman" w:cs="Segoe UI"/>
                <w:b/>
                <w:color w:val="000000"/>
                <w:kern w:val="0"/>
                <w:sz w:val="20"/>
                <w:szCs w:val="20"/>
                <w:lang w:eastAsia="it-IT"/>
                <w14:ligatures w14:val="none"/>
              </w:rPr>
              <w:fldChar w:fldCharType="end"/>
            </w:r>
          </w:p>
        </w:tc>
        <w:tc>
          <w:tcPr>
            <w:tcW w:w="744"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shd w:val="clear" w:color="auto" w:fill="FFFFFF"/>
                <w:lang w:val="en-US"/>
              </w:rPr>
              <w:t>★</w:t>
            </w:r>
          </w:p>
        </w:tc>
        <w:tc>
          <w:tcPr>
            <w:tcW w:w="522"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lang w:val="en-US"/>
              </w:rPr>
              <w:t>★</w:t>
            </w:r>
          </w:p>
        </w:tc>
        <w:tc>
          <w:tcPr>
            <w:tcW w:w="554"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lang w:val="en-US"/>
              </w:rPr>
              <w:t>★</w:t>
            </w:r>
          </w:p>
        </w:tc>
        <w:tc>
          <w:tcPr>
            <w:tcW w:w="504" w:type="pct"/>
            <w:vAlign w:val="center"/>
          </w:tcPr>
          <w:p w:rsidR="00CA08D4" w:rsidRDefault="00CA08D4" w:rsidP="00CA08D4">
            <w:pPr>
              <w:jc w:val="center"/>
              <w:rPr>
                <w:rFonts w:ascii="Segoe UI Symbol" w:hAnsi="Segoe UI Symbol" w:cs="Segoe UI Symbol"/>
                <w:color w:val="202124"/>
                <w:sz w:val="16"/>
              </w:rPr>
            </w:pPr>
            <w:r>
              <w:rPr>
                <w:rFonts w:ascii="Segoe UI Symbol" w:hAnsi="Segoe UI Symbol" w:cs="Segoe UI Symbol"/>
                <w:color w:val="202124"/>
                <w:sz w:val="16"/>
              </w:rPr>
              <w:t>-</w:t>
            </w:r>
          </w:p>
        </w:tc>
        <w:tc>
          <w:tcPr>
            <w:tcW w:w="465" w:type="pct"/>
            <w:vAlign w:val="center"/>
          </w:tcPr>
          <w:p w:rsidR="00CA08D4" w:rsidRPr="000D77F4" w:rsidRDefault="00CA08D4" w:rsidP="00CA08D4">
            <w:pPr>
              <w:jc w:val="center"/>
              <w:rPr>
                <w:rFonts w:ascii="Arial" w:hAnsi="Arial" w:cs="Arial"/>
                <w:sz w:val="16"/>
                <w:lang w:val="en-US"/>
              </w:rPr>
            </w:pPr>
            <w:r>
              <w:rPr>
                <w:rFonts w:ascii="Segoe UI Symbol" w:hAnsi="Segoe UI Symbol" w:cs="Segoe UI Symbol"/>
                <w:color w:val="202124"/>
                <w:sz w:val="16"/>
              </w:rPr>
              <w:t>-</w:t>
            </w:r>
          </w:p>
        </w:tc>
        <w:tc>
          <w:tcPr>
            <w:tcW w:w="475" w:type="pct"/>
            <w:vAlign w:val="center"/>
          </w:tcPr>
          <w:p w:rsidR="00CA08D4" w:rsidRPr="000D77F4" w:rsidRDefault="00CA08D4" w:rsidP="00CA08D4">
            <w:pPr>
              <w:jc w:val="center"/>
              <w:rPr>
                <w:rFonts w:ascii="Arial" w:hAnsi="Arial" w:cs="Arial"/>
                <w:sz w:val="16"/>
                <w:lang w:val="en-US"/>
              </w:rPr>
            </w:pPr>
            <w:r>
              <w:rPr>
                <w:rFonts w:ascii="Segoe UI Symbol" w:hAnsi="Segoe UI Symbol" w:cs="Segoe UI Symbol"/>
                <w:color w:val="202124"/>
                <w:sz w:val="16"/>
              </w:rPr>
              <w:t>-</w:t>
            </w:r>
          </w:p>
        </w:tc>
        <w:tc>
          <w:tcPr>
            <w:tcW w:w="503"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rPr>
              <w:t>★</w:t>
            </w:r>
          </w:p>
        </w:tc>
        <w:tc>
          <w:tcPr>
            <w:tcW w:w="763" w:type="pct"/>
            <w:vAlign w:val="center"/>
          </w:tcPr>
          <w:p w:rsidR="00CA08D4" w:rsidRPr="000D77F4" w:rsidRDefault="00CA08D4" w:rsidP="00CA08D4">
            <w:pPr>
              <w:jc w:val="center"/>
              <w:rPr>
                <w:rFonts w:ascii="Arial" w:hAnsi="Arial" w:cs="Arial"/>
                <w:b/>
                <w:bCs/>
                <w:sz w:val="16"/>
                <w:lang w:val="en-US"/>
              </w:rPr>
            </w:pPr>
            <w:r>
              <w:rPr>
                <w:rFonts w:ascii="Arial" w:hAnsi="Arial" w:cs="Arial"/>
                <w:b/>
                <w:bCs/>
                <w:sz w:val="16"/>
                <w:lang w:val="en-US"/>
              </w:rPr>
              <w:t>4</w:t>
            </w:r>
          </w:p>
        </w:tc>
      </w:tr>
      <w:tr w:rsidR="00CA08D4" w:rsidRPr="000D77F4" w:rsidTr="00E57488">
        <w:trPr>
          <w:trHeight w:val="808"/>
        </w:trPr>
        <w:tc>
          <w:tcPr>
            <w:tcW w:w="470" w:type="pct"/>
            <w:vAlign w:val="center"/>
          </w:tcPr>
          <w:p w:rsidR="00CA08D4" w:rsidRPr="00EE3DA2" w:rsidRDefault="00CA08D4" w:rsidP="00CA08D4">
            <w:pPr>
              <w:jc w:val="center"/>
              <w:rPr>
                <w:rFonts w:eastAsia="Times New Roman" w:cs="Segoe UI"/>
                <w:b/>
                <w:color w:val="000000"/>
                <w:kern w:val="0"/>
                <w:sz w:val="16"/>
                <w:szCs w:val="20"/>
                <w:lang w:eastAsia="it-IT"/>
                <w14:ligatures w14:val="none"/>
              </w:rPr>
            </w:pPr>
            <w:r w:rsidRPr="006E13DB">
              <w:rPr>
                <w:rFonts w:eastAsia="Times New Roman" w:cs="Segoe UI"/>
                <w:b/>
                <w:color w:val="000000"/>
                <w:kern w:val="0"/>
                <w:sz w:val="20"/>
                <w:szCs w:val="20"/>
                <w:lang w:eastAsia="it-IT"/>
                <w14:ligatures w14:val="none"/>
              </w:rPr>
              <w:t>Paleti, 2019</w:t>
            </w:r>
            <w:r w:rsidRPr="006E13DB">
              <w:rPr>
                <w:rFonts w:eastAsia="Times New Roman" w:cs="Segoe UI"/>
                <w:b/>
                <w:color w:val="000000"/>
                <w:kern w:val="0"/>
                <w:sz w:val="20"/>
                <w:szCs w:val="20"/>
                <w:vertAlign w:val="superscript"/>
                <w:lang w:eastAsia="it-IT"/>
                <w14:ligatures w14:val="none"/>
              </w:rPr>
              <w:t xml:space="preserve"> </w:t>
            </w:r>
            <w:r w:rsidRPr="006E13DB">
              <w:rPr>
                <w:rFonts w:eastAsia="Times New Roman" w:cs="Segoe UI"/>
                <w:b/>
                <w:color w:val="000000"/>
                <w:kern w:val="0"/>
                <w:sz w:val="20"/>
                <w:szCs w:val="20"/>
                <w:lang w:eastAsia="it-IT"/>
                <w14:ligatures w14:val="none"/>
              </w:rPr>
              <w:fldChar w:fldCharType="begin"/>
            </w:r>
            <w:r>
              <w:rPr>
                <w:rFonts w:eastAsia="Times New Roman" w:cs="Segoe UI"/>
                <w:b/>
                <w:color w:val="000000"/>
                <w:kern w:val="0"/>
                <w:sz w:val="20"/>
                <w:szCs w:val="20"/>
                <w:lang w:eastAsia="it-IT"/>
                <w14:ligatures w14:val="none"/>
              </w:rPr>
              <w:instrText xml:space="preserve"> ADDIN ZOTERO_ITEM CSL_CITATION {"citationID":"Y2j6AtPd","properties":{"formattedCitation":"(4)","plainCitation":"(4)","noteIndex":0},"citationItems":[{"id":2171,"uris":["http://zotero.org/users/12145087/items/WKW7FECE"],"itemData":{"id":2171,"type":"article-journal","container-title":"Gastrointestinal Endoscopy","DOI":"10.1016/j.gie.2019.03.1212","ISSN":"00165107","issue":"6","journalAbbreviation":"Gastrointestinal Endoscopy","language":"en","page":"AB308","source":"DOI.org (Crossref)","title":"Su1191 EUS-GUIDED GALL BLADDER DRAINAGE USING LUMEN APPOSING METAL STENT FOR MALIGNANT BILIARY OBSTRUCTION","volume":"89","author":[{"family":"Paleti","given":"Swathi"},{"family":"Gulati","given":"Rishabh"},{"family":"Sánchez-Luna","given":"Sergio A."},{"family":"Ling","given":"Christina"},{"family":"Rustagi","given":"Tarun"}],"issued":{"date-parts":[["2019",6]]}}}],"schema":"https://github.com/citation-style-language/schema/raw/master/csl-citation.json"} </w:instrText>
            </w:r>
            <w:r w:rsidRPr="006E13DB">
              <w:rPr>
                <w:rFonts w:eastAsia="Times New Roman" w:cs="Segoe UI"/>
                <w:b/>
                <w:color w:val="000000"/>
                <w:kern w:val="0"/>
                <w:sz w:val="20"/>
                <w:szCs w:val="20"/>
                <w:lang w:eastAsia="it-IT"/>
                <w14:ligatures w14:val="none"/>
              </w:rPr>
              <w:fldChar w:fldCharType="separate"/>
            </w:r>
            <w:r w:rsidRPr="00FA4E15">
              <w:rPr>
                <w:rFonts w:ascii="Calibri" w:hAnsi="Calibri" w:cs="Calibri"/>
                <w:sz w:val="20"/>
              </w:rPr>
              <w:t>(4)</w:t>
            </w:r>
            <w:r w:rsidRPr="006E13DB">
              <w:rPr>
                <w:rFonts w:eastAsia="Times New Roman" w:cs="Segoe UI"/>
                <w:b/>
                <w:color w:val="000000"/>
                <w:kern w:val="0"/>
                <w:sz w:val="20"/>
                <w:szCs w:val="20"/>
                <w:lang w:eastAsia="it-IT"/>
                <w14:ligatures w14:val="none"/>
              </w:rPr>
              <w:fldChar w:fldCharType="end"/>
            </w:r>
          </w:p>
        </w:tc>
        <w:tc>
          <w:tcPr>
            <w:tcW w:w="744"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shd w:val="clear" w:color="auto" w:fill="FFFFFF"/>
                <w:lang w:val="en-US"/>
              </w:rPr>
              <w:t>★</w:t>
            </w:r>
          </w:p>
        </w:tc>
        <w:tc>
          <w:tcPr>
            <w:tcW w:w="522"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shd w:val="clear" w:color="auto" w:fill="FFFFFF"/>
                <w:lang w:val="en-US"/>
              </w:rPr>
              <w:t>★</w:t>
            </w:r>
          </w:p>
        </w:tc>
        <w:tc>
          <w:tcPr>
            <w:tcW w:w="554"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shd w:val="clear" w:color="auto" w:fill="FFFFFF"/>
                <w:lang w:val="en-US"/>
              </w:rPr>
              <w:t>★</w:t>
            </w:r>
          </w:p>
        </w:tc>
        <w:tc>
          <w:tcPr>
            <w:tcW w:w="504" w:type="pct"/>
            <w:vAlign w:val="center"/>
          </w:tcPr>
          <w:p w:rsidR="00CA08D4" w:rsidRDefault="00CA08D4" w:rsidP="00CA08D4">
            <w:pPr>
              <w:jc w:val="center"/>
              <w:rPr>
                <w:rFonts w:ascii="Segoe UI Symbol" w:hAnsi="Segoe UI Symbol" w:cs="Segoe UI Symbol"/>
                <w:color w:val="202124"/>
                <w:sz w:val="16"/>
              </w:rPr>
            </w:pPr>
            <w:r>
              <w:rPr>
                <w:rFonts w:ascii="Segoe UI Symbol" w:hAnsi="Segoe UI Symbol" w:cs="Segoe UI Symbol"/>
                <w:color w:val="202124"/>
                <w:sz w:val="16"/>
              </w:rPr>
              <w:t>-</w:t>
            </w:r>
          </w:p>
        </w:tc>
        <w:tc>
          <w:tcPr>
            <w:tcW w:w="465" w:type="pct"/>
            <w:vAlign w:val="center"/>
          </w:tcPr>
          <w:p w:rsidR="00CA08D4" w:rsidRPr="000D77F4" w:rsidRDefault="00CA08D4" w:rsidP="00CA08D4">
            <w:pPr>
              <w:jc w:val="center"/>
              <w:rPr>
                <w:rFonts w:ascii="Segoe UI Symbol" w:hAnsi="Segoe UI Symbol" w:cs="Segoe UI Symbol"/>
                <w:color w:val="202124"/>
                <w:sz w:val="16"/>
              </w:rPr>
            </w:pPr>
            <w:r>
              <w:rPr>
                <w:rFonts w:ascii="Segoe UI Symbol" w:hAnsi="Segoe UI Symbol" w:cs="Segoe UI Symbol"/>
                <w:color w:val="202124"/>
                <w:sz w:val="16"/>
              </w:rPr>
              <w:t>-</w:t>
            </w:r>
          </w:p>
        </w:tc>
        <w:tc>
          <w:tcPr>
            <w:tcW w:w="475" w:type="pct"/>
            <w:vAlign w:val="center"/>
          </w:tcPr>
          <w:p w:rsidR="00CA08D4" w:rsidRDefault="00CA08D4" w:rsidP="00CA08D4">
            <w:pPr>
              <w:jc w:val="center"/>
              <w:rPr>
                <w:rFonts w:ascii="Segoe UI Symbol" w:hAnsi="Segoe UI Symbol" w:cs="Segoe UI Symbol"/>
                <w:color w:val="202124"/>
                <w:sz w:val="16"/>
              </w:rPr>
            </w:pPr>
            <w:r>
              <w:rPr>
                <w:rFonts w:ascii="Segoe UI Symbol" w:hAnsi="Segoe UI Symbol" w:cs="Segoe UI Symbol"/>
                <w:color w:val="202124"/>
                <w:sz w:val="16"/>
              </w:rPr>
              <w:t>-</w:t>
            </w:r>
          </w:p>
        </w:tc>
        <w:tc>
          <w:tcPr>
            <w:tcW w:w="503" w:type="pct"/>
            <w:vAlign w:val="center"/>
          </w:tcPr>
          <w:p w:rsidR="00CA08D4" w:rsidRDefault="00CA08D4" w:rsidP="00CA08D4">
            <w:pPr>
              <w:jc w:val="center"/>
              <w:rPr>
                <w:rFonts w:ascii="Segoe UI Symbol" w:hAnsi="Segoe UI Symbol" w:cs="Segoe UI Symbol"/>
                <w:color w:val="202124"/>
                <w:sz w:val="16"/>
              </w:rPr>
            </w:pPr>
            <w:r>
              <w:rPr>
                <w:rFonts w:ascii="Segoe UI Symbol" w:hAnsi="Segoe UI Symbol" w:cs="Segoe UI Symbol"/>
                <w:color w:val="202124"/>
                <w:sz w:val="16"/>
              </w:rPr>
              <w:t>-</w:t>
            </w:r>
          </w:p>
        </w:tc>
        <w:tc>
          <w:tcPr>
            <w:tcW w:w="763" w:type="pct"/>
            <w:vAlign w:val="center"/>
          </w:tcPr>
          <w:p w:rsidR="00CA08D4" w:rsidRDefault="00CA08D4" w:rsidP="00CA08D4">
            <w:pPr>
              <w:jc w:val="center"/>
              <w:rPr>
                <w:rFonts w:ascii="Arial" w:hAnsi="Arial" w:cs="Arial"/>
                <w:b/>
                <w:bCs/>
                <w:color w:val="202124"/>
                <w:sz w:val="16"/>
                <w:shd w:val="clear" w:color="auto" w:fill="FFFFFF"/>
                <w:lang w:val="en-US"/>
              </w:rPr>
            </w:pPr>
            <w:r>
              <w:rPr>
                <w:rFonts w:ascii="Arial" w:hAnsi="Arial" w:cs="Arial"/>
                <w:b/>
                <w:bCs/>
                <w:color w:val="202124"/>
                <w:sz w:val="16"/>
                <w:shd w:val="clear" w:color="auto" w:fill="FFFFFF"/>
                <w:lang w:val="en-US"/>
              </w:rPr>
              <w:t>3</w:t>
            </w:r>
          </w:p>
        </w:tc>
      </w:tr>
      <w:tr w:rsidR="00CA08D4" w:rsidRPr="000D77F4" w:rsidTr="00E57488">
        <w:trPr>
          <w:trHeight w:val="907"/>
        </w:trPr>
        <w:tc>
          <w:tcPr>
            <w:tcW w:w="470" w:type="pct"/>
            <w:vAlign w:val="center"/>
          </w:tcPr>
          <w:p w:rsidR="00CA08D4" w:rsidRPr="0088595A" w:rsidRDefault="00CA08D4" w:rsidP="00CA08D4">
            <w:pPr>
              <w:jc w:val="center"/>
              <w:rPr>
                <w:rFonts w:eastAsia="Times New Roman" w:cs="Segoe UI"/>
                <w:b/>
                <w:color w:val="000000"/>
                <w:kern w:val="0"/>
                <w:sz w:val="20"/>
                <w:szCs w:val="20"/>
                <w:lang w:eastAsia="it-IT"/>
                <w14:ligatures w14:val="none"/>
              </w:rPr>
            </w:pPr>
            <w:bookmarkStart w:id="0" w:name="_GoBack"/>
            <w:bookmarkEnd w:id="0"/>
            <w:r w:rsidRPr="0088595A">
              <w:rPr>
                <w:rFonts w:eastAsia="Times New Roman" w:cs="Segoe UI"/>
                <w:b/>
                <w:color w:val="000000"/>
                <w:kern w:val="0"/>
                <w:sz w:val="20"/>
                <w:szCs w:val="20"/>
                <w:lang w:eastAsia="it-IT"/>
                <w14:ligatures w14:val="none"/>
              </w:rPr>
              <w:t>Issa,</w:t>
            </w:r>
            <w:r>
              <w:rPr>
                <w:rFonts w:eastAsia="Times New Roman" w:cs="Segoe UI"/>
                <w:b/>
                <w:color w:val="000000"/>
                <w:kern w:val="0"/>
                <w:sz w:val="20"/>
                <w:szCs w:val="20"/>
                <w:lang w:eastAsia="it-IT"/>
                <w14:ligatures w14:val="none"/>
              </w:rPr>
              <w:t xml:space="preserve"> 2021</w:t>
            </w:r>
            <w:r w:rsidRPr="0088595A">
              <w:rPr>
                <w:rFonts w:eastAsia="Times New Roman" w:cs="Segoe UI"/>
                <w:b/>
                <w:color w:val="000000"/>
                <w:kern w:val="0"/>
                <w:sz w:val="20"/>
                <w:szCs w:val="20"/>
                <w:lang w:eastAsia="it-IT"/>
                <w14:ligatures w14:val="none"/>
              </w:rPr>
              <w:t xml:space="preserve"> </w:t>
            </w:r>
            <w:r w:rsidRPr="0088595A">
              <w:rPr>
                <w:rFonts w:eastAsia="Times New Roman" w:cs="Segoe UI"/>
                <w:b/>
                <w:color w:val="000000"/>
                <w:kern w:val="0"/>
                <w:sz w:val="20"/>
                <w:szCs w:val="20"/>
                <w:lang w:eastAsia="it-IT"/>
                <w14:ligatures w14:val="none"/>
              </w:rPr>
              <w:fldChar w:fldCharType="begin"/>
            </w:r>
            <w:r w:rsidR="00F23601">
              <w:rPr>
                <w:rFonts w:eastAsia="Times New Roman" w:cs="Segoe UI"/>
                <w:b/>
                <w:color w:val="000000"/>
                <w:kern w:val="0"/>
                <w:sz w:val="20"/>
                <w:szCs w:val="20"/>
                <w:lang w:eastAsia="it-IT"/>
                <w14:ligatures w14:val="none"/>
              </w:rPr>
              <w:instrText xml:space="preserve"> ADDIN ZOTERO_ITEM CSL_CITATION {"citationID":"KkC7GJRH","properties":{"formattedCitation":"(5)","plainCitation":"(5)","noteIndex":0},"citationItems":[{"id":1638,"uris":["http://zotero.org/users/12145087/items/C6F5ZAH6"],"itemData":{"id":1638,"type":"article-journal","abstract":"Background Endoscopic retrograde cholangiopancreatography (ERCP) is often unsuccessful in patients with duodenal stenosis or malignant ampullary infiltration. While endoscopic ultrasound-guided biliary drainage (EUS-BD) has been proposed as an alternative, EUS-guided gallbladder drainage (EUS-GBD) is an attractive option when both approaches fail. We aimed to assess the effectiveness and safety of EUS-GBD as rescue therapy for malignant distal bile duct obstruction.\nMethods A multicenter retrospective study was performed on patients with unresectable malignant distal bile duct obstruction who underwent EUS-GBD between 2014 and 2019 after unsuccessful ERCP and EUS-BD. Clinical success was defined as a decrease in serum bilirubin of &gt; 50 % within 2 weeks.\nResults 28 patients were included, with a lumen-apposing metal stent used in 26 (93 %) and a self-expandable metal stent in two (7 %). The technical success rate was 100 %. The clinical success rate was 93 %, with an improvement in bilirubin (7.3 [SD 5.4] pre-procedure vs. 2.8 [SD 1.1] postprocedure; P = 0.001). Delayed adverse events included food impaction of the stent (n = 3), with a further two patients developing cholecystitis and bleeding.\nConclusion This study demonstrates the feasibility of gallbladder drainage to relieve malignant distal bile duct obstruction in patients with failed ERCP and EUS-BD.","container-title":"Endoscopy","DOI":"10.1055/a-1259-0349","ISSN":"0013-726X, 1438-8812","issue":"08","journalAbbreviation":"Endoscopy","language":"en","page":"827-831","source":"DOI.org (Crossref)","title":"Endoscopic ultrasound-guided gallbladder drainage as a rescue therapy for unresectable malignant biliary obstruction: a multicenter experience","title-short":"Endoscopic ultrasound-guided gallbladder drainage as a rescue therapy for unresectable malignant biliary obstruction","volume":"53","author":[{"family":"Issa","given":"Danny"},{"family":"Irani","given":"Shayan"},{"family":"Law","given":"Ryan"},{"family":"Shah","given":"Shawn"},{"family":"Bhalla","given":"Sean"},{"family":"Mahadev","given":"Srihari"},{"family":"Hajifathalian","given":"Kaveh"},{"family":"Sampath","given":"Kartik"},{"family":"Mukewar","given":"Saurabh"},{"family":"Carr-Locke","given":"David L."},{"family":"Khashab","given":"Mouen A."},{"family":"Sharaiha","given":"Reem Z."}],"issued":{"date-parts":[["2021",8]]}}}],"schema":"https://github.com/citation-style-language/schema/raw/master/csl-citation.json"} </w:instrText>
            </w:r>
            <w:r w:rsidRPr="0088595A">
              <w:rPr>
                <w:rFonts w:eastAsia="Times New Roman" w:cs="Segoe UI"/>
                <w:b/>
                <w:color w:val="000000"/>
                <w:kern w:val="0"/>
                <w:sz w:val="20"/>
                <w:szCs w:val="20"/>
                <w:lang w:eastAsia="it-IT"/>
                <w14:ligatures w14:val="none"/>
              </w:rPr>
              <w:fldChar w:fldCharType="separate"/>
            </w:r>
            <w:r w:rsidR="00F23601" w:rsidRPr="00F23601">
              <w:rPr>
                <w:rFonts w:ascii="Calibri" w:hAnsi="Calibri" w:cs="Calibri"/>
                <w:sz w:val="20"/>
              </w:rPr>
              <w:t>(5)</w:t>
            </w:r>
            <w:r w:rsidRPr="0088595A">
              <w:rPr>
                <w:rFonts w:eastAsia="Times New Roman" w:cs="Segoe UI"/>
                <w:b/>
                <w:color w:val="000000"/>
                <w:kern w:val="0"/>
                <w:sz w:val="20"/>
                <w:szCs w:val="20"/>
                <w:lang w:eastAsia="it-IT"/>
                <w14:ligatures w14:val="none"/>
              </w:rPr>
              <w:fldChar w:fldCharType="end"/>
            </w:r>
          </w:p>
        </w:tc>
        <w:tc>
          <w:tcPr>
            <w:tcW w:w="744" w:type="pct"/>
            <w:vAlign w:val="center"/>
          </w:tcPr>
          <w:p w:rsidR="00CA08D4" w:rsidRPr="000D77F4" w:rsidRDefault="00CA08D4" w:rsidP="00CA08D4">
            <w:pPr>
              <w:jc w:val="center"/>
              <w:rPr>
                <w:rFonts w:ascii="Segoe UI Symbol" w:hAnsi="Segoe UI Symbol" w:cs="Segoe UI Symbol"/>
                <w:color w:val="202124"/>
                <w:sz w:val="16"/>
                <w:shd w:val="clear" w:color="auto" w:fill="FFFFFF"/>
                <w:lang w:val="en-US"/>
              </w:rPr>
            </w:pPr>
            <w:r w:rsidRPr="000D77F4">
              <w:rPr>
                <w:rFonts w:ascii="Segoe UI Symbol" w:hAnsi="Segoe UI Symbol" w:cs="Segoe UI Symbol"/>
                <w:color w:val="202124"/>
                <w:sz w:val="16"/>
                <w:lang w:val="en-US"/>
              </w:rPr>
              <w:t>★</w:t>
            </w:r>
          </w:p>
        </w:tc>
        <w:tc>
          <w:tcPr>
            <w:tcW w:w="522"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lang w:val="en-US"/>
              </w:rPr>
              <w:t>★</w:t>
            </w:r>
          </w:p>
        </w:tc>
        <w:tc>
          <w:tcPr>
            <w:tcW w:w="554"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lang w:val="en-US"/>
              </w:rPr>
              <w:t>★</w:t>
            </w:r>
          </w:p>
        </w:tc>
        <w:tc>
          <w:tcPr>
            <w:tcW w:w="504" w:type="pct"/>
            <w:vAlign w:val="center"/>
          </w:tcPr>
          <w:p w:rsidR="00CA08D4" w:rsidRPr="000D77F4" w:rsidRDefault="00CA08D4" w:rsidP="00CA08D4">
            <w:pPr>
              <w:jc w:val="center"/>
              <w:rPr>
                <w:rFonts w:ascii="Segoe UI Symbol" w:hAnsi="Segoe UI Symbol" w:cs="Segoe UI Symbol"/>
                <w:color w:val="202124"/>
                <w:sz w:val="16"/>
                <w:lang w:val="en-US"/>
              </w:rPr>
            </w:pPr>
            <w:r>
              <w:rPr>
                <w:rFonts w:ascii="Segoe UI Symbol" w:hAnsi="Segoe UI Symbol" w:cs="Segoe UI Symbol"/>
                <w:color w:val="202124"/>
                <w:sz w:val="16"/>
              </w:rPr>
              <w:t>-</w:t>
            </w:r>
          </w:p>
        </w:tc>
        <w:tc>
          <w:tcPr>
            <w:tcW w:w="465" w:type="pct"/>
            <w:vAlign w:val="center"/>
          </w:tcPr>
          <w:p w:rsidR="00CA08D4" w:rsidRPr="000D77F4" w:rsidRDefault="00CA08D4" w:rsidP="00CA08D4">
            <w:pPr>
              <w:jc w:val="center"/>
              <w:rPr>
                <w:rFonts w:ascii="Segoe UI Symbol" w:hAnsi="Segoe UI Symbol" w:cs="Segoe UI Symbol"/>
                <w:color w:val="202124"/>
                <w:sz w:val="16"/>
              </w:rPr>
            </w:pPr>
            <w:r w:rsidRPr="000D77F4">
              <w:rPr>
                <w:rFonts w:ascii="Segoe UI Symbol" w:hAnsi="Segoe UI Symbol" w:cs="Segoe UI Symbol"/>
                <w:color w:val="202124"/>
                <w:sz w:val="16"/>
                <w:lang w:val="en-US"/>
              </w:rPr>
              <w:t>★</w:t>
            </w:r>
          </w:p>
        </w:tc>
        <w:tc>
          <w:tcPr>
            <w:tcW w:w="475" w:type="pct"/>
            <w:vAlign w:val="center"/>
          </w:tcPr>
          <w:p w:rsidR="00CA08D4" w:rsidRPr="000D77F4" w:rsidRDefault="00CA08D4" w:rsidP="00CA08D4">
            <w:pPr>
              <w:jc w:val="center"/>
              <w:rPr>
                <w:rFonts w:ascii="Segoe UI Symbol" w:hAnsi="Segoe UI Symbol" w:cs="Segoe UI Symbol"/>
                <w:color w:val="202124"/>
                <w:sz w:val="16"/>
              </w:rPr>
            </w:pPr>
            <w:r>
              <w:rPr>
                <w:rFonts w:ascii="Segoe UI Symbol" w:hAnsi="Segoe UI Symbol" w:cs="Segoe UI Symbol"/>
                <w:color w:val="202124"/>
                <w:sz w:val="16"/>
                <w:lang w:val="en-US"/>
              </w:rPr>
              <w:t>-</w:t>
            </w:r>
          </w:p>
        </w:tc>
        <w:tc>
          <w:tcPr>
            <w:tcW w:w="503"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rPr>
              <w:t>★</w:t>
            </w:r>
          </w:p>
        </w:tc>
        <w:tc>
          <w:tcPr>
            <w:tcW w:w="763" w:type="pct"/>
            <w:vAlign w:val="center"/>
          </w:tcPr>
          <w:p w:rsidR="00CA08D4" w:rsidRPr="000D77F4" w:rsidRDefault="00CA08D4" w:rsidP="00CA08D4">
            <w:pPr>
              <w:jc w:val="center"/>
              <w:rPr>
                <w:rFonts w:ascii="Arial" w:hAnsi="Arial" w:cs="Arial"/>
                <w:b/>
                <w:bCs/>
                <w:sz w:val="16"/>
                <w:lang w:val="en-US"/>
              </w:rPr>
            </w:pPr>
            <w:r>
              <w:rPr>
                <w:rFonts w:ascii="Arial" w:hAnsi="Arial" w:cs="Arial"/>
                <w:b/>
                <w:bCs/>
                <w:sz w:val="16"/>
                <w:lang w:val="en-US"/>
              </w:rPr>
              <w:t>5</w:t>
            </w:r>
          </w:p>
        </w:tc>
      </w:tr>
      <w:tr w:rsidR="00CA08D4" w:rsidRPr="000D77F4" w:rsidTr="00E57488">
        <w:trPr>
          <w:trHeight w:val="907"/>
        </w:trPr>
        <w:tc>
          <w:tcPr>
            <w:tcW w:w="470" w:type="pct"/>
            <w:vAlign w:val="center"/>
          </w:tcPr>
          <w:p w:rsidR="00CA08D4" w:rsidRPr="0088595A" w:rsidRDefault="00CA08D4" w:rsidP="00CA08D4">
            <w:pPr>
              <w:jc w:val="center"/>
              <w:rPr>
                <w:rFonts w:eastAsia="Times New Roman" w:cs="Segoe UI"/>
                <w:b/>
                <w:color w:val="000000"/>
                <w:kern w:val="0"/>
                <w:sz w:val="20"/>
                <w:szCs w:val="20"/>
                <w:lang w:eastAsia="it-IT"/>
                <w14:ligatures w14:val="none"/>
              </w:rPr>
            </w:pPr>
            <w:r w:rsidRPr="00647144">
              <w:rPr>
                <w:rFonts w:eastAsia="Times New Roman" w:cs="Segoe UI"/>
                <w:b/>
                <w:color w:val="000000"/>
                <w:kern w:val="0"/>
                <w:sz w:val="20"/>
                <w:szCs w:val="20"/>
                <w:lang w:eastAsia="it-IT"/>
                <w14:ligatures w14:val="none"/>
              </w:rPr>
              <w:lastRenderedPageBreak/>
              <w:t xml:space="preserve">Lambin, 2021 </w:t>
            </w:r>
            <w:r w:rsidRPr="00647144">
              <w:rPr>
                <w:rFonts w:eastAsia="Times New Roman" w:cs="Segoe UI"/>
                <w:b/>
                <w:color w:val="000000"/>
                <w:kern w:val="0"/>
                <w:sz w:val="20"/>
                <w:szCs w:val="20"/>
                <w:lang w:eastAsia="it-IT"/>
                <w14:ligatures w14:val="none"/>
              </w:rPr>
              <w:fldChar w:fldCharType="begin"/>
            </w:r>
            <w:r w:rsidR="00F23601">
              <w:rPr>
                <w:rFonts w:eastAsia="Times New Roman" w:cs="Segoe UI"/>
                <w:b/>
                <w:color w:val="000000"/>
                <w:kern w:val="0"/>
                <w:sz w:val="20"/>
                <w:szCs w:val="20"/>
                <w:lang w:eastAsia="it-IT"/>
                <w14:ligatures w14:val="none"/>
              </w:rPr>
              <w:instrText xml:space="preserve"> ADDIN ZOTERO_ITEM CSL_CITATION {"citationID":"LgpRy2dP","properties":{"formattedCitation":"(6)","plainCitation":"(6)","noteIndex":0},"citationItems":[{"id":2186,"uris":["http://zotero.org/users/12145087/items/CYLIFPDG"],"itemData":{"id":2186,"type":"paper-conference","DOI":"10.1055/s-0041-1724353","event-place":"Going virtual. Staying real.","event-title":"ESGE Days 2021","language":"de","page":"s-0041-1724353","publisher-place":"Going virtual. Staying real.","source":"DOI.org (Crossref)","title":"Efficacy and Safety of Eus-Guided Transmural Gallbladder Drainage In Malignant Biliary Obstruction Using an Electrocautery-Enhanced Lumen Apposing Metal Stent: a French Multicenter Study","title-short":"Efficacy and Safety of Eus-Guided Transmural Gallbladder Drainage In Malignant Biliary Obstruction Using an Electrocautery-Enhanced Lumen Apposing Metal Stent","URL":"http://www.thieme-connect.de/DOI/DOI?10.1055/s-0041-1724353","author":[{"family":"Lambin","given":"T"},{"family":"Branche","given":"J"},{"family":"Privat","given":"J"},{"family":"Bourgaux","given":"Jf"},{"family":"Koch","given":"S"},{"family":"Palazzo","given":"M"},{"family":"Chaput","given":"U"},{"family":"Ponchon","given":"T"},{"family":"Pioche","given":"M"},{"family":"Grandval","given":"P"},{"family":"Gérard","given":"R"}],"accessed":{"date-parts":[["2024",5,22]]},"issued":{"date-parts":[["2021",3]]}}}],"schema":"https://github.com/citation-style-language/schema/raw/master/csl-citation.json"} </w:instrText>
            </w:r>
            <w:r w:rsidRPr="00647144">
              <w:rPr>
                <w:rFonts w:eastAsia="Times New Roman" w:cs="Segoe UI"/>
                <w:b/>
                <w:color w:val="000000"/>
                <w:kern w:val="0"/>
                <w:sz w:val="20"/>
                <w:szCs w:val="20"/>
                <w:lang w:eastAsia="it-IT"/>
                <w14:ligatures w14:val="none"/>
              </w:rPr>
              <w:fldChar w:fldCharType="separate"/>
            </w:r>
            <w:r w:rsidR="00F23601" w:rsidRPr="00F23601">
              <w:rPr>
                <w:rFonts w:ascii="Calibri" w:hAnsi="Calibri" w:cs="Calibri"/>
                <w:sz w:val="20"/>
              </w:rPr>
              <w:t>(6)</w:t>
            </w:r>
            <w:r w:rsidRPr="00647144">
              <w:rPr>
                <w:rFonts w:eastAsia="Times New Roman" w:cs="Segoe UI"/>
                <w:b/>
                <w:color w:val="000000"/>
                <w:kern w:val="0"/>
                <w:sz w:val="20"/>
                <w:szCs w:val="20"/>
                <w:lang w:eastAsia="it-IT"/>
                <w14:ligatures w14:val="none"/>
              </w:rPr>
              <w:fldChar w:fldCharType="end"/>
            </w:r>
          </w:p>
        </w:tc>
        <w:tc>
          <w:tcPr>
            <w:tcW w:w="744"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shd w:val="clear" w:color="auto" w:fill="FFFFFF"/>
                <w:lang w:val="en-US"/>
              </w:rPr>
              <w:t>★</w:t>
            </w:r>
          </w:p>
        </w:tc>
        <w:tc>
          <w:tcPr>
            <w:tcW w:w="522"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shd w:val="clear" w:color="auto" w:fill="FFFFFF"/>
                <w:lang w:val="en-US"/>
              </w:rPr>
              <w:t>★</w:t>
            </w:r>
          </w:p>
        </w:tc>
        <w:tc>
          <w:tcPr>
            <w:tcW w:w="554"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shd w:val="clear" w:color="auto" w:fill="FFFFFF"/>
                <w:lang w:val="en-US"/>
              </w:rPr>
              <w:t>★</w:t>
            </w:r>
          </w:p>
        </w:tc>
        <w:tc>
          <w:tcPr>
            <w:tcW w:w="504" w:type="pct"/>
            <w:vAlign w:val="center"/>
          </w:tcPr>
          <w:p w:rsidR="00CA08D4" w:rsidRDefault="00CA08D4" w:rsidP="00CA08D4">
            <w:pPr>
              <w:jc w:val="center"/>
              <w:rPr>
                <w:rFonts w:ascii="Segoe UI Symbol" w:hAnsi="Segoe UI Symbol" w:cs="Segoe UI Symbol"/>
                <w:color w:val="202124"/>
                <w:sz w:val="16"/>
              </w:rPr>
            </w:pPr>
            <w:r>
              <w:rPr>
                <w:rFonts w:ascii="Segoe UI Symbol" w:hAnsi="Segoe UI Symbol" w:cs="Segoe UI Symbol"/>
                <w:color w:val="202124"/>
                <w:sz w:val="16"/>
              </w:rPr>
              <w:t>-</w:t>
            </w:r>
          </w:p>
        </w:tc>
        <w:tc>
          <w:tcPr>
            <w:tcW w:w="465" w:type="pct"/>
            <w:vAlign w:val="center"/>
          </w:tcPr>
          <w:p w:rsidR="00CA08D4" w:rsidRPr="000D77F4" w:rsidRDefault="00CA08D4" w:rsidP="00CA08D4">
            <w:pPr>
              <w:jc w:val="center"/>
              <w:rPr>
                <w:rFonts w:ascii="Segoe UI Symbol" w:hAnsi="Segoe UI Symbol" w:cs="Segoe UI Symbol"/>
                <w:color w:val="202124"/>
                <w:sz w:val="16"/>
                <w:lang w:val="en-US"/>
              </w:rPr>
            </w:pPr>
            <w:r>
              <w:rPr>
                <w:rFonts w:ascii="Segoe UI Symbol" w:hAnsi="Segoe UI Symbol" w:cs="Segoe UI Symbol"/>
                <w:color w:val="202124"/>
                <w:sz w:val="16"/>
                <w:lang w:val="en-US"/>
              </w:rPr>
              <w:t>-</w:t>
            </w:r>
          </w:p>
        </w:tc>
        <w:tc>
          <w:tcPr>
            <w:tcW w:w="475" w:type="pct"/>
            <w:vAlign w:val="center"/>
          </w:tcPr>
          <w:p w:rsidR="00CA08D4" w:rsidRDefault="00CA08D4" w:rsidP="00CA08D4">
            <w:pPr>
              <w:jc w:val="center"/>
              <w:rPr>
                <w:rFonts w:ascii="Segoe UI Symbol" w:hAnsi="Segoe UI Symbol" w:cs="Segoe UI Symbol"/>
                <w:color w:val="202124"/>
                <w:sz w:val="16"/>
                <w:lang w:val="en-US"/>
              </w:rPr>
            </w:pPr>
            <w:r>
              <w:rPr>
                <w:rFonts w:ascii="Segoe UI Symbol" w:hAnsi="Segoe UI Symbol" w:cs="Segoe UI Symbol"/>
                <w:color w:val="202124"/>
                <w:sz w:val="16"/>
                <w:lang w:val="en-US"/>
              </w:rPr>
              <w:t>-</w:t>
            </w:r>
          </w:p>
        </w:tc>
        <w:tc>
          <w:tcPr>
            <w:tcW w:w="503" w:type="pct"/>
            <w:vAlign w:val="center"/>
          </w:tcPr>
          <w:p w:rsidR="00CA08D4" w:rsidRPr="000D77F4" w:rsidRDefault="00CA08D4" w:rsidP="00CA08D4">
            <w:pPr>
              <w:jc w:val="center"/>
              <w:rPr>
                <w:rFonts w:ascii="Segoe UI Symbol" w:hAnsi="Segoe UI Symbol" w:cs="Segoe UI Symbol"/>
                <w:color w:val="202124"/>
                <w:sz w:val="16"/>
              </w:rPr>
            </w:pPr>
            <w:r w:rsidRPr="000D77F4">
              <w:rPr>
                <w:rFonts w:ascii="Segoe UI Symbol" w:hAnsi="Segoe UI Symbol" w:cs="Segoe UI Symbol"/>
                <w:color w:val="202124"/>
                <w:sz w:val="16"/>
                <w:shd w:val="clear" w:color="auto" w:fill="FFFFFF"/>
                <w:lang w:val="en-US"/>
              </w:rPr>
              <w:t>★</w:t>
            </w:r>
          </w:p>
        </w:tc>
        <w:tc>
          <w:tcPr>
            <w:tcW w:w="763" w:type="pct"/>
            <w:vAlign w:val="center"/>
          </w:tcPr>
          <w:p w:rsidR="00CA08D4" w:rsidRDefault="00CA08D4" w:rsidP="00CA08D4">
            <w:pPr>
              <w:jc w:val="center"/>
              <w:rPr>
                <w:rFonts w:ascii="Arial" w:hAnsi="Arial" w:cs="Arial"/>
                <w:b/>
                <w:bCs/>
                <w:sz w:val="16"/>
                <w:lang w:val="en-US"/>
              </w:rPr>
            </w:pPr>
            <w:r>
              <w:rPr>
                <w:rFonts w:ascii="Arial" w:hAnsi="Arial" w:cs="Arial"/>
                <w:b/>
                <w:bCs/>
                <w:sz w:val="16"/>
                <w:lang w:val="en-US"/>
              </w:rPr>
              <w:t>4</w:t>
            </w:r>
          </w:p>
        </w:tc>
      </w:tr>
      <w:tr w:rsidR="00CA08D4" w:rsidRPr="000D77F4" w:rsidTr="00E57488">
        <w:trPr>
          <w:trHeight w:val="907"/>
        </w:trPr>
        <w:tc>
          <w:tcPr>
            <w:tcW w:w="470" w:type="pct"/>
            <w:vAlign w:val="center"/>
          </w:tcPr>
          <w:p w:rsidR="00CA08D4" w:rsidRPr="0088595A" w:rsidRDefault="00CA08D4" w:rsidP="00CA08D4">
            <w:pPr>
              <w:jc w:val="center"/>
              <w:rPr>
                <w:rFonts w:eastAsia="Times New Roman" w:cs="Segoe UI"/>
                <w:b/>
                <w:color w:val="000000"/>
                <w:kern w:val="0"/>
                <w:sz w:val="20"/>
                <w:szCs w:val="20"/>
                <w:lang w:eastAsia="it-IT"/>
                <w14:ligatures w14:val="none"/>
              </w:rPr>
            </w:pPr>
            <w:r w:rsidRPr="0088595A">
              <w:rPr>
                <w:rFonts w:eastAsia="Times New Roman" w:cs="Segoe UI"/>
                <w:b/>
                <w:color w:val="000000"/>
                <w:kern w:val="0"/>
                <w:sz w:val="20"/>
                <w:szCs w:val="20"/>
                <w:lang w:eastAsia="it-IT"/>
                <w14:ligatures w14:val="none"/>
              </w:rPr>
              <w:t xml:space="preserve">Binda,2023 </w:t>
            </w:r>
            <w:r w:rsidRPr="0088595A">
              <w:rPr>
                <w:rFonts w:eastAsia="Times New Roman" w:cs="Segoe UI"/>
                <w:b/>
                <w:color w:val="000000"/>
                <w:kern w:val="0"/>
                <w:sz w:val="20"/>
                <w:szCs w:val="20"/>
                <w:lang w:eastAsia="it-IT"/>
                <w14:ligatures w14:val="none"/>
              </w:rPr>
              <w:fldChar w:fldCharType="begin"/>
            </w:r>
            <w:r w:rsidR="00F23601">
              <w:rPr>
                <w:rFonts w:eastAsia="Times New Roman" w:cs="Segoe UI"/>
                <w:b/>
                <w:color w:val="000000"/>
                <w:kern w:val="0"/>
                <w:sz w:val="20"/>
                <w:szCs w:val="20"/>
                <w:lang w:eastAsia="it-IT"/>
                <w14:ligatures w14:val="none"/>
              </w:rPr>
              <w:instrText xml:space="preserve"> ADDIN ZOTERO_ITEM CSL_CITATION {"citationID":"XjGZMbW0","properties":{"formattedCitation":"(7)","plainCitation":"(7)","noteIndex":0},"citationItems":[{"id":1635,"uris":["http://zotero.org/users/12145087/items/T6ZFGMV2"],"itemData":{"id":1635,"type":"article-journal","container-title":"Gastrointestinal Endoscopy","DOI":"10.1016/j.gie.2023.06.054","ISSN":"00165107","issue":"5","journalAbbreviation":"Gastrointestinal Endoscopy","language":"en","page":"765-773","source":"DOI.org (Crossref)","title":"EUS-guided gallbladder drainage using a lumen-apposing metal stent as rescue treatment for malignant distal biliary obstruction: a large multicenter experience","title-short":"EUS-guided gallbladder drainage using a lumen-apposing metal stent as rescue treatment for malignant distal biliary obstruction","volume":"98","author":[{"family":"Binda","given":"Cecilia"},{"family":"Anderloni","given":"Andrea"},{"family":"Fugazza","given":"Alessandro"},{"family":"Amato","given":"Arnaldo"},{"family":"De Nucci","given":"Germana"},{"family":"Redaelli","given":"Alessandro"},{"family":"Di Mitri","given":"Roberto"},{"family":"Cugia","given":"Luigi"},{"family":"Pollino","given":"Valeria"},{"family":"Macchiarelli","given":"Raffaele"},{"family":"Mangiavillano","given":"Benedetto"},{"family":"Forti","given":"Edoardo"},{"family":"Brancaccio","given":"Mario Luciano"},{"family":"Badas","given":"Roberta"},{"family":"Maida","given":"Marcello"},{"family":"Sinagra","given":"Emanuele"},{"family":"Repici","given":"Alessandro"},{"family":"Fabbri","given":"Carlo"},{"family":"Tarantino","given":"Ilaria"}],"issued":{"date-parts":[["2023",11]]}}}],"schema":"https://github.com/citation-style-language/schema/raw/master/csl-citation.json"} </w:instrText>
            </w:r>
            <w:r w:rsidRPr="0088595A">
              <w:rPr>
                <w:rFonts w:eastAsia="Times New Roman" w:cs="Segoe UI"/>
                <w:b/>
                <w:color w:val="000000"/>
                <w:kern w:val="0"/>
                <w:sz w:val="20"/>
                <w:szCs w:val="20"/>
                <w:lang w:eastAsia="it-IT"/>
                <w14:ligatures w14:val="none"/>
              </w:rPr>
              <w:fldChar w:fldCharType="separate"/>
            </w:r>
            <w:r w:rsidR="00F23601" w:rsidRPr="00F23601">
              <w:rPr>
                <w:rFonts w:ascii="Calibri" w:hAnsi="Calibri" w:cs="Calibri"/>
                <w:sz w:val="20"/>
              </w:rPr>
              <w:t>(7)</w:t>
            </w:r>
            <w:r w:rsidRPr="0088595A">
              <w:rPr>
                <w:rFonts w:eastAsia="Times New Roman" w:cs="Segoe UI"/>
                <w:b/>
                <w:color w:val="000000"/>
                <w:kern w:val="0"/>
                <w:sz w:val="20"/>
                <w:szCs w:val="20"/>
                <w:lang w:eastAsia="it-IT"/>
                <w14:ligatures w14:val="none"/>
              </w:rPr>
              <w:fldChar w:fldCharType="end"/>
            </w:r>
          </w:p>
        </w:tc>
        <w:tc>
          <w:tcPr>
            <w:tcW w:w="744" w:type="pct"/>
            <w:vAlign w:val="center"/>
          </w:tcPr>
          <w:p w:rsidR="00CA08D4" w:rsidRPr="000D77F4" w:rsidRDefault="00CA08D4" w:rsidP="00CA08D4">
            <w:pPr>
              <w:jc w:val="center"/>
              <w:rPr>
                <w:rFonts w:ascii="Segoe UI Symbol" w:hAnsi="Segoe UI Symbol" w:cs="Segoe UI Symbol"/>
                <w:color w:val="202124"/>
                <w:sz w:val="16"/>
                <w:shd w:val="clear" w:color="auto" w:fill="FFFFFF"/>
                <w:lang w:val="en-US"/>
              </w:rPr>
            </w:pPr>
            <w:r>
              <w:rPr>
                <w:rFonts w:ascii="Segoe UI Symbol" w:hAnsi="Segoe UI Symbol" w:cs="Segoe UI Symbol"/>
                <w:color w:val="202124"/>
                <w:sz w:val="16"/>
                <w:lang w:val="en-US"/>
              </w:rPr>
              <w:t>-</w:t>
            </w:r>
          </w:p>
        </w:tc>
        <w:tc>
          <w:tcPr>
            <w:tcW w:w="522"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lang w:val="en-US"/>
              </w:rPr>
              <w:t>★</w:t>
            </w:r>
          </w:p>
        </w:tc>
        <w:tc>
          <w:tcPr>
            <w:tcW w:w="554"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lang w:val="en-US"/>
              </w:rPr>
              <w:t>★</w:t>
            </w:r>
          </w:p>
        </w:tc>
        <w:tc>
          <w:tcPr>
            <w:tcW w:w="504" w:type="pct"/>
            <w:vAlign w:val="center"/>
          </w:tcPr>
          <w:p w:rsidR="00CA08D4" w:rsidRPr="000D77F4" w:rsidRDefault="00CA08D4" w:rsidP="00CA08D4">
            <w:pPr>
              <w:jc w:val="center"/>
              <w:rPr>
                <w:rFonts w:ascii="Segoe UI Symbol" w:hAnsi="Segoe UI Symbol" w:cs="Segoe UI Symbol"/>
                <w:color w:val="202124"/>
                <w:sz w:val="16"/>
                <w:lang w:val="en-US"/>
              </w:rPr>
            </w:pPr>
            <w:r>
              <w:rPr>
                <w:rFonts w:ascii="Segoe UI Symbol" w:hAnsi="Segoe UI Symbol" w:cs="Segoe UI Symbol"/>
                <w:color w:val="202124"/>
                <w:sz w:val="16"/>
              </w:rPr>
              <w:t>-</w:t>
            </w:r>
          </w:p>
        </w:tc>
        <w:tc>
          <w:tcPr>
            <w:tcW w:w="465" w:type="pct"/>
            <w:vAlign w:val="center"/>
          </w:tcPr>
          <w:p w:rsidR="00CA08D4" w:rsidRPr="000D77F4" w:rsidRDefault="00CA08D4" w:rsidP="00CA08D4">
            <w:pPr>
              <w:jc w:val="center"/>
              <w:rPr>
                <w:rFonts w:ascii="Segoe UI Symbol" w:hAnsi="Segoe UI Symbol" w:cs="Segoe UI Symbol"/>
                <w:color w:val="202124"/>
                <w:sz w:val="16"/>
              </w:rPr>
            </w:pPr>
            <w:r w:rsidRPr="000D77F4">
              <w:rPr>
                <w:rFonts w:ascii="Segoe UI Symbol" w:hAnsi="Segoe UI Symbol" w:cs="Segoe UI Symbol"/>
                <w:color w:val="202124"/>
                <w:sz w:val="16"/>
                <w:lang w:val="en-US"/>
              </w:rPr>
              <w:t>★</w:t>
            </w:r>
          </w:p>
        </w:tc>
        <w:tc>
          <w:tcPr>
            <w:tcW w:w="475" w:type="pct"/>
            <w:vAlign w:val="center"/>
          </w:tcPr>
          <w:p w:rsidR="00CA08D4" w:rsidRPr="000D77F4" w:rsidRDefault="00CA08D4" w:rsidP="00CA08D4">
            <w:pPr>
              <w:jc w:val="center"/>
              <w:rPr>
                <w:rFonts w:ascii="Segoe UI Symbol" w:hAnsi="Segoe UI Symbol" w:cs="Segoe UI Symbol"/>
                <w:color w:val="202124"/>
                <w:sz w:val="16"/>
              </w:rPr>
            </w:pPr>
            <w:r>
              <w:rPr>
                <w:rFonts w:ascii="Segoe UI Symbol" w:hAnsi="Segoe UI Symbol" w:cs="Segoe UI Symbol"/>
                <w:color w:val="202124"/>
                <w:sz w:val="16"/>
                <w:lang w:val="en-US"/>
              </w:rPr>
              <w:t>-</w:t>
            </w:r>
          </w:p>
        </w:tc>
        <w:tc>
          <w:tcPr>
            <w:tcW w:w="503"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rPr>
              <w:t>★</w:t>
            </w:r>
          </w:p>
        </w:tc>
        <w:tc>
          <w:tcPr>
            <w:tcW w:w="763" w:type="pct"/>
            <w:vAlign w:val="center"/>
          </w:tcPr>
          <w:p w:rsidR="00CA08D4" w:rsidRPr="000D77F4" w:rsidRDefault="00CA08D4" w:rsidP="00CA08D4">
            <w:pPr>
              <w:jc w:val="center"/>
              <w:rPr>
                <w:rFonts w:ascii="Arial" w:hAnsi="Arial" w:cs="Arial"/>
                <w:b/>
                <w:bCs/>
                <w:sz w:val="16"/>
                <w:lang w:val="en-US"/>
              </w:rPr>
            </w:pPr>
            <w:r>
              <w:rPr>
                <w:rFonts w:ascii="Arial" w:hAnsi="Arial" w:cs="Arial"/>
                <w:b/>
                <w:bCs/>
                <w:sz w:val="16"/>
                <w:lang w:val="en-US"/>
              </w:rPr>
              <w:t>4</w:t>
            </w:r>
          </w:p>
        </w:tc>
      </w:tr>
      <w:tr w:rsidR="00CA08D4" w:rsidRPr="000D77F4" w:rsidTr="00E57488">
        <w:trPr>
          <w:trHeight w:val="907"/>
        </w:trPr>
        <w:tc>
          <w:tcPr>
            <w:tcW w:w="470" w:type="pct"/>
            <w:vAlign w:val="center"/>
          </w:tcPr>
          <w:p w:rsidR="00CA08D4" w:rsidRPr="0088595A" w:rsidRDefault="00CA08D4" w:rsidP="00CA08D4">
            <w:pPr>
              <w:jc w:val="center"/>
              <w:rPr>
                <w:rFonts w:ascii="Arial" w:hAnsi="Arial" w:cs="Arial"/>
                <w:b/>
                <w:color w:val="000000"/>
                <w:sz w:val="16"/>
                <w:lang w:val="en-US"/>
              </w:rPr>
            </w:pPr>
            <w:r w:rsidRPr="0088595A">
              <w:rPr>
                <w:rFonts w:eastAsia="Times New Roman" w:cs="Segoe UI"/>
                <w:b/>
                <w:color w:val="000000"/>
                <w:kern w:val="0"/>
                <w:sz w:val="20"/>
                <w:szCs w:val="20"/>
                <w:lang w:eastAsia="it-IT"/>
                <w14:ligatures w14:val="none"/>
              </w:rPr>
              <w:t xml:space="preserve">Debourdeau, 2023 </w:t>
            </w:r>
            <w:r w:rsidRPr="0088595A">
              <w:rPr>
                <w:rFonts w:eastAsia="Times New Roman" w:cs="Segoe UI"/>
                <w:b/>
                <w:color w:val="000000"/>
                <w:kern w:val="0"/>
                <w:sz w:val="20"/>
                <w:szCs w:val="20"/>
                <w:lang w:eastAsia="it-IT"/>
                <w14:ligatures w14:val="none"/>
              </w:rPr>
              <w:fldChar w:fldCharType="begin"/>
            </w:r>
            <w:r w:rsidR="00F23601">
              <w:rPr>
                <w:rFonts w:eastAsia="Times New Roman" w:cs="Segoe UI"/>
                <w:b/>
                <w:color w:val="000000"/>
                <w:kern w:val="0"/>
                <w:sz w:val="20"/>
                <w:szCs w:val="20"/>
                <w:lang w:eastAsia="it-IT"/>
                <w14:ligatures w14:val="none"/>
              </w:rPr>
              <w:instrText xml:space="preserve"> ADDIN ZOTERO_ITEM CSL_CITATION {"citationID":"b36JpEwN","properties":{"formattedCitation":"(8)","plainCitation":"(8)","noteIndex":0},"citationItems":[{"id":1866,"uris":["http://zotero.org/users/12145087/items/63HRHQHQ"],"itemData":{"id":1866,"type":"article-journal","abstract":"Objectives: The aim of this study was to compare endoscopic ultrasound-guided choledochoduodenostomy (EUS-CDS) vs. EUS-gallbladder drainage (EUS-GBD) in cases of failed endoscopic retrograde cholangiopancreatography (ERCP) for jaundice resulting from malignant distal biliary obstruction (MDBO). Methods: This multicenter retrospective study included patients with obstructive jaundice secondary to MDBO who underwent EUS-GBD or EUS-CDS with lumen-apposing metal stents after failed ERCP. The primary end-point was clinical success rate. Secondary end-points were technical success, periprocedural adverse events rate (&lt;24 h), late adverse events rate (&gt;24 h), overall survival, and time to recurrent biliary obstruction. Results: A total of 78 patients were included: 41 underwent EUS-GBD and 37 underwent EUS-CDS. MDBO was mainly the result of pancreatic cancer (n = 63/78, 80.7%). Clinical success rate was similar for both procedures: 87.8% for EUS-GBD and 89.2% for EUS-CDS (P = 0.8). Technical success rate was 100% for EUS-GBD and 94.6% for EUS-CDS (P = 0.132). Periprocedural morbidity (&lt;24 h) rates were similar between both groups: 4/41 (9.8%) for EUS-GBD and 5/37 (13.5%) for EUS-CDS (P = 0.368). There was a signiﬁcantly higher rate of late morbidity (&gt;24 h) among patients in the EUS-CDS group (8/37 [21.6%]) than in the EUS-GBD group (3/41 [7.3%]) (P = 0.042). The median follow-up duration was 4.7 months. Overall survival and time to recurrent biliary obstruction did not signiﬁcantly differ between the groups. Discussion: After failed ERCP for MDBO, EUS-GBD and EUSCDS show comparable clinical success rates and technical success. EUS-GBD appears to be a promising alternative for MDBO, even as a second-line treatment after failed ERCP. Further studies are needed to validate these ﬁndings and compare the long-term outcomes of EUS-GBD and EUS-CDS.","container-title":"Digestive Endoscopy","DOI":"10.1111/den.14750","ISSN":"0915-5635, 1443-1661","journalAbbreviation":"Digestive Endoscopy","language":"en","page":"den.14750","source":"DOI.org (Crossref)","title":"Effectiveness of endoscopic ultrasound (EUS)‐guided choledochoduodenostomy vs. EUS‐guided gallbladder drainage for jaundice in patients with malignant distal biliary obstruction after failed endoscopic retrograde cholangiopancreatography: Retrospective, multicenter study (GALLBLADEUS Study)","title-short":"Effectiveness of endoscopic ultrasound (EUS)‐guided choledochoduodenostomy vs. EUS‐guided gallbladder drainage for jaundice in patients with malignant distal biliary obstruction after failed endoscopic retrograde cholangiopancreatography","author":[{"family":"Debourdeau","given":"Antoine"},{"family":"Daniel","given":"Jules"},{"family":"Caillo","given":"Ludovic"},{"family":"Assenat","given":"Eric"},{"family":"Bertrand","given":"Martin"},{"family":"Bardol","given":"Thomas"},{"family":"Souche","given":"François‐Régis"},{"family":"Pouderoux","given":"Philippe"},{"family":"Gerard","given":"Romain"},{"family":"Lorenzo","given":"Diane"},{"family":"Bourgaux","given":"Jean‐François"}],"issued":{"date-parts":[["2024",2,21]]}}}],"schema":"https://github.com/citation-style-language/schema/raw/master/csl-citation.json"} </w:instrText>
            </w:r>
            <w:r w:rsidRPr="0088595A">
              <w:rPr>
                <w:rFonts w:eastAsia="Times New Roman" w:cs="Segoe UI"/>
                <w:b/>
                <w:color w:val="000000"/>
                <w:kern w:val="0"/>
                <w:sz w:val="20"/>
                <w:szCs w:val="20"/>
                <w:lang w:eastAsia="it-IT"/>
                <w14:ligatures w14:val="none"/>
              </w:rPr>
              <w:fldChar w:fldCharType="separate"/>
            </w:r>
            <w:r w:rsidR="00F23601" w:rsidRPr="00F23601">
              <w:rPr>
                <w:rFonts w:ascii="Calibri" w:hAnsi="Calibri" w:cs="Calibri"/>
                <w:sz w:val="20"/>
              </w:rPr>
              <w:t>(8)</w:t>
            </w:r>
            <w:r w:rsidRPr="0088595A">
              <w:rPr>
                <w:rFonts w:eastAsia="Times New Roman" w:cs="Segoe UI"/>
                <w:b/>
                <w:color w:val="000000"/>
                <w:kern w:val="0"/>
                <w:sz w:val="20"/>
                <w:szCs w:val="20"/>
                <w:lang w:eastAsia="it-IT"/>
                <w14:ligatures w14:val="none"/>
              </w:rPr>
              <w:fldChar w:fldCharType="end"/>
            </w:r>
          </w:p>
        </w:tc>
        <w:tc>
          <w:tcPr>
            <w:tcW w:w="744"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lang w:val="en-US"/>
              </w:rPr>
              <w:t>★</w:t>
            </w:r>
          </w:p>
        </w:tc>
        <w:tc>
          <w:tcPr>
            <w:tcW w:w="522"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lang w:val="en-US"/>
              </w:rPr>
              <w:t>★</w:t>
            </w:r>
          </w:p>
        </w:tc>
        <w:tc>
          <w:tcPr>
            <w:tcW w:w="554"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lang w:val="en-US"/>
              </w:rPr>
              <w:t>★</w:t>
            </w:r>
          </w:p>
        </w:tc>
        <w:tc>
          <w:tcPr>
            <w:tcW w:w="504" w:type="pct"/>
            <w:vAlign w:val="center"/>
          </w:tcPr>
          <w:p w:rsidR="00CA08D4" w:rsidRDefault="00CA08D4" w:rsidP="00CA08D4">
            <w:pPr>
              <w:jc w:val="center"/>
              <w:rPr>
                <w:rFonts w:ascii="Segoe UI Symbol" w:hAnsi="Segoe UI Symbol" w:cs="Segoe UI Symbol"/>
                <w:color w:val="202124"/>
                <w:sz w:val="16"/>
              </w:rPr>
            </w:pPr>
            <w:r w:rsidRPr="000D77F4">
              <w:rPr>
                <w:rFonts w:ascii="Segoe UI Symbol" w:hAnsi="Segoe UI Symbol" w:cs="Segoe UI Symbol"/>
                <w:color w:val="202124"/>
                <w:sz w:val="16"/>
                <w:lang w:val="en-US"/>
              </w:rPr>
              <w:t>★</w:t>
            </w:r>
          </w:p>
        </w:tc>
        <w:tc>
          <w:tcPr>
            <w:tcW w:w="465" w:type="pct"/>
            <w:vAlign w:val="center"/>
          </w:tcPr>
          <w:p w:rsidR="00CA08D4" w:rsidRPr="000D77F4" w:rsidRDefault="00CA08D4" w:rsidP="00CA08D4">
            <w:pPr>
              <w:jc w:val="center"/>
              <w:rPr>
                <w:rFonts w:ascii="Arial" w:hAnsi="Arial" w:cs="Arial"/>
                <w:sz w:val="16"/>
                <w:lang w:val="en-US"/>
              </w:rPr>
            </w:pPr>
            <w:r>
              <w:rPr>
                <w:rFonts w:ascii="Segoe UI Symbol" w:hAnsi="Segoe UI Symbol" w:cs="Segoe UI Symbol"/>
                <w:color w:val="202124"/>
                <w:sz w:val="16"/>
              </w:rPr>
              <w:t>-</w:t>
            </w:r>
          </w:p>
        </w:tc>
        <w:tc>
          <w:tcPr>
            <w:tcW w:w="475" w:type="pct"/>
            <w:vAlign w:val="center"/>
          </w:tcPr>
          <w:p w:rsidR="00CA08D4" w:rsidRPr="000D77F4" w:rsidRDefault="00CA08D4" w:rsidP="00CA08D4">
            <w:pPr>
              <w:jc w:val="center"/>
              <w:rPr>
                <w:rFonts w:ascii="Arial" w:hAnsi="Arial" w:cs="Arial"/>
                <w:sz w:val="16"/>
                <w:lang w:val="en-US"/>
              </w:rPr>
            </w:pPr>
            <w:r>
              <w:rPr>
                <w:rFonts w:ascii="Segoe UI Symbol" w:hAnsi="Segoe UI Symbol" w:cs="Segoe UI Symbol"/>
                <w:color w:val="202124"/>
                <w:sz w:val="16"/>
              </w:rPr>
              <w:t>-</w:t>
            </w:r>
          </w:p>
        </w:tc>
        <w:tc>
          <w:tcPr>
            <w:tcW w:w="503" w:type="pct"/>
            <w:vAlign w:val="center"/>
          </w:tcPr>
          <w:p w:rsidR="00CA08D4" w:rsidRPr="000D77F4" w:rsidRDefault="00CA08D4" w:rsidP="00CA08D4">
            <w:pPr>
              <w:jc w:val="center"/>
              <w:rPr>
                <w:rFonts w:ascii="Arial" w:hAnsi="Arial" w:cs="Arial"/>
                <w:sz w:val="16"/>
                <w:lang w:val="en-US"/>
              </w:rPr>
            </w:pPr>
            <w:r w:rsidRPr="000D77F4">
              <w:rPr>
                <w:rFonts w:ascii="Segoe UI Symbol" w:hAnsi="Segoe UI Symbol" w:cs="Segoe UI Symbol"/>
                <w:color w:val="202124"/>
                <w:sz w:val="16"/>
              </w:rPr>
              <w:t>★</w:t>
            </w:r>
          </w:p>
        </w:tc>
        <w:tc>
          <w:tcPr>
            <w:tcW w:w="763" w:type="pct"/>
            <w:vAlign w:val="center"/>
          </w:tcPr>
          <w:p w:rsidR="00CA08D4" w:rsidRPr="000D77F4" w:rsidRDefault="00CA08D4" w:rsidP="00CA08D4">
            <w:pPr>
              <w:jc w:val="center"/>
              <w:rPr>
                <w:rFonts w:ascii="Arial" w:hAnsi="Arial" w:cs="Arial"/>
                <w:b/>
                <w:bCs/>
                <w:sz w:val="16"/>
                <w:lang w:val="en-US"/>
              </w:rPr>
            </w:pPr>
            <w:r>
              <w:rPr>
                <w:rFonts w:ascii="Arial" w:hAnsi="Arial" w:cs="Arial"/>
                <w:b/>
                <w:bCs/>
                <w:sz w:val="16"/>
                <w:lang w:val="en-US"/>
              </w:rPr>
              <w:t>5</w:t>
            </w:r>
          </w:p>
        </w:tc>
      </w:tr>
      <w:tr w:rsidR="00CA08D4" w:rsidRPr="000D77F4" w:rsidTr="00E57488">
        <w:trPr>
          <w:trHeight w:val="907"/>
        </w:trPr>
        <w:tc>
          <w:tcPr>
            <w:tcW w:w="470" w:type="pct"/>
            <w:vAlign w:val="center"/>
          </w:tcPr>
          <w:p w:rsidR="00CA08D4" w:rsidRPr="00B461F0" w:rsidRDefault="00CA08D4" w:rsidP="00CA08D4">
            <w:pPr>
              <w:jc w:val="center"/>
              <w:rPr>
                <w:rFonts w:eastAsia="Times New Roman" w:cs="Segoe UI"/>
                <w:b/>
                <w:color w:val="000000"/>
                <w:kern w:val="0"/>
                <w:sz w:val="20"/>
                <w:szCs w:val="20"/>
                <w:lang w:eastAsia="it-IT"/>
                <w14:ligatures w14:val="none"/>
              </w:rPr>
            </w:pPr>
            <w:r>
              <w:rPr>
                <w:rFonts w:eastAsia="Times New Roman" w:cs="Segoe UI"/>
                <w:b/>
                <w:color w:val="000000"/>
                <w:kern w:val="0"/>
                <w:sz w:val="20"/>
                <w:szCs w:val="20"/>
                <w:lang w:eastAsia="it-IT"/>
                <w14:ligatures w14:val="none"/>
              </w:rPr>
              <w:t xml:space="preserve">Korani, </w:t>
            </w:r>
            <w:r w:rsidRPr="0044113D">
              <w:rPr>
                <w:rFonts w:eastAsia="Times New Roman" w:cs="Segoe UI"/>
                <w:b/>
                <w:color w:val="000000"/>
                <w:kern w:val="0"/>
                <w:sz w:val="20"/>
                <w:szCs w:val="20"/>
                <w:lang w:eastAsia="it-IT"/>
                <w14:ligatures w14:val="none"/>
              </w:rPr>
              <w:t>2024</w:t>
            </w:r>
            <w:r>
              <w:rPr>
                <w:rFonts w:eastAsia="Times New Roman" w:cs="Segoe UI"/>
                <w:b/>
                <w:color w:val="000000"/>
                <w:kern w:val="0"/>
                <w:sz w:val="20"/>
                <w:szCs w:val="20"/>
                <w:vertAlign w:val="superscript"/>
                <w:lang w:eastAsia="it-IT"/>
                <w14:ligatures w14:val="none"/>
              </w:rPr>
              <w:t xml:space="preserve"> </w:t>
            </w:r>
            <w:r>
              <w:rPr>
                <w:rFonts w:eastAsia="Times New Roman" w:cs="Segoe UI"/>
                <w:b/>
                <w:color w:val="000000"/>
                <w:kern w:val="0"/>
                <w:sz w:val="20"/>
                <w:szCs w:val="20"/>
                <w:vertAlign w:val="superscript"/>
                <w:lang w:eastAsia="it-IT"/>
                <w14:ligatures w14:val="none"/>
              </w:rPr>
              <w:fldChar w:fldCharType="begin"/>
            </w:r>
            <w:r w:rsidR="00F23601">
              <w:rPr>
                <w:rFonts w:eastAsia="Times New Roman" w:cs="Segoe UI"/>
                <w:b/>
                <w:color w:val="000000"/>
                <w:kern w:val="0"/>
                <w:sz w:val="20"/>
                <w:szCs w:val="20"/>
                <w:vertAlign w:val="superscript"/>
                <w:lang w:eastAsia="it-IT"/>
                <w14:ligatures w14:val="none"/>
              </w:rPr>
              <w:instrText xml:space="preserve"> ADDIN ZOTERO_ITEM CSL_CITATION {"citationID":"MHlhGn7M","properties":{"formattedCitation":"(9)","plainCitation":"(9)","noteIndex":0},"citationItems":[{"id":3962,"uris":["http://zotero.org/users/12145087/items/NFTCPKLK"],"itemData":{"id":3962,"type":"paper-conference","container-title":"Poster Presentations","DOI":"10.1136/gutjnl-2024-BSG.478","event-title":"BSG LIVE’24, 17-20 June 2024, ICC Birmingham","language":"en","page":"A293.2-A294","publisher":"BMJ Publishing Group Ltd and British Society of Gastroenterology","source":"DOI.org (Crossref)","title":"P396 (ENDOSCOPIC ULTRASOUND) GUIDED GALLBLADDER DRAINAGE (EUS-GBD) FOR DISTAL MALIGNANT BILIARY OBSTRUCTION(D-MBO), FIRST UK MULTICENTER EXPERIENCE OF A NOVEL RESCUE PROCEDURE","URL":"https://gut.bmj.com/content/73/Suppl_1/A293.1","author":[{"family":"Korani","given":""}],"accessed":{"date-parts":[["2024",11,19]]},"issued":{"date-parts":[["2024",6]]}}}],"schema":"https://github.com/citation-style-language/schema/raw/master/csl-citation.json"} </w:instrText>
            </w:r>
            <w:r>
              <w:rPr>
                <w:rFonts w:eastAsia="Times New Roman" w:cs="Segoe UI"/>
                <w:b/>
                <w:color w:val="000000"/>
                <w:kern w:val="0"/>
                <w:sz w:val="20"/>
                <w:szCs w:val="20"/>
                <w:vertAlign w:val="superscript"/>
                <w:lang w:eastAsia="it-IT"/>
                <w14:ligatures w14:val="none"/>
              </w:rPr>
              <w:fldChar w:fldCharType="separate"/>
            </w:r>
            <w:r w:rsidRPr="00B461F0">
              <w:rPr>
                <w:rFonts w:ascii="Calibri" w:hAnsi="Calibri" w:cs="Calibri"/>
                <w:sz w:val="20"/>
              </w:rPr>
              <w:t>(9)</w:t>
            </w:r>
            <w:r>
              <w:rPr>
                <w:rFonts w:eastAsia="Times New Roman" w:cs="Segoe UI"/>
                <w:b/>
                <w:color w:val="000000"/>
                <w:kern w:val="0"/>
                <w:sz w:val="20"/>
                <w:szCs w:val="20"/>
                <w:vertAlign w:val="superscript"/>
                <w:lang w:eastAsia="it-IT"/>
                <w14:ligatures w14:val="none"/>
              </w:rPr>
              <w:fldChar w:fldCharType="end"/>
            </w:r>
          </w:p>
        </w:tc>
        <w:tc>
          <w:tcPr>
            <w:tcW w:w="744" w:type="pct"/>
            <w:vAlign w:val="center"/>
          </w:tcPr>
          <w:p w:rsidR="00CA08D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lang w:val="en-US"/>
              </w:rPr>
              <w:t>★</w:t>
            </w:r>
          </w:p>
        </w:tc>
        <w:tc>
          <w:tcPr>
            <w:tcW w:w="522"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lang w:val="en-US"/>
              </w:rPr>
              <w:t>★</w:t>
            </w:r>
          </w:p>
        </w:tc>
        <w:tc>
          <w:tcPr>
            <w:tcW w:w="554"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lang w:val="en-US"/>
              </w:rPr>
              <w:t>★</w:t>
            </w:r>
          </w:p>
        </w:tc>
        <w:tc>
          <w:tcPr>
            <w:tcW w:w="504" w:type="pct"/>
            <w:vAlign w:val="center"/>
          </w:tcPr>
          <w:p w:rsidR="00CA08D4" w:rsidRDefault="00CA08D4" w:rsidP="00CA08D4">
            <w:pPr>
              <w:jc w:val="center"/>
              <w:rPr>
                <w:rFonts w:ascii="Segoe UI Symbol" w:hAnsi="Segoe UI Symbol" w:cs="Segoe UI Symbol"/>
                <w:color w:val="202124"/>
                <w:sz w:val="16"/>
              </w:rPr>
            </w:pPr>
            <w:r>
              <w:rPr>
                <w:rFonts w:ascii="Segoe UI Symbol" w:hAnsi="Segoe UI Symbol" w:cs="Segoe UI Symbol"/>
                <w:color w:val="202124"/>
                <w:sz w:val="16"/>
              </w:rPr>
              <w:t>-</w:t>
            </w:r>
          </w:p>
        </w:tc>
        <w:tc>
          <w:tcPr>
            <w:tcW w:w="465" w:type="pct"/>
            <w:vAlign w:val="center"/>
          </w:tcPr>
          <w:p w:rsidR="00CA08D4" w:rsidRPr="000D77F4" w:rsidRDefault="00CA08D4" w:rsidP="00CA08D4">
            <w:pPr>
              <w:jc w:val="center"/>
              <w:rPr>
                <w:rFonts w:ascii="Segoe UI Symbol" w:hAnsi="Segoe UI Symbol" w:cs="Segoe UI Symbol"/>
                <w:color w:val="202124"/>
                <w:sz w:val="16"/>
                <w:lang w:val="en-US"/>
              </w:rPr>
            </w:pPr>
            <w:r w:rsidRPr="000D77F4">
              <w:rPr>
                <w:rFonts w:ascii="Segoe UI Symbol" w:hAnsi="Segoe UI Symbol" w:cs="Segoe UI Symbol"/>
                <w:color w:val="202124"/>
                <w:sz w:val="16"/>
                <w:lang w:val="en-US"/>
              </w:rPr>
              <w:t>★</w:t>
            </w:r>
          </w:p>
        </w:tc>
        <w:tc>
          <w:tcPr>
            <w:tcW w:w="475" w:type="pct"/>
            <w:vAlign w:val="center"/>
          </w:tcPr>
          <w:p w:rsidR="00CA08D4" w:rsidRDefault="00CA08D4" w:rsidP="00CA08D4">
            <w:pPr>
              <w:jc w:val="center"/>
              <w:rPr>
                <w:rFonts w:ascii="Segoe UI Symbol" w:hAnsi="Segoe UI Symbol" w:cs="Segoe UI Symbol"/>
                <w:color w:val="202124"/>
                <w:sz w:val="16"/>
                <w:lang w:val="en-US"/>
              </w:rPr>
            </w:pPr>
            <w:r>
              <w:rPr>
                <w:rFonts w:ascii="Segoe UI Symbol" w:hAnsi="Segoe UI Symbol" w:cs="Segoe UI Symbol"/>
                <w:color w:val="202124"/>
                <w:sz w:val="16"/>
                <w:lang w:val="en-US"/>
              </w:rPr>
              <w:t>-</w:t>
            </w:r>
          </w:p>
        </w:tc>
        <w:tc>
          <w:tcPr>
            <w:tcW w:w="503" w:type="pct"/>
            <w:vAlign w:val="center"/>
          </w:tcPr>
          <w:p w:rsidR="00CA08D4" w:rsidRPr="000D77F4" w:rsidRDefault="00CA08D4" w:rsidP="00CA08D4">
            <w:pPr>
              <w:jc w:val="center"/>
              <w:rPr>
                <w:rFonts w:ascii="Segoe UI Symbol" w:hAnsi="Segoe UI Symbol" w:cs="Segoe UI Symbol"/>
                <w:color w:val="202124"/>
                <w:sz w:val="16"/>
              </w:rPr>
            </w:pPr>
            <w:r w:rsidRPr="000D77F4">
              <w:rPr>
                <w:rFonts w:ascii="Segoe UI Symbol" w:hAnsi="Segoe UI Symbol" w:cs="Segoe UI Symbol"/>
                <w:color w:val="202124"/>
                <w:sz w:val="16"/>
                <w:lang w:val="en-US"/>
              </w:rPr>
              <w:t>★</w:t>
            </w:r>
          </w:p>
        </w:tc>
        <w:tc>
          <w:tcPr>
            <w:tcW w:w="763" w:type="pct"/>
            <w:vAlign w:val="center"/>
          </w:tcPr>
          <w:p w:rsidR="00CA08D4" w:rsidRDefault="00CA08D4" w:rsidP="00CA08D4">
            <w:pPr>
              <w:jc w:val="center"/>
              <w:rPr>
                <w:rFonts w:ascii="Arial" w:hAnsi="Arial" w:cs="Arial"/>
                <w:b/>
                <w:bCs/>
                <w:sz w:val="16"/>
                <w:lang w:val="en-US"/>
              </w:rPr>
            </w:pPr>
            <w:r>
              <w:rPr>
                <w:rFonts w:ascii="Arial" w:hAnsi="Arial" w:cs="Arial"/>
                <w:b/>
                <w:bCs/>
                <w:sz w:val="16"/>
                <w:lang w:val="en-US"/>
              </w:rPr>
              <w:t>5</w:t>
            </w:r>
          </w:p>
        </w:tc>
      </w:tr>
    </w:tbl>
    <w:p w:rsidR="00100D6D" w:rsidRDefault="00100D6D">
      <w:pPr>
        <w:rPr>
          <w:b/>
          <w:lang w:val="en-GB"/>
        </w:rPr>
      </w:pPr>
    </w:p>
    <w:p w:rsidR="00B06BAC" w:rsidRDefault="00B06BAC">
      <w:pPr>
        <w:rPr>
          <w:b/>
          <w:lang w:val="en-GB"/>
        </w:rPr>
      </w:pPr>
      <w:r>
        <w:rPr>
          <w:b/>
          <w:lang w:val="en-GB"/>
        </w:rPr>
        <w:br w:type="page"/>
      </w:r>
    </w:p>
    <w:p w:rsidR="00C1244C" w:rsidRPr="00863D93" w:rsidRDefault="00C1244C" w:rsidP="006F4E67">
      <w:pPr>
        <w:pStyle w:val="Bibliography"/>
        <w:rPr>
          <w:b/>
          <w:lang w:val="en-GB"/>
        </w:rPr>
      </w:pPr>
      <w:r w:rsidRPr="00863D93">
        <w:rPr>
          <w:b/>
          <w:lang w:val="en-GB"/>
        </w:rPr>
        <w:lastRenderedPageBreak/>
        <w:t>REFERENCES</w:t>
      </w:r>
    </w:p>
    <w:p w:rsidR="00F23601" w:rsidRPr="00F23601" w:rsidRDefault="006F4E67" w:rsidP="00F23601">
      <w:pPr>
        <w:pStyle w:val="Bibliography"/>
        <w:rPr>
          <w:rFonts w:ascii="Calibri" w:hAnsi="Calibri" w:cs="Calibri"/>
          <w:szCs w:val="24"/>
          <w:lang w:val="en-GB"/>
        </w:rPr>
      </w:pPr>
      <w:r>
        <w:fldChar w:fldCharType="begin"/>
      </w:r>
      <w:r w:rsidR="00F23601">
        <w:rPr>
          <w:lang w:val="en-GB"/>
        </w:rPr>
        <w:instrText xml:space="preserve"> ADDIN ZOTERO_BIBL {"uncited":[],"omitted":[],"custom":[]} CSL_BIBLIOGRAPHY </w:instrText>
      </w:r>
      <w:r>
        <w:fldChar w:fldCharType="separate"/>
      </w:r>
      <w:r w:rsidR="00F23601" w:rsidRPr="00F23601">
        <w:rPr>
          <w:rFonts w:ascii="Calibri" w:hAnsi="Calibri" w:cs="Calibri"/>
          <w:szCs w:val="24"/>
          <w:lang w:val="en-GB"/>
        </w:rPr>
        <w:t>1.</w:t>
      </w:r>
      <w:r w:rsidR="00F23601" w:rsidRPr="00F23601">
        <w:rPr>
          <w:rFonts w:ascii="Calibri" w:hAnsi="Calibri" w:cs="Calibri"/>
          <w:szCs w:val="24"/>
          <w:lang w:val="en-GB"/>
        </w:rPr>
        <w:tab/>
        <w:t xml:space="preserve">NEWCASTLE - OTTAWA QUALITY ASSESSMENT SCALE COHORT STUDIES. </w:t>
      </w:r>
    </w:p>
    <w:p w:rsidR="00F23601" w:rsidRPr="00F23601" w:rsidRDefault="00F23601" w:rsidP="00F23601">
      <w:pPr>
        <w:pStyle w:val="Bibliography"/>
        <w:rPr>
          <w:rFonts w:ascii="Calibri" w:hAnsi="Calibri" w:cs="Calibri"/>
          <w:szCs w:val="24"/>
        </w:rPr>
      </w:pPr>
      <w:r w:rsidRPr="00F23601">
        <w:rPr>
          <w:rFonts w:ascii="Calibri" w:hAnsi="Calibri" w:cs="Calibri"/>
          <w:szCs w:val="24"/>
        </w:rPr>
        <w:t>2.</w:t>
      </w:r>
      <w:r w:rsidRPr="00F23601">
        <w:rPr>
          <w:rFonts w:ascii="Calibri" w:hAnsi="Calibri" w:cs="Calibri"/>
          <w:szCs w:val="24"/>
        </w:rPr>
        <w:tab/>
        <w:t xml:space="preserve">Imai H, Kitano M, Omoto S, Kadosaka K, Kamata K, Miyata T, et al. </w:t>
      </w:r>
      <w:r w:rsidRPr="00F23601">
        <w:rPr>
          <w:rFonts w:ascii="Calibri" w:hAnsi="Calibri" w:cs="Calibri"/>
          <w:szCs w:val="24"/>
          <w:lang w:val="en-GB"/>
        </w:rPr>
        <w:t xml:space="preserve">EUS-guided gallbladder drainage for rescue treatment of malignant distal biliary obstruction after unsuccessful ERCP. </w:t>
      </w:r>
      <w:r w:rsidRPr="00F23601">
        <w:rPr>
          <w:rFonts w:ascii="Calibri" w:hAnsi="Calibri" w:cs="Calibri"/>
          <w:szCs w:val="24"/>
        </w:rPr>
        <w:t xml:space="preserve">Gastrointestinal Endoscopy. 2016 Jul;84(1):147–51. </w:t>
      </w:r>
    </w:p>
    <w:p w:rsidR="00F23601" w:rsidRPr="00F23601" w:rsidRDefault="00F23601" w:rsidP="00F23601">
      <w:pPr>
        <w:pStyle w:val="Bibliography"/>
        <w:rPr>
          <w:rFonts w:ascii="Calibri" w:hAnsi="Calibri" w:cs="Calibri"/>
          <w:szCs w:val="24"/>
          <w:lang w:val="en-GB"/>
        </w:rPr>
      </w:pPr>
      <w:r w:rsidRPr="00F23601">
        <w:rPr>
          <w:rFonts w:ascii="Calibri" w:hAnsi="Calibri" w:cs="Calibri"/>
          <w:szCs w:val="24"/>
          <w:lang w:val="en-GB"/>
        </w:rPr>
        <w:t>3.</w:t>
      </w:r>
      <w:r w:rsidRPr="00F23601">
        <w:rPr>
          <w:rFonts w:ascii="Calibri" w:hAnsi="Calibri" w:cs="Calibri"/>
          <w:szCs w:val="24"/>
          <w:lang w:val="en-GB"/>
        </w:rPr>
        <w:tab/>
        <w:t xml:space="preserve">Chang JI, Dong E, Kwok KK. Endoscopic ultrasound-guided transmural gallbladder drainage in malignant obstruction using a novel lumen-apposing stent: a case series (with video). Endosc Int Open. 2019 May;7(5):E655–61. </w:t>
      </w:r>
    </w:p>
    <w:p w:rsidR="00F23601" w:rsidRPr="00F23601" w:rsidRDefault="00F23601" w:rsidP="00F23601">
      <w:pPr>
        <w:pStyle w:val="Bibliography"/>
        <w:rPr>
          <w:rFonts w:ascii="Calibri" w:hAnsi="Calibri" w:cs="Calibri"/>
          <w:szCs w:val="24"/>
          <w:lang w:val="en-GB"/>
        </w:rPr>
      </w:pPr>
      <w:r w:rsidRPr="00F23601">
        <w:rPr>
          <w:rFonts w:ascii="Calibri" w:hAnsi="Calibri" w:cs="Calibri"/>
          <w:szCs w:val="24"/>
          <w:lang w:val="en-GB"/>
        </w:rPr>
        <w:t>4.</w:t>
      </w:r>
      <w:r w:rsidRPr="00F23601">
        <w:rPr>
          <w:rFonts w:ascii="Calibri" w:hAnsi="Calibri" w:cs="Calibri"/>
          <w:szCs w:val="24"/>
          <w:lang w:val="en-GB"/>
        </w:rPr>
        <w:tab/>
        <w:t xml:space="preserve">Paleti S, Gulati R, Sánchez-Luna SA, Ling C, Rustagi T. Su1191 EUS-GUIDED GALL BLADDER DRAINAGE USING LUMEN APPOSING METAL STENT FOR MALIGNANT BILIARY OBSTRUCTION. Gastrointestinal Endoscopy. 2019 Jun;89(6):AB308. </w:t>
      </w:r>
    </w:p>
    <w:p w:rsidR="00F23601" w:rsidRPr="00F23601" w:rsidRDefault="00F23601" w:rsidP="00F23601">
      <w:pPr>
        <w:pStyle w:val="Bibliography"/>
        <w:rPr>
          <w:rFonts w:ascii="Calibri" w:hAnsi="Calibri" w:cs="Calibri"/>
          <w:szCs w:val="24"/>
          <w:lang w:val="en-GB"/>
        </w:rPr>
      </w:pPr>
      <w:r w:rsidRPr="00F23601">
        <w:rPr>
          <w:rFonts w:ascii="Calibri" w:hAnsi="Calibri" w:cs="Calibri"/>
          <w:szCs w:val="24"/>
          <w:lang w:val="en-GB"/>
        </w:rPr>
        <w:t>5.</w:t>
      </w:r>
      <w:r w:rsidRPr="00F23601">
        <w:rPr>
          <w:rFonts w:ascii="Calibri" w:hAnsi="Calibri" w:cs="Calibri"/>
          <w:szCs w:val="24"/>
          <w:lang w:val="en-GB"/>
        </w:rPr>
        <w:tab/>
        <w:t xml:space="preserve">Issa D, Irani S, Law R, Shah S, Bhalla S, Mahadev S, et al. Endoscopic ultrasound-guided gallbladder drainage as a rescue therapy for unresectable malignant biliary obstruction: a multicenter experience. Endoscopy. 2021 Aug;53(08):827–31. </w:t>
      </w:r>
    </w:p>
    <w:p w:rsidR="00F23601" w:rsidRPr="00F23601" w:rsidRDefault="00F23601" w:rsidP="00F23601">
      <w:pPr>
        <w:pStyle w:val="Bibliography"/>
        <w:rPr>
          <w:rFonts w:ascii="Calibri" w:hAnsi="Calibri" w:cs="Calibri"/>
          <w:szCs w:val="24"/>
          <w:lang w:val="en-GB"/>
        </w:rPr>
      </w:pPr>
      <w:r w:rsidRPr="00F23601">
        <w:rPr>
          <w:rFonts w:ascii="Calibri" w:hAnsi="Calibri" w:cs="Calibri"/>
          <w:szCs w:val="24"/>
          <w:lang w:val="en-GB"/>
        </w:rPr>
        <w:t>6.</w:t>
      </w:r>
      <w:r w:rsidRPr="00F23601">
        <w:rPr>
          <w:rFonts w:ascii="Calibri" w:hAnsi="Calibri" w:cs="Calibri"/>
          <w:szCs w:val="24"/>
          <w:lang w:val="en-GB"/>
        </w:rPr>
        <w:tab/>
        <w:t>Lambin T, Branche J, Privat J, Bourgaux J, Koch S, Palazzo M, et al. Efficacy and Safety of Eus-Guided Transmural Gallbladder Drainage In Malignant Biliary Obstruction Using an Electrocautery-Enhanced Lumen Apposing Metal Stent: a French Multicenter Study. In Going virtual. Staying real.; 2021 [cited 2024 May 22]. p. s-0041-1724353. Available from: http://www.thieme-connect.de/DOI/DOI?10.1055/s-0041-1724353</w:t>
      </w:r>
    </w:p>
    <w:p w:rsidR="00F23601" w:rsidRPr="00F23601" w:rsidRDefault="00F23601" w:rsidP="00F23601">
      <w:pPr>
        <w:pStyle w:val="Bibliography"/>
        <w:rPr>
          <w:rFonts w:ascii="Calibri" w:hAnsi="Calibri" w:cs="Calibri"/>
          <w:szCs w:val="24"/>
          <w:lang w:val="en-GB"/>
        </w:rPr>
      </w:pPr>
      <w:r w:rsidRPr="00F23601">
        <w:rPr>
          <w:rFonts w:ascii="Calibri" w:hAnsi="Calibri" w:cs="Calibri"/>
          <w:szCs w:val="24"/>
        </w:rPr>
        <w:t>7.</w:t>
      </w:r>
      <w:r w:rsidRPr="00F23601">
        <w:rPr>
          <w:rFonts w:ascii="Calibri" w:hAnsi="Calibri" w:cs="Calibri"/>
          <w:szCs w:val="24"/>
        </w:rPr>
        <w:tab/>
        <w:t xml:space="preserve">Binda C, Anderloni A, Fugazza A, Amato A, De Nucci G, Redaelli A, et al. </w:t>
      </w:r>
      <w:r w:rsidRPr="00F23601">
        <w:rPr>
          <w:rFonts w:ascii="Calibri" w:hAnsi="Calibri" w:cs="Calibri"/>
          <w:szCs w:val="24"/>
          <w:lang w:val="en-GB"/>
        </w:rPr>
        <w:t xml:space="preserve">EUS-guided gallbladder drainage using a lumen-apposing metal stent as rescue treatment for malignant distal biliary obstruction: a large multicenter experience. Gastrointestinal Endoscopy. 2023 Nov;98(5):765–73. </w:t>
      </w:r>
    </w:p>
    <w:p w:rsidR="00F23601" w:rsidRPr="00F23601" w:rsidRDefault="00F23601" w:rsidP="00F23601">
      <w:pPr>
        <w:pStyle w:val="Bibliography"/>
        <w:rPr>
          <w:rFonts w:ascii="Calibri" w:hAnsi="Calibri" w:cs="Calibri"/>
          <w:szCs w:val="24"/>
          <w:lang w:val="en-GB"/>
        </w:rPr>
      </w:pPr>
      <w:r w:rsidRPr="00F23601">
        <w:rPr>
          <w:rFonts w:ascii="Calibri" w:hAnsi="Calibri" w:cs="Calibri"/>
          <w:szCs w:val="24"/>
          <w:lang w:val="en-GB"/>
        </w:rPr>
        <w:t>8.</w:t>
      </w:r>
      <w:r w:rsidRPr="00F23601">
        <w:rPr>
          <w:rFonts w:ascii="Calibri" w:hAnsi="Calibri" w:cs="Calibri"/>
          <w:szCs w:val="24"/>
          <w:lang w:val="en-GB"/>
        </w:rPr>
        <w:tab/>
        <w:t xml:space="preserve">Debourdeau A, Daniel J, Caillo L, Assenat E, Bertrand M, Bardol T, et al. Effectiveness of endoscopic ultrasound (EUS)‐guided choledochoduodenostomy vs. EUS‐guided gallbladder drainage for jaundice in patients with malignant distal biliary obstruction after failed endoscopic retrograde cholangiopancreatography: Retrospective, multicenter study (GALLBLADEUS Study). Digestive Endoscopy. 2024 Feb 21;den.14750. </w:t>
      </w:r>
    </w:p>
    <w:p w:rsidR="00F23601" w:rsidRPr="00F23601" w:rsidRDefault="00F23601" w:rsidP="00F23601">
      <w:pPr>
        <w:pStyle w:val="Bibliography"/>
        <w:rPr>
          <w:rFonts w:ascii="Calibri" w:hAnsi="Calibri" w:cs="Calibri"/>
          <w:szCs w:val="24"/>
        </w:rPr>
      </w:pPr>
      <w:r w:rsidRPr="00F23601">
        <w:rPr>
          <w:rFonts w:ascii="Calibri" w:hAnsi="Calibri" w:cs="Calibri"/>
          <w:szCs w:val="24"/>
          <w:lang w:val="en-GB"/>
        </w:rPr>
        <w:t>9.</w:t>
      </w:r>
      <w:r w:rsidRPr="00F23601">
        <w:rPr>
          <w:rFonts w:ascii="Calibri" w:hAnsi="Calibri" w:cs="Calibri"/>
          <w:szCs w:val="24"/>
          <w:lang w:val="en-GB"/>
        </w:rPr>
        <w:tab/>
        <w:t xml:space="preserve">Korani. P396 (ENDOSCOPIC ULTRASOUND) GUIDED GALLBLADDER DRAINAGE (EUS-GBD) FOR DISTAL MALIGNANT BILIARY OBSTRUCTION(D-MBO), FIRST UK MULTICENTER EXPERIENCE OF A NOVEL RESCUE PROCEDURE. In: Poster Presentations [Internet]. BMJ Publishing Group Ltd and British Society of Gastroenterology; 2024 [cited 2024 Nov 19]. p. A293.2-A294. </w:t>
      </w:r>
      <w:r w:rsidRPr="00F23601">
        <w:rPr>
          <w:rFonts w:ascii="Calibri" w:hAnsi="Calibri" w:cs="Calibri"/>
          <w:szCs w:val="24"/>
        </w:rPr>
        <w:t>Available from: https://gut.bmj.com/content/73/Suppl_1/A293.1</w:t>
      </w:r>
    </w:p>
    <w:p w:rsidR="00313998" w:rsidRDefault="006F4E67">
      <w:r>
        <w:fldChar w:fldCharType="end"/>
      </w:r>
    </w:p>
    <w:sectPr w:rsidR="00313998" w:rsidSect="004404CD">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E607E"/>
    <w:multiLevelType w:val="hybridMultilevel"/>
    <w:tmpl w:val="02D01E0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4C80F04"/>
    <w:multiLevelType w:val="hybridMultilevel"/>
    <w:tmpl w:val="983242E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583D543C"/>
    <w:multiLevelType w:val="hybridMultilevel"/>
    <w:tmpl w:val="AEFC65A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AD912C0"/>
    <w:multiLevelType w:val="hybridMultilevel"/>
    <w:tmpl w:val="12F0BF5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65194346"/>
    <w:multiLevelType w:val="hybridMultilevel"/>
    <w:tmpl w:val="380212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A375FB2"/>
    <w:multiLevelType w:val="hybridMultilevel"/>
    <w:tmpl w:val="0A6073A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5"/>
  </w:num>
  <w:num w:numId="4">
    <w:abstractNumId w:val="1"/>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38C5"/>
    <w:rsid w:val="00011451"/>
    <w:rsid w:val="00061369"/>
    <w:rsid w:val="00062770"/>
    <w:rsid w:val="00076CBC"/>
    <w:rsid w:val="0008670B"/>
    <w:rsid w:val="000A6C6B"/>
    <w:rsid w:val="00100D6D"/>
    <w:rsid w:val="00105229"/>
    <w:rsid w:val="00105E85"/>
    <w:rsid w:val="00106FCE"/>
    <w:rsid w:val="00132E75"/>
    <w:rsid w:val="001534D4"/>
    <w:rsid w:val="00171DB5"/>
    <w:rsid w:val="001B1B79"/>
    <w:rsid w:val="001B2482"/>
    <w:rsid w:val="001D2DB8"/>
    <w:rsid w:val="001F01F0"/>
    <w:rsid w:val="001F2718"/>
    <w:rsid w:val="001F5F58"/>
    <w:rsid w:val="00201777"/>
    <w:rsid w:val="00213EAB"/>
    <w:rsid w:val="002243AC"/>
    <w:rsid w:val="002530C5"/>
    <w:rsid w:val="00257399"/>
    <w:rsid w:val="002A0016"/>
    <w:rsid w:val="002B4019"/>
    <w:rsid w:val="002C12AB"/>
    <w:rsid w:val="002E4B32"/>
    <w:rsid w:val="00311439"/>
    <w:rsid w:val="00313998"/>
    <w:rsid w:val="003151D1"/>
    <w:rsid w:val="003219B3"/>
    <w:rsid w:val="00330FA8"/>
    <w:rsid w:val="00334560"/>
    <w:rsid w:val="00353A58"/>
    <w:rsid w:val="003569E0"/>
    <w:rsid w:val="00362010"/>
    <w:rsid w:val="003655EB"/>
    <w:rsid w:val="003674BD"/>
    <w:rsid w:val="003702DA"/>
    <w:rsid w:val="00376633"/>
    <w:rsid w:val="003856AE"/>
    <w:rsid w:val="00390CB9"/>
    <w:rsid w:val="003A094F"/>
    <w:rsid w:val="003A7A6B"/>
    <w:rsid w:val="003B2EB1"/>
    <w:rsid w:val="003B4B65"/>
    <w:rsid w:val="003C18F7"/>
    <w:rsid w:val="003D728C"/>
    <w:rsid w:val="003F4C80"/>
    <w:rsid w:val="00402958"/>
    <w:rsid w:val="004127A8"/>
    <w:rsid w:val="004404CD"/>
    <w:rsid w:val="0044113D"/>
    <w:rsid w:val="0045620D"/>
    <w:rsid w:val="004638EB"/>
    <w:rsid w:val="004670EF"/>
    <w:rsid w:val="004749CD"/>
    <w:rsid w:val="0048104C"/>
    <w:rsid w:val="00484169"/>
    <w:rsid w:val="0048538D"/>
    <w:rsid w:val="00493A26"/>
    <w:rsid w:val="004943E4"/>
    <w:rsid w:val="004A1AD5"/>
    <w:rsid w:val="004A7381"/>
    <w:rsid w:val="004B52E4"/>
    <w:rsid w:val="004E7703"/>
    <w:rsid w:val="004E781E"/>
    <w:rsid w:val="004F2D46"/>
    <w:rsid w:val="00505883"/>
    <w:rsid w:val="00512A49"/>
    <w:rsid w:val="00530820"/>
    <w:rsid w:val="00542424"/>
    <w:rsid w:val="00581A8C"/>
    <w:rsid w:val="00584F79"/>
    <w:rsid w:val="005A353A"/>
    <w:rsid w:val="005A7D02"/>
    <w:rsid w:val="005B4884"/>
    <w:rsid w:val="005B49F1"/>
    <w:rsid w:val="005D3FDA"/>
    <w:rsid w:val="005F1E4C"/>
    <w:rsid w:val="00647144"/>
    <w:rsid w:val="00652AAD"/>
    <w:rsid w:val="006532E1"/>
    <w:rsid w:val="00655F7E"/>
    <w:rsid w:val="0066011A"/>
    <w:rsid w:val="006630DC"/>
    <w:rsid w:val="00672E26"/>
    <w:rsid w:val="00695526"/>
    <w:rsid w:val="006B0345"/>
    <w:rsid w:val="006B51CA"/>
    <w:rsid w:val="006B65D7"/>
    <w:rsid w:val="006D57D7"/>
    <w:rsid w:val="006E13DB"/>
    <w:rsid w:val="006E19F6"/>
    <w:rsid w:val="006F4E67"/>
    <w:rsid w:val="0071308F"/>
    <w:rsid w:val="00723DB1"/>
    <w:rsid w:val="00733036"/>
    <w:rsid w:val="0073304D"/>
    <w:rsid w:val="00734D8C"/>
    <w:rsid w:val="007606FC"/>
    <w:rsid w:val="00762DFF"/>
    <w:rsid w:val="00775A86"/>
    <w:rsid w:val="00775F4E"/>
    <w:rsid w:val="007905C7"/>
    <w:rsid w:val="007A449D"/>
    <w:rsid w:val="007A7B77"/>
    <w:rsid w:val="007B18B8"/>
    <w:rsid w:val="007C3239"/>
    <w:rsid w:val="007D12A7"/>
    <w:rsid w:val="007D61FA"/>
    <w:rsid w:val="007F6C6D"/>
    <w:rsid w:val="00822E2F"/>
    <w:rsid w:val="0082536A"/>
    <w:rsid w:val="008253DE"/>
    <w:rsid w:val="00831700"/>
    <w:rsid w:val="008340A0"/>
    <w:rsid w:val="00837D0B"/>
    <w:rsid w:val="00840BC4"/>
    <w:rsid w:val="00841B24"/>
    <w:rsid w:val="008509BE"/>
    <w:rsid w:val="00862C70"/>
    <w:rsid w:val="00863D93"/>
    <w:rsid w:val="00866C8F"/>
    <w:rsid w:val="0087098E"/>
    <w:rsid w:val="00872679"/>
    <w:rsid w:val="0088595A"/>
    <w:rsid w:val="00886387"/>
    <w:rsid w:val="008A4E22"/>
    <w:rsid w:val="008A513F"/>
    <w:rsid w:val="008C5D73"/>
    <w:rsid w:val="008F2A7E"/>
    <w:rsid w:val="00923ECC"/>
    <w:rsid w:val="00927D42"/>
    <w:rsid w:val="00930D6B"/>
    <w:rsid w:val="009313A2"/>
    <w:rsid w:val="00964E8A"/>
    <w:rsid w:val="009A3703"/>
    <w:rsid w:val="009C4018"/>
    <w:rsid w:val="009D2817"/>
    <w:rsid w:val="009E20B1"/>
    <w:rsid w:val="009F49FF"/>
    <w:rsid w:val="00A0403F"/>
    <w:rsid w:val="00A10A86"/>
    <w:rsid w:val="00A14EA7"/>
    <w:rsid w:val="00A84B80"/>
    <w:rsid w:val="00A8589C"/>
    <w:rsid w:val="00AB68E4"/>
    <w:rsid w:val="00AF2DCF"/>
    <w:rsid w:val="00B06BAC"/>
    <w:rsid w:val="00B12752"/>
    <w:rsid w:val="00B1409C"/>
    <w:rsid w:val="00B34829"/>
    <w:rsid w:val="00B34B90"/>
    <w:rsid w:val="00B3516A"/>
    <w:rsid w:val="00B461F0"/>
    <w:rsid w:val="00B573D6"/>
    <w:rsid w:val="00B605B6"/>
    <w:rsid w:val="00B86760"/>
    <w:rsid w:val="00B957A6"/>
    <w:rsid w:val="00B95EBF"/>
    <w:rsid w:val="00BE47F7"/>
    <w:rsid w:val="00BF2DC0"/>
    <w:rsid w:val="00C1244C"/>
    <w:rsid w:val="00C15D16"/>
    <w:rsid w:val="00C16C8C"/>
    <w:rsid w:val="00C22396"/>
    <w:rsid w:val="00C305CF"/>
    <w:rsid w:val="00C379FF"/>
    <w:rsid w:val="00C83998"/>
    <w:rsid w:val="00C928E6"/>
    <w:rsid w:val="00CA08D4"/>
    <w:rsid w:val="00CA65FB"/>
    <w:rsid w:val="00CB3912"/>
    <w:rsid w:val="00CD340E"/>
    <w:rsid w:val="00CD7A24"/>
    <w:rsid w:val="00CD7B88"/>
    <w:rsid w:val="00D23F73"/>
    <w:rsid w:val="00D36FBA"/>
    <w:rsid w:val="00D42507"/>
    <w:rsid w:val="00D65A6A"/>
    <w:rsid w:val="00D70022"/>
    <w:rsid w:val="00D917F4"/>
    <w:rsid w:val="00D91974"/>
    <w:rsid w:val="00D93917"/>
    <w:rsid w:val="00D957CA"/>
    <w:rsid w:val="00DA10E5"/>
    <w:rsid w:val="00DA271A"/>
    <w:rsid w:val="00DB0768"/>
    <w:rsid w:val="00DB12F8"/>
    <w:rsid w:val="00DB1F08"/>
    <w:rsid w:val="00DB3253"/>
    <w:rsid w:val="00DC691E"/>
    <w:rsid w:val="00DE33F6"/>
    <w:rsid w:val="00DF4CF2"/>
    <w:rsid w:val="00E07817"/>
    <w:rsid w:val="00E1514B"/>
    <w:rsid w:val="00E2463C"/>
    <w:rsid w:val="00E35177"/>
    <w:rsid w:val="00E35B81"/>
    <w:rsid w:val="00E45219"/>
    <w:rsid w:val="00E46F65"/>
    <w:rsid w:val="00E51675"/>
    <w:rsid w:val="00E57488"/>
    <w:rsid w:val="00E65BDD"/>
    <w:rsid w:val="00E662EC"/>
    <w:rsid w:val="00E713DF"/>
    <w:rsid w:val="00E81534"/>
    <w:rsid w:val="00EB3981"/>
    <w:rsid w:val="00EC261D"/>
    <w:rsid w:val="00EC47E4"/>
    <w:rsid w:val="00EE3DA2"/>
    <w:rsid w:val="00F07CEB"/>
    <w:rsid w:val="00F20237"/>
    <w:rsid w:val="00F23601"/>
    <w:rsid w:val="00F238B0"/>
    <w:rsid w:val="00F36B5E"/>
    <w:rsid w:val="00F44A70"/>
    <w:rsid w:val="00F4517E"/>
    <w:rsid w:val="00F65E0D"/>
    <w:rsid w:val="00F90F2D"/>
    <w:rsid w:val="00FA32CC"/>
    <w:rsid w:val="00FA4E15"/>
    <w:rsid w:val="00FE38C5"/>
    <w:rsid w:val="00FF1C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3D3525"/>
  <w15:chartTrackingRefBased/>
  <w15:docId w15:val="{F21597B8-B984-4344-8C19-F438D16F5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38C5"/>
    <w:rPr>
      <w:kern w:val="2"/>
      <w14:ligatures w14:val="standardContextual"/>
    </w:rPr>
  </w:style>
  <w:style w:type="paragraph" w:styleId="Heading2">
    <w:name w:val="heading 2"/>
    <w:basedOn w:val="Normal"/>
    <w:link w:val="Heading2Char"/>
    <w:uiPriority w:val="9"/>
    <w:qFormat/>
    <w:rsid w:val="006B51CA"/>
    <w:pPr>
      <w:spacing w:before="100" w:beforeAutospacing="1" w:after="180" w:line="240" w:lineRule="auto"/>
      <w:outlineLvl w:val="1"/>
    </w:pPr>
    <w:rPr>
      <w:rFonts w:ascii="Times New Roman" w:eastAsia="Times New Roman" w:hAnsi="Times New Roman" w:cs="Times New Roman"/>
      <w:b/>
      <w:bCs/>
      <w:color w:val="3E6DA9"/>
      <w:kern w:val="0"/>
      <w:sz w:val="31"/>
      <w:szCs w:val="31"/>
      <w:lang w:eastAsia="it-IT"/>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530C5"/>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table" w:styleId="TableGrid">
    <w:name w:val="Table Grid"/>
    <w:basedOn w:val="TableNormal"/>
    <w:uiPriority w:val="99"/>
    <w:rsid w:val="003139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6F4E67"/>
    <w:pPr>
      <w:tabs>
        <w:tab w:val="left" w:pos="264"/>
      </w:tabs>
      <w:spacing w:after="240" w:line="240" w:lineRule="auto"/>
      <w:ind w:left="264" w:hanging="264"/>
    </w:pPr>
  </w:style>
  <w:style w:type="paragraph" w:customStyle="1" w:styleId="Default">
    <w:name w:val="Default"/>
    <w:rsid w:val="003B4B65"/>
    <w:pPr>
      <w:autoSpaceDE w:val="0"/>
      <w:autoSpaceDN w:val="0"/>
      <w:adjustRightInd w:val="0"/>
      <w:spacing w:after="0" w:line="240" w:lineRule="auto"/>
    </w:pPr>
    <w:rPr>
      <w:rFonts w:ascii="Arial" w:hAnsi="Arial" w:cs="Arial"/>
      <w:color w:val="000000"/>
      <w:sz w:val="24"/>
      <w:szCs w:val="24"/>
    </w:rPr>
  </w:style>
  <w:style w:type="paragraph" w:styleId="CommentText">
    <w:name w:val="annotation text"/>
    <w:basedOn w:val="Normal"/>
    <w:link w:val="CommentTextChar"/>
    <w:uiPriority w:val="99"/>
    <w:unhideWhenUsed/>
    <w:rsid w:val="00775A86"/>
    <w:pPr>
      <w:spacing w:line="240" w:lineRule="auto"/>
    </w:pPr>
    <w:rPr>
      <w:rFonts w:eastAsiaTheme="minorEastAsia"/>
      <w:kern w:val="0"/>
      <w:sz w:val="20"/>
      <w:szCs w:val="20"/>
      <w:lang w:val="en-AU" w:eastAsia="zh-CN"/>
      <w14:ligatures w14:val="none"/>
    </w:rPr>
  </w:style>
  <w:style w:type="character" w:customStyle="1" w:styleId="CommentTextChar">
    <w:name w:val="Comment Text Char"/>
    <w:basedOn w:val="DefaultParagraphFont"/>
    <w:link w:val="CommentText"/>
    <w:uiPriority w:val="99"/>
    <w:rsid w:val="00775A86"/>
    <w:rPr>
      <w:rFonts w:eastAsiaTheme="minorEastAsia"/>
      <w:sz w:val="20"/>
      <w:szCs w:val="20"/>
      <w:lang w:val="en-AU" w:eastAsia="zh-CN"/>
    </w:rPr>
  </w:style>
  <w:style w:type="paragraph" w:styleId="ListParagraph">
    <w:name w:val="List Paragraph"/>
    <w:basedOn w:val="Normal"/>
    <w:uiPriority w:val="34"/>
    <w:qFormat/>
    <w:rsid w:val="001D2DB8"/>
    <w:pPr>
      <w:ind w:left="720"/>
      <w:contextualSpacing/>
    </w:pPr>
  </w:style>
  <w:style w:type="character" w:customStyle="1" w:styleId="Heading2Char">
    <w:name w:val="Heading 2 Char"/>
    <w:basedOn w:val="DefaultParagraphFont"/>
    <w:link w:val="Heading2"/>
    <w:uiPriority w:val="9"/>
    <w:rsid w:val="006B51CA"/>
    <w:rPr>
      <w:rFonts w:ascii="Times New Roman" w:eastAsia="Times New Roman" w:hAnsi="Times New Roman" w:cs="Times New Roman"/>
      <w:b/>
      <w:bCs/>
      <w:color w:val="3E6DA9"/>
      <w:sz w:val="31"/>
      <w:szCs w:val="31"/>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536273">
      <w:bodyDiv w:val="1"/>
      <w:marLeft w:val="360"/>
      <w:marRight w:val="360"/>
      <w:marTop w:val="360"/>
      <w:marBottom w:val="360"/>
      <w:divBdr>
        <w:top w:val="none" w:sz="0" w:space="0" w:color="auto"/>
        <w:left w:val="none" w:sz="0" w:space="0" w:color="auto"/>
        <w:bottom w:val="none" w:sz="0" w:space="0" w:color="auto"/>
        <w:right w:val="none" w:sz="0" w:space="0" w:color="auto"/>
      </w:divBdr>
    </w:div>
    <w:div w:id="317850795">
      <w:bodyDiv w:val="1"/>
      <w:marLeft w:val="360"/>
      <w:marRight w:val="360"/>
      <w:marTop w:val="360"/>
      <w:marBottom w:val="360"/>
      <w:divBdr>
        <w:top w:val="none" w:sz="0" w:space="0" w:color="auto"/>
        <w:left w:val="none" w:sz="0" w:space="0" w:color="auto"/>
        <w:bottom w:val="none" w:sz="0" w:space="0" w:color="auto"/>
        <w:right w:val="none" w:sz="0" w:space="0" w:color="auto"/>
      </w:divBdr>
    </w:div>
    <w:div w:id="391971501">
      <w:bodyDiv w:val="1"/>
      <w:marLeft w:val="360"/>
      <w:marRight w:val="360"/>
      <w:marTop w:val="360"/>
      <w:marBottom w:val="360"/>
      <w:divBdr>
        <w:top w:val="none" w:sz="0" w:space="0" w:color="auto"/>
        <w:left w:val="none" w:sz="0" w:space="0" w:color="auto"/>
        <w:bottom w:val="none" w:sz="0" w:space="0" w:color="auto"/>
        <w:right w:val="none" w:sz="0" w:space="0" w:color="auto"/>
      </w:divBdr>
    </w:div>
    <w:div w:id="416562538">
      <w:bodyDiv w:val="1"/>
      <w:marLeft w:val="0"/>
      <w:marRight w:val="0"/>
      <w:marTop w:val="0"/>
      <w:marBottom w:val="0"/>
      <w:divBdr>
        <w:top w:val="none" w:sz="0" w:space="0" w:color="auto"/>
        <w:left w:val="none" w:sz="0" w:space="0" w:color="auto"/>
        <w:bottom w:val="none" w:sz="0" w:space="0" w:color="auto"/>
        <w:right w:val="none" w:sz="0" w:space="0" w:color="auto"/>
      </w:divBdr>
      <w:divsChild>
        <w:div w:id="1640577462">
          <w:marLeft w:val="446"/>
          <w:marRight w:val="0"/>
          <w:marTop w:val="0"/>
          <w:marBottom w:val="0"/>
          <w:divBdr>
            <w:top w:val="none" w:sz="0" w:space="0" w:color="auto"/>
            <w:left w:val="none" w:sz="0" w:space="0" w:color="auto"/>
            <w:bottom w:val="none" w:sz="0" w:space="0" w:color="auto"/>
            <w:right w:val="none" w:sz="0" w:space="0" w:color="auto"/>
          </w:divBdr>
        </w:div>
        <w:div w:id="207112601">
          <w:marLeft w:val="446"/>
          <w:marRight w:val="0"/>
          <w:marTop w:val="0"/>
          <w:marBottom w:val="0"/>
          <w:divBdr>
            <w:top w:val="none" w:sz="0" w:space="0" w:color="auto"/>
            <w:left w:val="none" w:sz="0" w:space="0" w:color="auto"/>
            <w:bottom w:val="none" w:sz="0" w:space="0" w:color="auto"/>
            <w:right w:val="none" w:sz="0" w:space="0" w:color="auto"/>
          </w:divBdr>
        </w:div>
      </w:divsChild>
    </w:div>
    <w:div w:id="751240843">
      <w:bodyDiv w:val="1"/>
      <w:marLeft w:val="360"/>
      <w:marRight w:val="360"/>
      <w:marTop w:val="360"/>
      <w:marBottom w:val="360"/>
      <w:divBdr>
        <w:top w:val="none" w:sz="0" w:space="0" w:color="auto"/>
        <w:left w:val="none" w:sz="0" w:space="0" w:color="auto"/>
        <w:bottom w:val="none" w:sz="0" w:space="0" w:color="auto"/>
        <w:right w:val="none" w:sz="0" w:space="0" w:color="auto"/>
      </w:divBdr>
    </w:div>
    <w:div w:id="1159082340">
      <w:bodyDiv w:val="1"/>
      <w:marLeft w:val="0"/>
      <w:marRight w:val="0"/>
      <w:marTop w:val="0"/>
      <w:marBottom w:val="0"/>
      <w:divBdr>
        <w:top w:val="none" w:sz="0" w:space="0" w:color="auto"/>
        <w:left w:val="none" w:sz="0" w:space="0" w:color="auto"/>
        <w:bottom w:val="none" w:sz="0" w:space="0" w:color="auto"/>
        <w:right w:val="none" w:sz="0" w:space="0" w:color="auto"/>
      </w:divBdr>
    </w:div>
    <w:div w:id="1207987158">
      <w:bodyDiv w:val="1"/>
      <w:marLeft w:val="360"/>
      <w:marRight w:val="360"/>
      <w:marTop w:val="360"/>
      <w:marBottom w:val="360"/>
      <w:divBdr>
        <w:top w:val="none" w:sz="0" w:space="0" w:color="auto"/>
        <w:left w:val="none" w:sz="0" w:space="0" w:color="auto"/>
        <w:bottom w:val="none" w:sz="0" w:space="0" w:color="auto"/>
        <w:right w:val="none" w:sz="0" w:space="0" w:color="auto"/>
      </w:divBdr>
    </w:div>
    <w:div w:id="1272514242">
      <w:bodyDiv w:val="1"/>
      <w:marLeft w:val="360"/>
      <w:marRight w:val="360"/>
      <w:marTop w:val="360"/>
      <w:marBottom w:val="360"/>
      <w:divBdr>
        <w:top w:val="none" w:sz="0" w:space="0" w:color="auto"/>
        <w:left w:val="none" w:sz="0" w:space="0" w:color="auto"/>
        <w:bottom w:val="none" w:sz="0" w:space="0" w:color="auto"/>
        <w:right w:val="none" w:sz="0" w:space="0" w:color="auto"/>
      </w:divBdr>
    </w:div>
    <w:div w:id="1309818986">
      <w:bodyDiv w:val="1"/>
      <w:marLeft w:val="360"/>
      <w:marRight w:val="360"/>
      <w:marTop w:val="360"/>
      <w:marBottom w:val="360"/>
      <w:divBdr>
        <w:top w:val="none" w:sz="0" w:space="0" w:color="auto"/>
        <w:left w:val="none" w:sz="0" w:space="0" w:color="auto"/>
        <w:bottom w:val="none" w:sz="0" w:space="0" w:color="auto"/>
        <w:right w:val="none" w:sz="0" w:space="0" w:color="auto"/>
      </w:divBdr>
    </w:div>
    <w:div w:id="1341659370">
      <w:bodyDiv w:val="1"/>
      <w:marLeft w:val="360"/>
      <w:marRight w:val="360"/>
      <w:marTop w:val="360"/>
      <w:marBottom w:val="360"/>
      <w:divBdr>
        <w:top w:val="none" w:sz="0" w:space="0" w:color="auto"/>
        <w:left w:val="none" w:sz="0" w:space="0" w:color="auto"/>
        <w:bottom w:val="none" w:sz="0" w:space="0" w:color="auto"/>
        <w:right w:val="none" w:sz="0" w:space="0" w:color="auto"/>
      </w:divBdr>
    </w:div>
    <w:div w:id="1442411023">
      <w:bodyDiv w:val="1"/>
      <w:marLeft w:val="0"/>
      <w:marRight w:val="0"/>
      <w:marTop w:val="0"/>
      <w:marBottom w:val="0"/>
      <w:divBdr>
        <w:top w:val="none" w:sz="0" w:space="0" w:color="auto"/>
        <w:left w:val="none" w:sz="0" w:space="0" w:color="auto"/>
        <w:bottom w:val="none" w:sz="0" w:space="0" w:color="auto"/>
        <w:right w:val="none" w:sz="0" w:space="0" w:color="auto"/>
      </w:divBdr>
    </w:div>
    <w:div w:id="1502356862">
      <w:bodyDiv w:val="1"/>
      <w:marLeft w:val="360"/>
      <w:marRight w:val="360"/>
      <w:marTop w:val="360"/>
      <w:marBottom w:val="360"/>
      <w:divBdr>
        <w:top w:val="none" w:sz="0" w:space="0" w:color="auto"/>
        <w:left w:val="none" w:sz="0" w:space="0" w:color="auto"/>
        <w:bottom w:val="none" w:sz="0" w:space="0" w:color="auto"/>
        <w:right w:val="none" w:sz="0" w:space="0" w:color="auto"/>
      </w:divBdr>
    </w:div>
    <w:div w:id="1564288634">
      <w:bodyDiv w:val="1"/>
      <w:marLeft w:val="360"/>
      <w:marRight w:val="360"/>
      <w:marTop w:val="360"/>
      <w:marBottom w:val="360"/>
      <w:divBdr>
        <w:top w:val="none" w:sz="0" w:space="0" w:color="auto"/>
        <w:left w:val="none" w:sz="0" w:space="0" w:color="auto"/>
        <w:bottom w:val="none" w:sz="0" w:space="0" w:color="auto"/>
        <w:right w:val="none" w:sz="0" w:space="0" w:color="auto"/>
      </w:divBdr>
    </w:div>
    <w:div w:id="1628582487">
      <w:bodyDiv w:val="1"/>
      <w:marLeft w:val="360"/>
      <w:marRight w:val="360"/>
      <w:marTop w:val="360"/>
      <w:marBottom w:val="360"/>
      <w:divBdr>
        <w:top w:val="none" w:sz="0" w:space="0" w:color="auto"/>
        <w:left w:val="none" w:sz="0" w:space="0" w:color="auto"/>
        <w:bottom w:val="none" w:sz="0" w:space="0" w:color="auto"/>
        <w:right w:val="none" w:sz="0" w:space="0" w:color="auto"/>
      </w:divBdr>
    </w:div>
    <w:div w:id="1760176194">
      <w:bodyDiv w:val="1"/>
      <w:marLeft w:val="0"/>
      <w:marRight w:val="0"/>
      <w:marTop w:val="0"/>
      <w:marBottom w:val="0"/>
      <w:divBdr>
        <w:top w:val="none" w:sz="0" w:space="0" w:color="auto"/>
        <w:left w:val="none" w:sz="0" w:space="0" w:color="auto"/>
        <w:bottom w:val="none" w:sz="0" w:space="0" w:color="auto"/>
        <w:right w:val="none" w:sz="0" w:space="0" w:color="auto"/>
      </w:divBdr>
      <w:divsChild>
        <w:div w:id="1919827680">
          <w:marLeft w:val="446"/>
          <w:marRight w:val="0"/>
          <w:marTop w:val="0"/>
          <w:marBottom w:val="0"/>
          <w:divBdr>
            <w:top w:val="none" w:sz="0" w:space="0" w:color="auto"/>
            <w:left w:val="none" w:sz="0" w:space="0" w:color="auto"/>
            <w:bottom w:val="none" w:sz="0" w:space="0" w:color="auto"/>
            <w:right w:val="none" w:sz="0" w:space="0" w:color="auto"/>
          </w:divBdr>
        </w:div>
        <w:div w:id="1811629220">
          <w:marLeft w:val="446"/>
          <w:marRight w:val="0"/>
          <w:marTop w:val="0"/>
          <w:marBottom w:val="0"/>
          <w:divBdr>
            <w:top w:val="none" w:sz="0" w:space="0" w:color="auto"/>
            <w:left w:val="none" w:sz="0" w:space="0" w:color="auto"/>
            <w:bottom w:val="none" w:sz="0" w:space="0" w:color="auto"/>
            <w:right w:val="none" w:sz="0" w:space="0" w:color="auto"/>
          </w:divBdr>
        </w:div>
      </w:divsChild>
    </w:div>
    <w:div w:id="1796095404">
      <w:bodyDiv w:val="1"/>
      <w:marLeft w:val="360"/>
      <w:marRight w:val="360"/>
      <w:marTop w:val="360"/>
      <w:marBottom w:val="360"/>
      <w:divBdr>
        <w:top w:val="none" w:sz="0" w:space="0" w:color="auto"/>
        <w:left w:val="none" w:sz="0" w:space="0" w:color="auto"/>
        <w:bottom w:val="none" w:sz="0" w:space="0" w:color="auto"/>
        <w:right w:val="none" w:sz="0" w:space="0" w:color="auto"/>
      </w:divBdr>
    </w:div>
    <w:div w:id="1806969268">
      <w:bodyDiv w:val="1"/>
      <w:marLeft w:val="0"/>
      <w:marRight w:val="0"/>
      <w:marTop w:val="0"/>
      <w:marBottom w:val="0"/>
      <w:divBdr>
        <w:top w:val="none" w:sz="0" w:space="0" w:color="auto"/>
        <w:left w:val="none" w:sz="0" w:space="0" w:color="auto"/>
        <w:bottom w:val="none" w:sz="0" w:space="0" w:color="auto"/>
        <w:right w:val="none" w:sz="0" w:space="0" w:color="auto"/>
      </w:divBdr>
      <w:divsChild>
        <w:div w:id="523595871">
          <w:marLeft w:val="446"/>
          <w:marRight w:val="0"/>
          <w:marTop w:val="0"/>
          <w:marBottom w:val="0"/>
          <w:divBdr>
            <w:top w:val="none" w:sz="0" w:space="0" w:color="auto"/>
            <w:left w:val="none" w:sz="0" w:space="0" w:color="auto"/>
            <w:bottom w:val="none" w:sz="0" w:space="0" w:color="auto"/>
            <w:right w:val="none" w:sz="0" w:space="0" w:color="auto"/>
          </w:divBdr>
        </w:div>
        <w:div w:id="1051659454">
          <w:marLeft w:val="446"/>
          <w:marRight w:val="0"/>
          <w:marTop w:val="0"/>
          <w:marBottom w:val="0"/>
          <w:divBdr>
            <w:top w:val="none" w:sz="0" w:space="0" w:color="auto"/>
            <w:left w:val="none" w:sz="0" w:space="0" w:color="auto"/>
            <w:bottom w:val="none" w:sz="0" w:space="0" w:color="auto"/>
            <w:right w:val="none" w:sz="0" w:space="0" w:color="auto"/>
          </w:divBdr>
        </w:div>
      </w:divsChild>
    </w:div>
    <w:div w:id="1899823186">
      <w:bodyDiv w:val="1"/>
      <w:marLeft w:val="0"/>
      <w:marRight w:val="0"/>
      <w:marTop w:val="0"/>
      <w:marBottom w:val="0"/>
      <w:divBdr>
        <w:top w:val="none" w:sz="0" w:space="0" w:color="auto"/>
        <w:left w:val="none" w:sz="0" w:space="0" w:color="auto"/>
        <w:bottom w:val="none" w:sz="0" w:space="0" w:color="auto"/>
        <w:right w:val="none" w:sz="0" w:space="0" w:color="auto"/>
      </w:divBdr>
    </w:div>
    <w:div w:id="2037340810">
      <w:bodyDiv w:val="1"/>
      <w:marLeft w:val="360"/>
      <w:marRight w:val="360"/>
      <w:marTop w:val="360"/>
      <w:marBottom w:val="360"/>
      <w:divBdr>
        <w:top w:val="none" w:sz="0" w:space="0" w:color="auto"/>
        <w:left w:val="none" w:sz="0" w:space="0" w:color="auto"/>
        <w:bottom w:val="none" w:sz="0" w:space="0" w:color="auto"/>
        <w:right w:val="none" w:sz="0" w:space="0" w:color="auto"/>
      </w:divBdr>
    </w:div>
    <w:div w:id="2046514198">
      <w:bodyDiv w:val="1"/>
      <w:marLeft w:val="360"/>
      <w:marRight w:val="360"/>
      <w:marTop w:val="360"/>
      <w:marBottom w:val="36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image" Target="media/image1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10</Pages>
  <Words>3387</Words>
  <Characters>19310</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grizz</dc:creator>
  <cp:keywords/>
  <dc:description/>
  <cp:lastModifiedBy>grizz</cp:lastModifiedBy>
  <cp:revision>33</cp:revision>
  <dcterms:created xsi:type="dcterms:W3CDTF">2024-11-18T20:17:00Z</dcterms:created>
  <dcterms:modified xsi:type="dcterms:W3CDTF">2024-11-24T07:54:00Z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id="cu6uSxAT"/&gt;&lt;style id="http://www.zotero.org/styles/vancouver" locale="en-GB" hasBibliography="1" bibliographyStyleHasBeenSet="1"/&gt;&lt;prefs&gt;&lt;pref name="fieldType" value="Field"/&gt;&lt;/prefs&gt;&lt;/data&gt;</vt:lpwstr>
  </property>
</Properties>
</file>