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67CF69" w14:textId="77777777" w:rsidR="00F45089" w:rsidRPr="00753A52" w:rsidRDefault="00F45089" w:rsidP="00F45089">
      <w:pPr>
        <w:spacing w:line="480" w:lineRule="auto"/>
        <w:jc w:val="both"/>
        <w:rPr>
          <w:b/>
          <w:sz w:val="24"/>
          <w:szCs w:val="24"/>
          <w:lang w:val="en-GB"/>
        </w:rPr>
      </w:pPr>
      <w:r w:rsidRPr="00753A52">
        <w:rPr>
          <w:b/>
          <w:sz w:val="24"/>
          <w:szCs w:val="24"/>
          <w:lang w:val="en-GB"/>
        </w:rPr>
        <w:t xml:space="preserve">Appendix </w:t>
      </w:r>
      <w:r>
        <w:rPr>
          <w:b/>
          <w:sz w:val="24"/>
          <w:szCs w:val="24"/>
          <w:lang w:val="en-GB"/>
        </w:rPr>
        <w:t>S1</w:t>
      </w:r>
      <w:r w:rsidRPr="00753A52">
        <w:rPr>
          <w:b/>
          <w:sz w:val="24"/>
          <w:szCs w:val="24"/>
          <w:lang w:val="en-GB"/>
        </w:rPr>
        <w:t>. Description of the details of dark diversity estimation with a working example</w:t>
      </w:r>
    </w:p>
    <w:p w14:paraId="058CB176" w14:textId="292BB49A" w:rsidR="00F45089" w:rsidRPr="00753A52" w:rsidRDefault="00F45089" w:rsidP="00F45089">
      <w:pPr>
        <w:spacing w:line="480" w:lineRule="auto"/>
        <w:jc w:val="both"/>
        <w:rPr>
          <w:sz w:val="24"/>
          <w:szCs w:val="24"/>
          <w:lang w:val="en-GB"/>
        </w:rPr>
      </w:pPr>
      <w:r w:rsidRPr="00753A52">
        <w:rPr>
          <w:b/>
          <w:sz w:val="24"/>
          <w:szCs w:val="24"/>
          <w:lang w:val="en-GB"/>
        </w:rPr>
        <w:t xml:space="preserve">Alien dark diversity estimations. </w:t>
      </w:r>
      <w:r w:rsidRPr="00753A52">
        <w:rPr>
          <w:sz w:val="24"/>
          <w:szCs w:val="24"/>
          <w:lang w:val="en-GB"/>
        </w:rPr>
        <w:t>Here, we give a detailed description</w:t>
      </w:r>
      <w:r>
        <w:rPr>
          <w:sz w:val="24"/>
          <w:szCs w:val="24"/>
          <w:lang w:val="en-GB"/>
        </w:rPr>
        <w:t xml:space="preserve"> and formulas</w:t>
      </w:r>
      <w:r w:rsidRPr="00753A52">
        <w:rPr>
          <w:sz w:val="24"/>
          <w:szCs w:val="24"/>
          <w:lang w:val="en-GB"/>
        </w:rPr>
        <w:t xml:space="preserve"> of the methodology used to estimate the alien dark diversity scores for absent species and the size of the alien dark diversity. We use a method where observed alien species indicate which absent species might be suitable for the alien dark diversity of the focal region, based on species co-occurrences in their native ranges. If two species co-occur more often than expected randomly, this suggest that these species will likely share ecological requirements (</w:t>
      </w:r>
      <w:r>
        <w:rPr>
          <w:sz w:val="24"/>
          <w:szCs w:val="24"/>
          <w:lang w:val="en-GB"/>
        </w:rPr>
        <w:t xml:space="preserve">Carmona and </w:t>
      </w:r>
      <w:r w:rsidRPr="009C6820">
        <w:rPr>
          <w:sz w:val="24"/>
          <w:szCs w:val="24"/>
          <w:lang w:val="en-US"/>
        </w:rPr>
        <w:t>Pärtel</w:t>
      </w:r>
      <w:r>
        <w:rPr>
          <w:sz w:val="24"/>
          <w:szCs w:val="24"/>
          <w:lang w:val="en-US"/>
        </w:rPr>
        <w:t xml:space="preserve"> 2021, </w:t>
      </w:r>
      <w:r w:rsidRPr="00F45089">
        <w:rPr>
          <w:sz w:val="24"/>
          <w:szCs w:val="24"/>
          <w:lang w:val="en-001"/>
        </w:rPr>
        <w:t>Paganeli, Fujinuma, Trindade, Carmona, &amp; Pärtel, 2024</w:t>
      </w:r>
      <w:r w:rsidRPr="00F45089">
        <w:rPr>
          <w:sz w:val="24"/>
          <w:szCs w:val="24"/>
          <w:lang w:val="en-GB"/>
        </w:rPr>
        <w:t xml:space="preserve">). </w:t>
      </w:r>
      <w:r w:rsidRPr="00753A52">
        <w:rPr>
          <w:sz w:val="24"/>
          <w:szCs w:val="24"/>
          <w:lang w:val="en-GB"/>
        </w:rPr>
        <w:t>Thus, the observed species can be used as an indicator for the absent species.</w:t>
      </w:r>
    </w:p>
    <w:p w14:paraId="0180A5D5" w14:textId="4CB35043" w:rsidR="00F45089" w:rsidRPr="00753A52" w:rsidRDefault="00F45089" w:rsidP="00F45089">
      <w:pPr>
        <w:spacing w:line="480" w:lineRule="auto"/>
        <w:jc w:val="both"/>
        <w:rPr>
          <w:sz w:val="24"/>
          <w:szCs w:val="24"/>
          <w:lang w:val="en-GB"/>
        </w:rPr>
      </w:pPr>
      <w:r w:rsidRPr="00753A52">
        <w:rPr>
          <w:sz w:val="24"/>
          <w:szCs w:val="24"/>
          <w:lang w:val="en-GB"/>
        </w:rPr>
        <w:t>As a working example, we use Southeast Brazil</w:t>
      </w:r>
      <w:r>
        <w:rPr>
          <w:sz w:val="24"/>
          <w:szCs w:val="24"/>
          <w:lang w:val="en-GB"/>
        </w:rPr>
        <w:t xml:space="preserve">, </w:t>
      </w:r>
      <w:r w:rsidRPr="00945F4D">
        <w:rPr>
          <w:sz w:val="24"/>
          <w:szCs w:val="24"/>
          <w:lang w:val="en-GB"/>
        </w:rPr>
        <w:t xml:space="preserve">which </w:t>
      </w:r>
      <w:r>
        <w:rPr>
          <w:sz w:val="24"/>
          <w:szCs w:val="24"/>
          <w:lang w:val="en-GB"/>
        </w:rPr>
        <w:t xml:space="preserve">is a heavily urbanized and economic rich region </w:t>
      </w:r>
      <w:r w:rsidRPr="00945F4D">
        <w:rPr>
          <w:sz w:val="24"/>
          <w:szCs w:val="24"/>
          <w:lang w:val="en-GB"/>
        </w:rPr>
        <w:t>host</w:t>
      </w:r>
      <w:r>
        <w:rPr>
          <w:sz w:val="24"/>
          <w:szCs w:val="24"/>
          <w:lang w:val="en-GB"/>
        </w:rPr>
        <w:t>ing</w:t>
      </w:r>
      <w:r w:rsidRPr="00945F4D">
        <w:rPr>
          <w:sz w:val="24"/>
          <w:szCs w:val="24"/>
          <w:lang w:val="en-GB"/>
        </w:rPr>
        <w:t xml:space="preserve"> two heavily invaded biodiversity </w:t>
      </w:r>
      <w:r w:rsidRPr="00185CC4">
        <w:rPr>
          <w:sz w:val="24"/>
          <w:szCs w:val="24"/>
          <w:lang w:val="en-GB"/>
        </w:rPr>
        <w:t>hotspots</w:t>
      </w:r>
      <w:r>
        <w:rPr>
          <w:sz w:val="24"/>
          <w:szCs w:val="24"/>
          <w:lang w:val="en-GB"/>
        </w:rPr>
        <w:t xml:space="preserve"> </w:t>
      </w:r>
      <w:r w:rsidRPr="00185CC4">
        <w:rPr>
          <w:sz w:val="24"/>
          <w:szCs w:val="24"/>
          <w:lang w:val="en-GB"/>
        </w:rPr>
        <w:t>(</w:t>
      </w:r>
      <w:r w:rsidRPr="004328CA">
        <w:rPr>
          <w:sz w:val="24"/>
          <w:szCs w:val="24"/>
          <w:lang w:val="en-US"/>
        </w:rPr>
        <w:t>Lannes</w:t>
      </w:r>
      <w:r w:rsidRPr="00185CC4">
        <w:rPr>
          <w:sz w:val="24"/>
          <w:szCs w:val="24"/>
          <w:lang w:val="en-GB"/>
        </w:rPr>
        <w:t xml:space="preserve"> </w:t>
      </w:r>
      <w:r>
        <w:rPr>
          <w:sz w:val="24"/>
          <w:szCs w:val="24"/>
          <w:lang w:val="en-GB"/>
        </w:rPr>
        <w:t xml:space="preserve">2020, </w:t>
      </w:r>
      <w:r w:rsidRPr="00220CA8">
        <w:rPr>
          <w:sz w:val="24"/>
          <w:szCs w:val="24"/>
          <w:lang w:val="en-US"/>
        </w:rPr>
        <w:t>Marques</w:t>
      </w:r>
      <w:r>
        <w:rPr>
          <w:sz w:val="24"/>
          <w:szCs w:val="24"/>
          <w:lang w:val="en-GB"/>
        </w:rPr>
        <w:t xml:space="preserve"> &amp; </w:t>
      </w:r>
      <w:r w:rsidRPr="00220CA8">
        <w:rPr>
          <w:sz w:val="24"/>
          <w:szCs w:val="24"/>
          <w:lang w:val="en-US"/>
        </w:rPr>
        <w:t>Grelle</w:t>
      </w:r>
      <w:r>
        <w:rPr>
          <w:sz w:val="24"/>
          <w:szCs w:val="24"/>
          <w:lang w:val="en-GB"/>
        </w:rPr>
        <w:t xml:space="preserve"> 2021, Paganeli et al., 2021, 2020, Vituli et al. 2021</w:t>
      </w:r>
      <w:r w:rsidRPr="00185CC4">
        <w:rPr>
          <w:sz w:val="24"/>
          <w:szCs w:val="24"/>
          <w:lang w:val="en-GB"/>
        </w:rPr>
        <w:t>).</w:t>
      </w:r>
      <w:r w:rsidRPr="00753A52">
        <w:rPr>
          <w:sz w:val="24"/>
          <w:szCs w:val="24"/>
          <w:lang w:val="en-GB"/>
        </w:rPr>
        <w:t xml:space="preserve"> This region has 428 observed alien species, which means that we need to consider scores for 9934 alien dark diversity candidate species, which are absent in that region but have been recorded as alien somewhere else (indicating that these species can potentially invade another region). We outline below the four steps with descriptions and examples.</w:t>
      </w:r>
    </w:p>
    <w:p w14:paraId="3F668511" w14:textId="77777777" w:rsidR="00F45089" w:rsidRPr="00753A52" w:rsidRDefault="00F45089" w:rsidP="00F45089">
      <w:pPr>
        <w:spacing w:line="480" w:lineRule="auto"/>
        <w:jc w:val="both"/>
        <w:rPr>
          <w:b/>
          <w:sz w:val="24"/>
          <w:szCs w:val="24"/>
          <w:lang w:val="en-GB"/>
        </w:rPr>
      </w:pPr>
      <w:r w:rsidRPr="00753A52">
        <w:rPr>
          <w:b/>
          <w:sz w:val="24"/>
          <w:szCs w:val="24"/>
          <w:lang w:val="en-GB"/>
        </w:rPr>
        <w:t>Step 1. Co-occurrence matrix.</w:t>
      </w:r>
    </w:p>
    <w:p w14:paraId="5B0BA8DA" w14:textId="77777777" w:rsidR="00F45089" w:rsidRPr="00753A52" w:rsidRDefault="00F45089" w:rsidP="00F45089">
      <w:pPr>
        <w:spacing w:line="480" w:lineRule="auto"/>
        <w:jc w:val="both"/>
        <w:rPr>
          <w:sz w:val="24"/>
          <w:szCs w:val="24"/>
          <w:lang w:val="en-GB"/>
        </w:rPr>
      </w:pPr>
      <w:r w:rsidRPr="00753A52">
        <w:rPr>
          <w:sz w:val="24"/>
          <w:szCs w:val="24"/>
          <w:lang w:val="en-GB"/>
        </w:rPr>
        <w:t xml:space="preserve">We built a matrix of co-occurrences between alien observed diversity and alien dark diversity </w:t>
      </w:r>
      <w:r w:rsidRPr="006D4A36">
        <w:rPr>
          <w:sz w:val="24"/>
          <w:szCs w:val="24"/>
          <w:lang w:val="en-GB"/>
        </w:rPr>
        <w:t>candidate species using only the native ranges of those species. An example is given in Table S</w:t>
      </w:r>
      <w:r>
        <w:rPr>
          <w:sz w:val="24"/>
          <w:szCs w:val="24"/>
          <w:lang w:val="en-GB"/>
        </w:rPr>
        <w:t>1</w:t>
      </w:r>
      <w:r w:rsidRPr="006D4A36">
        <w:rPr>
          <w:sz w:val="24"/>
          <w:szCs w:val="24"/>
          <w:lang w:val="en-GB"/>
        </w:rPr>
        <w:t xml:space="preserve">. </w:t>
      </w:r>
    </w:p>
    <w:p w14:paraId="6959AA08" w14:textId="77777777" w:rsidR="00F45089" w:rsidRPr="00753A52" w:rsidRDefault="00F45089" w:rsidP="00F45089">
      <w:pPr>
        <w:spacing w:line="480" w:lineRule="auto"/>
        <w:jc w:val="both"/>
        <w:rPr>
          <w:sz w:val="24"/>
          <w:szCs w:val="24"/>
          <w:lang w:val="en-GB"/>
        </w:rPr>
      </w:pPr>
      <w:r w:rsidRPr="00753A52">
        <w:rPr>
          <w:b/>
          <w:sz w:val="24"/>
          <w:szCs w:val="24"/>
          <w:lang w:val="en-GB"/>
        </w:rPr>
        <w:lastRenderedPageBreak/>
        <w:t>Table S</w:t>
      </w:r>
      <w:r>
        <w:rPr>
          <w:b/>
          <w:sz w:val="24"/>
          <w:szCs w:val="24"/>
          <w:lang w:val="en-GB"/>
        </w:rPr>
        <w:t>1</w:t>
      </w:r>
      <w:r w:rsidRPr="00753A52">
        <w:rPr>
          <w:b/>
          <w:sz w:val="24"/>
          <w:szCs w:val="24"/>
          <w:lang w:val="en-GB"/>
        </w:rPr>
        <w:t>. Example of co-occurrence matrix of observed alien species (428 columns in total) and absent species we consider for dark diversity (9934 rows), in Southeast Brazil</w:t>
      </w:r>
      <w:r w:rsidRPr="00753A52">
        <w:rPr>
          <w:sz w:val="24"/>
          <w:szCs w:val="24"/>
          <w:lang w:val="en-GB"/>
        </w:rPr>
        <w:t>. Co-occurrences are numbers of regions where both the species from that row and that column are present as native. The numbers in parenthesis after species names show their frequency (the number of occupied regions as native species).</w:t>
      </w:r>
    </w:p>
    <w:tbl>
      <w:tblPr>
        <w:tblStyle w:val="TableGrid"/>
        <w:tblW w:w="9016" w:type="dxa"/>
        <w:tblLook w:val="04A0" w:firstRow="1" w:lastRow="0" w:firstColumn="1" w:lastColumn="0" w:noHBand="0" w:noVBand="1"/>
      </w:tblPr>
      <w:tblGrid>
        <w:gridCol w:w="2830"/>
        <w:gridCol w:w="2835"/>
        <w:gridCol w:w="2835"/>
        <w:gridCol w:w="516"/>
      </w:tblGrid>
      <w:tr w:rsidR="00F45089" w:rsidRPr="0096680B" w14:paraId="408B4722" w14:textId="77777777" w:rsidTr="004C234F">
        <w:tc>
          <w:tcPr>
            <w:tcW w:w="2830" w:type="dxa"/>
          </w:tcPr>
          <w:p w14:paraId="2FDCD1E5" w14:textId="77777777" w:rsidR="00F45089" w:rsidRPr="0096680B" w:rsidRDefault="00F45089" w:rsidP="004C234F">
            <w:pPr>
              <w:jc w:val="center"/>
              <w:rPr>
                <w:b/>
                <w:sz w:val="24"/>
                <w:szCs w:val="24"/>
              </w:rPr>
            </w:pPr>
          </w:p>
        </w:tc>
        <w:tc>
          <w:tcPr>
            <w:tcW w:w="2835" w:type="dxa"/>
          </w:tcPr>
          <w:p w14:paraId="456D01A0" w14:textId="77777777" w:rsidR="00F45089" w:rsidRPr="0096680B" w:rsidRDefault="00F45089" w:rsidP="004C234F">
            <w:pPr>
              <w:jc w:val="center"/>
              <w:rPr>
                <w:sz w:val="24"/>
                <w:szCs w:val="24"/>
              </w:rPr>
            </w:pPr>
            <w:r w:rsidRPr="0096680B">
              <w:rPr>
                <w:i/>
                <w:sz w:val="24"/>
                <w:szCs w:val="24"/>
              </w:rPr>
              <w:t>Capsella bursa-pastoris</w:t>
            </w:r>
            <w:r w:rsidRPr="0096680B">
              <w:rPr>
                <w:sz w:val="24"/>
                <w:szCs w:val="24"/>
              </w:rPr>
              <w:t xml:space="preserve"> (94)</w:t>
            </w:r>
          </w:p>
        </w:tc>
        <w:tc>
          <w:tcPr>
            <w:tcW w:w="2835" w:type="dxa"/>
          </w:tcPr>
          <w:p w14:paraId="01E44340" w14:textId="77777777" w:rsidR="00F45089" w:rsidRPr="0096680B" w:rsidRDefault="00F45089" w:rsidP="004C234F">
            <w:pPr>
              <w:jc w:val="center"/>
              <w:rPr>
                <w:sz w:val="24"/>
                <w:szCs w:val="24"/>
              </w:rPr>
            </w:pPr>
            <w:r w:rsidRPr="0096680B">
              <w:rPr>
                <w:i/>
                <w:sz w:val="24"/>
                <w:szCs w:val="24"/>
              </w:rPr>
              <w:t>Plantago lanceolata</w:t>
            </w:r>
            <w:r w:rsidRPr="0096680B">
              <w:rPr>
                <w:sz w:val="24"/>
                <w:szCs w:val="24"/>
              </w:rPr>
              <w:t xml:space="preserve"> (78)</w:t>
            </w:r>
          </w:p>
        </w:tc>
        <w:tc>
          <w:tcPr>
            <w:tcW w:w="516" w:type="dxa"/>
          </w:tcPr>
          <w:p w14:paraId="2CF4A5D9" w14:textId="77777777" w:rsidR="00F45089" w:rsidRPr="0096680B" w:rsidRDefault="00F45089" w:rsidP="004C234F">
            <w:pPr>
              <w:jc w:val="center"/>
              <w:rPr>
                <w:sz w:val="24"/>
                <w:szCs w:val="24"/>
              </w:rPr>
            </w:pPr>
            <w:r w:rsidRPr="0096680B">
              <w:rPr>
                <w:sz w:val="24"/>
                <w:szCs w:val="24"/>
              </w:rPr>
              <w:t>…</w:t>
            </w:r>
          </w:p>
        </w:tc>
      </w:tr>
      <w:tr w:rsidR="00F45089" w:rsidRPr="0096680B" w14:paraId="7517822F" w14:textId="77777777" w:rsidTr="004C234F">
        <w:tc>
          <w:tcPr>
            <w:tcW w:w="2830" w:type="dxa"/>
          </w:tcPr>
          <w:p w14:paraId="3A34B0E7" w14:textId="77777777" w:rsidR="00F45089" w:rsidRPr="0096680B" w:rsidRDefault="00F45089" w:rsidP="004C234F">
            <w:pPr>
              <w:jc w:val="center"/>
              <w:rPr>
                <w:sz w:val="24"/>
                <w:szCs w:val="24"/>
              </w:rPr>
            </w:pPr>
            <w:r w:rsidRPr="0096680B">
              <w:rPr>
                <w:i/>
                <w:sz w:val="24"/>
                <w:szCs w:val="24"/>
              </w:rPr>
              <w:t>Alysicarpus rugosus</w:t>
            </w:r>
            <w:r w:rsidRPr="0096680B">
              <w:rPr>
                <w:sz w:val="24"/>
                <w:szCs w:val="24"/>
              </w:rPr>
              <w:t xml:space="preserve"> (60)</w:t>
            </w:r>
          </w:p>
        </w:tc>
        <w:tc>
          <w:tcPr>
            <w:tcW w:w="2835" w:type="dxa"/>
          </w:tcPr>
          <w:p w14:paraId="127367AF" w14:textId="77777777" w:rsidR="00F45089" w:rsidRPr="0096680B" w:rsidRDefault="00F45089" w:rsidP="004C234F">
            <w:pPr>
              <w:jc w:val="center"/>
              <w:rPr>
                <w:sz w:val="24"/>
                <w:szCs w:val="24"/>
              </w:rPr>
            </w:pPr>
            <w:r w:rsidRPr="0096680B">
              <w:rPr>
                <w:sz w:val="24"/>
                <w:szCs w:val="24"/>
              </w:rPr>
              <w:t>6</w:t>
            </w:r>
          </w:p>
        </w:tc>
        <w:tc>
          <w:tcPr>
            <w:tcW w:w="2835" w:type="dxa"/>
          </w:tcPr>
          <w:p w14:paraId="705D6F46" w14:textId="77777777" w:rsidR="00F45089" w:rsidRPr="0096680B" w:rsidRDefault="00F45089" w:rsidP="004C234F">
            <w:pPr>
              <w:jc w:val="center"/>
              <w:rPr>
                <w:sz w:val="24"/>
                <w:szCs w:val="24"/>
              </w:rPr>
            </w:pPr>
            <w:r w:rsidRPr="0096680B">
              <w:rPr>
                <w:sz w:val="24"/>
                <w:szCs w:val="24"/>
              </w:rPr>
              <w:t>5</w:t>
            </w:r>
          </w:p>
        </w:tc>
        <w:tc>
          <w:tcPr>
            <w:tcW w:w="516" w:type="dxa"/>
          </w:tcPr>
          <w:p w14:paraId="4B82D44E" w14:textId="77777777" w:rsidR="00F45089" w:rsidRPr="0096680B" w:rsidRDefault="00F45089" w:rsidP="004C234F">
            <w:pPr>
              <w:jc w:val="center"/>
              <w:rPr>
                <w:sz w:val="24"/>
                <w:szCs w:val="24"/>
              </w:rPr>
            </w:pPr>
            <w:r w:rsidRPr="0096680B">
              <w:rPr>
                <w:sz w:val="24"/>
                <w:szCs w:val="24"/>
              </w:rPr>
              <w:t>…</w:t>
            </w:r>
          </w:p>
        </w:tc>
      </w:tr>
      <w:tr w:rsidR="00F45089" w:rsidRPr="0096680B" w14:paraId="66D8700A" w14:textId="77777777" w:rsidTr="004C234F">
        <w:tc>
          <w:tcPr>
            <w:tcW w:w="2830" w:type="dxa"/>
          </w:tcPr>
          <w:p w14:paraId="21EA3AB7" w14:textId="77777777" w:rsidR="00F45089" w:rsidRPr="0096680B" w:rsidRDefault="00F45089" w:rsidP="004C234F">
            <w:pPr>
              <w:jc w:val="center"/>
              <w:rPr>
                <w:sz w:val="24"/>
                <w:szCs w:val="24"/>
              </w:rPr>
            </w:pPr>
            <w:r w:rsidRPr="0096680B">
              <w:rPr>
                <w:i/>
                <w:sz w:val="24"/>
                <w:szCs w:val="24"/>
              </w:rPr>
              <w:t>Lycopus lucidus</w:t>
            </w:r>
            <w:r w:rsidRPr="0096680B">
              <w:rPr>
                <w:sz w:val="24"/>
                <w:szCs w:val="24"/>
              </w:rPr>
              <w:t xml:space="preserve"> (15)</w:t>
            </w:r>
          </w:p>
        </w:tc>
        <w:tc>
          <w:tcPr>
            <w:tcW w:w="2835" w:type="dxa"/>
          </w:tcPr>
          <w:p w14:paraId="31DB38DA" w14:textId="77777777" w:rsidR="00F45089" w:rsidRPr="0096680B" w:rsidRDefault="00F45089" w:rsidP="004C234F">
            <w:pPr>
              <w:jc w:val="center"/>
              <w:rPr>
                <w:sz w:val="24"/>
                <w:szCs w:val="24"/>
              </w:rPr>
            </w:pPr>
            <w:r w:rsidRPr="0096680B">
              <w:rPr>
                <w:sz w:val="24"/>
                <w:szCs w:val="24"/>
              </w:rPr>
              <w:t>13</w:t>
            </w:r>
          </w:p>
        </w:tc>
        <w:tc>
          <w:tcPr>
            <w:tcW w:w="2835" w:type="dxa"/>
          </w:tcPr>
          <w:p w14:paraId="4220C9C7" w14:textId="77777777" w:rsidR="00F45089" w:rsidRPr="0096680B" w:rsidRDefault="00F45089" w:rsidP="004C234F">
            <w:pPr>
              <w:jc w:val="center"/>
              <w:rPr>
                <w:sz w:val="24"/>
                <w:szCs w:val="24"/>
              </w:rPr>
            </w:pPr>
            <w:r w:rsidRPr="0096680B">
              <w:rPr>
                <w:sz w:val="24"/>
                <w:szCs w:val="24"/>
              </w:rPr>
              <w:t>4</w:t>
            </w:r>
          </w:p>
        </w:tc>
        <w:tc>
          <w:tcPr>
            <w:tcW w:w="516" w:type="dxa"/>
          </w:tcPr>
          <w:p w14:paraId="7EE9B52D" w14:textId="77777777" w:rsidR="00F45089" w:rsidRPr="0096680B" w:rsidRDefault="00F45089" w:rsidP="004C234F">
            <w:pPr>
              <w:jc w:val="center"/>
              <w:rPr>
                <w:sz w:val="24"/>
                <w:szCs w:val="24"/>
              </w:rPr>
            </w:pPr>
            <w:r w:rsidRPr="0096680B">
              <w:rPr>
                <w:sz w:val="24"/>
                <w:szCs w:val="24"/>
              </w:rPr>
              <w:t>…</w:t>
            </w:r>
          </w:p>
        </w:tc>
      </w:tr>
      <w:tr w:rsidR="00F45089" w:rsidRPr="0096680B" w14:paraId="059B7CE9" w14:textId="77777777" w:rsidTr="004C234F">
        <w:tc>
          <w:tcPr>
            <w:tcW w:w="2830" w:type="dxa"/>
          </w:tcPr>
          <w:p w14:paraId="184F10AB" w14:textId="77777777" w:rsidR="00F45089" w:rsidRPr="0096680B" w:rsidRDefault="00F45089" w:rsidP="004C234F">
            <w:pPr>
              <w:jc w:val="center"/>
              <w:rPr>
                <w:i/>
                <w:sz w:val="24"/>
                <w:szCs w:val="24"/>
              </w:rPr>
            </w:pPr>
            <w:r w:rsidRPr="0096680B">
              <w:rPr>
                <w:i/>
                <w:sz w:val="24"/>
                <w:szCs w:val="24"/>
              </w:rPr>
              <w:t xml:space="preserve">Poa palustris </w:t>
            </w:r>
            <w:r w:rsidRPr="0096680B">
              <w:rPr>
                <w:sz w:val="24"/>
                <w:szCs w:val="24"/>
              </w:rPr>
              <w:t>(116)</w:t>
            </w:r>
          </w:p>
        </w:tc>
        <w:tc>
          <w:tcPr>
            <w:tcW w:w="2835" w:type="dxa"/>
          </w:tcPr>
          <w:p w14:paraId="2C3F2C37" w14:textId="77777777" w:rsidR="00F45089" w:rsidRPr="0096680B" w:rsidRDefault="00F45089" w:rsidP="004C234F">
            <w:pPr>
              <w:jc w:val="center"/>
              <w:rPr>
                <w:sz w:val="24"/>
                <w:szCs w:val="24"/>
              </w:rPr>
            </w:pPr>
            <w:r w:rsidRPr="0096680B">
              <w:rPr>
                <w:sz w:val="24"/>
                <w:szCs w:val="24"/>
              </w:rPr>
              <w:t>60</w:t>
            </w:r>
          </w:p>
        </w:tc>
        <w:tc>
          <w:tcPr>
            <w:tcW w:w="2835" w:type="dxa"/>
          </w:tcPr>
          <w:p w14:paraId="0E900762" w14:textId="77777777" w:rsidR="00F45089" w:rsidRPr="0096680B" w:rsidRDefault="00F45089" w:rsidP="004C234F">
            <w:pPr>
              <w:jc w:val="center"/>
              <w:rPr>
                <w:sz w:val="24"/>
                <w:szCs w:val="24"/>
              </w:rPr>
            </w:pPr>
            <w:r w:rsidRPr="0096680B">
              <w:rPr>
                <w:sz w:val="24"/>
                <w:szCs w:val="24"/>
              </w:rPr>
              <w:t>44</w:t>
            </w:r>
          </w:p>
        </w:tc>
        <w:tc>
          <w:tcPr>
            <w:tcW w:w="516" w:type="dxa"/>
          </w:tcPr>
          <w:p w14:paraId="4678066E" w14:textId="77777777" w:rsidR="00F45089" w:rsidRPr="0096680B" w:rsidRDefault="00F45089" w:rsidP="004C234F">
            <w:pPr>
              <w:jc w:val="center"/>
              <w:rPr>
                <w:sz w:val="24"/>
                <w:szCs w:val="24"/>
              </w:rPr>
            </w:pPr>
            <w:r w:rsidRPr="0096680B">
              <w:rPr>
                <w:sz w:val="24"/>
                <w:szCs w:val="24"/>
              </w:rPr>
              <w:t>…</w:t>
            </w:r>
          </w:p>
        </w:tc>
      </w:tr>
      <w:tr w:rsidR="00F45089" w:rsidRPr="0096680B" w14:paraId="60B57A78" w14:textId="77777777" w:rsidTr="004C234F">
        <w:tc>
          <w:tcPr>
            <w:tcW w:w="2830" w:type="dxa"/>
          </w:tcPr>
          <w:p w14:paraId="3913AD0B" w14:textId="77777777" w:rsidR="00F45089" w:rsidRPr="0096680B" w:rsidRDefault="00F45089" w:rsidP="004C234F">
            <w:pPr>
              <w:jc w:val="center"/>
              <w:rPr>
                <w:sz w:val="24"/>
                <w:szCs w:val="24"/>
              </w:rPr>
            </w:pPr>
            <w:r w:rsidRPr="0096680B">
              <w:rPr>
                <w:sz w:val="24"/>
                <w:szCs w:val="24"/>
              </w:rPr>
              <w:t>…</w:t>
            </w:r>
          </w:p>
        </w:tc>
        <w:tc>
          <w:tcPr>
            <w:tcW w:w="2835" w:type="dxa"/>
          </w:tcPr>
          <w:p w14:paraId="42E253E4" w14:textId="77777777" w:rsidR="00F45089" w:rsidRPr="0096680B" w:rsidRDefault="00F45089" w:rsidP="004C234F">
            <w:pPr>
              <w:jc w:val="center"/>
              <w:rPr>
                <w:sz w:val="24"/>
                <w:szCs w:val="24"/>
              </w:rPr>
            </w:pPr>
            <w:r w:rsidRPr="0096680B">
              <w:rPr>
                <w:sz w:val="24"/>
                <w:szCs w:val="24"/>
              </w:rPr>
              <w:t>…</w:t>
            </w:r>
          </w:p>
        </w:tc>
        <w:tc>
          <w:tcPr>
            <w:tcW w:w="2835" w:type="dxa"/>
          </w:tcPr>
          <w:p w14:paraId="7FB923F2" w14:textId="77777777" w:rsidR="00F45089" w:rsidRPr="0096680B" w:rsidRDefault="00F45089" w:rsidP="004C234F">
            <w:pPr>
              <w:jc w:val="center"/>
              <w:rPr>
                <w:sz w:val="24"/>
                <w:szCs w:val="24"/>
              </w:rPr>
            </w:pPr>
            <w:r w:rsidRPr="0096680B">
              <w:rPr>
                <w:sz w:val="24"/>
                <w:szCs w:val="24"/>
              </w:rPr>
              <w:t>…</w:t>
            </w:r>
          </w:p>
        </w:tc>
        <w:tc>
          <w:tcPr>
            <w:tcW w:w="516" w:type="dxa"/>
          </w:tcPr>
          <w:p w14:paraId="7CA4FE1C" w14:textId="77777777" w:rsidR="00F45089" w:rsidRPr="0096680B" w:rsidRDefault="00F45089" w:rsidP="004C234F">
            <w:pPr>
              <w:jc w:val="center"/>
              <w:rPr>
                <w:sz w:val="24"/>
                <w:szCs w:val="24"/>
              </w:rPr>
            </w:pPr>
            <w:r w:rsidRPr="0096680B">
              <w:rPr>
                <w:sz w:val="24"/>
                <w:szCs w:val="24"/>
              </w:rPr>
              <w:t>…</w:t>
            </w:r>
          </w:p>
        </w:tc>
      </w:tr>
    </w:tbl>
    <w:p w14:paraId="2D284901" w14:textId="77777777" w:rsidR="00F45089" w:rsidRPr="0096680B" w:rsidRDefault="00F45089" w:rsidP="00F45089">
      <w:pPr>
        <w:spacing w:line="480" w:lineRule="auto"/>
        <w:jc w:val="both"/>
        <w:rPr>
          <w:sz w:val="24"/>
          <w:szCs w:val="24"/>
        </w:rPr>
      </w:pPr>
    </w:p>
    <w:p w14:paraId="7D85650E" w14:textId="77777777" w:rsidR="00F45089" w:rsidRDefault="00F45089" w:rsidP="00F45089">
      <w:pPr>
        <w:spacing w:line="480" w:lineRule="auto"/>
        <w:jc w:val="both"/>
        <w:rPr>
          <w:sz w:val="24"/>
          <w:szCs w:val="24"/>
          <w:lang w:val="en-GB"/>
        </w:rPr>
      </w:pPr>
      <w:r w:rsidRPr="00753A52">
        <w:rPr>
          <w:sz w:val="24"/>
          <w:szCs w:val="24"/>
          <w:lang w:val="en-GB"/>
        </w:rPr>
        <w:t xml:space="preserve">This matrix will be compared with the expected co-occurrences, i.e. the number of co-occurrences that would be expected if two species with the same frequencies would co-occur by chance. The expected number of co-occurrences is described by the hypergeometric distribution, from which we obtain both mean and standard deviation. For this, we use information on the total number of regions (N), the frequency of one species as native (K), </w:t>
      </w:r>
      <w:proofErr w:type="gramStart"/>
      <w:r w:rsidRPr="00753A52">
        <w:rPr>
          <w:sz w:val="24"/>
          <w:szCs w:val="24"/>
          <w:lang w:val="en-GB"/>
        </w:rPr>
        <w:t>and,</w:t>
      </w:r>
      <w:proofErr w:type="gramEnd"/>
      <w:r w:rsidRPr="00753A52">
        <w:rPr>
          <w:sz w:val="24"/>
          <w:szCs w:val="24"/>
          <w:lang w:val="en-GB"/>
        </w:rPr>
        <w:t xml:space="preserve"> the frequency of its pair as native (n).</w:t>
      </w:r>
    </w:p>
    <w:p w14:paraId="0182C50C" w14:textId="77777777" w:rsidR="00F45089" w:rsidRPr="00753A52" w:rsidRDefault="00F45089" w:rsidP="00F45089">
      <w:pPr>
        <w:spacing w:line="480" w:lineRule="auto"/>
        <w:jc w:val="both"/>
        <w:rPr>
          <w:sz w:val="24"/>
          <w:szCs w:val="24"/>
          <w:lang w:val="en-GB"/>
        </w:rPr>
      </w:pPr>
      <w:r w:rsidRPr="00753A52">
        <w:rPr>
          <w:b/>
          <w:sz w:val="24"/>
          <w:szCs w:val="24"/>
          <w:lang w:val="en-GB"/>
        </w:rPr>
        <w:t>Hypergeometric distribution mean</w:t>
      </w:r>
      <w:r w:rsidRPr="00753A52">
        <w:rPr>
          <w:sz w:val="24"/>
          <w:szCs w:val="24"/>
          <w:lang w:val="en-GB"/>
        </w:rPr>
        <w:t xml:space="preserve"> =    </w:t>
      </w:r>
      <m:oMath>
        <m:r>
          <m:rPr>
            <m:sty m:val="p"/>
          </m:rPr>
          <w:rPr>
            <w:rFonts w:ascii="Cambria Math" w:hAnsi="Cambria Math"/>
            <w:sz w:val="24"/>
            <w:szCs w:val="24"/>
            <w:lang w:val="en-GB"/>
          </w:rPr>
          <m:t xml:space="preserve"> </m:t>
        </m:r>
        <m:f>
          <m:fPr>
            <m:ctrlPr>
              <w:rPr>
                <w:rFonts w:ascii="Cambria Math" w:hAnsi="Cambria Math"/>
                <w:sz w:val="24"/>
                <w:szCs w:val="24"/>
              </w:rPr>
            </m:ctrlPr>
          </m:fPr>
          <m:num>
            <m:r>
              <m:rPr>
                <m:sty m:val="p"/>
              </m:rPr>
              <w:rPr>
                <w:rFonts w:ascii="Cambria Math" w:hAnsi="Cambria Math"/>
                <w:sz w:val="24"/>
                <w:szCs w:val="24"/>
                <w:lang w:val="en-GB"/>
              </w:rPr>
              <m:t xml:space="preserve">n × k </m:t>
            </m:r>
          </m:num>
          <m:den>
            <m:r>
              <m:rPr>
                <m:sty m:val="p"/>
              </m:rPr>
              <w:rPr>
                <w:rFonts w:ascii="Cambria Math" w:hAnsi="Cambria Math"/>
                <w:sz w:val="24"/>
                <w:szCs w:val="24"/>
                <w:lang w:val="en-GB"/>
              </w:rPr>
              <m:t>N</m:t>
            </m:r>
          </m:den>
        </m:f>
      </m:oMath>
    </w:p>
    <w:p w14:paraId="10CE13B0" w14:textId="77777777" w:rsidR="00F45089" w:rsidRDefault="00F45089" w:rsidP="00F45089">
      <w:pPr>
        <w:spacing w:line="480" w:lineRule="auto"/>
        <w:jc w:val="both"/>
        <w:rPr>
          <w:sz w:val="24"/>
          <w:szCs w:val="24"/>
          <w:lang w:val="en-GB"/>
        </w:rPr>
      </w:pPr>
      <w:r w:rsidRPr="00753A52">
        <w:rPr>
          <w:b/>
          <w:sz w:val="24"/>
          <w:szCs w:val="24"/>
          <w:lang w:val="en-GB"/>
        </w:rPr>
        <w:t>Hypergeometric distribution standard deviation</w:t>
      </w:r>
      <w:r w:rsidRPr="00753A52">
        <w:rPr>
          <w:sz w:val="24"/>
          <w:szCs w:val="24"/>
          <w:lang w:val="en-GB"/>
        </w:rPr>
        <w:t xml:space="preserve"> = </w:t>
      </w:r>
      <m:oMath>
        <m:rad>
          <m:radPr>
            <m:degHide m:val="1"/>
            <m:ctrlPr>
              <w:rPr>
                <w:rFonts w:ascii="Cambria Math" w:hAnsi="Cambria Math"/>
                <w:sz w:val="24"/>
                <w:szCs w:val="24"/>
              </w:rPr>
            </m:ctrlPr>
          </m:radPr>
          <m:deg/>
          <m:e>
            <m:r>
              <w:rPr>
                <w:rFonts w:ascii="Cambria Math" w:hAnsi="Cambria Math"/>
                <w:sz w:val="24"/>
                <w:szCs w:val="24"/>
                <w:lang w:val="en-GB"/>
              </w:rPr>
              <m:t xml:space="preserve">  </m:t>
            </m:r>
            <m:d>
              <m:dPr>
                <m:ctrlPr>
                  <w:rPr>
                    <w:rFonts w:ascii="Cambria Math" w:hAnsi="Cambria Math"/>
                    <w:sz w:val="24"/>
                    <w:szCs w:val="24"/>
                  </w:rPr>
                </m:ctrlPr>
              </m:dPr>
              <m:e>
                <m:d>
                  <m:dPr>
                    <m:ctrlPr>
                      <w:rPr>
                        <w:rFonts w:ascii="Cambria Math" w:hAnsi="Cambria Math"/>
                        <w:sz w:val="24"/>
                        <w:szCs w:val="24"/>
                      </w:rPr>
                    </m:ctrlPr>
                  </m:dPr>
                  <m:e>
                    <m:f>
                      <m:fPr>
                        <m:ctrlPr>
                          <w:rPr>
                            <w:rFonts w:ascii="Cambria Math" w:hAnsi="Cambria Math"/>
                            <w:sz w:val="24"/>
                            <w:szCs w:val="24"/>
                          </w:rPr>
                        </m:ctrlPr>
                      </m:fPr>
                      <m:num>
                        <m:r>
                          <m:rPr>
                            <m:sty m:val="p"/>
                          </m:rPr>
                          <w:rPr>
                            <w:rFonts w:ascii="Cambria Math" w:hAnsi="Cambria Math"/>
                            <w:sz w:val="24"/>
                            <w:szCs w:val="24"/>
                            <w:lang w:val="en-GB"/>
                          </w:rPr>
                          <m:t xml:space="preserve">n * k </m:t>
                        </m:r>
                      </m:num>
                      <m:den>
                        <m:r>
                          <m:rPr>
                            <m:sty m:val="p"/>
                          </m:rPr>
                          <w:rPr>
                            <w:rFonts w:ascii="Cambria Math" w:hAnsi="Cambria Math"/>
                            <w:sz w:val="24"/>
                            <w:szCs w:val="24"/>
                            <w:lang w:val="en-GB"/>
                          </w:rPr>
                          <m:t>N</m:t>
                        </m:r>
                      </m:den>
                    </m:f>
                  </m:e>
                </m:d>
              </m:e>
            </m:d>
            <m:r>
              <w:rPr>
                <w:rFonts w:ascii="Cambria Math" w:hAnsi="Cambria Math"/>
                <w:sz w:val="24"/>
                <w:szCs w:val="24"/>
                <w:lang w:val="en-GB"/>
              </w:rPr>
              <m:t xml:space="preserve"> × </m:t>
            </m:r>
            <m:d>
              <m:dPr>
                <m:ctrlPr>
                  <w:rPr>
                    <w:rFonts w:ascii="Cambria Math" w:hAnsi="Cambria Math"/>
                    <w:sz w:val="24"/>
                    <w:szCs w:val="24"/>
                  </w:rPr>
                </m:ctrlPr>
              </m:dPr>
              <m:e>
                <m:d>
                  <m:dPr>
                    <m:ctrlPr>
                      <w:rPr>
                        <w:rFonts w:ascii="Cambria Math" w:hAnsi="Cambria Math"/>
                        <w:sz w:val="24"/>
                        <w:szCs w:val="24"/>
                      </w:rPr>
                    </m:ctrlPr>
                  </m:dPr>
                  <m:e>
                    <m:f>
                      <m:fPr>
                        <m:ctrlPr>
                          <w:rPr>
                            <w:rFonts w:ascii="Cambria Math" w:hAnsi="Cambria Math"/>
                            <w:sz w:val="24"/>
                            <w:szCs w:val="24"/>
                          </w:rPr>
                        </m:ctrlPr>
                      </m:fPr>
                      <m:num>
                        <m:r>
                          <m:rPr>
                            <m:sty m:val="p"/>
                          </m:rPr>
                          <w:rPr>
                            <w:rFonts w:ascii="Cambria Math" w:hAnsi="Cambria Math"/>
                            <w:sz w:val="24"/>
                            <w:szCs w:val="24"/>
                            <w:lang w:val="en-GB"/>
                          </w:rPr>
                          <m:t xml:space="preserve">N - k </m:t>
                        </m:r>
                      </m:num>
                      <m:den>
                        <m:r>
                          <m:rPr>
                            <m:sty m:val="p"/>
                          </m:rPr>
                          <w:rPr>
                            <w:rFonts w:ascii="Cambria Math" w:hAnsi="Cambria Math"/>
                            <w:sz w:val="24"/>
                            <w:szCs w:val="24"/>
                            <w:lang w:val="en-GB"/>
                          </w:rPr>
                          <m:t>N</m:t>
                        </m:r>
                      </m:den>
                    </m:f>
                  </m:e>
                </m:d>
                <m:r>
                  <w:rPr>
                    <w:rFonts w:ascii="Cambria Math" w:hAnsi="Cambria Math"/>
                    <w:sz w:val="24"/>
                    <w:szCs w:val="24"/>
                    <w:lang w:val="en-GB"/>
                  </w:rPr>
                  <m:t xml:space="preserve"> × </m:t>
                </m:r>
                <m:d>
                  <m:dPr>
                    <m:ctrlPr>
                      <w:rPr>
                        <w:rFonts w:ascii="Cambria Math" w:hAnsi="Cambria Math"/>
                        <w:sz w:val="24"/>
                        <w:szCs w:val="24"/>
                      </w:rPr>
                    </m:ctrlPr>
                  </m:dPr>
                  <m:e>
                    <m:d>
                      <m:dPr>
                        <m:ctrlPr>
                          <w:rPr>
                            <w:rFonts w:ascii="Cambria Math" w:hAnsi="Cambria Math"/>
                            <w:sz w:val="24"/>
                            <w:szCs w:val="24"/>
                          </w:rPr>
                        </m:ctrlPr>
                      </m:dPr>
                      <m:e>
                        <m:f>
                          <m:fPr>
                            <m:ctrlPr>
                              <w:rPr>
                                <w:rFonts w:ascii="Cambria Math" w:hAnsi="Cambria Math"/>
                                <w:sz w:val="24"/>
                                <w:szCs w:val="24"/>
                              </w:rPr>
                            </m:ctrlPr>
                          </m:fPr>
                          <m:num>
                            <m:r>
                              <m:rPr>
                                <m:sty m:val="p"/>
                              </m:rPr>
                              <w:rPr>
                                <w:rFonts w:ascii="Cambria Math" w:hAnsi="Cambria Math"/>
                                <w:sz w:val="24"/>
                                <w:szCs w:val="24"/>
                                <w:lang w:val="en-GB"/>
                              </w:rPr>
                              <m:t>N - n</m:t>
                            </m:r>
                          </m:num>
                          <m:den>
                            <m:r>
                              <m:rPr>
                                <m:sty m:val="p"/>
                              </m:rPr>
                              <w:rPr>
                                <w:rFonts w:ascii="Cambria Math" w:hAnsi="Cambria Math"/>
                                <w:sz w:val="24"/>
                                <w:szCs w:val="24"/>
                                <w:lang w:val="en-GB"/>
                              </w:rPr>
                              <m:t>N -</m:t>
                            </m:r>
                            <m:r>
                              <w:rPr>
                                <w:rFonts w:ascii="Cambria Math" w:hAnsi="Cambria Math"/>
                                <w:sz w:val="24"/>
                                <w:szCs w:val="24"/>
                                <w:lang w:val="en-GB"/>
                              </w:rPr>
                              <m:t>1</m:t>
                            </m:r>
                          </m:den>
                        </m:f>
                      </m:e>
                    </m:d>
                  </m:e>
                </m:d>
              </m:e>
            </m:d>
          </m:e>
        </m:rad>
        <m:r>
          <w:rPr>
            <w:rFonts w:ascii="Cambria Math" w:hAnsi="Cambria Math"/>
            <w:sz w:val="24"/>
            <w:szCs w:val="24"/>
            <w:lang w:val="en-GB"/>
          </w:rPr>
          <m:t xml:space="preserve">  </m:t>
        </m:r>
      </m:oMath>
    </w:p>
    <w:p w14:paraId="4CD5EE80" w14:textId="77777777" w:rsidR="00F45089" w:rsidRPr="00577A96" w:rsidRDefault="00F45089" w:rsidP="00F45089">
      <w:pPr>
        <w:spacing w:line="480" w:lineRule="auto"/>
        <w:jc w:val="both"/>
        <w:rPr>
          <w:sz w:val="24"/>
          <w:szCs w:val="24"/>
          <w:lang w:val="en-GB"/>
        </w:rPr>
      </w:pPr>
      <w:r w:rsidRPr="00753A52">
        <w:rPr>
          <w:sz w:val="24"/>
          <w:szCs w:val="24"/>
          <w:lang w:val="en-GB"/>
        </w:rPr>
        <w:t>Using one pair of species as an example (</w:t>
      </w:r>
      <w:r w:rsidRPr="00753A52">
        <w:rPr>
          <w:i/>
          <w:sz w:val="24"/>
          <w:szCs w:val="24"/>
          <w:lang w:val="en-GB"/>
        </w:rPr>
        <w:t>Alysicarpus rugosus</w:t>
      </w:r>
      <w:r w:rsidRPr="00753A52">
        <w:rPr>
          <w:sz w:val="24"/>
          <w:szCs w:val="24"/>
          <w:lang w:val="en-GB"/>
        </w:rPr>
        <w:t xml:space="preserve"> and </w:t>
      </w:r>
      <w:r w:rsidRPr="00753A52">
        <w:rPr>
          <w:i/>
          <w:sz w:val="24"/>
          <w:szCs w:val="24"/>
          <w:lang w:val="en-GB"/>
        </w:rPr>
        <w:t>Capsella bursa-pastoris</w:t>
      </w:r>
      <w:r w:rsidRPr="00753A52">
        <w:rPr>
          <w:sz w:val="24"/>
          <w:szCs w:val="24"/>
          <w:lang w:val="en-GB"/>
        </w:rPr>
        <w:t>) we obtained: N= 369, K=94, and n=60. The hypergeometric distribution mean for that pair of species is 15.3, while its standard deviation is 3.1. In our example, values can be found in Table S</w:t>
      </w:r>
      <w:r>
        <w:rPr>
          <w:sz w:val="24"/>
          <w:szCs w:val="24"/>
          <w:lang w:val="en-GB"/>
        </w:rPr>
        <w:t>2</w:t>
      </w:r>
      <w:r w:rsidRPr="00753A52">
        <w:rPr>
          <w:sz w:val="24"/>
          <w:szCs w:val="24"/>
          <w:lang w:val="en-GB"/>
        </w:rPr>
        <w:t>.</w:t>
      </w:r>
    </w:p>
    <w:p w14:paraId="462B863E" w14:textId="77777777" w:rsidR="00F45089" w:rsidRDefault="00F45089" w:rsidP="00F45089">
      <w:pPr>
        <w:spacing w:line="480" w:lineRule="auto"/>
        <w:jc w:val="both"/>
        <w:rPr>
          <w:b/>
          <w:sz w:val="24"/>
          <w:szCs w:val="24"/>
          <w:lang w:val="en-GB"/>
        </w:rPr>
      </w:pPr>
    </w:p>
    <w:p w14:paraId="0EC9E3AD" w14:textId="77777777" w:rsidR="00F45089" w:rsidRPr="00753A52" w:rsidRDefault="00F45089" w:rsidP="00F45089">
      <w:pPr>
        <w:spacing w:line="480" w:lineRule="auto"/>
        <w:jc w:val="both"/>
        <w:rPr>
          <w:sz w:val="24"/>
          <w:szCs w:val="24"/>
          <w:lang w:val="en-GB"/>
        </w:rPr>
      </w:pPr>
      <w:r w:rsidRPr="00753A52">
        <w:rPr>
          <w:b/>
          <w:sz w:val="24"/>
          <w:szCs w:val="24"/>
          <w:lang w:val="en-GB"/>
        </w:rPr>
        <w:t>Table S</w:t>
      </w:r>
      <w:r>
        <w:rPr>
          <w:b/>
          <w:sz w:val="24"/>
          <w:szCs w:val="24"/>
          <w:lang w:val="en-GB"/>
        </w:rPr>
        <w:t>2</w:t>
      </w:r>
      <w:r w:rsidRPr="00753A52">
        <w:rPr>
          <w:b/>
          <w:sz w:val="24"/>
          <w:szCs w:val="24"/>
          <w:lang w:val="en-GB"/>
        </w:rPr>
        <w:t>. Expected co-occurrences.</w:t>
      </w:r>
      <w:r w:rsidRPr="00753A52">
        <w:rPr>
          <w:sz w:val="24"/>
          <w:szCs w:val="24"/>
          <w:lang w:val="en-GB"/>
        </w:rPr>
        <w:t xml:space="preserve"> Here we display the expected number of co-occurrences based on hypergeometric distribution and the standard deviation (in parentheses).</w:t>
      </w:r>
    </w:p>
    <w:tbl>
      <w:tblPr>
        <w:tblStyle w:val="TableGrid"/>
        <w:tblW w:w="9016" w:type="dxa"/>
        <w:tblLook w:val="04A0" w:firstRow="1" w:lastRow="0" w:firstColumn="1" w:lastColumn="0" w:noHBand="0" w:noVBand="1"/>
      </w:tblPr>
      <w:tblGrid>
        <w:gridCol w:w="2830"/>
        <w:gridCol w:w="2835"/>
        <w:gridCol w:w="2835"/>
        <w:gridCol w:w="516"/>
      </w:tblGrid>
      <w:tr w:rsidR="00F45089" w:rsidRPr="0096680B" w14:paraId="312C607E" w14:textId="77777777" w:rsidTr="004C234F">
        <w:tc>
          <w:tcPr>
            <w:tcW w:w="2830" w:type="dxa"/>
          </w:tcPr>
          <w:p w14:paraId="72300D94" w14:textId="77777777" w:rsidR="00F45089" w:rsidRPr="0096680B" w:rsidRDefault="00F45089" w:rsidP="004C234F">
            <w:pPr>
              <w:jc w:val="center"/>
              <w:rPr>
                <w:b/>
                <w:sz w:val="24"/>
                <w:szCs w:val="24"/>
              </w:rPr>
            </w:pPr>
          </w:p>
        </w:tc>
        <w:tc>
          <w:tcPr>
            <w:tcW w:w="2835" w:type="dxa"/>
          </w:tcPr>
          <w:p w14:paraId="3885EDA3" w14:textId="77777777" w:rsidR="00F45089" w:rsidRPr="0096680B" w:rsidRDefault="00F45089" w:rsidP="004C234F">
            <w:pPr>
              <w:jc w:val="center"/>
              <w:rPr>
                <w:sz w:val="24"/>
                <w:szCs w:val="24"/>
              </w:rPr>
            </w:pPr>
            <w:r w:rsidRPr="0096680B">
              <w:rPr>
                <w:i/>
                <w:sz w:val="24"/>
                <w:szCs w:val="24"/>
              </w:rPr>
              <w:t>Capsella bursa-pastoris</w:t>
            </w:r>
          </w:p>
        </w:tc>
        <w:tc>
          <w:tcPr>
            <w:tcW w:w="2835" w:type="dxa"/>
          </w:tcPr>
          <w:p w14:paraId="04FA5E42" w14:textId="77777777" w:rsidR="00F45089" w:rsidRPr="0096680B" w:rsidRDefault="00F45089" w:rsidP="004C234F">
            <w:pPr>
              <w:jc w:val="center"/>
              <w:rPr>
                <w:sz w:val="24"/>
                <w:szCs w:val="24"/>
              </w:rPr>
            </w:pPr>
            <w:r w:rsidRPr="0096680B">
              <w:rPr>
                <w:i/>
                <w:sz w:val="24"/>
                <w:szCs w:val="24"/>
              </w:rPr>
              <w:t>Plantago lanceolata</w:t>
            </w:r>
          </w:p>
        </w:tc>
        <w:tc>
          <w:tcPr>
            <w:tcW w:w="516" w:type="dxa"/>
          </w:tcPr>
          <w:p w14:paraId="13FECDDD" w14:textId="77777777" w:rsidR="00F45089" w:rsidRPr="0096680B" w:rsidRDefault="00F45089" w:rsidP="004C234F">
            <w:pPr>
              <w:jc w:val="center"/>
              <w:rPr>
                <w:sz w:val="24"/>
                <w:szCs w:val="24"/>
              </w:rPr>
            </w:pPr>
            <w:r w:rsidRPr="0096680B">
              <w:rPr>
                <w:sz w:val="24"/>
                <w:szCs w:val="24"/>
              </w:rPr>
              <w:t>…</w:t>
            </w:r>
          </w:p>
        </w:tc>
      </w:tr>
      <w:tr w:rsidR="00F45089" w:rsidRPr="0096680B" w14:paraId="41A62A66" w14:textId="77777777" w:rsidTr="004C234F">
        <w:tc>
          <w:tcPr>
            <w:tcW w:w="2830" w:type="dxa"/>
          </w:tcPr>
          <w:p w14:paraId="0E7E8703" w14:textId="77777777" w:rsidR="00F45089" w:rsidRPr="0096680B" w:rsidRDefault="00F45089" w:rsidP="004C234F">
            <w:pPr>
              <w:jc w:val="center"/>
              <w:rPr>
                <w:sz w:val="24"/>
                <w:szCs w:val="24"/>
              </w:rPr>
            </w:pPr>
            <w:r w:rsidRPr="0096680B">
              <w:rPr>
                <w:i/>
                <w:sz w:val="24"/>
                <w:szCs w:val="24"/>
              </w:rPr>
              <w:t>Alysicarpus rugosus</w:t>
            </w:r>
          </w:p>
        </w:tc>
        <w:tc>
          <w:tcPr>
            <w:tcW w:w="2835" w:type="dxa"/>
          </w:tcPr>
          <w:p w14:paraId="270E2B46" w14:textId="77777777" w:rsidR="00F45089" w:rsidRPr="0096680B" w:rsidRDefault="00F45089" w:rsidP="004C234F">
            <w:pPr>
              <w:jc w:val="center"/>
              <w:rPr>
                <w:sz w:val="24"/>
                <w:szCs w:val="24"/>
              </w:rPr>
            </w:pPr>
            <w:r w:rsidRPr="0096680B">
              <w:rPr>
                <w:sz w:val="24"/>
                <w:szCs w:val="24"/>
              </w:rPr>
              <w:t>15.3 (3.1)</w:t>
            </w:r>
          </w:p>
        </w:tc>
        <w:tc>
          <w:tcPr>
            <w:tcW w:w="2835" w:type="dxa"/>
          </w:tcPr>
          <w:p w14:paraId="659EE436" w14:textId="77777777" w:rsidR="00F45089" w:rsidRPr="0096680B" w:rsidRDefault="00F45089" w:rsidP="004C234F">
            <w:pPr>
              <w:jc w:val="center"/>
              <w:rPr>
                <w:sz w:val="24"/>
                <w:szCs w:val="24"/>
              </w:rPr>
            </w:pPr>
            <w:r w:rsidRPr="0096680B">
              <w:rPr>
                <w:sz w:val="24"/>
                <w:szCs w:val="24"/>
              </w:rPr>
              <w:t>12.7 (2.9)</w:t>
            </w:r>
          </w:p>
        </w:tc>
        <w:tc>
          <w:tcPr>
            <w:tcW w:w="516" w:type="dxa"/>
          </w:tcPr>
          <w:p w14:paraId="1BA5C5E9" w14:textId="77777777" w:rsidR="00F45089" w:rsidRPr="0096680B" w:rsidRDefault="00F45089" w:rsidP="004C234F">
            <w:pPr>
              <w:jc w:val="center"/>
              <w:rPr>
                <w:sz w:val="24"/>
                <w:szCs w:val="24"/>
              </w:rPr>
            </w:pPr>
            <w:r w:rsidRPr="0096680B">
              <w:rPr>
                <w:sz w:val="24"/>
                <w:szCs w:val="24"/>
              </w:rPr>
              <w:t>…</w:t>
            </w:r>
          </w:p>
        </w:tc>
      </w:tr>
      <w:tr w:rsidR="00F45089" w:rsidRPr="0096680B" w14:paraId="43B7E199" w14:textId="77777777" w:rsidTr="004C234F">
        <w:tc>
          <w:tcPr>
            <w:tcW w:w="2830" w:type="dxa"/>
          </w:tcPr>
          <w:p w14:paraId="1EB57215" w14:textId="77777777" w:rsidR="00F45089" w:rsidRPr="0096680B" w:rsidRDefault="00F45089" w:rsidP="004C234F">
            <w:pPr>
              <w:jc w:val="center"/>
              <w:rPr>
                <w:sz w:val="24"/>
                <w:szCs w:val="24"/>
              </w:rPr>
            </w:pPr>
            <w:r w:rsidRPr="0096680B">
              <w:rPr>
                <w:i/>
                <w:sz w:val="24"/>
                <w:szCs w:val="24"/>
              </w:rPr>
              <w:t>Lycopus lucidus</w:t>
            </w:r>
          </w:p>
        </w:tc>
        <w:tc>
          <w:tcPr>
            <w:tcW w:w="2835" w:type="dxa"/>
          </w:tcPr>
          <w:p w14:paraId="31E6601A" w14:textId="77777777" w:rsidR="00F45089" w:rsidRPr="0096680B" w:rsidRDefault="00F45089" w:rsidP="004C234F">
            <w:pPr>
              <w:jc w:val="center"/>
              <w:rPr>
                <w:sz w:val="24"/>
                <w:szCs w:val="24"/>
              </w:rPr>
            </w:pPr>
            <w:r w:rsidRPr="0096680B">
              <w:rPr>
                <w:sz w:val="24"/>
                <w:szCs w:val="24"/>
              </w:rPr>
              <w:t>3.8 (1.7)</w:t>
            </w:r>
          </w:p>
        </w:tc>
        <w:tc>
          <w:tcPr>
            <w:tcW w:w="2835" w:type="dxa"/>
          </w:tcPr>
          <w:p w14:paraId="6E01A26E" w14:textId="77777777" w:rsidR="00F45089" w:rsidRPr="0096680B" w:rsidRDefault="00F45089" w:rsidP="004C234F">
            <w:pPr>
              <w:jc w:val="center"/>
              <w:rPr>
                <w:sz w:val="24"/>
                <w:szCs w:val="24"/>
              </w:rPr>
            </w:pPr>
            <w:r w:rsidRPr="0096680B">
              <w:rPr>
                <w:sz w:val="24"/>
                <w:szCs w:val="24"/>
              </w:rPr>
              <w:t>3.2 (1.6)</w:t>
            </w:r>
          </w:p>
        </w:tc>
        <w:tc>
          <w:tcPr>
            <w:tcW w:w="516" w:type="dxa"/>
          </w:tcPr>
          <w:p w14:paraId="4FC13FC2" w14:textId="77777777" w:rsidR="00F45089" w:rsidRPr="0096680B" w:rsidRDefault="00F45089" w:rsidP="004C234F">
            <w:pPr>
              <w:jc w:val="center"/>
              <w:rPr>
                <w:sz w:val="24"/>
                <w:szCs w:val="24"/>
              </w:rPr>
            </w:pPr>
            <w:r w:rsidRPr="0096680B">
              <w:rPr>
                <w:sz w:val="24"/>
                <w:szCs w:val="24"/>
              </w:rPr>
              <w:t>…</w:t>
            </w:r>
          </w:p>
        </w:tc>
      </w:tr>
      <w:tr w:rsidR="00F45089" w:rsidRPr="0096680B" w14:paraId="0873535F" w14:textId="77777777" w:rsidTr="004C234F">
        <w:tc>
          <w:tcPr>
            <w:tcW w:w="2830" w:type="dxa"/>
          </w:tcPr>
          <w:p w14:paraId="0056888C" w14:textId="77777777" w:rsidR="00F45089" w:rsidRPr="0096680B" w:rsidRDefault="00F45089" w:rsidP="004C234F">
            <w:pPr>
              <w:jc w:val="center"/>
              <w:rPr>
                <w:i/>
                <w:sz w:val="24"/>
                <w:szCs w:val="24"/>
              </w:rPr>
            </w:pPr>
            <w:r w:rsidRPr="0096680B">
              <w:rPr>
                <w:i/>
                <w:sz w:val="24"/>
                <w:szCs w:val="24"/>
              </w:rPr>
              <w:t>Poa palustris</w:t>
            </w:r>
          </w:p>
        </w:tc>
        <w:tc>
          <w:tcPr>
            <w:tcW w:w="2835" w:type="dxa"/>
          </w:tcPr>
          <w:p w14:paraId="12C10DCC" w14:textId="77777777" w:rsidR="00F45089" w:rsidRPr="0096680B" w:rsidRDefault="00F45089" w:rsidP="004C234F">
            <w:pPr>
              <w:jc w:val="center"/>
              <w:rPr>
                <w:sz w:val="24"/>
                <w:szCs w:val="24"/>
              </w:rPr>
            </w:pPr>
            <w:r w:rsidRPr="0096680B">
              <w:rPr>
                <w:sz w:val="24"/>
                <w:szCs w:val="24"/>
              </w:rPr>
              <w:t>29.6 (3.9)</w:t>
            </w:r>
          </w:p>
        </w:tc>
        <w:tc>
          <w:tcPr>
            <w:tcW w:w="2835" w:type="dxa"/>
          </w:tcPr>
          <w:p w14:paraId="133B01A9" w14:textId="77777777" w:rsidR="00F45089" w:rsidRPr="0096680B" w:rsidRDefault="00F45089" w:rsidP="004C234F">
            <w:pPr>
              <w:jc w:val="center"/>
              <w:rPr>
                <w:sz w:val="24"/>
                <w:szCs w:val="24"/>
              </w:rPr>
            </w:pPr>
            <w:r w:rsidRPr="0096680B">
              <w:rPr>
                <w:sz w:val="24"/>
                <w:szCs w:val="24"/>
              </w:rPr>
              <w:t>24.5 (3.6)</w:t>
            </w:r>
          </w:p>
        </w:tc>
        <w:tc>
          <w:tcPr>
            <w:tcW w:w="516" w:type="dxa"/>
          </w:tcPr>
          <w:p w14:paraId="59BB7B3A" w14:textId="77777777" w:rsidR="00F45089" w:rsidRPr="0096680B" w:rsidRDefault="00F45089" w:rsidP="004C234F">
            <w:pPr>
              <w:jc w:val="center"/>
              <w:rPr>
                <w:sz w:val="24"/>
                <w:szCs w:val="24"/>
              </w:rPr>
            </w:pPr>
            <w:r w:rsidRPr="0096680B">
              <w:rPr>
                <w:sz w:val="24"/>
                <w:szCs w:val="24"/>
              </w:rPr>
              <w:t>…</w:t>
            </w:r>
          </w:p>
        </w:tc>
      </w:tr>
      <w:tr w:rsidR="00F45089" w:rsidRPr="0096680B" w14:paraId="6B4D2F04" w14:textId="77777777" w:rsidTr="004C234F">
        <w:tc>
          <w:tcPr>
            <w:tcW w:w="2830" w:type="dxa"/>
          </w:tcPr>
          <w:p w14:paraId="4B520D65" w14:textId="77777777" w:rsidR="00F45089" w:rsidRPr="0096680B" w:rsidRDefault="00F45089" w:rsidP="004C234F">
            <w:pPr>
              <w:jc w:val="center"/>
              <w:rPr>
                <w:sz w:val="24"/>
                <w:szCs w:val="24"/>
              </w:rPr>
            </w:pPr>
            <w:r w:rsidRPr="0096680B">
              <w:rPr>
                <w:sz w:val="24"/>
                <w:szCs w:val="24"/>
              </w:rPr>
              <w:t>…</w:t>
            </w:r>
          </w:p>
        </w:tc>
        <w:tc>
          <w:tcPr>
            <w:tcW w:w="2835" w:type="dxa"/>
          </w:tcPr>
          <w:p w14:paraId="25D8CA23" w14:textId="77777777" w:rsidR="00F45089" w:rsidRPr="0096680B" w:rsidRDefault="00F45089" w:rsidP="004C234F">
            <w:pPr>
              <w:jc w:val="center"/>
              <w:rPr>
                <w:sz w:val="24"/>
                <w:szCs w:val="24"/>
              </w:rPr>
            </w:pPr>
            <w:r w:rsidRPr="0096680B">
              <w:rPr>
                <w:sz w:val="24"/>
                <w:szCs w:val="24"/>
              </w:rPr>
              <w:t>…</w:t>
            </w:r>
          </w:p>
        </w:tc>
        <w:tc>
          <w:tcPr>
            <w:tcW w:w="2835" w:type="dxa"/>
          </w:tcPr>
          <w:p w14:paraId="08CF7084" w14:textId="77777777" w:rsidR="00F45089" w:rsidRPr="0096680B" w:rsidRDefault="00F45089" w:rsidP="004C234F">
            <w:pPr>
              <w:jc w:val="center"/>
              <w:rPr>
                <w:sz w:val="24"/>
                <w:szCs w:val="24"/>
              </w:rPr>
            </w:pPr>
            <w:r w:rsidRPr="0096680B">
              <w:rPr>
                <w:sz w:val="24"/>
                <w:szCs w:val="24"/>
              </w:rPr>
              <w:t>…</w:t>
            </w:r>
          </w:p>
        </w:tc>
        <w:tc>
          <w:tcPr>
            <w:tcW w:w="516" w:type="dxa"/>
          </w:tcPr>
          <w:p w14:paraId="191C3C97" w14:textId="77777777" w:rsidR="00F45089" w:rsidRPr="0096680B" w:rsidRDefault="00F45089" w:rsidP="004C234F">
            <w:pPr>
              <w:jc w:val="center"/>
              <w:rPr>
                <w:sz w:val="24"/>
                <w:szCs w:val="24"/>
              </w:rPr>
            </w:pPr>
            <w:r w:rsidRPr="0096680B">
              <w:rPr>
                <w:sz w:val="24"/>
                <w:szCs w:val="24"/>
              </w:rPr>
              <w:t>…</w:t>
            </w:r>
          </w:p>
        </w:tc>
      </w:tr>
    </w:tbl>
    <w:p w14:paraId="0B119535" w14:textId="77777777" w:rsidR="00F45089" w:rsidRPr="0096680B" w:rsidRDefault="00F45089" w:rsidP="00F45089">
      <w:pPr>
        <w:spacing w:line="480" w:lineRule="auto"/>
        <w:rPr>
          <w:sz w:val="24"/>
          <w:szCs w:val="24"/>
        </w:rPr>
      </w:pPr>
    </w:p>
    <w:p w14:paraId="3C95C355" w14:textId="77777777" w:rsidR="00F45089" w:rsidRPr="0096680B" w:rsidRDefault="00F45089" w:rsidP="00F45089">
      <w:pPr>
        <w:spacing w:line="480" w:lineRule="auto"/>
        <w:jc w:val="both"/>
        <w:rPr>
          <w:b/>
          <w:sz w:val="24"/>
          <w:szCs w:val="24"/>
        </w:rPr>
      </w:pPr>
      <w:r w:rsidRPr="0096680B">
        <w:rPr>
          <w:b/>
          <w:sz w:val="24"/>
          <w:szCs w:val="24"/>
        </w:rPr>
        <w:t>Step 2. Indication matrix.</w:t>
      </w:r>
    </w:p>
    <w:p w14:paraId="58736CBE" w14:textId="77777777" w:rsidR="00F45089" w:rsidRPr="00753A52" w:rsidRDefault="00F45089" w:rsidP="00F45089">
      <w:pPr>
        <w:spacing w:line="480" w:lineRule="auto"/>
        <w:jc w:val="both"/>
        <w:rPr>
          <w:sz w:val="24"/>
          <w:szCs w:val="24"/>
          <w:lang w:val="en-GB"/>
        </w:rPr>
      </w:pPr>
      <w:r w:rsidRPr="00753A52">
        <w:rPr>
          <w:sz w:val="24"/>
          <w:szCs w:val="24"/>
          <w:lang w:val="en-GB"/>
        </w:rPr>
        <w:t>The indication matrix contains the deviation between observed co-occurrences and expected co-occurrences for each pair of species. This deviation is expressed using standardized effect size (ses, also known as z-score):</w:t>
      </w:r>
    </w:p>
    <w:p w14:paraId="5F1F9F32" w14:textId="77777777" w:rsidR="00F45089" w:rsidRPr="00F45089" w:rsidRDefault="00F45089" w:rsidP="00F45089">
      <w:pPr>
        <w:spacing w:line="480" w:lineRule="auto"/>
        <w:jc w:val="both"/>
        <w:rPr>
          <w:sz w:val="24"/>
          <w:szCs w:val="24"/>
          <w:lang w:val="pt-BR"/>
        </w:rPr>
      </w:pPr>
      <w:r w:rsidRPr="00F45089">
        <w:rPr>
          <w:b/>
          <w:sz w:val="24"/>
          <w:szCs w:val="24"/>
          <w:lang w:val="pt-BR"/>
        </w:rPr>
        <w:t>ses</w:t>
      </w:r>
      <w:r w:rsidRPr="00F45089">
        <w:rPr>
          <w:sz w:val="24"/>
          <w:szCs w:val="24"/>
          <w:lang w:val="pt-BR"/>
        </w:rPr>
        <w:t xml:space="preserve"> =   </w:t>
      </w:r>
      <m:oMath>
        <m:f>
          <m:fPr>
            <m:ctrlPr>
              <w:rPr>
                <w:rFonts w:ascii="Cambria Math" w:hAnsi="Cambria Math"/>
                <w:i/>
                <w:sz w:val="24"/>
                <w:szCs w:val="24"/>
              </w:rPr>
            </m:ctrlPr>
          </m:fPr>
          <m:num>
            <m:d>
              <m:dPr>
                <m:ctrlPr>
                  <w:rPr>
                    <w:rFonts w:ascii="Cambria Math" w:hAnsi="Cambria Math"/>
                    <w:i/>
                    <w:sz w:val="24"/>
                    <w:szCs w:val="24"/>
                  </w:rPr>
                </m:ctrlPr>
              </m:dPr>
              <m:e>
                <m:r>
                  <w:rPr>
                    <w:rFonts w:ascii="Cambria Math" w:hAnsi="Cambria Math"/>
                    <w:sz w:val="24"/>
                    <w:szCs w:val="24"/>
                  </w:rPr>
                  <m:t>observed</m:t>
                </m:r>
                <m:r>
                  <w:rPr>
                    <w:rFonts w:ascii="Cambria Math" w:hAnsi="Cambria Math"/>
                    <w:sz w:val="24"/>
                    <w:szCs w:val="24"/>
                    <w:lang w:val="pt-BR"/>
                  </w:rPr>
                  <m:t xml:space="preserve"> </m:t>
                </m:r>
                <m:r>
                  <w:rPr>
                    <w:rFonts w:ascii="Cambria Math" w:hAnsi="Cambria Math"/>
                    <w:sz w:val="24"/>
                    <w:szCs w:val="24"/>
                  </w:rPr>
                  <m:t>number</m:t>
                </m:r>
                <m:r>
                  <w:rPr>
                    <w:rFonts w:ascii="Cambria Math" w:hAnsi="Cambria Math"/>
                    <w:sz w:val="24"/>
                    <w:szCs w:val="24"/>
                    <w:lang w:val="pt-BR"/>
                  </w:rPr>
                  <m:t xml:space="preserve"> </m:t>
                </m:r>
                <m:r>
                  <w:rPr>
                    <w:rFonts w:ascii="Cambria Math" w:hAnsi="Cambria Math"/>
                    <w:sz w:val="24"/>
                    <w:szCs w:val="24"/>
                  </w:rPr>
                  <m:t>of</m:t>
                </m:r>
                <m:r>
                  <w:rPr>
                    <w:rFonts w:ascii="Cambria Math" w:hAnsi="Cambria Math"/>
                    <w:sz w:val="24"/>
                    <w:szCs w:val="24"/>
                    <w:lang w:val="pt-BR"/>
                  </w:rPr>
                  <m:t xml:space="preserve"> </m:t>
                </m:r>
                <m:r>
                  <w:rPr>
                    <w:rFonts w:ascii="Cambria Math" w:hAnsi="Cambria Math"/>
                    <w:sz w:val="24"/>
                    <w:szCs w:val="24"/>
                  </w:rPr>
                  <m:t>co</m:t>
                </m:r>
                <m:r>
                  <w:rPr>
                    <w:rFonts w:ascii="Cambria Math" w:hAnsi="Cambria Math"/>
                    <w:sz w:val="24"/>
                    <w:szCs w:val="24"/>
                    <w:lang w:val="pt-BR"/>
                  </w:rPr>
                  <m:t>-</m:t>
                </m:r>
                <m:r>
                  <w:rPr>
                    <w:rFonts w:ascii="Cambria Math" w:hAnsi="Cambria Math"/>
                    <w:sz w:val="24"/>
                    <w:szCs w:val="24"/>
                  </w:rPr>
                  <m:t>occurrences</m:t>
                </m:r>
                <m:r>
                  <w:rPr>
                    <w:rFonts w:ascii="Cambria Math" w:hAnsi="Cambria Math"/>
                    <w:sz w:val="24"/>
                    <w:szCs w:val="24"/>
                    <w:lang w:val="pt-BR"/>
                  </w:rPr>
                  <m:t xml:space="preserve"> -h</m:t>
                </m:r>
                <m:r>
                  <w:rPr>
                    <w:rFonts w:ascii="Cambria Math" w:hAnsi="Cambria Math"/>
                    <w:sz w:val="24"/>
                    <w:szCs w:val="24"/>
                  </w:rPr>
                  <m:t>ypergeometric</m:t>
                </m:r>
                <m:r>
                  <w:rPr>
                    <w:rFonts w:ascii="Cambria Math" w:hAnsi="Cambria Math"/>
                    <w:sz w:val="24"/>
                    <w:szCs w:val="24"/>
                    <w:lang w:val="pt-BR"/>
                  </w:rPr>
                  <m:t xml:space="preserve"> </m:t>
                </m:r>
                <m:r>
                  <w:rPr>
                    <w:rFonts w:ascii="Cambria Math" w:hAnsi="Cambria Math"/>
                    <w:sz w:val="24"/>
                    <w:szCs w:val="24"/>
                  </w:rPr>
                  <m:t>distribution</m:t>
                </m:r>
                <m:r>
                  <w:rPr>
                    <w:rFonts w:ascii="Cambria Math" w:hAnsi="Cambria Math"/>
                    <w:sz w:val="24"/>
                    <w:szCs w:val="24"/>
                    <w:lang w:val="pt-BR"/>
                  </w:rPr>
                  <m:t xml:space="preserve"> </m:t>
                </m:r>
                <m:r>
                  <w:rPr>
                    <w:rFonts w:ascii="Cambria Math" w:hAnsi="Cambria Math"/>
                    <w:sz w:val="24"/>
                    <w:szCs w:val="24"/>
                  </w:rPr>
                  <m:t>mean</m:t>
                </m:r>
                <m:r>
                  <w:rPr>
                    <w:rFonts w:ascii="Cambria Math" w:hAnsi="Cambria Math"/>
                    <w:sz w:val="24"/>
                    <w:szCs w:val="24"/>
                    <w:lang w:val="pt-BR"/>
                  </w:rPr>
                  <m:t xml:space="preserve"> </m:t>
                </m:r>
              </m:e>
            </m:d>
          </m:num>
          <m:den>
            <m:r>
              <w:rPr>
                <w:rFonts w:ascii="Cambria Math" w:hAnsi="Cambria Math"/>
                <w:sz w:val="24"/>
                <w:szCs w:val="24"/>
                <w:lang w:val="pt-BR"/>
              </w:rPr>
              <m:t>h</m:t>
            </m:r>
            <m:r>
              <w:rPr>
                <w:rFonts w:ascii="Cambria Math" w:hAnsi="Cambria Math"/>
                <w:sz w:val="24"/>
                <w:szCs w:val="24"/>
              </w:rPr>
              <m:t>ypergeometric</m:t>
            </m:r>
            <m:r>
              <w:rPr>
                <w:rFonts w:ascii="Cambria Math" w:hAnsi="Cambria Math"/>
                <w:sz w:val="24"/>
                <w:szCs w:val="24"/>
                <w:lang w:val="pt-BR"/>
              </w:rPr>
              <m:t xml:space="preserve"> </m:t>
            </m:r>
            <m:r>
              <w:rPr>
                <w:rFonts w:ascii="Cambria Math" w:hAnsi="Cambria Math"/>
                <w:sz w:val="24"/>
                <w:szCs w:val="24"/>
              </w:rPr>
              <m:t>distribution</m:t>
            </m:r>
            <m:r>
              <w:rPr>
                <w:rFonts w:ascii="Cambria Math" w:hAnsi="Cambria Math"/>
                <w:sz w:val="24"/>
                <w:szCs w:val="24"/>
                <w:lang w:val="pt-BR"/>
              </w:rPr>
              <m:t xml:space="preserve"> </m:t>
            </m:r>
            <m:r>
              <w:rPr>
                <w:rFonts w:ascii="Cambria Math" w:hAnsi="Cambria Math"/>
                <w:sz w:val="24"/>
                <w:szCs w:val="24"/>
              </w:rPr>
              <m:t>standard</m:t>
            </m:r>
            <m:r>
              <w:rPr>
                <w:rFonts w:ascii="Cambria Math" w:hAnsi="Cambria Math"/>
                <w:sz w:val="24"/>
                <w:szCs w:val="24"/>
                <w:lang w:val="pt-BR"/>
              </w:rPr>
              <m:t xml:space="preserve"> </m:t>
            </m:r>
            <m:r>
              <w:rPr>
                <w:rFonts w:ascii="Cambria Math" w:hAnsi="Cambria Math"/>
                <w:sz w:val="24"/>
                <w:szCs w:val="24"/>
              </w:rPr>
              <m:t>deviation</m:t>
            </m:r>
          </m:den>
        </m:f>
      </m:oMath>
    </w:p>
    <w:p w14:paraId="5B2B29C3" w14:textId="77777777" w:rsidR="00F45089" w:rsidRPr="00753A52" w:rsidRDefault="00F45089" w:rsidP="00F45089">
      <w:pPr>
        <w:spacing w:line="480" w:lineRule="auto"/>
        <w:jc w:val="both"/>
        <w:rPr>
          <w:sz w:val="24"/>
          <w:szCs w:val="24"/>
          <w:lang w:val="en-GB"/>
        </w:rPr>
      </w:pPr>
      <w:r w:rsidRPr="00753A52">
        <w:rPr>
          <w:sz w:val="24"/>
          <w:szCs w:val="24"/>
          <w:lang w:val="en-GB"/>
        </w:rPr>
        <w:t xml:space="preserve">The standardized effect size represents how many standard deviations from the mean of the hypergeometric distribution the observed number of co-occurrences is, making species with varying frequencies comparable. Positive </w:t>
      </w:r>
      <w:r w:rsidRPr="000A0498">
        <w:rPr>
          <w:sz w:val="24"/>
          <w:szCs w:val="24"/>
          <w:lang w:val="en-GB"/>
        </w:rPr>
        <w:t xml:space="preserve">values indicate that species co-occur more often than expected by random, likely due to shared ecological requirements; negative values indicate that species co-occur less often than expected by chance. </w:t>
      </w:r>
      <w:r w:rsidRPr="000A6EE8">
        <w:rPr>
          <w:sz w:val="24"/>
          <w:szCs w:val="24"/>
          <w:lang w:val="en-GB"/>
        </w:rPr>
        <w:t>Importantly, if a species is very common, it co-occurs with many other species but the same is expected also randomly. Thus, if the observed and random patterns do not differ, there won't be a positive indication from this common species.</w:t>
      </w:r>
      <w:r w:rsidRPr="000A0498">
        <w:rPr>
          <w:sz w:val="24"/>
          <w:szCs w:val="24"/>
          <w:lang w:val="en-GB"/>
        </w:rPr>
        <w:t xml:space="preserve"> We show exa</w:t>
      </w:r>
      <w:r w:rsidRPr="00753A52">
        <w:rPr>
          <w:sz w:val="24"/>
          <w:szCs w:val="24"/>
          <w:lang w:val="en-GB"/>
        </w:rPr>
        <w:t>mples of pairwise ses values from Southeast Brazil in Table S</w:t>
      </w:r>
      <w:r>
        <w:rPr>
          <w:sz w:val="24"/>
          <w:szCs w:val="24"/>
          <w:lang w:val="en-GB"/>
        </w:rPr>
        <w:t>3</w:t>
      </w:r>
      <w:r w:rsidRPr="00753A52">
        <w:rPr>
          <w:sz w:val="24"/>
          <w:szCs w:val="24"/>
          <w:lang w:val="en-GB"/>
        </w:rPr>
        <w:t xml:space="preserve">. </w:t>
      </w:r>
    </w:p>
    <w:p w14:paraId="21EE0D8F" w14:textId="77777777" w:rsidR="00F45089" w:rsidRPr="00753A52" w:rsidRDefault="00F45089" w:rsidP="00F45089">
      <w:pPr>
        <w:spacing w:line="480" w:lineRule="auto"/>
        <w:jc w:val="both"/>
        <w:rPr>
          <w:sz w:val="24"/>
          <w:szCs w:val="24"/>
          <w:lang w:val="en-GB"/>
        </w:rPr>
      </w:pPr>
      <w:r w:rsidRPr="00753A52">
        <w:rPr>
          <w:b/>
          <w:sz w:val="24"/>
          <w:szCs w:val="24"/>
          <w:lang w:val="en-GB"/>
        </w:rPr>
        <w:t>Table S</w:t>
      </w:r>
      <w:r>
        <w:rPr>
          <w:b/>
          <w:sz w:val="24"/>
          <w:szCs w:val="24"/>
          <w:lang w:val="en-GB"/>
        </w:rPr>
        <w:t>3</w:t>
      </w:r>
      <w:r w:rsidRPr="00753A52">
        <w:rPr>
          <w:b/>
          <w:sz w:val="24"/>
          <w:szCs w:val="24"/>
          <w:lang w:val="en-GB"/>
        </w:rPr>
        <w:t>. Pairwise indication matrix example.</w:t>
      </w:r>
      <w:r w:rsidRPr="00753A52">
        <w:rPr>
          <w:sz w:val="24"/>
          <w:szCs w:val="24"/>
          <w:lang w:val="en-GB"/>
        </w:rPr>
        <w:t xml:space="preserve"> Observed alien species (columns) and alien dark diversity candidate species (rows). The indication is expressed as the standardized effect size. Positive values suggest that the indicator species likely share ecological requirements with the absent species.</w:t>
      </w:r>
    </w:p>
    <w:tbl>
      <w:tblPr>
        <w:tblStyle w:val="TableGrid"/>
        <w:tblW w:w="9016" w:type="dxa"/>
        <w:tblLook w:val="04A0" w:firstRow="1" w:lastRow="0" w:firstColumn="1" w:lastColumn="0" w:noHBand="0" w:noVBand="1"/>
      </w:tblPr>
      <w:tblGrid>
        <w:gridCol w:w="2830"/>
        <w:gridCol w:w="2835"/>
        <w:gridCol w:w="2835"/>
        <w:gridCol w:w="516"/>
      </w:tblGrid>
      <w:tr w:rsidR="00F45089" w:rsidRPr="0096680B" w14:paraId="237659D9" w14:textId="77777777" w:rsidTr="004C234F">
        <w:tc>
          <w:tcPr>
            <w:tcW w:w="2830" w:type="dxa"/>
          </w:tcPr>
          <w:p w14:paraId="448AFA1F" w14:textId="77777777" w:rsidR="00F45089" w:rsidRPr="0096680B" w:rsidRDefault="00F45089" w:rsidP="004C234F">
            <w:pPr>
              <w:jc w:val="center"/>
              <w:rPr>
                <w:b/>
                <w:sz w:val="24"/>
                <w:szCs w:val="24"/>
              </w:rPr>
            </w:pPr>
          </w:p>
        </w:tc>
        <w:tc>
          <w:tcPr>
            <w:tcW w:w="2835" w:type="dxa"/>
          </w:tcPr>
          <w:p w14:paraId="22AA4291" w14:textId="77777777" w:rsidR="00F45089" w:rsidRPr="0096680B" w:rsidRDefault="00F45089" w:rsidP="004C234F">
            <w:pPr>
              <w:jc w:val="center"/>
              <w:rPr>
                <w:sz w:val="24"/>
                <w:szCs w:val="24"/>
              </w:rPr>
            </w:pPr>
            <w:r w:rsidRPr="0096680B">
              <w:rPr>
                <w:i/>
                <w:sz w:val="24"/>
                <w:szCs w:val="24"/>
              </w:rPr>
              <w:t>Capsella bursa-pastoris</w:t>
            </w:r>
            <w:r w:rsidRPr="0096680B">
              <w:rPr>
                <w:sz w:val="24"/>
                <w:szCs w:val="24"/>
              </w:rPr>
              <w:t xml:space="preserve"> </w:t>
            </w:r>
          </w:p>
        </w:tc>
        <w:tc>
          <w:tcPr>
            <w:tcW w:w="2835" w:type="dxa"/>
          </w:tcPr>
          <w:p w14:paraId="78C87D34" w14:textId="77777777" w:rsidR="00F45089" w:rsidRPr="0096680B" w:rsidRDefault="00F45089" w:rsidP="004C234F">
            <w:pPr>
              <w:jc w:val="center"/>
              <w:rPr>
                <w:sz w:val="24"/>
                <w:szCs w:val="24"/>
              </w:rPr>
            </w:pPr>
            <w:r w:rsidRPr="0096680B">
              <w:rPr>
                <w:i/>
                <w:sz w:val="24"/>
                <w:szCs w:val="24"/>
              </w:rPr>
              <w:t>Plantago lanceolata</w:t>
            </w:r>
          </w:p>
        </w:tc>
        <w:tc>
          <w:tcPr>
            <w:tcW w:w="516" w:type="dxa"/>
          </w:tcPr>
          <w:p w14:paraId="3E782D80" w14:textId="77777777" w:rsidR="00F45089" w:rsidRPr="0096680B" w:rsidRDefault="00F45089" w:rsidP="004C234F">
            <w:pPr>
              <w:jc w:val="center"/>
              <w:rPr>
                <w:sz w:val="24"/>
                <w:szCs w:val="24"/>
              </w:rPr>
            </w:pPr>
            <w:r w:rsidRPr="0096680B">
              <w:rPr>
                <w:sz w:val="24"/>
                <w:szCs w:val="24"/>
              </w:rPr>
              <w:t>…</w:t>
            </w:r>
          </w:p>
        </w:tc>
      </w:tr>
      <w:tr w:rsidR="00F45089" w:rsidRPr="0096680B" w14:paraId="199FD3E8" w14:textId="77777777" w:rsidTr="004C234F">
        <w:tc>
          <w:tcPr>
            <w:tcW w:w="2830" w:type="dxa"/>
          </w:tcPr>
          <w:p w14:paraId="0E61A537" w14:textId="77777777" w:rsidR="00F45089" w:rsidRPr="0096680B" w:rsidRDefault="00F45089" w:rsidP="004C234F">
            <w:pPr>
              <w:jc w:val="center"/>
              <w:rPr>
                <w:sz w:val="24"/>
                <w:szCs w:val="24"/>
              </w:rPr>
            </w:pPr>
            <w:r w:rsidRPr="0096680B">
              <w:rPr>
                <w:i/>
                <w:sz w:val="24"/>
                <w:szCs w:val="24"/>
              </w:rPr>
              <w:t>Alysicarpus rugosus</w:t>
            </w:r>
            <w:r w:rsidRPr="0096680B">
              <w:rPr>
                <w:sz w:val="24"/>
                <w:szCs w:val="24"/>
              </w:rPr>
              <w:t xml:space="preserve"> </w:t>
            </w:r>
          </w:p>
        </w:tc>
        <w:tc>
          <w:tcPr>
            <w:tcW w:w="2835" w:type="dxa"/>
          </w:tcPr>
          <w:p w14:paraId="530BD81E" w14:textId="77777777" w:rsidR="00F45089" w:rsidRPr="0096680B" w:rsidRDefault="00F45089" w:rsidP="004C234F">
            <w:pPr>
              <w:jc w:val="center"/>
              <w:rPr>
                <w:sz w:val="24"/>
                <w:szCs w:val="24"/>
              </w:rPr>
            </w:pPr>
            <w:r w:rsidRPr="0096680B">
              <w:rPr>
                <w:sz w:val="24"/>
                <w:szCs w:val="24"/>
              </w:rPr>
              <w:t>-3.0021</w:t>
            </w:r>
          </w:p>
        </w:tc>
        <w:tc>
          <w:tcPr>
            <w:tcW w:w="2835" w:type="dxa"/>
          </w:tcPr>
          <w:p w14:paraId="086EC607" w14:textId="77777777" w:rsidR="00F45089" w:rsidRPr="0096680B" w:rsidRDefault="00F45089" w:rsidP="004C234F">
            <w:pPr>
              <w:jc w:val="center"/>
              <w:rPr>
                <w:sz w:val="24"/>
                <w:szCs w:val="24"/>
              </w:rPr>
            </w:pPr>
            <w:r w:rsidRPr="0096680B">
              <w:rPr>
                <w:sz w:val="24"/>
                <w:szCs w:val="24"/>
              </w:rPr>
              <w:t>-2.6511</w:t>
            </w:r>
          </w:p>
        </w:tc>
        <w:tc>
          <w:tcPr>
            <w:tcW w:w="516" w:type="dxa"/>
          </w:tcPr>
          <w:p w14:paraId="1CAFA6D4" w14:textId="77777777" w:rsidR="00F45089" w:rsidRPr="0096680B" w:rsidRDefault="00F45089" w:rsidP="004C234F">
            <w:pPr>
              <w:jc w:val="center"/>
              <w:rPr>
                <w:sz w:val="24"/>
                <w:szCs w:val="24"/>
              </w:rPr>
            </w:pPr>
            <w:r w:rsidRPr="0096680B">
              <w:rPr>
                <w:sz w:val="24"/>
                <w:szCs w:val="24"/>
              </w:rPr>
              <w:t>…</w:t>
            </w:r>
          </w:p>
        </w:tc>
      </w:tr>
      <w:tr w:rsidR="00F45089" w:rsidRPr="0096680B" w14:paraId="7330080E" w14:textId="77777777" w:rsidTr="004C234F">
        <w:tc>
          <w:tcPr>
            <w:tcW w:w="2830" w:type="dxa"/>
          </w:tcPr>
          <w:p w14:paraId="23912A4C" w14:textId="77777777" w:rsidR="00F45089" w:rsidRPr="0096680B" w:rsidRDefault="00F45089" w:rsidP="004C234F">
            <w:pPr>
              <w:jc w:val="center"/>
              <w:rPr>
                <w:sz w:val="24"/>
                <w:szCs w:val="24"/>
              </w:rPr>
            </w:pPr>
            <w:r w:rsidRPr="0096680B">
              <w:rPr>
                <w:i/>
                <w:sz w:val="24"/>
                <w:szCs w:val="24"/>
              </w:rPr>
              <w:t>Lycopus lucidus</w:t>
            </w:r>
          </w:p>
        </w:tc>
        <w:tc>
          <w:tcPr>
            <w:tcW w:w="2835" w:type="dxa"/>
          </w:tcPr>
          <w:p w14:paraId="1310763C" w14:textId="77777777" w:rsidR="00F45089" w:rsidRPr="0096680B" w:rsidRDefault="00F45089" w:rsidP="004C234F">
            <w:pPr>
              <w:jc w:val="center"/>
              <w:rPr>
                <w:sz w:val="24"/>
                <w:szCs w:val="24"/>
              </w:rPr>
            </w:pPr>
            <w:r w:rsidRPr="0096680B">
              <w:rPr>
                <w:sz w:val="24"/>
                <w:szCs w:val="24"/>
              </w:rPr>
              <w:t>5.5457</w:t>
            </w:r>
          </w:p>
        </w:tc>
        <w:tc>
          <w:tcPr>
            <w:tcW w:w="2835" w:type="dxa"/>
          </w:tcPr>
          <w:p w14:paraId="7994A05A" w14:textId="77777777" w:rsidR="00F45089" w:rsidRPr="0096680B" w:rsidRDefault="00F45089" w:rsidP="004C234F">
            <w:pPr>
              <w:jc w:val="center"/>
              <w:rPr>
                <w:sz w:val="24"/>
                <w:szCs w:val="24"/>
              </w:rPr>
            </w:pPr>
            <w:r w:rsidRPr="0096680B">
              <w:rPr>
                <w:sz w:val="24"/>
                <w:szCs w:val="24"/>
              </w:rPr>
              <w:t>0.5346</w:t>
            </w:r>
          </w:p>
        </w:tc>
        <w:tc>
          <w:tcPr>
            <w:tcW w:w="516" w:type="dxa"/>
          </w:tcPr>
          <w:p w14:paraId="55D8A49D" w14:textId="77777777" w:rsidR="00F45089" w:rsidRPr="0096680B" w:rsidRDefault="00F45089" w:rsidP="004C234F">
            <w:pPr>
              <w:jc w:val="center"/>
              <w:rPr>
                <w:sz w:val="24"/>
                <w:szCs w:val="24"/>
              </w:rPr>
            </w:pPr>
            <w:r w:rsidRPr="0096680B">
              <w:rPr>
                <w:sz w:val="24"/>
                <w:szCs w:val="24"/>
              </w:rPr>
              <w:t>…</w:t>
            </w:r>
          </w:p>
        </w:tc>
      </w:tr>
      <w:tr w:rsidR="00F45089" w:rsidRPr="0096680B" w14:paraId="75B1B0D5" w14:textId="77777777" w:rsidTr="004C234F">
        <w:tc>
          <w:tcPr>
            <w:tcW w:w="2830" w:type="dxa"/>
          </w:tcPr>
          <w:p w14:paraId="14B1E5F1" w14:textId="77777777" w:rsidR="00F45089" w:rsidRPr="0096680B" w:rsidRDefault="00F45089" w:rsidP="004C234F">
            <w:pPr>
              <w:jc w:val="center"/>
              <w:rPr>
                <w:i/>
                <w:sz w:val="24"/>
                <w:szCs w:val="24"/>
              </w:rPr>
            </w:pPr>
            <w:r w:rsidRPr="0096680B">
              <w:rPr>
                <w:i/>
                <w:sz w:val="24"/>
                <w:szCs w:val="24"/>
              </w:rPr>
              <w:t>Poa palustris</w:t>
            </w:r>
          </w:p>
        </w:tc>
        <w:tc>
          <w:tcPr>
            <w:tcW w:w="2835" w:type="dxa"/>
          </w:tcPr>
          <w:p w14:paraId="07CF14EA" w14:textId="77777777" w:rsidR="00F45089" w:rsidRPr="0096680B" w:rsidRDefault="00F45089" w:rsidP="004C234F">
            <w:pPr>
              <w:jc w:val="center"/>
              <w:rPr>
                <w:sz w:val="24"/>
                <w:szCs w:val="24"/>
              </w:rPr>
            </w:pPr>
            <w:r w:rsidRPr="0096680B">
              <w:rPr>
                <w:sz w:val="24"/>
                <w:szCs w:val="24"/>
              </w:rPr>
              <w:t>7.8255</w:t>
            </w:r>
          </w:p>
        </w:tc>
        <w:tc>
          <w:tcPr>
            <w:tcW w:w="2835" w:type="dxa"/>
          </w:tcPr>
          <w:p w14:paraId="2E61F7A0" w14:textId="77777777" w:rsidR="00F45089" w:rsidRPr="0096680B" w:rsidRDefault="00F45089" w:rsidP="004C234F">
            <w:pPr>
              <w:jc w:val="center"/>
              <w:rPr>
                <w:sz w:val="24"/>
                <w:szCs w:val="24"/>
              </w:rPr>
            </w:pPr>
            <w:r w:rsidRPr="0096680B">
              <w:rPr>
                <w:sz w:val="24"/>
                <w:szCs w:val="24"/>
              </w:rPr>
              <w:t>5.3425</w:t>
            </w:r>
          </w:p>
        </w:tc>
        <w:tc>
          <w:tcPr>
            <w:tcW w:w="516" w:type="dxa"/>
          </w:tcPr>
          <w:p w14:paraId="7F658BD0" w14:textId="77777777" w:rsidR="00F45089" w:rsidRPr="0096680B" w:rsidRDefault="00F45089" w:rsidP="004C234F">
            <w:pPr>
              <w:jc w:val="center"/>
              <w:rPr>
                <w:sz w:val="24"/>
                <w:szCs w:val="24"/>
              </w:rPr>
            </w:pPr>
            <w:r w:rsidRPr="0096680B">
              <w:rPr>
                <w:sz w:val="24"/>
                <w:szCs w:val="24"/>
              </w:rPr>
              <w:t>…</w:t>
            </w:r>
          </w:p>
        </w:tc>
      </w:tr>
      <w:tr w:rsidR="00F45089" w:rsidRPr="0096680B" w14:paraId="0D1E7816" w14:textId="77777777" w:rsidTr="004C234F">
        <w:tc>
          <w:tcPr>
            <w:tcW w:w="2830" w:type="dxa"/>
          </w:tcPr>
          <w:p w14:paraId="3CD9C866" w14:textId="77777777" w:rsidR="00F45089" w:rsidRPr="0096680B" w:rsidRDefault="00F45089" w:rsidP="004C234F">
            <w:pPr>
              <w:jc w:val="center"/>
              <w:rPr>
                <w:i/>
                <w:sz w:val="24"/>
                <w:szCs w:val="24"/>
              </w:rPr>
            </w:pPr>
            <w:r w:rsidRPr="0096680B">
              <w:rPr>
                <w:i/>
                <w:sz w:val="24"/>
                <w:szCs w:val="24"/>
              </w:rPr>
              <w:t>…</w:t>
            </w:r>
          </w:p>
        </w:tc>
        <w:tc>
          <w:tcPr>
            <w:tcW w:w="2835" w:type="dxa"/>
          </w:tcPr>
          <w:p w14:paraId="09E9D5FD" w14:textId="77777777" w:rsidR="00F45089" w:rsidRPr="0096680B" w:rsidRDefault="00F45089" w:rsidP="004C234F">
            <w:pPr>
              <w:jc w:val="center"/>
              <w:rPr>
                <w:sz w:val="24"/>
                <w:szCs w:val="24"/>
              </w:rPr>
            </w:pPr>
            <w:r w:rsidRPr="0096680B">
              <w:rPr>
                <w:sz w:val="24"/>
                <w:szCs w:val="24"/>
              </w:rPr>
              <w:t>…</w:t>
            </w:r>
          </w:p>
        </w:tc>
        <w:tc>
          <w:tcPr>
            <w:tcW w:w="2835" w:type="dxa"/>
          </w:tcPr>
          <w:p w14:paraId="6AC2F1B9" w14:textId="77777777" w:rsidR="00F45089" w:rsidRPr="0096680B" w:rsidRDefault="00F45089" w:rsidP="004C234F">
            <w:pPr>
              <w:jc w:val="center"/>
              <w:rPr>
                <w:sz w:val="24"/>
                <w:szCs w:val="24"/>
              </w:rPr>
            </w:pPr>
            <w:r w:rsidRPr="0096680B">
              <w:rPr>
                <w:sz w:val="24"/>
                <w:szCs w:val="24"/>
              </w:rPr>
              <w:t>…</w:t>
            </w:r>
          </w:p>
        </w:tc>
        <w:tc>
          <w:tcPr>
            <w:tcW w:w="516" w:type="dxa"/>
          </w:tcPr>
          <w:p w14:paraId="53C0237E" w14:textId="77777777" w:rsidR="00F45089" w:rsidRPr="0096680B" w:rsidRDefault="00F45089" w:rsidP="004C234F">
            <w:pPr>
              <w:jc w:val="center"/>
              <w:rPr>
                <w:sz w:val="24"/>
                <w:szCs w:val="24"/>
              </w:rPr>
            </w:pPr>
            <w:r w:rsidRPr="0096680B">
              <w:rPr>
                <w:sz w:val="24"/>
                <w:szCs w:val="24"/>
              </w:rPr>
              <w:t>…</w:t>
            </w:r>
          </w:p>
        </w:tc>
      </w:tr>
    </w:tbl>
    <w:p w14:paraId="64F19944" w14:textId="77777777" w:rsidR="00F45089" w:rsidRPr="0096680B" w:rsidRDefault="00F45089" w:rsidP="00F45089">
      <w:pPr>
        <w:spacing w:line="480" w:lineRule="auto"/>
        <w:jc w:val="both"/>
        <w:rPr>
          <w:b/>
          <w:sz w:val="24"/>
          <w:szCs w:val="24"/>
        </w:rPr>
      </w:pPr>
    </w:p>
    <w:p w14:paraId="2391A52A" w14:textId="77777777" w:rsidR="00F45089" w:rsidRPr="000A0498" w:rsidRDefault="00F45089" w:rsidP="00F45089">
      <w:pPr>
        <w:spacing w:line="480" w:lineRule="auto"/>
        <w:jc w:val="both"/>
        <w:rPr>
          <w:b/>
          <w:sz w:val="24"/>
          <w:szCs w:val="24"/>
          <w:lang w:val="en-GB"/>
        </w:rPr>
      </w:pPr>
      <w:r w:rsidRPr="000A0498">
        <w:rPr>
          <w:b/>
          <w:sz w:val="24"/>
          <w:szCs w:val="24"/>
          <w:lang w:val="en-GB"/>
        </w:rPr>
        <w:t xml:space="preserve">Step 3. Calculations </w:t>
      </w:r>
      <w:r w:rsidRPr="000A6EE8">
        <w:rPr>
          <w:b/>
          <w:sz w:val="24"/>
          <w:szCs w:val="24"/>
          <w:lang w:val="en-GB"/>
        </w:rPr>
        <w:t>of</w:t>
      </w:r>
      <w:r w:rsidRPr="000A6EE8">
        <w:rPr>
          <w:sz w:val="24"/>
          <w:szCs w:val="24"/>
          <w:lang w:val="en-US"/>
        </w:rPr>
        <w:t xml:space="preserve"> </w:t>
      </w:r>
      <w:r w:rsidRPr="000A6EE8">
        <w:rPr>
          <w:b/>
          <w:sz w:val="24"/>
          <w:szCs w:val="24"/>
          <w:lang w:val="en-US"/>
        </w:rPr>
        <w:t>inverse Fisher score</w:t>
      </w:r>
      <w:r w:rsidRPr="000A0498">
        <w:rPr>
          <w:b/>
          <w:sz w:val="24"/>
          <w:szCs w:val="24"/>
          <w:lang w:val="en-GB"/>
        </w:rPr>
        <w:t xml:space="preserve"> </w:t>
      </w:r>
    </w:p>
    <w:p w14:paraId="2579FF78" w14:textId="77777777" w:rsidR="00F45089" w:rsidRPr="000A6EE8" w:rsidRDefault="00F45089" w:rsidP="00F45089">
      <w:pPr>
        <w:spacing w:line="480" w:lineRule="auto"/>
        <w:jc w:val="both"/>
        <w:rPr>
          <w:sz w:val="24"/>
          <w:szCs w:val="24"/>
          <w:lang w:val="en-GB"/>
        </w:rPr>
      </w:pPr>
      <w:r w:rsidRPr="000A6EE8">
        <w:rPr>
          <w:sz w:val="24"/>
          <w:szCs w:val="24"/>
          <w:lang w:val="en-GB"/>
        </w:rPr>
        <w:t>For each alien dark diversity candidate species, we calculated the mean of ses values of all observed alien species. Our example is shown in Table S4, column “Mean ses”. The mean ses is approximately normally distributed (as z-score</w:t>
      </w:r>
      <w:proofErr w:type="gramStart"/>
      <w:r w:rsidRPr="000A6EE8">
        <w:rPr>
          <w:sz w:val="24"/>
          <w:szCs w:val="24"/>
          <w:lang w:val="en-GB"/>
        </w:rPr>
        <w:t>), but</w:t>
      </w:r>
      <w:proofErr w:type="gramEnd"/>
      <w:r w:rsidRPr="000A6EE8">
        <w:rPr>
          <w:sz w:val="24"/>
          <w:szCs w:val="24"/>
          <w:lang w:val="en-GB"/>
        </w:rPr>
        <w:t xml:space="preserve"> has no upper or lower limits. To attain dark diversity scores ranging between -1 and +1, we applied the inverse Fisher transformation: </w:t>
      </w:r>
    </w:p>
    <w:p w14:paraId="544A75CF" w14:textId="77777777" w:rsidR="00F45089" w:rsidRPr="000A0498" w:rsidRDefault="00F45089" w:rsidP="00F45089">
      <w:pPr>
        <w:spacing w:line="480" w:lineRule="auto"/>
        <w:jc w:val="both"/>
        <w:rPr>
          <w:sz w:val="24"/>
          <w:szCs w:val="24"/>
          <w:lang w:val="en-GB"/>
        </w:rPr>
      </w:pPr>
      <w:r w:rsidRPr="000A6EE8">
        <w:rPr>
          <w:b/>
          <w:sz w:val="24"/>
          <w:szCs w:val="24"/>
          <w:lang w:val="en-US"/>
        </w:rPr>
        <w:t>Inverse Fisher score</w:t>
      </w:r>
      <w:r w:rsidRPr="000A0498">
        <w:rPr>
          <w:b/>
          <w:sz w:val="24"/>
          <w:szCs w:val="24"/>
          <w:lang w:val="en-GB"/>
        </w:rPr>
        <w:t xml:space="preserve"> =</w:t>
      </w:r>
      <w:r w:rsidRPr="000A0498">
        <w:rPr>
          <w:sz w:val="24"/>
          <w:szCs w:val="24"/>
          <w:lang w:val="en-GB"/>
        </w:rPr>
        <w:t xml:space="preserve">   </w:t>
      </w:r>
      <m:oMath>
        <m:f>
          <m:fPr>
            <m:ctrlPr>
              <w:rPr>
                <w:rFonts w:ascii="Cambria Math" w:eastAsiaTheme="minorEastAsia" w:hAnsi="Cambria Math"/>
                <w:i/>
                <w:sz w:val="24"/>
                <w:szCs w:val="24"/>
              </w:rPr>
            </m:ctrlPr>
          </m:fPr>
          <m:num>
            <m:sSup>
              <m:sSupPr>
                <m:ctrlPr>
                  <w:rPr>
                    <w:rFonts w:ascii="Cambria Math" w:eastAsiaTheme="minorEastAsia" w:hAnsi="Cambria Math"/>
                    <w:i/>
                    <w:sz w:val="24"/>
                    <w:szCs w:val="24"/>
                  </w:rPr>
                </m:ctrlPr>
              </m:sSupPr>
              <m:e>
                <m:r>
                  <w:rPr>
                    <w:rFonts w:ascii="Cambria Math" w:eastAsiaTheme="minorEastAsia" w:hAnsi="Cambria Math"/>
                    <w:sz w:val="24"/>
                    <w:szCs w:val="24"/>
                  </w:rPr>
                  <m:t>e</m:t>
                </m:r>
              </m:e>
              <m:sup>
                <m:r>
                  <w:rPr>
                    <w:rFonts w:ascii="Cambria Math" w:eastAsiaTheme="minorEastAsia" w:hAnsi="Cambria Math"/>
                    <w:sz w:val="24"/>
                    <w:szCs w:val="24"/>
                    <w:lang w:val="en-GB"/>
                  </w:rPr>
                  <m:t xml:space="preserve">2 × </m:t>
                </m:r>
                <m:r>
                  <w:rPr>
                    <w:rFonts w:ascii="Cambria Math" w:eastAsiaTheme="minorEastAsia" w:hAnsi="Cambria Math"/>
                    <w:sz w:val="24"/>
                    <w:szCs w:val="24"/>
                  </w:rPr>
                  <m:t>ses</m:t>
                </m:r>
              </m:sup>
            </m:sSup>
            <m:r>
              <w:rPr>
                <w:rFonts w:ascii="Cambria Math" w:eastAsiaTheme="minorEastAsia" w:hAnsi="Cambria Math"/>
                <w:sz w:val="24"/>
                <w:szCs w:val="24"/>
                <w:lang w:val="en-GB"/>
              </w:rPr>
              <m:t xml:space="preserve"> - 1</m:t>
            </m:r>
          </m:num>
          <m:den>
            <m:sSup>
              <m:sSupPr>
                <m:ctrlPr>
                  <w:rPr>
                    <w:rFonts w:ascii="Cambria Math" w:eastAsiaTheme="minorEastAsia" w:hAnsi="Cambria Math"/>
                    <w:i/>
                    <w:sz w:val="24"/>
                    <w:szCs w:val="24"/>
                  </w:rPr>
                </m:ctrlPr>
              </m:sSupPr>
              <m:e>
                <m:r>
                  <w:rPr>
                    <w:rFonts w:ascii="Cambria Math" w:eastAsiaTheme="minorEastAsia" w:hAnsi="Cambria Math"/>
                    <w:sz w:val="24"/>
                    <w:szCs w:val="24"/>
                  </w:rPr>
                  <m:t>e</m:t>
                </m:r>
              </m:e>
              <m:sup>
                <m:r>
                  <w:rPr>
                    <w:rFonts w:ascii="Cambria Math" w:eastAsiaTheme="minorEastAsia" w:hAnsi="Cambria Math"/>
                    <w:sz w:val="24"/>
                    <w:szCs w:val="24"/>
                    <w:lang w:val="en-GB"/>
                  </w:rPr>
                  <m:t xml:space="preserve">2 × </m:t>
                </m:r>
                <m:r>
                  <w:rPr>
                    <w:rFonts w:ascii="Cambria Math" w:eastAsiaTheme="minorEastAsia" w:hAnsi="Cambria Math"/>
                    <w:sz w:val="24"/>
                    <w:szCs w:val="24"/>
                  </w:rPr>
                  <m:t>ses</m:t>
                </m:r>
              </m:sup>
            </m:sSup>
            <m:r>
              <w:rPr>
                <w:rFonts w:ascii="Cambria Math" w:eastAsiaTheme="minorEastAsia" w:hAnsi="Cambria Math"/>
                <w:sz w:val="24"/>
                <w:szCs w:val="24"/>
                <w:lang w:val="en-GB"/>
              </w:rPr>
              <m:t xml:space="preserve"> + 1</m:t>
            </m:r>
          </m:den>
        </m:f>
        <m:r>
          <m:rPr>
            <m:sty m:val="p"/>
          </m:rPr>
          <w:rPr>
            <w:rFonts w:ascii="Cambria Math" w:eastAsiaTheme="minorEastAsia" w:hAnsi="Cambria Math"/>
            <w:sz w:val="24"/>
            <w:szCs w:val="24"/>
            <w:lang w:val="en-GB"/>
          </w:rPr>
          <m:t xml:space="preserve">  </m:t>
        </m:r>
      </m:oMath>
    </w:p>
    <w:p w14:paraId="47967086" w14:textId="77777777" w:rsidR="00F45089" w:rsidRPr="000A6EE8" w:rsidRDefault="00F45089" w:rsidP="00F45089">
      <w:pPr>
        <w:spacing w:line="480" w:lineRule="auto"/>
        <w:jc w:val="both"/>
        <w:rPr>
          <w:sz w:val="24"/>
          <w:szCs w:val="24"/>
          <w:lang w:val="en-GB"/>
        </w:rPr>
      </w:pPr>
      <w:r w:rsidRPr="000A0498">
        <w:rPr>
          <w:sz w:val="24"/>
          <w:szCs w:val="24"/>
          <w:lang w:val="en-GB"/>
        </w:rPr>
        <w:t xml:space="preserve">The </w:t>
      </w:r>
      <w:r w:rsidRPr="000A6EE8">
        <w:rPr>
          <w:sz w:val="24"/>
          <w:szCs w:val="24"/>
          <w:lang w:val="en-GB"/>
        </w:rPr>
        <w:t>inverse Fisher score</w:t>
      </w:r>
      <w:r w:rsidRPr="000A0498">
        <w:rPr>
          <w:sz w:val="24"/>
          <w:szCs w:val="24"/>
          <w:lang w:val="en-GB"/>
        </w:rPr>
        <w:t xml:space="preserve"> can be interpreted as Pearson correlation, where absent species with values close to +1 are extremely likely to be in the dark diversity, and these closer to -1 values indicate a higher chance of not being. An example of calculations is displayed in Table S4</w:t>
      </w:r>
      <w:r w:rsidRPr="000A6EE8">
        <w:rPr>
          <w:sz w:val="24"/>
          <w:szCs w:val="24"/>
          <w:lang w:val="en-GB"/>
        </w:rPr>
        <w:t>. Since we were interested in dark diversity size based on species that are likely in dark diversity, we used the Rectified Linear Unit (ReLU) function:</w:t>
      </w:r>
    </w:p>
    <w:p w14:paraId="716794DA" w14:textId="77777777" w:rsidR="00F45089" w:rsidRPr="000A0498" w:rsidRDefault="00F45089" w:rsidP="00F45089">
      <w:pPr>
        <w:spacing w:line="480" w:lineRule="auto"/>
        <w:jc w:val="both"/>
        <w:rPr>
          <w:sz w:val="24"/>
          <w:szCs w:val="24"/>
          <w:lang w:val="en-GB"/>
        </w:rPr>
      </w:pPr>
      <w:r w:rsidRPr="000A6EE8">
        <w:rPr>
          <w:b/>
          <w:sz w:val="24"/>
          <w:szCs w:val="24"/>
          <w:lang w:val="en-GB"/>
        </w:rPr>
        <w:t>Dark diversity score</w:t>
      </w:r>
      <w:r w:rsidRPr="000A0498">
        <w:rPr>
          <w:sz w:val="24"/>
          <w:szCs w:val="24"/>
          <w:lang w:val="en-GB"/>
        </w:rPr>
        <w:t xml:space="preserve"> =  </w:t>
      </w:r>
      <m:oMath>
        <m:func>
          <m:funcPr>
            <m:ctrlPr>
              <w:rPr>
                <w:rFonts w:ascii="Cambria Math" w:hAnsi="Cambria Math"/>
                <w:i/>
                <w:sz w:val="24"/>
                <w:szCs w:val="24"/>
              </w:rPr>
            </m:ctrlPr>
          </m:funcPr>
          <m:fName>
            <m:r>
              <m:rPr>
                <m:sty m:val="p"/>
              </m:rPr>
              <w:rPr>
                <w:rFonts w:ascii="Cambria Math" w:hAnsi="Cambria Math"/>
                <w:sz w:val="24"/>
                <w:szCs w:val="24"/>
                <w:lang w:val="en-GB"/>
              </w:rPr>
              <m:t>max</m:t>
            </m:r>
          </m:fName>
          <m:e>
            <m:d>
              <m:dPr>
                <m:ctrlPr>
                  <w:rPr>
                    <w:rFonts w:ascii="Cambria Math" w:hAnsi="Cambria Math"/>
                    <w:i/>
                    <w:sz w:val="24"/>
                    <w:szCs w:val="24"/>
                  </w:rPr>
                </m:ctrlPr>
              </m:dPr>
              <m:e>
                <m:r>
                  <w:rPr>
                    <w:rFonts w:ascii="Cambria Math" w:hAnsi="Cambria Math"/>
                    <w:sz w:val="24"/>
                    <w:szCs w:val="24"/>
                    <w:lang w:val="en-GB"/>
                  </w:rPr>
                  <m:t xml:space="preserve">0, </m:t>
                </m:r>
                <m:r>
                  <w:rPr>
                    <w:rFonts w:ascii="Cambria Math" w:hAnsi="Cambria Math"/>
                    <w:sz w:val="24"/>
                    <w:szCs w:val="24"/>
                  </w:rPr>
                  <m:t>dark</m:t>
                </m:r>
                <m:r>
                  <w:rPr>
                    <w:rFonts w:ascii="Cambria Math" w:hAnsi="Cambria Math"/>
                    <w:sz w:val="24"/>
                    <w:szCs w:val="24"/>
                    <w:lang w:val="en-GB"/>
                  </w:rPr>
                  <m:t xml:space="preserve"> </m:t>
                </m:r>
                <m:r>
                  <w:rPr>
                    <w:rFonts w:ascii="Cambria Math" w:hAnsi="Cambria Math"/>
                    <w:sz w:val="24"/>
                    <w:szCs w:val="24"/>
                  </w:rPr>
                  <m:t>diversity</m:t>
                </m:r>
                <m:r>
                  <w:rPr>
                    <w:rFonts w:ascii="Cambria Math" w:hAnsi="Cambria Math"/>
                    <w:sz w:val="24"/>
                    <w:szCs w:val="24"/>
                    <w:lang w:val="en-GB"/>
                  </w:rPr>
                  <m:t xml:space="preserve"> </m:t>
                </m:r>
                <m:r>
                  <w:rPr>
                    <w:rFonts w:ascii="Cambria Math" w:hAnsi="Cambria Math"/>
                    <w:sz w:val="24"/>
                    <w:szCs w:val="24"/>
                  </w:rPr>
                  <m:t>score</m:t>
                </m:r>
              </m:e>
            </m:d>
          </m:e>
        </m:func>
      </m:oMath>
      <w:r w:rsidRPr="000A0498">
        <w:rPr>
          <w:sz w:val="24"/>
          <w:szCs w:val="24"/>
          <w:lang w:val="en-GB"/>
        </w:rPr>
        <w:t xml:space="preserve"> </w:t>
      </w:r>
    </w:p>
    <w:p w14:paraId="2DC656AC" w14:textId="77777777" w:rsidR="00F45089" w:rsidRPr="000A6EE8" w:rsidRDefault="00F45089" w:rsidP="00F45089">
      <w:pPr>
        <w:spacing w:line="480" w:lineRule="auto"/>
        <w:jc w:val="both"/>
        <w:rPr>
          <w:sz w:val="24"/>
          <w:szCs w:val="24"/>
          <w:lang w:val="en-GB"/>
        </w:rPr>
      </w:pPr>
      <w:r w:rsidRPr="000A0498">
        <w:rPr>
          <w:sz w:val="24"/>
          <w:szCs w:val="24"/>
          <w:lang w:val="en-GB"/>
        </w:rPr>
        <w:t xml:space="preserve">This function generates positive values that increase proportionally to the value of </w:t>
      </w:r>
      <w:r w:rsidRPr="000A6EE8">
        <w:rPr>
          <w:sz w:val="24"/>
          <w:szCs w:val="24"/>
          <w:lang w:val="en-GB"/>
        </w:rPr>
        <w:t>inverse Fisher score</w:t>
      </w:r>
      <w:r w:rsidRPr="000A0498">
        <w:rPr>
          <w:sz w:val="24"/>
          <w:szCs w:val="24"/>
          <w:lang w:val="en-GB"/>
        </w:rPr>
        <w:t xml:space="preserve"> (i.e. with the strength of ecological suitability indication). For species that had an </w:t>
      </w:r>
      <w:r w:rsidRPr="000A6EE8">
        <w:rPr>
          <w:sz w:val="24"/>
          <w:szCs w:val="24"/>
          <w:lang w:val="en-GB"/>
        </w:rPr>
        <w:t>inverse Fisher score</w:t>
      </w:r>
      <w:r w:rsidRPr="000A0498">
        <w:rPr>
          <w:sz w:val="24"/>
          <w:szCs w:val="24"/>
          <w:lang w:val="en-GB"/>
        </w:rPr>
        <w:t xml:space="preserve"> smaller or equal to 0, the </w:t>
      </w:r>
      <w:r w:rsidRPr="000A6EE8">
        <w:rPr>
          <w:sz w:val="24"/>
          <w:szCs w:val="24"/>
          <w:lang w:val="en-GB"/>
        </w:rPr>
        <w:t>dark diversity scores</w:t>
      </w:r>
      <w:r w:rsidRPr="000A0498">
        <w:rPr>
          <w:sz w:val="24"/>
          <w:szCs w:val="24"/>
          <w:lang w:val="en-GB"/>
        </w:rPr>
        <w:t xml:space="preserve"> values are zero. Results from our example are given in Table S4.</w:t>
      </w:r>
    </w:p>
    <w:p w14:paraId="2CF7D87B" w14:textId="77777777" w:rsidR="00F45089" w:rsidRPr="000A0498" w:rsidRDefault="00F45089" w:rsidP="00F45089">
      <w:pPr>
        <w:spacing w:line="480" w:lineRule="auto"/>
        <w:jc w:val="both"/>
        <w:rPr>
          <w:sz w:val="24"/>
          <w:szCs w:val="24"/>
          <w:lang w:val="en-GB"/>
        </w:rPr>
      </w:pPr>
      <w:r w:rsidRPr="000A6EE8">
        <w:rPr>
          <w:b/>
          <w:sz w:val="24"/>
          <w:szCs w:val="24"/>
          <w:lang w:val="en-GB"/>
        </w:rPr>
        <w:t>Table S4. Dark diversity score</w:t>
      </w:r>
      <w:r w:rsidRPr="000A0498">
        <w:rPr>
          <w:b/>
          <w:sz w:val="24"/>
          <w:szCs w:val="24"/>
          <w:lang w:val="en-GB"/>
        </w:rPr>
        <w:t xml:space="preserve"> calculations.</w:t>
      </w:r>
      <w:r w:rsidRPr="000A0498">
        <w:rPr>
          <w:sz w:val="24"/>
          <w:szCs w:val="24"/>
          <w:lang w:val="en-GB"/>
        </w:rPr>
        <w:t xml:space="preserve"> Mean ses values from indication matrix, using all 428-indicator species (not only two examples shown in previous examples), </w:t>
      </w:r>
      <w:proofErr w:type="gramStart"/>
      <w:r w:rsidRPr="000A0498">
        <w:rPr>
          <w:sz w:val="24"/>
          <w:szCs w:val="24"/>
          <w:lang w:val="en-GB"/>
        </w:rPr>
        <w:t>its transformat</w:t>
      </w:r>
      <w:r w:rsidRPr="000A6EE8">
        <w:rPr>
          <w:sz w:val="24"/>
          <w:szCs w:val="24"/>
          <w:lang w:val="en-GB"/>
        </w:rPr>
        <w:t>ion</w:t>
      </w:r>
      <w:proofErr w:type="gramEnd"/>
      <w:r w:rsidRPr="000A6EE8">
        <w:rPr>
          <w:sz w:val="24"/>
          <w:szCs w:val="24"/>
          <w:lang w:val="en-GB"/>
        </w:rPr>
        <w:t xml:space="preserve"> to inverse Fisher scores</w:t>
      </w:r>
      <w:r w:rsidRPr="000A0498">
        <w:rPr>
          <w:sz w:val="24"/>
          <w:szCs w:val="24"/>
          <w:lang w:val="en-GB"/>
        </w:rPr>
        <w:t xml:space="preserve">, and application of the ReLU function </w:t>
      </w:r>
      <w:r w:rsidRPr="000A6EE8">
        <w:rPr>
          <w:sz w:val="24"/>
          <w:szCs w:val="24"/>
          <w:lang w:val="en-GB"/>
        </w:rPr>
        <w:t>to obtain the dark diversity scores.</w:t>
      </w:r>
    </w:p>
    <w:tbl>
      <w:tblPr>
        <w:tblStyle w:val="TableGrid"/>
        <w:tblW w:w="9016" w:type="dxa"/>
        <w:tblLook w:val="04A0" w:firstRow="1" w:lastRow="0" w:firstColumn="1" w:lastColumn="0" w:noHBand="0" w:noVBand="1"/>
      </w:tblPr>
      <w:tblGrid>
        <w:gridCol w:w="2689"/>
        <w:gridCol w:w="1559"/>
        <w:gridCol w:w="2126"/>
        <w:gridCol w:w="2642"/>
      </w:tblGrid>
      <w:tr w:rsidR="00F45089" w:rsidRPr="000A6EE8" w14:paraId="265B5938" w14:textId="77777777" w:rsidTr="004C234F">
        <w:tc>
          <w:tcPr>
            <w:tcW w:w="2689" w:type="dxa"/>
          </w:tcPr>
          <w:p w14:paraId="3B38B1EA" w14:textId="77777777" w:rsidR="00F45089" w:rsidRPr="000A6EE8" w:rsidRDefault="00F45089" w:rsidP="004C234F">
            <w:pPr>
              <w:jc w:val="center"/>
              <w:rPr>
                <w:sz w:val="24"/>
                <w:szCs w:val="24"/>
              </w:rPr>
            </w:pPr>
            <w:r w:rsidRPr="000A6EE8">
              <w:rPr>
                <w:sz w:val="24"/>
                <w:szCs w:val="24"/>
              </w:rPr>
              <w:t>Alien dark diversity candidate species</w:t>
            </w:r>
          </w:p>
        </w:tc>
        <w:tc>
          <w:tcPr>
            <w:tcW w:w="1559" w:type="dxa"/>
          </w:tcPr>
          <w:p w14:paraId="090E1F93" w14:textId="77777777" w:rsidR="00F45089" w:rsidRPr="000A6EE8" w:rsidRDefault="00F45089" w:rsidP="004C234F">
            <w:pPr>
              <w:jc w:val="center"/>
              <w:rPr>
                <w:sz w:val="24"/>
                <w:szCs w:val="24"/>
              </w:rPr>
            </w:pPr>
            <w:r w:rsidRPr="000A6EE8">
              <w:rPr>
                <w:sz w:val="24"/>
                <w:szCs w:val="24"/>
              </w:rPr>
              <w:t>Mean ses</w:t>
            </w:r>
          </w:p>
        </w:tc>
        <w:tc>
          <w:tcPr>
            <w:tcW w:w="2126" w:type="dxa"/>
          </w:tcPr>
          <w:p w14:paraId="7DDDFB67" w14:textId="77777777" w:rsidR="00F45089" w:rsidRPr="000A0498" w:rsidRDefault="00F45089" w:rsidP="004C234F">
            <w:pPr>
              <w:jc w:val="center"/>
              <w:rPr>
                <w:sz w:val="24"/>
                <w:szCs w:val="24"/>
              </w:rPr>
            </w:pPr>
            <w:r w:rsidRPr="000A6EE8">
              <w:rPr>
                <w:sz w:val="24"/>
                <w:szCs w:val="24"/>
              </w:rPr>
              <w:t>Inverse Fisher scores</w:t>
            </w:r>
          </w:p>
        </w:tc>
        <w:tc>
          <w:tcPr>
            <w:tcW w:w="2642" w:type="dxa"/>
          </w:tcPr>
          <w:p w14:paraId="480296AD" w14:textId="77777777" w:rsidR="00F45089" w:rsidRPr="000A0498" w:rsidRDefault="00F45089" w:rsidP="004C234F">
            <w:pPr>
              <w:jc w:val="center"/>
              <w:rPr>
                <w:sz w:val="24"/>
                <w:szCs w:val="24"/>
              </w:rPr>
            </w:pPr>
            <w:r w:rsidRPr="000A6EE8">
              <w:rPr>
                <w:sz w:val="24"/>
                <w:szCs w:val="24"/>
              </w:rPr>
              <w:t>Dark diversity scores</w:t>
            </w:r>
          </w:p>
        </w:tc>
      </w:tr>
      <w:tr w:rsidR="00F45089" w:rsidRPr="000A6EE8" w14:paraId="435F684F" w14:textId="77777777" w:rsidTr="004C234F">
        <w:tc>
          <w:tcPr>
            <w:tcW w:w="2689" w:type="dxa"/>
          </w:tcPr>
          <w:p w14:paraId="197A822D" w14:textId="77777777" w:rsidR="00F45089" w:rsidRPr="000A6EE8" w:rsidRDefault="00F45089" w:rsidP="004C234F">
            <w:pPr>
              <w:jc w:val="center"/>
              <w:rPr>
                <w:i/>
                <w:sz w:val="24"/>
                <w:szCs w:val="24"/>
              </w:rPr>
            </w:pPr>
            <w:r w:rsidRPr="000A6EE8">
              <w:rPr>
                <w:i/>
                <w:sz w:val="24"/>
                <w:szCs w:val="24"/>
              </w:rPr>
              <w:t>Alysicarpus rugosus</w:t>
            </w:r>
          </w:p>
        </w:tc>
        <w:tc>
          <w:tcPr>
            <w:tcW w:w="1559" w:type="dxa"/>
          </w:tcPr>
          <w:p w14:paraId="0BE0C11B" w14:textId="77777777" w:rsidR="00F45089" w:rsidRPr="000A6EE8" w:rsidRDefault="00F45089" w:rsidP="004C234F">
            <w:pPr>
              <w:jc w:val="center"/>
              <w:rPr>
                <w:sz w:val="24"/>
                <w:szCs w:val="24"/>
              </w:rPr>
            </w:pPr>
            <w:r w:rsidRPr="000A6EE8">
              <w:rPr>
                <w:sz w:val="24"/>
                <w:szCs w:val="24"/>
              </w:rPr>
              <w:t>3.5909</w:t>
            </w:r>
          </w:p>
        </w:tc>
        <w:tc>
          <w:tcPr>
            <w:tcW w:w="2126" w:type="dxa"/>
          </w:tcPr>
          <w:p w14:paraId="485CEA98" w14:textId="77777777" w:rsidR="00F45089" w:rsidRPr="000A6EE8" w:rsidRDefault="00F45089" w:rsidP="004C234F">
            <w:pPr>
              <w:jc w:val="center"/>
              <w:rPr>
                <w:sz w:val="24"/>
                <w:szCs w:val="24"/>
              </w:rPr>
            </w:pPr>
            <w:r w:rsidRPr="000A6EE8">
              <w:rPr>
                <w:sz w:val="24"/>
                <w:szCs w:val="24"/>
              </w:rPr>
              <w:t>0.9984</w:t>
            </w:r>
          </w:p>
        </w:tc>
        <w:tc>
          <w:tcPr>
            <w:tcW w:w="2642" w:type="dxa"/>
          </w:tcPr>
          <w:p w14:paraId="2FA0B57E" w14:textId="77777777" w:rsidR="00F45089" w:rsidRPr="000A6EE8" w:rsidRDefault="00F45089" w:rsidP="004C234F">
            <w:pPr>
              <w:jc w:val="center"/>
              <w:rPr>
                <w:sz w:val="24"/>
                <w:szCs w:val="24"/>
              </w:rPr>
            </w:pPr>
            <w:r w:rsidRPr="000A6EE8">
              <w:rPr>
                <w:sz w:val="24"/>
                <w:szCs w:val="24"/>
              </w:rPr>
              <w:t>0.9984</w:t>
            </w:r>
          </w:p>
        </w:tc>
      </w:tr>
      <w:tr w:rsidR="00F45089" w:rsidRPr="000A6EE8" w14:paraId="47BACAB5" w14:textId="77777777" w:rsidTr="004C234F">
        <w:tc>
          <w:tcPr>
            <w:tcW w:w="2689" w:type="dxa"/>
          </w:tcPr>
          <w:p w14:paraId="3E3167C1" w14:textId="77777777" w:rsidR="00F45089" w:rsidRPr="000A6EE8" w:rsidRDefault="00F45089" w:rsidP="004C234F">
            <w:pPr>
              <w:jc w:val="center"/>
              <w:rPr>
                <w:sz w:val="24"/>
                <w:szCs w:val="24"/>
              </w:rPr>
            </w:pPr>
            <w:r w:rsidRPr="000A6EE8">
              <w:rPr>
                <w:i/>
                <w:sz w:val="24"/>
                <w:szCs w:val="24"/>
              </w:rPr>
              <w:t>Lycopus lucidus</w:t>
            </w:r>
          </w:p>
        </w:tc>
        <w:tc>
          <w:tcPr>
            <w:tcW w:w="1559" w:type="dxa"/>
          </w:tcPr>
          <w:p w14:paraId="086634C7" w14:textId="77777777" w:rsidR="00F45089" w:rsidRPr="000A6EE8" w:rsidRDefault="00F45089" w:rsidP="004C234F">
            <w:pPr>
              <w:jc w:val="center"/>
              <w:rPr>
                <w:sz w:val="24"/>
                <w:szCs w:val="24"/>
              </w:rPr>
            </w:pPr>
            <w:r w:rsidRPr="000A6EE8">
              <w:rPr>
                <w:sz w:val="24"/>
                <w:szCs w:val="24"/>
              </w:rPr>
              <w:t>0.1179</w:t>
            </w:r>
          </w:p>
        </w:tc>
        <w:tc>
          <w:tcPr>
            <w:tcW w:w="2126" w:type="dxa"/>
          </w:tcPr>
          <w:p w14:paraId="54036BB7" w14:textId="77777777" w:rsidR="00F45089" w:rsidRPr="000A6EE8" w:rsidRDefault="00F45089" w:rsidP="004C234F">
            <w:pPr>
              <w:jc w:val="center"/>
              <w:rPr>
                <w:sz w:val="24"/>
                <w:szCs w:val="24"/>
              </w:rPr>
            </w:pPr>
            <w:r w:rsidRPr="000A6EE8">
              <w:rPr>
                <w:sz w:val="24"/>
                <w:szCs w:val="24"/>
              </w:rPr>
              <w:t>0.1173</w:t>
            </w:r>
          </w:p>
        </w:tc>
        <w:tc>
          <w:tcPr>
            <w:tcW w:w="2642" w:type="dxa"/>
          </w:tcPr>
          <w:p w14:paraId="224838E1" w14:textId="77777777" w:rsidR="00F45089" w:rsidRPr="000A6EE8" w:rsidRDefault="00F45089" w:rsidP="004C234F">
            <w:pPr>
              <w:jc w:val="center"/>
              <w:rPr>
                <w:sz w:val="24"/>
                <w:szCs w:val="24"/>
              </w:rPr>
            </w:pPr>
            <w:r w:rsidRPr="000A6EE8">
              <w:rPr>
                <w:sz w:val="24"/>
                <w:szCs w:val="24"/>
              </w:rPr>
              <w:t>0.1173</w:t>
            </w:r>
          </w:p>
        </w:tc>
      </w:tr>
      <w:tr w:rsidR="00F45089" w:rsidRPr="000A6EE8" w14:paraId="5AF33591" w14:textId="77777777" w:rsidTr="004C234F">
        <w:tc>
          <w:tcPr>
            <w:tcW w:w="2689" w:type="dxa"/>
          </w:tcPr>
          <w:p w14:paraId="63FF59B8" w14:textId="77777777" w:rsidR="00F45089" w:rsidRPr="000A6EE8" w:rsidRDefault="00F45089" w:rsidP="004C234F">
            <w:pPr>
              <w:jc w:val="center"/>
              <w:rPr>
                <w:i/>
                <w:sz w:val="24"/>
                <w:szCs w:val="24"/>
              </w:rPr>
            </w:pPr>
            <w:r w:rsidRPr="000A6EE8">
              <w:rPr>
                <w:i/>
                <w:sz w:val="24"/>
                <w:szCs w:val="24"/>
              </w:rPr>
              <w:t>Poa palustris</w:t>
            </w:r>
          </w:p>
        </w:tc>
        <w:tc>
          <w:tcPr>
            <w:tcW w:w="1559" w:type="dxa"/>
          </w:tcPr>
          <w:p w14:paraId="5621CB1F" w14:textId="77777777" w:rsidR="00F45089" w:rsidRPr="000A6EE8" w:rsidRDefault="00F45089" w:rsidP="004C234F">
            <w:pPr>
              <w:jc w:val="center"/>
              <w:rPr>
                <w:sz w:val="24"/>
                <w:szCs w:val="24"/>
              </w:rPr>
            </w:pPr>
            <w:r w:rsidRPr="000A6EE8">
              <w:rPr>
                <w:sz w:val="24"/>
                <w:szCs w:val="24"/>
              </w:rPr>
              <w:t>-1.036</w:t>
            </w:r>
          </w:p>
        </w:tc>
        <w:tc>
          <w:tcPr>
            <w:tcW w:w="2126" w:type="dxa"/>
          </w:tcPr>
          <w:p w14:paraId="697A57F3" w14:textId="77777777" w:rsidR="00F45089" w:rsidRPr="000A6EE8" w:rsidRDefault="00F45089" w:rsidP="004C234F">
            <w:pPr>
              <w:jc w:val="center"/>
              <w:rPr>
                <w:sz w:val="24"/>
                <w:szCs w:val="24"/>
              </w:rPr>
            </w:pPr>
            <w:r w:rsidRPr="000A6EE8">
              <w:rPr>
                <w:sz w:val="24"/>
                <w:szCs w:val="24"/>
              </w:rPr>
              <w:t>-0.7766</w:t>
            </w:r>
          </w:p>
        </w:tc>
        <w:tc>
          <w:tcPr>
            <w:tcW w:w="2642" w:type="dxa"/>
          </w:tcPr>
          <w:p w14:paraId="158CF081" w14:textId="77777777" w:rsidR="00F45089" w:rsidRPr="000A6EE8" w:rsidRDefault="00F45089" w:rsidP="004C234F">
            <w:pPr>
              <w:jc w:val="center"/>
              <w:rPr>
                <w:sz w:val="24"/>
                <w:szCs w:val="24"/>
              </w:rPr>
            </w:pPr>
            <w:r w:rsidRPr="000A6EE8">
              <w:rPr>
                <w:sz w:val="24"/>
                <w:szCs w:val="24"/>
              </w:rPr>
              <w:t>0</w:t>
            </w:r>
          </w:p>
        </w:tc>
      </w:tr>
      <w:tr w:rsidR="00F45089" w:rsidRPr="000A6EE8" w14:paraId="19415603" w14:textId="77777777" w:rsidTr="004C234F">
        <w:tc>
          <w:tcPr>
            <w:tcW w:w="2689" w:type="dxa"/>
          </w:tcPr>
          <w:p w14:paraId="3F5AD810" w14:textId="77777777" w:rsidR="00F45089" w:rsidRPr="000A6EE8" w:rsidRDefault="00F45089" w:rsidP="004C234F">
            <w:pPr>
              <w:jc w:val="center"/>
              <w:rPr>
                <w:sz w:val="24"/>
                <w:szCs w:val="24"/>
              </w:rPr>
            </w:pPr>
            <w:r w:rsidRPr="000A6EE8">
              <w:rPr>
                <w:sz w:val="24"/>
                <w:szCs w:val="24"/>
              </w:rPr>
              <w:t>…</w:t>
            </w:r>
          </w:p>
        </w:tc>
        <w:tc>
          <w:tcPr>
            <w:tcW w:w="1559" w:type="dxa"/>
          </w:tcPr>
          <w:p w14:paraId="1B1FB63B" w14:textId="77777777" w:rsidR="00F45089" w:rsidRPr="000A6EE8" w:rsidRDefault="00F45089" w:rsidP="004C234F">
            <w:pPr>
              <w:jc w:val="center"/>
              <w:rPr>
                <w:sz w:val="24"/>
                <w:szCs w:val="24"/>
              </w:rPr>
            </w:pPr>
            <w:r w:rsidRPr="000A6EE8">
              <w:rPr>
                <w:sz w:val="24"/>
                <w:szCs w:val="24"/>
              </w:rPr>
              <w:t>…</w:t>
            </w:r>
          </w:p>
        </w:tc>
        <w:tc>
          <w:tcPr>
            <w:tcW w:w="2126" w:type="dxa"/>
          </w:tcPr>
          <w:p w14:paraId="2A9EB5CC" w14:textId="77777777" w:rsidR="00F45089" w:rsidRPr="000A6EE8" w:rsidRDefault="00F45089" w:rsidP="004C234F">
            <w:pPr>
              <w:jc w:val="center"/>
              <w:rPr>
                <w:sz w:val="24"/>
                <w:szCs w:val="24"/>
              </w:rPr>
            </w:pPr>
            <w:r w:rsidRPr="000A6EE8">
              <w:rPr>
                <w:sz w:val="24"/>
                <w:szCs w:val="24"/>
              </w:rPr>
              <w:t>…</w:t>
            </w:r>
          </w:p>
        </w:tc>
        <w:tc>
          <w:tcPr>
            <w:tcW w:w="2642" w:type="dxa"/>
          </w:tcPr>
          <w:p w14:paraId="25B12E13" w14:textId="77777777" w:rsidR="00F45089" w:rsidRPr="000A6EE8" w:rsidRDefault="00F45089" w:rsidP="004C234F">
            <w:pPr>
              <w:jc w:val="center"/>
              <w:rPr>
                <w:sz w:val="24"/>
                <w:szCs w:val="24"/>
              </w:rPr>
            </w:pPr>
            <w:r w:rsidRPr="000A6EE8">
              <w:rPr>
                <w:sz w:val="24"/>
                <w:szCs w:val="24"/>
              </w:rPr>
              <w:t>…</w:t>
            </w:r>
          </w:p>
        </w:tc>
      </w:tr>
    </w:tbl>
    <w:p w14:paraId="7A8D7306" w14:textId="77777777" w:rsidR="00F45089" w:rsidRPr="000A6EE8" w:rsidRDefault="00F45089" w:rsidP="00F45089">
      <w:pPr>
        <w:spacing w:line="480" w:lineRule="auto"/>
        <w:jc w:val="both"/>
        <w:rPr>
          <w:b/>
          <w:sz w:val="24"/>
          <w:szCs w:val="24"/>
        </w:rPr>
      </w:pPr>
    </w:p>
    <w:p w14:paraId="1F82A764" w14:textId="77777777" w:rsidR="00F45089" w:rsidRPr="000A6EE8" w:rsidRDefault="00F45089" w:rsidP="00F45089">
      <w:pPr>
        <w:spacing w:line="480" w:lineRule="auto"/>
        <w:jc w:val="both"/>
        <w:rPr>
          <w:sz w:val="24"/>
          <w:szCs w:val="24"/>
          <w:lang w:val="en-GB"/>
        </w:rPr>
      </w:pPr>
      <w:r w:rsidRPr="000A6EE8">
        <w:rPr>
          <w:b/>
          <w:sz w:val="24"/>
          <w:szCs w:val="24"/>
          <w:lang w:val="en-GB"/>
        </w:rPr>
        <w:t>Step 4. Dark diversity size and list of high-scored species</w:t>
      </w:r>
      <w:r w:rsidRPr="000A6EE8">
        <w:rPr>
          <w:sz w:val="24"/>
          <w:szCs w:val="24"/>
          <w:lang w:val="en-GB"/>
        </w:rPr>
        <w:t xml:space="preserve">.  </w:t>
      </w:r>
    </w:p>
    <w:p w14:paraId="59C69CC1" w14:textId="2EBFEC66" w:rsidR="00B811BA" w:rsidRPr="00C32D99" w:rsidRDefault="00F45089" w:rsidP="00C32D99">
      <w:pPr>
        <w:spacing w:line="480" w:lineRule="auto"/>
        <w:jc w:val="both"/>
        <w:rPr>
          <w:sz w:val="24"/>
          <w:szCs w:val="24"/>
          <w:lang w:val="en-GB"/>
        </w:rPr>
      </w:pPr>
      <w:r w:rsidRPr="000A6EE8">
        <w:rPr>
          <w:sz w:val="24"/>
          <w:szCs w:val="24"/>
          <w:lang w:val="en-GB"/>
        </w:rPr>
        <w:t>Estimates of dark diversity size were calculated as the sum of ReLU-transformed dark diversity scores. Species that got maximum support (i.e. that are very likely to be in dark diversity) contribute with a score close to 1, species with some support contribute between 0 and 1. The dark diversity score also allows listing the most likely dark diversity species in each region as the top-ranked species list.</w:t>
      </w:r>
    </w:p>
    <w:p w14:paraId="23C69221" w14:textId="77777777" w:rsidR="00295EC0" w:rsidRPr="00295EC0" w:rsidRDefault="00F45089" w:rsidP="00295EC0">
      <w:pPr>
        <w:spacing w:line="480" w:lineRule="auto"/>
        <w:jc w:val="both"/>
        <w:rPr>
          <w:b/>
          <w:sz w:val="24"/>
          <w:szCs w:val="24"/>
          <w:lang w:val="pt-BR"/>
        </w:rPr>
      </w:pPr>
      <w:r w:rsidRPr="00295EC0">
        <w:rPr>
          <w:b/>
          <w:sz w:val="24"/>
          <w:szCs w:val="24"/>
          <w:lang w:val="pt-BR"/>
        </w:rPr>
        <w:t>Appendix S1 References</w:t>
      </w:r>
    </w:p>
    <w:p w14:paraId="6A027D67" w14:textId="77777777" w:rsidR="00295EC0" w:rsidRPr="00295EC0" w:rsidRDefault="00295EC0" w:rsidP="00295EC0">
      <w:pPr>
        <w:spacing w:line="480" w:lineRule="auto"/>
        <w:jc w:val="both"/>
        <w:rPr>
          <w:rFonts w:ascii="Calibri" w:hAnsi="Calibri" w:cs="Calibri"/>
          <w:sz w:val="24"/>
          <w:szCs w:val="24"/>
        </w:rPr>
      </w:pPr>
      <w:r w:rsidRPr="00295EC0">
        <w:rPr>
          <w:rFonts w:ascii="Calibri" w:hAnsi="Calibri" w:cs="Calibri"/>
          <w:sz w:val="24"/>
          <w:szCs w:val="24"/>
        </w:rPr>
        <w:t>Carmona, C. P., &amp; Pärtel, M. (2021). Estimating probabilistic site‐specific species pools and dark diversity from co‐occurrence data (P. Keil, Ed.). Global Ecology and Biogeography, 30(2), 316–326. https://doi.org/10.1111/geb.13219</w:t>
      </w:r>
    </w:p>
    <w:p w14:paraId="7C91C150" w14:textId="77777777" w:rsidR="00295EC0" w:rsidRPr="00295EC0" w:rsidRDefault="00295EC0" w:rsidP="00295EC0">
      <w:pPr>
        <w:spacing w:line="480" w:lineRule="auto"/>
        <w:jc w:val="both"/>
        <w:rPr>
          <w:rFonts w:ascii="Calibri" w:hAnsi="Calibri" w:cs="Calibri"/>
          <w:lang w:val="en-GB"/>
        </w:rPr>
      </w:pPr>
      <w:r w:rsidRPr="00295EC0">
        <w:rPr>
          <w:rFonts w:ascii="Calibri" w:hAnsi="Calibri" w:cs="Calibri"/>
          <w:sz w:val="24"/>
          <w:szCs w:val="24"/>
        </w:rPr>
        <w:t>Lannes, L. S., Bustamante, M. M. C., Edwards, P. J., &amp; Venterink, H. O. (2020). Species richness both impedes and promotes alien plant invasions in the Brazilian Cerrado. Scientific Reports, 10, 11399. https://doi.org/10.1038/s41598-020-68154-0</w:t>
      </w:r>
    </w:p>
    <w:p w14:paraId="7EB225A7" w14:textId="77777777" w:rsidR="00295EC0" w:rsidRPr="00295EC0" w:rsidRDefault="00295EC0" w:rsidP="00295EC0">
      <w:pPr>
        <w:spacing w:line="480" w:lineRule="auto"/>
        <w:jc w:val="both"/>
        <w:rPr>
          <w:rFonts w:ascii="Calibri" w:hAnsi="Calibri" w:cs="Calibri"/>
          <w:sz w:val="24"/>
          <w:szCs w:val="24"/>
        </w:rPr>
      </w:pPr>
      <w:r w:rsidRPr="00295EC0">
        <w:rPr>
          <w:rFonts w:ascii="Calibri" w:hAnsi="Calibri" w:cs="Calibri"/>
          <w:sz w:val="24"/>
          <w:szCs w:val="24"/>
        </w:rPr>
        <w:t>Paganeli, B., &amp; Batalha, M. A. (2022). Effects of nitrogen and phosphorus availability on the early growth of two congeneric pairs of savanna and forest species. Brazilian Journal of Biology, 82, e243864. https://doi.org/10.1590/1519-6984.235573</w:t>
      </w:r>
    </w:p>
    <w:p w14:paraId="135B60CC" w14:textId="77777777" w:rsidR="00295EC0" w:rsidRPr="00295EC0" w:rsidRDefault="00295EC0" w:rsidP="00295EC0">
      <w:pPr>
        <w:spacing w:line="480" w:lineRule="auto"/>
        <w:jc w:val="both"/>
        <w:rPr>
          <w:b/>
          <w:sz w:val="24"/>
          <w:szCs w:val="24"/>
          <w:lang w:val="en-US"/>
        </w:rPr>
      </w:pPr>
      <w:r w:rsidRPr="00295EC0">
        <w:rPr>
          <w:rFonts w:ascii="Calibri" w:hAnsi="Calibri" w:cs="Calibri"/>
          <w:sz w:val="24"/>
          <w:szCs w:val="24"/>
        </w:rPr>
        <w:t>Paganeli, B., Bevacqua, A., Šímová, I., Meynard, C. N., Lessard, J. P., et al. (2024). A roadmap to carefully select methods for dark diversity studies. Journal of Vegetation Science, 35(3), e13264. https://doi.org/10.1111/jvs.13264</w:t>
      </w:r>
    </w:p>
    <w:p w14:paraId="339D1F98" w14:textId="77777777" w:rsidR="00295EC0" w:rsidRPr="00295EC0" w:rsidRDefault="00295EC0" w:rsidP="00295EC0">
      <w:pPr>
        <w:spacing w:line="480" w:lineRule="auto"/>
        <w:jc w:val="both"/>
        <w:rPr>
          <w:rFonts w:ascii="Calibri" w:hAnsi="Calibri" w:cs="Calibri"/>
          <w:sz w:val="24"/>
          <w:szCs w:val="24"/>
        </w:rPr>
      </w:pPr>
      <w:r w:rsidRPr="00295EC0">
        <w:rPr>
          <w:rFonts w:ascii="Calibri" w:hAnsi="Calibri" w:cs="Calibri"/>
          <w:sz w:val="24"/>
          <w:szCs w:val="24"/>
        </w:rPr>
        <w:t>Paganeli, B., Dexter, K. G., &amp; Batalha, M. A. (2020). Early growth in a congeneric pair of savanna and seasonal forest trees under different nitrogen and phosphorus availability. Theoretical and Experimental Plant Physiology, 32(1), 19–30. https://doi.org/10.1590/1519-6984.235573</w:t>
      </w:r>
    </w:p>
    <w:p w14:paraId="2DD1C783" w14:textId="77777777" w:rsidR="00295EC0" w:rsidRPr="00295EC0" w:rsidRDefault="00295EC0" w:rsidP="00295EC0">
      <w:pPr>
        <w:spacing w:line="480" w:lineRule="auto"/>
        <w:jc w:val="both"/>
        <w:rPr>
          <w:rFonts w:ascii="Calibri" w:hAnsi="Calibri" w:cs="Calibri"/>
          <w:sz w:val="24"/>
          <w:szCs w:val="24"/>
        </w:rPr>
      </w:pPr>
      <w:r w:rsidRPr="00295EC0">
        <w:rPr>
          <w:rFonts w:ascii="Calibri" w:hAnsi="Calibri" w:cs="Calibri"/>
          <w:sz w:val="24"/>
          <w:szCs w:val="24"/>
        </w:rPr>
        <w:t>Vitule, J. R. S., Freire, C. A., Vazquez, D. P., Nunez, M. A., Simberloff, D., et al. (2021). Non-native species introductions, invasions, and biotic homogenization in the Atlantic Forest. In O. J. Rocha, C. A. Joly, &amp; J. M. L. Gomes (Eds.), The Atlantic Forest (pp. 269–295). Springer. https://doi.org/10.1007/978-3-030-55322-7_11</w:t>
      </w:r>
    </w:p>
    <w:p w14:paraId="13E0B8AF" w14:textId="77777777" w:rsidR="00295EC0" w:rsidRPr="00295EC0" w:rsidRDefault="00295EC0">
      <w:pPr>
        <w:spacing w:line="480" w:lineRule="auto"/>
        <w:jc w:val="both"/>
        <w:rPr>
          <w:rFonts w:ascii="Calibri" w:hAnsi="Calibri" w:cs="Calibri"/>
          <w:lang w:val="en-GB"/>
        </w:rPr>
      </w:pPr>
    </w:p>
    <w:sectPr w:rsidR="00295EC0" w:rsidRPr="00295EC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5089"/>
    <w:rsid w:val="000D0B6F"/>
    <w:rsid w:val="00295EC0"/>
    <w:rsid w:val="007B70EF"/>
    <w:rsid w:val="009F4EDE"/>
    <w:rsid w:val="00A95EE1"/>
    <w:rsid w:val="00B811BA"/>
    <w:rsid w:val="00BE558F"/>
    <w:rsid w:val="00C32D99"/>
    <w:rsid w:val="00F45089"/>
  </w:rsids>
  <m:mathPr>
    <m:mathFont m:val="Cambria Math"/>
    <m:brkBin m:val="before"/>
    <m:brkBinSub m:val="--"/>
    <m:smallFrac m:val="0"/>
    <m:dispDef/>
    <m:lMargin m:val="0"/>
    <m:rMargin m:val="0"/>
    <m:defJc m:val="centerGroup"/>
    <m:wrapIndent m:val="1440"/>
    <m:intLim m:val="subSup"/>
    <m:naryLim m:val="undOvr"/>
  </m:mathPr>
  <w:themeFontLang w:val="en-001"/>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B0EBB6F"/>
  <w15:chartTrackingRefBased/>
  <w15:docId w15:val="{6F0E88CE-8B01-4CAF-8520-3DA58728F2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001"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5089"/>
    <w:rPr>
      <w:lang w:val="et-EE"/>
    </w:rPr>
  </w:style>
  <w:style w:type="paragraph" w:styleId="Heading1">
    <w:name w:val="heading 1"/>
    <w:basedOn w:val="Normal"/>
    <w:next w:val="Normal"/>
    <w:link w:val="Heading1Char"/>
    <w:uiPriority w:val="9"/>
    <w:qFormat/>
    <w:rsid w:val="00F45089"/>
    <w:pPr>
      <w:keepNext/>
      <w:keepLines/>
      <w:spacing w:before="360" w:after="80"/>
      <w:outlineLvl w:val="0"/>
    </w:pPr>
    <w:rPr>
      <w:rFonts w:asciiTheme="majorHAnsi" w:eastAsiaTheme="majorEastAsia" w:hAnsiTheme="majorHAnsi" w:cstheme="majorBidi"/>
      <w:color w:val="0F4761" w:themeColor="accent1" w:themeShade="BF"/>
      <w:sz w:val="40"/>
      <w:szCs w:val="40"/>
      <w:lang w:val="en-001"/>
    </w:rPr>
  </w:style>
  <w:style w:type="paragraph" w:styleId="Heading2">
    <w:name w:val="heading 2"/>
    <w:basedOn w:val="Normal"/>
    <w:next w:val="Normal"/>
    <w:link w:val="Heading2Char"/>
    <w:uiPriority w:val="9"/>
    <w:semiHidden/>
    <w:unhideWhenUsed/>
    <w:qFormat/>
    <w:rsid w:val="00F45089"/>
    <w:pPr>
      <w:keepNext/>
      <w:keepLines/>
      <w:spacing w:before="160" w:after="80"/>
      <w:outlineLvl w:val="1"/>
    </w:pPr>
    <w:rPr>
      <w:rFonts w:asciiTheme="majorHAnsi" w:eastAsiaTheme="majorEastAsia" w:hAnsiTheme="majorHAnsi" w:cstheme="majorBidi"/>
      <w:color w:val="0F4761" w:themeColor="accent1" w:themeShade="BF"/>
      <w:sz w:val="32"/>
      <w:szCs w:val="32"/>
      <w:lang w:val="en-001"/>
    </w:rPr>
  </w:style>
  <w:style w:type="paragraph" w:styleId="Heading3">
    <w:name w:val="heading 3"/>
    <w:basedOn w:val="Normal"/>
    <w:next w:val="Normal"/>
    <w:link w:val="Heading3Char"/>
    <w:uiPriority w:val="9"/>
    <w:semiHidden/>
    <w:unhideWhenUsed/>
    <w:qFormat/>
    <w:rsid w:val="00F45089"/>
    <w:pPr>
      <w:keepNext/>
      <w:keepLines/>
      <w:spacing w:before="160" w:after="80"/>
      <w:outlineLvl w:val="2"/>
    </w:pPr>
    <w:rPr>
      <w:rFonts w:eastAsiaTheme="majorEastAsia" w:cstheme="majorBidi"/>
      <w:color w:val="0F4761" w:themeColor="accent1" w:themeShade="BF"/>
      <w:sz w:val="28"/>
      <w:szCs w:val="28"/>
      <w:lang w:val="en-001"/>
    </w:rPr>
  </w:style>
  <w:style w:type="paragraph" w:styleId="Heading4">
    <w:name w:val="heading 4"/>
    <w:basedOn w:val="Normal"/>
    <w:next w:val="Normal"/>
    <w:link w:val="Heading4Char"/>
    <w:uiPriority w:val="9"/>
    <w:semiHidden/>
    <w:unhideWhenUsed/>
    <w:qFormat/>
    <w:rsid w:val="00F45089"/>
    <w:pPr>
      <w:keepNext/>
      <w:keepLines/>
      <w:spacing w:before="80" w:after="40"/>
      <w:outlineLvl w:val="3"/>
    </w:pPr>
    <w:rPr>
      <w:rFonts w:eastAsiaTheme="majorEastAsia" w:cstheme="majorBidi"/>
      <w:i/>
      <w:iCs/>
      <w:color w:val="0F4761" w:themeColor="accent1" w:themeShade="BF"/>
      <w:lang w:val="en-001"/>
    </w:rPr>
  </w:style>
  <w:style w:type="paragraph" w:styleId="Heading5">
    <w:name w:val="heading 5"/>
    <w:basedOn w:val="Normal"/>
    <w:next w:val="Normal"/>
    <w:link w:val="Heading5Char"/>
    <w:uiPriority w:val="9"/>
    <w:semiHidden/>
    <w:unhideWhenUsed/>
    <w:qFormat/>
    <w:rsid w:val="00F45089"/>
    <w:pPr>
      <w:keepNext/>
      <w:keepLines/>
      <w:spacing w:before="80" w:after="40"/>
      <w:outlineLvl w:val="4"/>
    </w:pPr>
    <w:rPr>
      <w:rFonts w:eastAsiaTheme="majorEastAsia" w:cstheme="majorBidi"/>
      <w:color w:val="0F4761" w:themeColor="accent1" w:themeShade="BF"/>
      <w:lang w:val="en-001"/>
    </w:rPr>
  </w:style>
  <w:style w:type="paragraph" w:styleId="Heading6">
    <w:name w:val="heading 6"/>
    <w:basedOn w:val="Normal"/>
    <w:next w:val="Normal"/>
    <w:link w:val="Heading6Char"/>
    <w:uiPriority w:val="9"/>
    <w:semiHidden/>
    <w:unhideWhenUsed/>
    <w:qFormat/>
    <w:rsid w:val="00F45089"/>
    <w:pPr>
      <w:keepNext/>
      <w:keepLines/>
      <w:spacing w:before="40" w:after="0"/>
      <w:outlineLvl w:val="5"/>
    </w:pPr>
    <w:rPr>
      <w:rFonts w:eastAsiaTheme="majorEastAsia" w:cstheme="majorBidi"/>
      <w:i/>
      <w:iCs/>
      <w:color w:val="595959" w:themeColor="text1" w:themeTint="A6"/>
      <w:lang w:val="en-001"/>
    </w:rPr>
  </w:style>
  <w:style w:type="paragraph" w:styleId="Heading7">
    <w:name w:val="heading 7"/>
    <w:basedOn w:val="Normal"/>
    <w:next w:val="Normal"/>
    <w:link w:val="Heading7Char"/>
    <w:uiPriority w:val="9"/>
    <w:semiHidden/>
    <w:unhideWhenUsed/>
    <w:qFormat/>
    <w:rsid w:val="00F45089"/>
    <w:pPr>
      <w:keepNext/>
      <w:keepLines/>
      <w:spacing w:before="40" w:after="0"/>
      <w:outlineLvl w:val="6"/>
    </w:pPr>
    <w:rPr>
      <w:rFonts w:eastAsiaTheme="majorEastAsia" w:cstheme="majorBidi"/>
      <w:color w:val="595959" w:themeColor="text1" w:themeTint="A6"/>
      <w:lang w:val="en-001"/>
    </w:rPr>
  </w:style>
  <w:style w:type="paragraph" w:styleId="Heading8">
    <w:name w:val="heading 8"/>
    <w:basedOn w:val="Normal"/>
    <w:next w:val="Normal"/>
    <w:link w:val="Heading8Char"/>
    <w:uiPriority w:val="9"/>
    <w:semiHidden/>
    <w:unhideWhenUsed/>
    <w:qFormat/>
    <w:rsid w:val="00F45089"/>
    <w:pPr>
      <w:keepNext/>
      <w:keepLines/>
      <w:spacing w:after="0"/>
      <w:outlineLvl w:val="7"/>
    </w:pPr>
    <w:rPr>
      <w:rFonts w:eastAsiaTheme="majorEastAsia" w:cstheme="majorBidi"/>
      <w:i/>
      <w:iCs/>
      <w:color w:val="272727" w:themeColor="text1" w:themeTint="D8"/>
      <w:lang w:val="en-001"/>
    </w:rPr>
  </w:style>
  <w:style w:type="paragraph" w:styleId="Heading9">
    <w:name w:val="heading 9"/>
    <w:basedOn w:val="Normal"/>
    <w:next w:val="Normal"/>
    <w:link w:val="Heading9Char"/>
    <w:uiPriority w:val="9"/>
    <w:semiHidden/>
    <w:unhideWhenUsed/>
    <w:qFormat/>
    <w:rsid w:val="00F45089"/>
    <w:pPr>
      <w:keepNext/>
      <w:keepLines/>
      <w:spacing w:after="0"/>
      <w:outlineLvl w:val="8"/>
    </w:pPr>
    <w:rPr>
      <w:rFonts w:eastAsiaTheme="majorEastAsia" w:cstheme="majorBidi"/>
      <w:color w:val="272727" w:themeColor="text1" w:themeTint="D8"/>
      <w:lang w:val="en-00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4508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4508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4508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4508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4508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4508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4508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4508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45089"/>
    <w:rPr>
      <w:rFonts w:eastAsiaTheme="majorEastAsia" w:cstheme="majorBidi"/>
      <w:color w:val="272727" w:themeColor="text1" w:themeTint="D8"/>
    </w:rPr>
  </w:style>
  <w:style w:type="paragraph" w:styleId="Title">
    <w:name w:val="Title"/>
    <w:basedOn w:val="Normal"/>
    <w:next w:val="Normal"/>
    <w:link w:val="TitleChar"/>
    <w:uiPriority w:val="10"/>
    <w:qFormat/>
    <w:rsid w:val="00F45089"/>
    <w:pPr>
      <w:spacing w:after="80" w:line="240" w:lineRule="auto"/>
      <w:contextualSpacing/>
    </w:pPr>
    <w:rPr>
      <w:rFonts w:asciiTheme="majorHAnsi" w:eastAsiaTheme="majorEastAsia" w:hAnsiTheme="majorHAnsi" w:cstheme="majorBidi"/>
      <w:spacing w:val="-10"/>
      <w:kern w:val="28"/>
      <w:sz w:val="56"/>
      <w:szCs w:val="56"/>
      <w:lang w:val="en-001"/>
    </w:rPr>
  </w:style>
  <w:style w:type="character" w:customStyle="1" w:styleId="TitleChar">
    <w:name w:val="Title Char"/>
    <w:basedOn w:val="DefaultParagraphFont"/>
    <w:link w:val="Title"/>
    <w:uiPriority w:val="10"/>
    <w:rsid w:val="00F4508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45089"/>
    <w:pPr>
      <w:numPr>
        <w:ilvl w:val="1"/>
      </w:numPr>
    </w:pPr>
    <w:rPr>
      <w:rFonts w:eastAsiaTheme="majorEastAsia" w:cstheme="majorBidi"/>
      <w:color w:val="595959" w:themeColor="text1" w:themeTint="A6"/>
      <w:spacing w:val="15"/>
      <w:sz w:val="28"/>
      <w:szCs w:val="28"/>
      <w:lang w:val="en-001"/>
    </w:rPr>
  </w:style>
  <w:style w:type="character" w:customStyle="1" w:styleId="SubtitleChar">
    <w:name w:val="Subtitle Char"/>
    <w:basedOn w:val="DefaultParagraphFont"/>
    <w:link w:val="Subtitle"/>
    <w:uiPriority w:val="11"/>
    <w:rsid w:val="00F4508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45089"/>
    <w:pPr>
      <w:spacing w:before="160"/>
      <w:jc w:val="center"/>
    </w:pPr>
    <w:rPr>
      <w:i/>
      <w:iCs/>
      <w:color w:val="404040" w:themeColor="text1" w:themeTint="BF"/>
      <w:lang w:val="en-001"/>
    </w:rPr>
  </w:style>
  <w:style w:type="character" w:customStyle="1" w:styleId="QuoteChar">
    <w:name w:val="Quote Char"/>
    <w:basedOn w:val="DefaultParagraphFont"/>
    <w:link w:val="Quote"/>
    <w:uiPriority w:val="29"/>
    <w:rsid w:val="00F45089"/>
    <w:rPr>
      <w:i/>
      <w:iCs/>
      <w:color w:val="404040" w:themeColor="text1" w:themeTint="BF"/>
    </w:rPr>
  </w:style>
  <w:style w:type="paragraph" w:styleId="ListParagraph">
    <w:name w:val="List Paragraph"/>
    <w:basedOn w:val="Normal"/>
    <w:uiPriority w:val="34"/>
    <w:qFormat/>
    <w:rsid w:val="00F45089"/>
    <w:pPr>
      <w:ind w:left="720"/>
      <w:contextualSpacing/>
    </w:pPr>
    <w:rPr>
      <w:lang w:val="en-001"/>
    </w:rPr>
  </w:style>
  <w:style w:type="character" w:styleId="IntenseEmphasis">
    <w:name w:val="Intense Emphasis"/>
    <w:basedOn w:val="DefaultParagraphFont"/>
    <w:uiPriority w:val="21"/>
    <w:qFormat/>
    <w:rsid w:val="00F45089"/>
    <w:rPr>
      <w:i/>
      <w:iCs/>
      <w:color w:val="0F4761" w:themeColor="accent1" w:themeShade="BF"/>
    </w:rPr>
  </w:style>
  <w:style w:type="paragraph" w:styleId="IntenseQuote">
    <w:name w:val="Intense Quote"/>
    <w:basedOn w:val="Normal"/>
    <w:next w:val="Normal"/>
    <w:link w:val="IntenseQuoteChar"/>
    <w:uiPriority w:val="30"/>
    <w:qFormat/>
    <w:rsid w:val="00F4508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lang w:val="en-001"/>
    </w:rPr>
  </w:style>
  <w:style w:type="character" w:customStyle="1" w:styleId="IntenseQuoteChar">
    <w:name w:val="Intense Quote Char"/>
    <w:basedOn w:val="DefaultParagraphFont"/>
    <w:link w:val="IntenseQuote"/>
    <w:uiPriority w:val="30"/>
    <w:rsid w:val="00F45089"/>
    <w:rPr>
      <w:i/>
      <w:iCs/>
      <w:color w:val="0F4761" w:themeColor="accent1" w:themeShade="BF"/>
    </w:rPr>
  </w:style>
  <w:style w:type="character" w:styleId="IntenseReference">
    <w:name w:val="Intense Reference"/>
    <w:basedOn w:val="DefaultParagraphFont"/>
    <w:uiPriority w:val="32"/>
    <w:qFormat/>
    <w:rsid w:val="00F45089"/>
    <w:rPr>
      <w:b/>
      <w:bCs/>
      <w:smallCaps/>
      <w:color w:val="0F4761" w:themeColor="accent1" w:themeShade="BF"/>
      <w:spacing w:val="5"/>
    </w:rPr>
  </w:style>
  <w:style w:type="table" w:styleId="TableGrid">
    <w:name w:val="Table Grid"/>
    <w:basedOn w:val="TableNormal"/>
    <w:uiPriority w:val="39"/>
    <w:rsid w:val="00F45089"/>
    <w:pPr>
      <w:spacing w:after="0" w:line="240" w:lineRule="auto"/>
    </w:pPr>
    <w:rPr>
      <w:lang w:val="et-E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F45089"/>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6</Pages>
  <Words>1389</Words>
  <Characters>7644</Characters>
  <Application>Microsoft Office Word</Application>
  <DocSecurity>0</DocSecurity>
  <Lines>206</Lines>
  <Paragraphs>130</Paragraphs>
  <ScaleCrop>false</ScaleCrop>
  <Company/>
  <LinksUpToDate>false</LinksUpToDate>
  <CharactersWithSpaces>8903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Bruno Paganeli</dc:creator>
  <cp:keywords/>
  <dc:description/>
  <cp:lastModifiedBy>Bruno Paganeli</cp:lastModifiedBy>
  <cp:revision>4</cp:revision>
  <dcterms:created xsi:type="dcterms:W3CDTF">2025-09-08T10:53:00Z</dcterms:created>
  <dcterms:modified xsi:type="dcterms:W3CDTF">2025-09-12T09:23:00Z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40bbed24-723f-4bf6-9ab3-29e702b23817</vt:lpwstr>
  </property>
</Properties>
</file>