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FC0902" w14:textId="3A518932" w:rsidR="00637266" w:rsidRPr="00E44188" w:rsidRDefault="00637266" w:rsidP="00637266">
      <w:pPr>
        <w:pStyle w:val="NormaleWeb"/>
        <w:jc w:val="center"/>
        <w:rPr>
          <w:rFonts w:ascii="TimesNewRomanPS" w:hAnsi="TimesNewRomanPS"/>
          <w:b/>
          <w:bCs/>
          <w:sz w:val="22"/>
          <w:szCs w:val="22"/>
          <w:lang w:val="en-US"/>
        </w:rPr>
      </w:pPr>
      <w:r w:rsidRPr="00E44188">
        <w:rPr>
          <w:rFonts w:ascii="TimesNewRomanPS" w:hAnsi="TimesNewRomanPS"/>
          <w:b/>
          <w:bCs/>
          <w:sz w:val="22"/>
          <w:szCs w:val="22"/>
          <w:lang w:val="en-US"/>
        </w:rPr>
        <w:t>Research Article</w:t>
      </w:r>
    </w:p>
    <w:p w14:paraId="19E01A52" w14:textId="77777777" w:rsidR="00F22E90" w:rsidRPr="00E44188" w:rsidRDefault="00F22E90" w:rsidP="00637266">
      <w:pPr>
        <w:pStyle w:val="NormaleWeb"/>
        <w:jc w:val="center"/>
        <w:rPr>
          <w:sz w:val="22"/>
          <w:szCs w:val="22"/>
          <w:lang w:val="en-US"/>
        </w:rPr>
      </w:pPr>
    </w:p>
    <w:p w14:paraId="23331143" w14:textId="77777777" w:rsidR="00637266" w:rsidRPr="00E44188" w:rsidRDefault="00637266" w:rsidP="00637266">
      <w:pPr>
        <w:spacing w:line="480" w:lineRule="auto"/>
        <w:jc w:val="center"/>
        <w:rPr>
          <w:rFonts w:ascii="Times New Roman" w:hAnsi="Times New Roman" w:cs="Times New Roman"/>
          <w:b/>
          <w:sz w:val="22"/>
          <w:szCs w:val="22"/>
          <w:lang w:val="en-GB"/>
        </w:rPr>
      </w:pPr>
      <w:r w:rsidRPr="00E44188">
        <w:rPr>
          <w:rFonts w:ascii="Times New Roman" w:hAnsi="Times New Roman" w:cs="Times New Roman"/>
          <w:b/>
          <w:sz w:val="22"/>
          <w:szCs w:val="22"/>
          <w:lang w:val="en-GB"/>
        </w:rPr>
        <w:t>Adjunctive cenobamate in people with focal-onset seizures: insights from the Italian Expanded Access Program</w:t>
      </w:r>
    </w:p>
    <w:p w14:paraId="6B5A3CBB" w14:textId="650909E5" w:rsidR="00637266" w:rsidRPr="009343B7" w:rsidRDefault="00637266" w:rsidP="00637266">
      <w:pPr>
        <w:pStyle w:val="NormaleWeb"/>
        <w:jc w:val="center"/>
        <w:rPr>
          <w:rFonts w:ascii="TimesNewRomanPSMT" w:hAnsi="TimesNewRomanPSMT"/>
          <w:sz w:val="22"/>
          <w:szCs w:val="22"/>
          <w:lang w:val="en-US"/>
        </w:rPr>
      </w:pPr>
      <w:r w:rsidRPr="009343B7">
        <w:rPr>
          <w:rFonts w:ascii="TimesNewRomanPSMT" w:hAnsi="TimesNewRomanPSMT"/>
          <w:sz w:val="22"/>
          <w:szCs w:val="22"/>
          <w:lang w:val="en-US"/>
        </w:rPr>
        <w:t>Roberti et al.</w:t>
      </w:r>
    </w:p>
    <w:p w14:paraId="456DDEB5" w14:textId="5B360D37" w:rsidR="00C51046" w:rsidRPr="00E44188" w:rsidRDefault="00C51046" w:rsidP="00C51046">
      <w:pPr>
        <w:spacing w:line="480" w:lineRule="auto"/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</w:pPr>
      <w:r w:rsidRPr="00E44188"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  <w:t>Figure S</w:t>
      </w:r>
      <w:r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  <w:t>1</w:t>
      </w:r>
      <w:r w:rsidRPr="00E44188"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  <w:t xml:space="preserve">. </w:t>
      </w:r>
      <w:r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  <w:t>Distribution of monthly seizure frequency at baseline in the overall cohort</w:t>
      </w:r>
    </w:p>
    <w:p w14:paraId="3C0963FC" w14:textId="52C88D15" w:rsidR="00C51046" w:rsidRDefault="005D6274" w:rsidP="005D6274">
      <w:pPr>
        <w:pStyle w:val="NormaleWeb"/>
        <w:jc w:val="center"/>
        <w:rPr>
          <w:sz w:val="22"/>
          <w:szCs w:val="22"/>
          <w:lang w:val="en-US"/>
        </w:rPr>
      </w:pPr>
      <w:r>
        <w:rPr>
          <w:noProof/>
          <w:sz w:val="22"/>
          <w:szCs w:val="22"/>
          <w:lang w:val="en-US"/>
          <w14:ligatures w14:val="standardContextual"/>
        </w:rPr>
        <w:drawing>
          <wp:inline distT="0" distB="0" distL="0" distR="0" wp14:anchorId="1411B337" wp14:editId="5AFB4A13">
            <wp:extent cx="6116320" cy="4328160"/>
            <wp:effectExtent l="0" t="0" r="5080" b="2540"/>
            <wp:docPr id="101452881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4528811" name="Immagine 1014528811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4328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51046">
        <w:rPr>
          <w:sz w:val="22"/>
          <w:szCs w:val="22"/>
          <w:lang w:val="en-US"/>
        </w:rPr>
        <w:br w:type="page"/>
      </w:r>
    </w:p>
    <w:p w14:paraId="698B9B06" w14:textId="21E67DDD" w:rsidR="00D27E3F" w:rsidRPr="00E44188" w:rsidRDefault="00D27E3F" w:rsidP="00D27E3F">
      <w:pPr>
        <w:spacing w:line="480" w:lineRule="auto"/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</w:pPr>
      <w:r w:rsidRPr="00E44188"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  <w:lastRenderedPageBreak/>
        <w:t xml:space="preserve">Figure </w:t>
      </w:r>
      <w:r w:rsidR="00E44188" w:rsidRPr="00E44188"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  <w:t>S</w:t>
      </w:r>
      <w:r w:rsidR="00880250"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  <w:t>2</w:t>
      </w:r>
      <w:r w:rsidRPr="00E44188"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  <w:t>. Number of concomitant antiseizure medications at baseline and after 12 months</w:t>
      </w:r>
    </w:p>
    <w:p w14:paraId="76FD38B3" w14:textId="2912553A" w:rsidR="00D27E3F" w:rsidRPr="00E44188" w:rsidRDefault="005D6274" w:rsidP="001B687E">
      <w:pPr>
        <w:spacing w:line="480" w:lineRule="auto"/>
        <w:jc w:val="center"/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</w:pPr>
      <w:r>
        <w:rPr>
          <w:rFonts w:ascii="Times New Roman" w:eastAsia="Times New Roman" w:hAnsi="Times New Roman" w:cs="Times New Roman"/>
          <w:b/>
          <w:bCs/>
          <w:noProof/>
          <w:sz w:val="22"/>
          <w:szCs w:val="22"/>
          <w:lang w:val="en-US" w:eastAsia="it-IT"/>
        </w:rPr>
        <w:drawing>
          <wp:inline distT="0" distB="0" distL="0" distR="0" wp14:anchorId="4FDB25AC" wp14:editId="5B049CAC">
            <wp:extent cx="6116320" cy="3491865"/>
            <wp:effectExtent l="0" t="0" r="5080" b="635"/>
            <wp:docPr id="909846910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9846910" name="Immagine 909846910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3491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C73635" w14:textId="77777777" w:rsidR="00D27E3F" w:rsidRPr="00E44188" w:rsidRDefault="00D27E3F" w:rsidP="00D27E3F">
      <w:pPr>
        <w:spacing w:line="480" w:lineRule="auto"/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</w:pPr>
      <w:r w:rsidRPr="00E44188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Proportion of subjects who were on treatment with adjunctive cenobamate at 12 months (n=141) according to the number of concomitant antiseizure medications; p&lt;0.001.</w:t>
      </w:r>
    </w:p>
    <w:p w14:paraId="6155B7B1" w14:textId="6B44FFE4" w:rsidR="00F22E90" w:rsidRDefault="00F22E90">
      <w:pPr>
        <w:rPr>
          <w:sz w:val="22"/>
          <w:szCs w:val="22"/>
          <w:lang w:val="en-US"/>
        </w:rPr>
      </w:pPr>
      <w:r w:rsidRPr="00E44188">
        <w:rPr>
          <w:sz w:val="22"/>
          <w:szCs w:val="22"/>
          <w:lang w:val="en-US"/>
        </w:rPr>
        <w:br w:type="page"/>
      </w:r>
    </w:p>
    <w:p w14:paraId="699A0E12" w14:textId="51432D98" w:rsidR="001D4381" w:rsidRDefault="001D4381" w:rsidP="00B92BEF">
      <w:pPr>
        <w:spacing w:line="480" w:lineRule="auto"/>
        <w:jc w:val="both"/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</w:pPr>
      <w:r w:rsidRPr="001D4381"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  <w:lastRenderedPageBreak/>
        <w:t>Figure S</w:t>
      </w:r>
      <w:r w:rsidR="00880250"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  <w:t>3</w:t>
      </w:r>
      <w:r w:rsidRPr="001D4381"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  <w:t xml:space="preserve">. Absolute values of total Defined Daily Dose at 12 months in the overall and stratified population </w:t>
      </w:r>
    </w:p>
    <w:p w14:paraId="321D6099" w14:textId="4B2818C9" w:rsidR="001D4381" w:rsidRPr="001D4381" w:rsidRDefault="00C90C70" w:rsidP="001B687E">
      <w:pPr>
        <w:spacing w:line="480" w:lineRule="auto"/>
        <w:jc w:val="center"/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</w:pPr>
      <w:r>
        <w:rPr>
          <w:rFonts w:ascii="Times New Roman" w:eastAsia="Times New Roman" w:hAnsi="Times New Roman" w:cs="Times New Roman"/>
          <w:b/>
          <w:bCs/>
          <w:noProof/>
          <w:sz w:val="22"/>
          <w:szCs w:val="22"/>
          <w:lang w:val="en-US" w:eastAsia="it-IT"/>
        </w:rPr>
        <w:drawing>
          <wp:inline distT="0" distB="0" distL="0" distR="0" wp14:anchorId="57CC0EBF" wp14:editId="72FFD112">
            <wp:extent cx="6116320" cy="4312285"/>
            <wp:effectExtent l="0" t="0" r="5080" b="5715"/>
            <wp:docPr id="1441655216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1655216" name="Immagine 1441655216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4312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90E5A5" w14:textId="652989F3" w:rsidR="001D4381" w:rsidRDefault="001D4381" w:rsidP="00B92BEF">
      <w:pPr>
        <w:spacing w:line="480" w:lineRule="auto"/>
        <w:jc w:val="both"/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</w:pPr>
      <w:r w:rsidRPr="00B92BEF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Asterisks summarize </w:t>
      </w:r>
      <w:r w:rsidRPr="00B92BEF">
        <w:rPr>
          <w:rFonts w:ascii="Times New Roman" w:eastAsia="Times New Roman" w:hAnsi="Times New Roman" w:cs="Times New Roman"/>
          <w:i/>
          <w:iCs/>
          <w:sz w:val="22"/>
          <w:szCs w:val="22"/>
          <w:lang w:val="en-US" w:eastAsia="it-IT"/>
        </w:rPr>
        <w:t>p</w:t>
      </w:r>
      <w:r w:rsidRPr="00B92BEF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values of the Wilcoxon matched-pairs signed rank test comparing absolute 12-month values with baseline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of the overall 12-month population, n=137 (A)</w:t>
      </w:r>
      <w:r w:rsidR="00FE0493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and of the stratified subgroup</w:t>
      </w:r>
      <w:r w:rsidR="00A34882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s, according to the intake of at least one among: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ASMs with known PK interactions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, </w:t>
      </w:r>
      <w:r w:rsidR="00AD23FE" w:rsidRPr="00B92BEF">
        <w:rPr>
          <w:rFonts w:ascii="Times New Roman" w:eastAsia="Times New Roman" w:hAnsi="Times New Roman" w:cs="Times New Roman"/>
          <w:i/>
          <w:iCs/>
          <w:sz w:val="22"/>
          <w:szCs w:val="22"/>
          <w:lang w:val="en-US" w:eastAsia="it-IT"/>
        </w:rPr>
        <w:t>i.e.</w:t>
      </w:r>
      <w:r w:rsidR="00AD23FE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, </w:t>
      </w:r>
      <w:r w:rsidR="00AD23FE" w:rsidRPr="00AD23FE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clobazam, phenobarbital, phenytoin, primidone</w:t>
      </w:r>
      <w:r w:rsidR="00AD23FE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,</w:t>
      </w:r>
      <w:r w:rsidR="00AD23FE" w:rsidRPr="00AD23FE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n=78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(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B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)</w:t>
      </w:r>
      <w:r w:rsidR="00DB2E9E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;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ASMs without known PK interactions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, n=59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(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C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)</w:t>
      </w:r>
      <w:r w:rsidR="00DB2E9E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;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SCBs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, n=121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(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D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)</w:t>
      </w:r>
      <w:r w:rsidR="00DB2E9E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;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GABAergic modulators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, n=87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(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E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)</w:t>
      </w:r>
      <w:r w:rsidR="00DB2E9E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;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SV2A ligands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, n=52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(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F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)</w:t>
      </w:r>
      <w:r w:rsidR="00DB2E9E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;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PER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, n=27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(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G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)</w:t>
      </w:r>
      <w:r w:rsidR="00DB2E9E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;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and VPA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, n=</w:t>
      </w:r>
      <w:r w:rsidR="00DB2E9E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34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(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H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).</w:t>
      </w:r>
    </w:p>
    <w:p w14:paraId="2C00CBB0" w14:textId="04EDC582" w:rsidR="009C6B00" w:rsidRPr="00B92BEF" w:rsidRDefault="009C6B00" w:rsidP="00B92BEF">
      <w:pPr>
        <w:spacing w:line="480" w:lineRule="auto"/>
        <w:jc w:val="both"/>
        <w:rPr>
          <w:rFonts w:ascii="Times New Roman" w:eastAsia="Times New Roman" w:hAnsi="Times New Roman" w:cs="Times New Roman"/>
          <w:sz w:val="22"/>
          <w:szCs w:val="22"/>
          <w:lang w:val="en-GB" w:eastAsia="it-IT"/>
        </w:rPr>
      </w:pPr>
      <w:r w:rsidRPr="009C6B00">
        <w:rPr>
          <w:rFonts w:ascii="Times New Roman" w:eastAsia="Times New Roman" w:hAnsi="Times New Roman" w:cs="Times New Roman"/>
          <w:sz w:val="22"/>
          <w:szCs w:val="22"/>
          <w:lang w:val="en-GB" w:eastAsia="it-IT"/>
        </w:rPr>
        <w:t xml:space="preserve">Abbreviations: </w:t>
      </w:r>
      <w:r w:rsidR="00826378">
        <w:rPr>
          <w:rFonts w:ascii="Times New Roman" w:eastAsia="Times New Roman" w:hAnsi="Times New Roman" w:cs="Times New Roman"/>
          <w:sz w:val="22"/>
          <w:szCs w:val="22"/>
          <w:lang w:val="en-GB" w:eastAsia="it-IT"/>
        </w:rPr>
        <w:t xml:space="preserve">ASMs=antiseizure medications, </w:t>
      </w:r>
      <w:r w:rsidRPr="009C6B00">
        <w:rPr>
          <w:rFonts w:ascii="Times New Roman" w:eastAsia="Times New Roman" w:hAnsi="Times New Roman" w:cs="Times New Roman"/>
          <w:sz w:val="22"/>
          <w:szCs w:val="22"/>
          <w:lang w:val="en-GB" w:eastAsia="it-IT"/>
        </w:rPr>
        <w:t>DDD=Defined Daily Dose, PER=</w:t>
      </w:r>
      <w:proofErr w:type="spellStart"/>
      <w:r w:rsidRPr="009C6B00">
        <w:rPr>
          <w:rFonts w:ascii="Times New Roman" w:eastAsia="Times New Roman" w:hAnsi="Times New Roman" w:cs="Times New Roman"/>
          <w:sz w:val="22"/>
          <w:szCs w:val="22"/>
          <w:lang w:val="en-GB" w:eastAsia="it-IT"/>
        </w:rPr>
        <w:t>perampanel</w:t>
      </w:r>
      <w:proofErr w:type="spellEnd"/>
      <w:r w:rsidRPr="009C6B00">
        <w:rPr>
          <w:rFonts w:ascii="Times New Roman" w:eastAsia="Times New Roman" w:hAnsi="Times New Roman" w:cs="Times New Roman"/>
          <w:sz w:val="22"/>
          <w:szCs w:val="22"/>
          <w:lang w:val="en-GB" w:eastAsia="it-IT"/>
        </w:rPr>
        <w:t>, PK=pharmacokinetic, SCBs=sodium channel blockers, SV2A=synaptic vesicle protein 2A, VPA=valproic acid.</w:t>
      </w:r>
    </w:p>
    <w:p w14:paraId="7D8FE89E" w14:textId="5182D778" w:rsidR="001D4381" w:rsidRDefault="001D4381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br w:type="page"/>
      </w:r>
    </w:p>
    <w:p w14:paraId="71CE2E18" w14:textId="6B0551D7" w:rsidR="001D4381" w:rsidRDefault="001D4381" w:rsidP="001D4381">
      <w:pPr>
        <w:spacing w:line="480" w:lineRule="auto"/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</w:pPr>
      <w:r w:rsidRPr="00E44188"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  <w:lastRenderedPageBreak/>
        <w:t>Figure S</w:t>
      </w:r>
      <w:r w:rsidR="00880250"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  <w:t>4</w:t>
      </w:r>
      <w:r w:rsidRPr="00E44188"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  <w:t>.</w:t>
      </w:r>
      <w:r w:rsidRPr="001D4381"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  <w:t xml:space="preserve"> Absolute values of total Defined Daily Dose of concomitant antiseizure medications at 12 months</w:t>
      </w:r>
    </w:p>
    <w:p w14:paraId="105E755D" w14:textId="3FA36EF0" w:rsidR="001D4381" w:rsidRDefault="00C90C70" w:rsidP="001B687E">
      <w:pPr>
        <w:spacing w:line="480" w:lineRule="auto"/>
        <w:jc w:val="center"/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</w:pPr>
      <w:r>
        <w:rPr>
          <w:rFonts w:ascii="Times New Roman" w:eastAsia="Times New Roman" w:hAnsi="Times New Roman" w:cs="Times New Roman"/>
          <w:b/>
          <w:bCs/>
          <w:noProof/>
          <w:sz w:val="22"/>
          <w:szCs w:val="22"/>
          <w:lang w:val="en-US" w:eastAsia="it-IT"/>
        </w:rPr>
        <w:drawing>
          <wp:inline distT="0" distB="0" distL="0" distR="0" wp14:anchorId="6B8E353D" wp14:editId="01D567E8">
            <wp:extent cx="6116320" cy="4512945"/>
            <wp:effectExtent l="0" t="0" r="5080" b="0"/>
            <wp:docPr id="1626964987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6964987" name="Immagine 1626964987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4512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4A1DDE" w14:textId="689B09CB" w:rsidR="009C6B00" w:rsidRDefault="009C6B00" w:rsidP="009C6B00">
      <w:pPr>
        <w:spacing w:line="480" w:lineRule="auto"/>
        <w:jc w:val="both"/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</w:pPr>
      <w:r w:rsidRPr="00C86E8A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Asterisks summarize p values of the Wilcoxon matched-pairs signed rank test comparing absolute 12-month values with baseline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of </w:t>
      </w:r>
      <w:r w:rsidR="00826378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all the concomitant ASMs in the 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12-month population, n=137 (A); 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ASMs with known PK interactions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, </w:t>
      </w:r>
      <w:r w:rsidR="00525E5C" w:rsidRPr="00B92BEF">
        <w:rPr>
          <w:rFonts w:ascii="Times New Roman" w:eastAsia="Times New Roman" w:hAnsi="Times New Roman" w:cs="Times New Roman"/>
          <w:i/>
          <w:iCs/>
          <w:sz w:val="22"/>
          <w:szCs w:val="22"/>
          <w:lang w:val="en-US" w:eastAsia="it-IT"/>
        </w:rPr>
        <w:t>i.e.</w:t>
      </w:r>
      <w:r w:rsidR="00525E5C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, </w:t>
      </w:r>
      <w:r w:rsidR="00525E5C" w:rsidRPr="00AD23FE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clobazam, phenobarbital, phenytoin, primidone</w:t>
      </w:r>
      <w:r w:rsidR="00525E5C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, 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n=78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(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B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)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;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ASMs without known PK interactions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, n=59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(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C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)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;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SCBs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, n=121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(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D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)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;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GABAergic modulators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, n=87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(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E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)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;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SV2A ligands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, n=52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(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F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)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;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PER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, n=27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(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G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)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;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and VPA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, n=34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(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H</w:t>
      </w:r>
      <w:r w:rsidRPr="001D4381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).</w:t>
      </w:r>
    </w:p>
    <w:p w14:paraId="7D68CA67" w14:textId="184B2AC6" w:rsidR="009C6B00" w:rsidRPr="00C86E8A" w:rsidRDefault="009C6B00" w:rsidP="009C6B00">
      <w:pPr>
        <w:spacing w:line="480" w:lineRule="auto"/>
        <w:jc w:val="both"/>
        <w:rPr>
          <w:rFonts w:ascii="Times New Roman" w:eastAsia="Times New Roman" w:hAnsi="Times New Roman" w:cs="Times New Roman"/>
          <w:sz w:val="22"/>
          <w:szCs w:val="22"/>
          <w:lang w:val="en-GB" w:eastAsia="it-IT"/>
        </w:rPr>
      </w:pPr>
      <w:r w:rsidRPr="009C6B00">
        <w:rPr>
          <w:rFonts w:ascii="Times New Roman" w:eastAsia="Times New Roman" w:hAnsi="Times New Roman" w:cs="Times New Roman"/>
          <w:sz w:val="22"/>
          <w:szCs w:val="22"/>
          <w:lang w:val="en-GB" w:eastAsia="it-IT"/>
        </w:rPr>
        <w:t xml:space="preserve">Abbreviations: </w:t>
      </w:r>
      <w:r w:rsidR="00826378">
        <w:rPr>
          <w:rFonts w:ascii="Times New Roman" w:eastAsia="Times New Roman" w:hAnsi="Times New Roman" w:cs="Times New Roman"/>
          <w:sz w:val="22"/>
          <w:szCs w:val="22"/>
          <w:lang w:val="en-GB" w:eastAsia="it-IT"/>
        </w:rPr>
        <w:t xml:space="preserve">ASMs=antiseizure medications, </w:t>
      </w:r>
      <w:r w:rsidRPr="009C6B00">
        <w:rPr>
          <w:rFonts w:ascii="Times New Roman" w:eastAsia="Times New Roman" w:hAnsi="Times New Roman" w:cs="Times New Roman"/>
          <w:sz w:val="22"/>
          <w:szCs w:val="22"/>
          <w:lang w:val="en-GB" w:eastAsia="it-IT"/>
        </w:rPr>
        <w:t>DDD=Defined Daily Dose, PER=</w:t>
      </w:r>
      <w:proofErr w:type="spellStart"/>
      <w:r w:rsidRPr="009C6B00">
        <w:rPr>
          <w:rFonts w:ascii="Times New Roman" w:eastAsia="Times New Roman" w:hAnsi="Times New Roman" w:cs="Times New Roman"/>
          <w:sz w:val="22"/>
          <w:szCs w:val="22"/>
          <w:lang w:val="en-GB" w:eastAsia="it-IT"/>
        </w:rPr>
        <w:t>perampanel</w:t>
      </w:r>
      <w:proofErr w:type="spellEnd"/>
      <w:r w:rsidRPr="009C6B00">
        <w:rPr>
          <w:rFonts w:ascii="Times New Roman" w:eastAsia="Times New Roman" w:hAnsi="Times New Roman" w:cs="Times New Roman"/>
          <w:sz w:val="22"/>
          <w:szCs w:val="22"/>
          <w:lang w:val="en-GB" w:eastAsia="it-IT"/>
        </w:rPr>
        <w:t>, PK=pharmacokinetic, SCBs=sodium channel blockers, SV2A=synaptic vesicle protein 2A, VPA=valproic acid.</w:t>
      </w:r>
    </w:p>
    <w:p w14:paraId="5E4789B2" w14:textId="77777777" w:rsidR="009C6B00" w:rsidRPr="00B92BEF" w:rsidRDefault="009C6B00" w:rsidP="001D4381">
      <w:pPr>
        <w:spacing w:line="480" w:lineRule="auto"/>
        <w:rPr>
          <w:rFonts w:ascii="Times New Roman" w:eastAsia="Times New Roman" w:hAnsi="Times New Roman" w:cs="Times New Roman"/>
          <w:b/>
          <w:bCs/>
          <w:sz w:val="22"/>
          <w:szCs w:val="22"/>
          <w:lang w:val="en-GB" w:eastAsia="it-IT"/>
        </w:rPr>
      </w:pPr>
    </w:p>
    <w:p w14:paraId="6839BA3D" w14:textId="0DCB402A" w:rsidR="001D4381" w:rsidRDefault="001D4381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br w:type="page"/>
      </w:r>
    </w:p>
    <w:p w14:paraId="635FC00F" w14:textId="77777777" w:rsidR="001D4381" w:rsidRPr="00E44188" w:rsidRDefault="001D4381">
      <w:pPr>
        <w:rPr>
          <w:sz w:val="22"/>
          <w:szCs w:val="22"/>
          <w:lang w:val="en-US"/>
        </w:rPr>
      </w:pPr>
    </w:p>
    <w:tbl>
      <w:tblPr>
        <w:tblW w:w="8835" w:type="dxa"/>
        <w:tblBorders>
          <w:top w:val="single" w:sz="6" w:space="0" w:color="8E8E8E"/>
          <w:bottom w:val="single" w:sz="6" w:space="0" w:color="8E8E8E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3448"/>
      </w:tblGrid>
      <w:tr w:rsidR="00E44188" w:rsidRPr="001B687E" w14:paraId="240A9D6E" w14:textId="77777777" w:rsidTr="00B046F7">
        <w:tc>
          <w:tcPr>
            <w:tcW w:w="0" w:type="auto"/>
            <w:gridSpan w:val="2"/>
            <w:tcBorders>
              <w:top w:val="nil"/>
              <w:bottom w:val="single" w:sz="12" w:space="0" w:color="8E8E8E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7BAFD851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val="en-US"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val="en-US" w:eastAsia="it-IT"/>
                <w14:ligatures w14:val="none"/>
              </w:rPr>
              <w:t>Table S1. Defined daily dose for concomitant antiseizure medications</w:t>
            </w:r>
          </w:p>
        </w:tc>
      </w:tr>
      <w:tr w:rsidR="00E44188" w:rsidRPr="001B687E" w14:paraId="3974AFAA" w14:textId="77777777" w:rsidTr="00B046F7">
        <w:tc>
          <w:tcPr>
            <w:tcW w:w="5387" w:type="dxa"/>
            <w:tcBorders>
              <w:top w:val="single" w:sz="12" w:space="0" w:color="8E8E8E"/>
              <w:bottom w:val="single" w:sz="12" w:space="0" w:color="8E8E8E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464649AC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Antiseizure</w:t>
            </w:r>
            <w:proofErr w:type="spellEnd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 xml:space="preserve"> </w:t>
            </w: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medication</w:t>
            </w:r>
            <w:proofErr w:type="spellEnd"/>
          </w:p>
        </w:tc>
        <w:tc>
          <w:tcPr>
            <w:tcW w:w="3448" w:type="dxa"/>
            <w:tcBorders>
              <w:top w:val="single" w:sz="12" w:space="0" w:color="8E8E8E"/>
              <w:bottom w:val="single" w:sz="12" w:space="0" w:color="8E8E8E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1185149E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val="en-US"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val="en-US" w:eastAsia="it-IT"/>
                <w14:ligatures w14:val="none"/>
              </w:rPr>
              <w:t>Defined daily dose (mg/die)</w:t>
            </w:r>
          </w:p>
        </w:tc>
      </w:tr>
      <w:tr w:rsidR="00E44188" w:rsidRPr="009179F3" w14:paraId="55D0912C" w14:textId="77777777" w:rsidTr="00B046F7">
        <w:tc>
          <w:tcPr>
            <w:tcW w:w="5387" w:type="dxa"/>
            <w:tcBorders>
              <w:top w:val="single" w:sz="12" w:space="0" w:color="8E8E8E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4C83E46C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Acetazolamide</w:t>
            </w:r>
            <w:proofErr w:type="spellEnd"/>
          </w:p>
        </w:tc>
        <w:tc>
          <w:tcPr>
            <w:tcW w:w="3448" w:type="dxa"/>
            <w:tcBorders>
              <w:top w:val="single" w:sz="12" w:space="0" w:color="8E8E8E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7ADEF100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250</w:t>
            </w:r>
          </w:p>
        </w:tc>
      </w:tr>
      <w:tr w:rsidR="00E44188" w:rsidRPr="009179F3" w14:paraId="7239385C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3D5E2EB5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Barbexaclone</w:t>
            </w:r>
            <w:proofErr w:type="spellEnd"/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6132BAE8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200</w:t>
            </w:r>
          </w:p>
        </w:tc>
      </w:tr>
      <w:tr w:rsidR="00E44188" w:rsidRPr="009179F3" w14:paraId="473ADA83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83418B6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Brivaracetam</w:t>
            </w:r>
            <w:proofErr w:type="spellEnd"/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1A4B830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100</w:t>
            </w:r>
          </w:p>
        </w:tc>
      </w:tr>
      <w:tr w:rsidR="00E44188" w:rsidRPr="009179F3" w14:paraId="61877C43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37DD9B99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Cannabidiol</w:t>
            </w:r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4BA70569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700</w:t>
            </w:r>
          </w:p>
        </w:tc>
      </w:tr>
      <w:tr w:rsidR="00E44188" w:rsidRPr="009179F3" w14:paraId="60A4181B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25B6FE7E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Carbamazepine</w:t>
            </w:r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784DEDAE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1000</w:t>
            </w:r>
          </w:p>
        </w:tc>
      </w:tr>
      <w:tr w:rsidR="00E44188" w:rsidRPr="009179F3" w14:paraId="11AA02B9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123DB33B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Clobazam</w:t>
            </w:r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641195BB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20</w:t>
            </w:r>
          </w:p>
        </w:tc>
      </w:tr>
      <w:tr w:rsidR="00E44188" w:rsidRPr="009179F3" w14:paraId="400C14BD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42373A3D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Clonazepam</w:t>
            </w:r>
            <w:proofErr w:type="spellEnd"/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5BC2177E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8</w:t>
            </w:r>
          </w:p>
        </w:tc>
      </w:tr>
      <w:tr w:rsidR="00E44188" w:rsidRPr="009179F3" w14:paraId="35077F99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2A8479F1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Eslicarbazepine</w:t>
            </w:r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3746DFE1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800</w:t>
            </w:r>
          </w:p>
        </w:tc>
      </w:tr>
      <w:tr w:rsidR="00E44188" w:rsidRPr="009179F3" w14:paraId="15EB09CB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7BB6E7A5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Ethosuximide</w:t>
            </w:r>
            <w:proofErr w:type="spellEnd"/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32E1A7B1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1250</w:t>
            </w:r>
          </w:p>
        </w:tc>
      </w:tr>
      <w:tr w:rsidR="00E44188" w:rsidRPr="009179F3" w14:paraId="07C6EFBB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74E37813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Felbamate</w:t>
            </w:r>
            <w:proofErr w:type="spellEnd"/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55826E1B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2400</w:t>
            </w:r>
          </w:p>
        </w:tc>
      </w:tr>
      <w:tr w:rsidR="00E44188" w:rsidRPr="009179F3" w14:paraId="1E5F2C43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75E79E50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Gabapentin</w:t>
            </w:r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51B16AE8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1800</w:t>
            </w:r>
          </w:p>
        </w:tc>
      </w:tr>
      <w:tr w:rsidR="00E44188" w:rsidRPr="009179F3" w14:paraId="42F8D50E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4431C1FC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Lacosamide</w:t>
            </w:r>
            <w:proofErr w:type="spellEnd"/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43EBAA80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300</w:t>
            </w:r>
          </w:p>
        </w:tc>
      </w:tr>
      <w:tr w:rsidR="00E44188" w:rsidRPr="009179F3" w14:paraId="3472F44C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5F124AC8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Lamotrigine</w:t>
            </w:r>
            <w:proofErr w:type="spellEnd"/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5BCBCC8C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300</w:t>
            </w:r>
          </w:p>
        </w:tc>
      </w:tr>
      <w:tr w:rsidR="00E44188" w:rsidRPr="009179F3" w14:paraId="0E4FD0D5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3912CE7E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Levetiracetam</w:t>
            </w:r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21888B2C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1500</w:t>
            </w:r>
          </w:p>
        </w:tc>
      </w:tr>
      <w:tr w:rsidR="00E44188" w:rsidRPr="009179F3" w14:paraId="73810123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270B378C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Nitrazepam</w:t>
            </w:r>
            <w:proofErr w:type="spellEnd"/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745ECA3A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5</w:t>
            </w:r>
          </w:p>
        </w:tc>
      </w:tr>
      <w:tr w:rsidR="00E44188" w:rsidRPr="009179F3" w14:paraId="6998C4A8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37159579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Oxcarbazepine</w:t>
            </w:r>
            <w:proofErr w:type="spellEnd"/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5214233D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1000</w:t>
            </w:r>
          </w:p>
        </w:tc>
      </w:tr>
      <w:tr w:rsidR="00E44188" w:rsidRPr="009179F3" w14:paraId="13DE3EFB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24BD57A5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Perampanel</w:t>
            </w:r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0ED81D07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8</w:t>
            </w:r>
          </w:p>
        </w:tc>
      </w:tr>
      <w:tr w:rsidR="00E44188" w:rsidRPr="009179F3" w14:paraId="13BD9588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5022E7D1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Phenobarbital</w:t>
            </w:r>
            <w:proofErr w:type="spellEnd"/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66242573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100</w:t>
            </w:r>
          </w:p>
        </w:tc>
      </w:tr>
      <w:tr w:rsidR="00E44188" w:rsidRPr="009179F3" w14:paraId="3698A50A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B1E3355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Phenytoin</w:t>
            </w:r>
            <w:proofErr w:type="spellEnd"/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0A4352D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300</w:t>
            </w:r>
          </w:p>
        </w:tc>
      </w:tr>
      <w:tr w:rsidR="00E44188" w:rsidRPr="009179F3" w14:paraId="1DA4B8A1" w14:textId="77777777" w:rsidTr="00B046F7">
        <w:tc>
          <w:tcPr>
            <w:tcW w:w="5387" w:type="dxa"/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19003220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Potassium</w:t>
            </w:r>
            <w:proofErr w:type="spellEnd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 xml:space="preserve"> </w:t>
            </w: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Bromide</w:t>
            </w:r>
            <w:proofErr w:type="spellEnd"/>
          </w:p>
        </w:tc>
        <w:tc>
          <w:tcPr>
            <w:tcW w:w="3448" w:type="dxa"/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378FAB20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2400</w:t>
            </w:r>
          </w:p>
        </w:tc>
      </w:tr>
      <w:tr w:rsidR="00E44188" w:rsidRPr="009179F3" w14:paraId="1CDD89E4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534BAF56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Pregabalin</w:t>
            </w:r>
            <w:proofErr w:type="spellEnd"/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19924E96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300</w:t>
            </w:r>
          </w:p>
        </w:tc>
      </w:tr>
      <w:tr w:rsidR="00E44188" w:rsidRPr="009179F3" w14:paraId="5F8F4F76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79FFA88C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Primidone</w:t>
            </w:r>
            <w:proofErr w:type="spellEnd"/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5FF1EFF4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1250</w:t>
            </w:r>
          </w:p>
        </w:tc>
      </w:tr>
      <w:tr w:rsidR="00E44188" w:rsidRPr="009179F3" w14:paraId="23EDB7AB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17E84A52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Rufinamide</w:t>
            </w:r>
            <w:proofErr w:type="spellEnd"/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4577E735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1400</w:t>
            </w:r>
          </w:p>
        </w:tc>
      </w:tr>
      <w:tr w:rsidR="00E44188" w:rsidRPr="009179F3" w14:paraId="3B1F1E7A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71ABE5AC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Tiagabine</w:t>
            </w:r>
            <w:proofErr w:type="spellEnd"/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6A96ED6B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30</w:t>
            </w:r>
          </w:p>
        </w:tc>
      </w:tr>
      <w:tr w:rsidR="00E44188" w:rsidRPr="009179F3" w14:paraId="2BC1B43D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33E10AC8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Topiramate</w:t>
            </w:r>
            <w:proofErr w:type="spellEnd"/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5B677A0A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300</w:t>
            </w:r>
          </w:p>
        </w:tc>
      </w:tr>
      <w:tr w:rsidR="00E44188" w:rsidRPr="009179F3" w14:paraId="0187C4B1" w14:textId="77777777" w:rsidTr="00B046F7">
        <w:tc>
          <w:tcPr>
            <w:tcW w:w="5387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412C637F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Valproic</w:t>
            </w:r>
            <w:proofErr w:type="spellEnd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 xml:space="preserve"> acid</w:t>
            </w:r>
          </w:p>
        </w:tc>
        <w:tc>
          <w:tcPr>
            <w:tcW w:w="3448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5EF1E915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1500</w:t>
            </w:r>
          </w:p>
        </w:tc>
      </w:tr>
      <w:tr w:rsidR="00E44188" w:rsidRPr="009179F3" w14:paraId="0F67F49A" w14:textId="77777777" w:rsidTr="00B046F7">
        <w:tc>
          <w:tcPr>
            <w:tcW w:w="5387" w:type="dxa"/>
            <w:tcBorders>
              <w:bottom w:val="nil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509169A8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Vigabatrin</w:t>
            </w:r>
            <w:proofErr w:type="spellEnd"/>
          </w:p>
        </w:tc>
        <w:tc>
          <w:tcPr>
            <w:tcW w:w="3448" w:type="dxa"/>
            <w:tcBorders>
              <w:bottom w:val="nil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758F2413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2000</w:t>
            </w:r>
          </w:p>
        </w:tc>
      </w:tr>
      <w:tr w:rsidR="00E44188" w:rsidRPr="005E2747" w14:paraId="3DC8B34C" w14:textId="77777777" w:rsidTr="00B046F7">
        <w:tc>
          <w:tcPr>
            <w:tcW w:w="5387" w:type="dxa"/>
            <w:tcBorders>
              <w:top w:val="nil"/>
              <w:bottom w:val="single" w:sz="12" w:space="0" w:color="8E8E8E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21F69A0" w14:textId="77777777" w:rsidR="00E44188" w:rsidRPr="009179F3" w:rsidRDefault="00E44188" w:rsidP="00B046F7">
            <w:pPr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proofErr w:type="spellStart"/>
            <w:r w:rsidRPr="009179F3">
              <w:rPr>
                <w:rFonts w:ascii="Times New Roman" w:eastAsia="Times New Roman" w:hAnsi="Times New Roman" w:cs="Times New Roman"/>
                <w:b/>
                <w:bCs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Zonisamide</w:t>
            </w:r>
            <w:proofErr w:type="spellEnd"/>
          </w:p>
        </w:tc>
        <w:tc>
          <w:tcPr>
            <w:tcW w:w="3448" w:type="dxa"/>
            <w:tcBorders>
              <w:top w:val="nil"/>
              <w:bottom w:val="single" w:sz="12" w:space="0" w:color="8E8E8E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A23E303" w14:textId="77777777" w:rsidR="00E44188" w:rsidRPr="005E2747" w:rsidRDefault="00E44188" w:rsidP="00B046F7">
            <w:pPr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</w:pPr>
            <w:r w:rsidRPr="009179F3">
              <w:rPr>
                <w:rFonts w:ascii="Times New Roman" w:eastAsia="Times New Roman" w:hAnsi="Times New Roman" w:cs="Times New Roman"/>
                <w:color w:val="1F1F1F"/>
                <w:kern w:val="0"/>
                <w:sz w:val="21"/>
                <w:szCs w:val="21"/>
                <w:lang w:eastAsia="it-IT"/>
                <w14:ligatures w14:val="none"/>
              </w:rPr>
              <w:t>200</w:t>
            </w:r>
          </w:p>
        </w:tc>
      </w:tr>
    </w:tbl>
    <w:p w14:paraId="5119B30E" w14:textId="753FBDBB" w:rsidR="00370551" w:rsidRPr="00E44188" w:rsidRDefault="00370551">
      <w:pPr>
        <w:rPr>
          <w:sz w:val="22"/>
          <w:szCs w:val="22"/>
          <w:lang w:val="en-US"/>
        </w:rPr>
      </w:pPr>
      <w:r w:rsidRPr="00E44188">
        <w:rPr>
          <w:sz w:val="22"/>
          <w:szCs w:val="22"/>
          <w:lang w:val="en-US"/>
        </w:rPr>
        <w:br w:type="page"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819"/>
        <w:gridCol w:w="4803"/>
      </w:tblGrid>
      <w:tr w:rsidR="00E44188" w:rsidRPr="001B687E" w14:paraId="7AC8888E" w14:textId="77777777" w:rsidTr="00B046F7">
        <w:tc>
          <w:tcPr>
            <w:tcW w:w="9622" w:type="dxa"/>
            <w:gridSpan w:val="2"/>
            <w:tcBorders>
              <w:bottom w:val="single" w:sz="12" w:space="0" w:color="auto"/>
            </w:tcBorders>
            <w:shd w:val="clear" w:color="auto" w:fill="auto"/>
          </w:tcPr>
          <w:p w14:paraId="10251CA4" w14:textId="403EC35C" w:rsidR="00E44188" w:rsidRPr="00470C45" w:rsidRDefault="00E44188" w:rsidP="00B046F7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it-IT"/>
              </w:rPr>
              <w:lastRenderedPageBreak/>
              <w:t xml:space="preserve">Table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it-IT"/>
              </w:rPr>
              <w:t>S</w:t>
            </w: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it-IT"/>
              </w:rPr>
              <w:t>2. Concomitant antiseizure medications</w:t>
            </w:r>
          </w:p>
        </w:tc>
      </w:tr>
      <w:tr w:rsidR="00E44188" w:rsidRPr="00470C45" w14:paraId="05153504" w14:textId="77777777" w:rsidTr="00B046F7">
        <w:tc>
          <w:tcPr>
            <w:tcW w:w="48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A2BACA3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Concomitant antiseizure medication</w:t>
            </w:r>
          </w:p>
        </w:tc>
        <w:tc>
          <w:tcPr>
            <w:tcW w:w="480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788AEF8F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Subjects (N=236)</w:t>
            </w:r>
          </w:p>
        </w:tc>
      </w:tr>
      <w:tr w:rsidR="00E44188" w:rsidRPr="00470C45" w14:paraId="699EA267" w14:textId="77777777" w:rsidTr="00B046F7">
        <w:tc>
          <w:tcPr>
            <w:tcW w:w="4819" w:type="dxa"/>
            <w:tcBorders>
              <w:top w:val="single" w:sz="12" w:space="0" w:color="auto"/>
            </w:tcBorders>
            <w:shd w:val="clear" w:color="auto" w:fill="auto"/>
          </w:tcPr>
          <w:p w14:paraId="199F9BDE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>Carbamazepine</w:t>
            </w:r>
          </w:p>
        </w:tc>
        <w:tc>
          <w:tcPr>
            <w:tcW w:w="4803" w:type="dxa"/>
            <w:tcBorders>
              <w:top w:val="single" w:sz="12" w:space="0" w:color="auto"/>
            </w:tcBorders>
            <w:shd w:val="clear" w:color="auto" w:fill="auto"/>
          </w:tcPr>
          <w:p w14:paraId="1B2B5D15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92 (39.0)</w:t>
            </w:r>
          </w:p>
        </w:tc>
      </w:tr>
      <w:tr w:rsidR="00E44188" w:rsidRPr="00470C45" w14:paraId="425DBEF0" w14:textId="77777777" w:rsidTr="00B046F7">
        <w:tc>
          <w:tcPr>
            <w:tcW w:w="4819" w:type="dxa"/>
            <w:shd w:val="clear" w:color="auto" w:fill="auto"/>
          </w:tcPr>
          <w:p w14:paraId="05C936F8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 xml:space="preserve">Clobazam </w:t>
            </w:r>
          </w:p>
        </w:tc>
        <w:tc>
          <w:tcPr>
            <w:tcW w:w="4803" w:type="dxa"/>
            <w:shd w:val="clear" w:color="auto" w:fill="auto"/>
          </w:tcPr>
          <w:p w14:paraId="134E6AA4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80 (33.9)</w:t>
            </w:r>
          </w:p>
        </w:tc>
      </w:tr>
      <w:tr w:rsidR="00E44188" w:rsidRPr="00470C45" w14:paraId="0860CD81" w14:textId="77777777" w:rsidTr="00B046F7">
        <w:tc>
          <w:tcPr>
            <w:tcW w:w="4819" w:type="dxa"/>
            <w:shd w:val="clear" w:color="auto" w:fill="auto"/>
          </w:tcPr>
          <w:p w14:paraId="2172E138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>Lacosamide</w:t>
            </w:r>
          </w:p>
        </w:tc>
        <w:tc>
          <w:tcPr>
            <w:tcW w:w="4803" w:type="dxa"/>
            <w:shd w:val="clear" w:color="auto" w:fill="auto"/>
          </w:tcPr>
          <w:p w14:paraId="4F36E7A0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71 (30.1)</w:t>
            </w:r>
          </w:p>
        </w:tc>
      </w:tr>
      <w:tr w:rsidR="00E44188" w:rsidRPr="00470C45" w14:paraId="0EABB5C4" w14:textId="77777777" w:rsidTr="00B046F7">
        <w:tc>
          <w:tcPr>
            <w:tcW w:w="4819" w:type="dxa"/>
            <w:shd w:val="clear" w:color="auto" w:fill="auto"/>
          </w:tcPr>
          <w:p w14:paraId="04B88251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>Phenobarbital</w:t>
            </w:r>
          </w:p>
        </w:tc>
        <w:tc>
          <w:tcPr>
            <w:tcW w:w="4803" w:type="dxa"/>
            <w:shd w:val="clear" w:color="auto" w:fill="auto"/>
          </w:tcPr>
          <w:p w14:paraId="356C1699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62 (26.3)</w:t>
            </w:r>
          </w:p>
        </w:tc>
      </w:tr>
      <w:tr w:rsidR="00E44188" w:rsidRPr="00470C45" w14:paraId="687AFC54" w14:textId="77777777" w:rsidTr="00B046F7">
        <w:tc>
          <w:tcPr>
            <w:tcW w:w="4819" w:type="dxa"/>
            <w:shd w:val="clear" w:color="auto" w:fill="auto"/>
          </w:tcPr>
          <w:p w14:paraId="6C68CCEF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>Valproic acid</w:t>
            </w:r>
          </w:p>
        </w:tc>
        <w:tc>
          <w:tcPr>
            <w:tcW w:w="4803" w:type="dxa"/>
            <w:shd w:val="clear" w:color="auto" w:fill="auto"/>
          </w:tcPr>
          <w:p w14:paraId="0B8AD787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59 (25.0)</w:t>
            </w:r>
          </w:p>
        </w:tc>
      </w:tr>
      <w:tr w:rsidR="00E44188" w:rsidRPr="00470C45" w14:paraId="502C2F83" w14:textId="77777777" w:rsidTr="00B046F7">
        <w:tc>
          <w:tcPr>
            <w:tcW w:w="4819" w:type="dxa"/>
            <w:shd w:val="clear" w:color="auto" w:fill="auto"/>
          </w:tcPr>
          <w:p w14:paraId="512F1BC0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 xml:space="preserve">Brivaracetam </w:t>
            </w:r>
          </w:p>
        </w:tc>
        <w:tc>
          <w:tcPr>
            <w:tcW w:w="4803" w:type="dxa"/>
            <w:shd w:val="clear" w:color="auto" w:fill="auto"/>
          </w:tcPr>
          <w:p w14:paraId="17486A8C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55 (23.3)</w:t>
            </w:r>
          </w:p>
        </w:tc>
      </w:tr>
      <w:tr w:rsidR="00E44188" w:rsidRPr="00470C45" w14:paraId="2767EB0D" w14:textId="77777777" w:rsidTr="00B046F7">
        <w:tc>
          <w:tcPr>
            <w:tcW w:w="4819" w:type="dxa"/>
            <w:shd w:val="clear" w:color="auto" w:fill="auto"/>
          </w:tcPr>
          <w:p w14:paraId="4A278656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>Lamotrigine</w:t>
            </w:r>
          </w:p>
        </w:tc>
        <w:tc>
          <w:tcPr>
            <w:tcW w:w="4803" w:type="dxa"/>
            <w:shd w:val="clear" w:color="auto" w:fill="auto"/>
          </w:tcPr>
          <w:p w14:paraId="69597199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54 (22.9)</w:t>
            </w:r>
          </w:p>
        </w:tc>
      </w:tr>
      <w:tr w:rsidR="00E44188" w:rsidRPr="00470C45" w14:paraId="42335EF2" w14:textId="77777777" w:rsidTr="00B046F7">
        <w:tc>
          <w:tcPr>
            <w:tcW w:w="4819" w:type="dxa"/>
            <w:shd w:val="clear" w:color="auto" w:fill="auto"/>
          </w:tcPr>
          <w:p w14:paraId="58B11DD9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>Perampanel</w:t>
            </w:r>
          </w:p>
        </w:tc>
        <w:tc>
          <w:tcPr>
            <w:tcW w:w="4803" w:type="dxa"/>
            <w:shd w:val="clear" w:color="auto" w:fill="auto"/>
          </w:tcPr>
          <w:p w14:paraId="1DD2FCA7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50 (21.2)</w:t>
            </w:r>
          </w:p>
        </w:tc>
      </w:tr>
      <w:tr w:rsidR="00E44188" w:rsidRPr="00470C45" w14:paraId="00253571" w14:textId="77777777" w:rsidTr="00B046F7">
        <w:tc>
          <w:tcPr>
            <w:tcW w:w="4819" w:type="dxa"/>
            <w:shd w:val="clear" w:color="auto" w:fill="auto"/>
          </w:tcPr>
          <w:p w14:paraId="47CE404E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 xml:space="preserve">Levetiracetam </w:t>
            </w:r>
          </w:p>
        </w:tc>
        <w:tc>
          <w:tcPr>
            <w:tcW w:w="4803" w:type="dxa"/>
            <w:shd w:val="clear" w:color="auto" w:fill="auto"/>
          </w:tcPr>
          <w:p w14:paraId="4E85DABC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32 (13.6)</w:t>
            </w:r>
          </w:p>
        </w:tc>
      </w:tr>
      <w:tr w:rsidR="00E44188" w:rsidRPr="00470C45" w14:paraId="5CE0735E" w14:textId="77777777" w:rsidTr="00B046F7">
        <w:tc>
          <w:tcPr>
            <w:tcW w:w="4819" w:type="dxa"/>
            <w:shd w:val="clear" w:color="auto" w:fill="auto"/>
          </w:tcPr>
          <w:p w14:paraId="2E7FED0B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>Zonisamide</w:t>
            </w:r>
          </w:p>
        </w:tc>
        <w:tc>
          <w:tcPr>
            <w:tcW w:w="4803" w:type="dxa"/>
            <w:shd w:val="clear" w:color="auto" w:fill="auto"/>
          </w:tcPr>
          <w:p w14:paraId="7CB5934A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30 (12.7)</w:t>
            </w:r>
          </w:p>
        </w:tc>
      </w:tr>
      <w:tr w:rsidR="00E44188" w:rsidRPr="00470C45" w14:paraId="25921509" w14:textId="77777777" w:rsidTr="00B046F7">
        <w:tc>
          <w:tcPr>
            <w:tcW w:w="4819" w:type="dxa"/>
            <w:shd w:val="clear" w:color="auto" w:fill="auto"/>
          </w:tcPr>
          <w:p w14:paraId="29B6D629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>Topiramate</w:t>
            </w:r>
          </w:p>
        </w:tc>
        <w:tc>
          <w:tcPr>
            <w:tcW w:w="4803" w:type="dxa"/>
            <w:shd w:val="clear" w:color="auto" w:fill="auto"/>
          </w:tcPr>
          <w:p w14:paraId="6642A3C8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26 (11.0)</w:t>
            </w:r>
          </w:p>
        </w:tc>
      </w:tr>
      <w:tr w:rsidR="00E44188" w:rsidRPr="00470C45" w14:paraId="6D07E261" w14:textId="77777777" w:rsidTr="00B046F7">
        <w:tc>
          <w:tcPr>
            <w:tcW w:w="4819" w:type="dxa"/>
            <w:shd w:val="clear" w:color="auto" w:fill="auto"/>
          </w:tcPr>
          <w:p w14:paraId="703DCAE4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 xml:space="preserve">Clonazepam </w:t>
            </w:r>
          </w:p>
        </w:tc>
        <w:tc>
          <w:tcPr>
            <w:tcW w:w="4803" w:type="dxa"/>
            <w:shd w:val="clear" w:color="auto" w:fill="auto"/>
          </w:tcPr>
          <w:p w14:paraId="0D9D77C1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22 (9.3)</w:t>
            </w:r>
          </w:p>
        </w:tc>
      </w:tr>
      <w:tr w:rsidR="00E44188" w:rsidRPr="00470C45" w14:paraId="2F95CD61" w14:textId="77777777" w:rsidTr="00B046F7">
        <w:tc>
          <w:tcPr>
            <w:tcW w:w="4819" w:type="dxa"/>
            <w:shd w:val="clear" w:color="auto" w:fill="auto"/>
          </w:tcPr>
          <w:p w14:paraId="62849713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>Oxcarbazepine</w:t>
            </w:r>
          </w:p>
        </w:tc>
        <w:tc>
          <w:tcPr>
            <w:tcW w:w="4803" w:type="dxa"/>
            <w:shd w:val="clear" w:color="auto" w:fill="auto"/>
          </w:tcPr>
          <w:p w14:paraId="13A4AD37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21 (8.9)</w:t>
            </w:r>
          </w:p>
        </w:tc>
      </w:tr>
      <w:tr w:rsidR="00E44188" w:rsidRPr="00470C45" w14:paraId="2554CFCC" w14:textId="77777777" w:rsidTr="00B046F7">
        <w:tc>
          <w:tcPr>
            <w:tcW w:w="4819" w:type="dxa"/>
            <w:shd w:val="clear" w:color="auto" w:fill="auto"/>
          </w:tcPr>
          <w:p w14:paraId="20F4D722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>Eslicarbazepine acetate</w:t>
            </w:r>
          </w:p>
        </w:tc>
        <w:tc>
          <w:tcPr>
            <w:tcW w:w="4803" w:type="dxa"/>
            <w:shd w:val="clear" w:color="auto" w:fill="auto"/>
          </w:tcPr>
          <w:p w14:paraId="6BEE0578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19 (8.1)</w:t>
            </w:r>
          </w:p>
        </w:tc>
      </w:tr>
      <w:tr w:rsidR="00E44188" w:rsidRPr="00470C45" w14:paraId="1F2B8D97" w14:textId="77777777" w:rsidTr="00B046F7">
        <w:tc>
          <w:tcPr>
            <w:tcW w:w="4819" w:type="dxa"/>
            <w:shd w:val="clear" w:color="auto" w:fill="auto"/>
          </w:tcPr>
          <w:p w14:paraId="41B47AAF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>Phenytoin</w:t>
            </w:r>
          </w:p>
        </w:tc>
        <w:tc>
          <w:tcPr>
            <w:tcW w:w="4803" w:type="dxa"/>
            <w:shd w:val="clear" w:color="auto" w:fill="auto"/>
          </w:tcPr>
          <w:p w14:paraId="43D3608B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12 (5.1)</w:t>
            </w:r>
          </w:p>
        </w:tc>
      </w:tr>
      <w:tr w:rsidR="00E44188" w:rsidRPr="00470C45" w14:paraId="31211141" w14:textId="77777777" w:rsidTr="00B046F7">
        <w:tc>
          <w:tcPr>
            <w:tcW w:w="4819" w:type="dxa"/>
            <w:shd w:val="clear" w:color="auto" w:fill="auto"/>
          </w:tcPr>
          <w:p w14:paraId="64E38C35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>Rufinamide</w:t>
            </w:r>
          </w:p>
        </w:tc>
        <w:tc>
          <w:tcPr>
            <w:tcW w:w="4803" w:type="dxa"/>
            <w:shd w:val="clear" w:color="auto" w:fill="auto"/>
          </w:tcPr>
          <w:p w14:paraId="0886A97F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7 (3.0)</w:t>
            </w:r>
          </w:p>
        </w:tc>
      </w:tr>
      <w:tr w:rsidR="00E44188" w:rsidRPr="00470C45" w14:paraId="46984D19" w14:textId="77777777" w:rsidTr="00B046F7">
        <w:tc>
          <w:tcPr>
            <w:tcW w:w="4819" w:type="dxa"/>
            <w:shd w:val="clear" w:color="auto" w:fill="auto"/>
          </w:tcPr>
          <w:p w14:paraId="5C9FB338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 xml:space="preserve">Felbamate </w:t>
            </w:r>
          </w:p>
        </w:tc>
        <w:tc>
          <w:tcPr>
            <w:tcW w:w="4803" w:type="dxa"/>
            <w:shd w:val="clear" w:color="auto" w:fill="auto"/>
          </w:tcPr>
          <w:p w14:paraId="75AB458E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6 (2.5)</w:t>
            </w:r>
          </w:p>
        </w:tc>
      </w:tr>
      <w:tr w:rsidR="00E44188" w:rsidRPr="00470C45" w14:paraId="4EC851CE" w14:textId="77777777" w:rsidTr="00B046F7">
        <w:tc>
          <w:tcPr>
            <w:tcW w:w="4819" w:type="dxa"/>
            <w:shd w:val="clear" w:color="auto" w:fill="auto"/>
          </w:tcPr>
          <w:p w14:paraId="5BD2A34E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>Primidone</w:t>
            </w:r>
          </w:p>
        </w:tc>
        <w:tc>
          <w:tcPr>
            <w:tcW w:w="4803" w:type="dxa"/>
            <w:shd w:val="clear" w:color="auto" w:fill="auto"/>
          </w:tcPr>
          <w:p w14:paraId="3ACFBE67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6 (2.5)</w:t>
            </w:r>
          </w:p>
        </w:tc>
      </w:tr>
      <w:tr w:rsidR="00E44188" w:rsidRPr="00470C45" w14:paraId="398AFEDC" w14:textId="77777777" w:rsidTr="00B046F7">
        <w:tc>
          <w:tcPr>
            <w:tcW w:w="4819" w:type="dxa"/>
            <w:shd w:val="clear" w:color="auto" w:fill="auto"/>
          </w:tcPr>
          <w:p w14:paraId="75F72440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>Pregabalin</w:t>
            </w:r>
          </w:p>
        </w:tc>
        <w:tc>
          <w:tcPr>
            <w:tcW w:w="4803" w:type="dxa"/>
            <w:shd w:val="clear" w:color="auto" w:fill="auto"/>
          </w:tcPr>
          <w:p w14:paraId="253691FB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5 (2.1)</w:t>
            </w:r>
          </w:p>
        </w:tc>
      </w:tr>
      <w:tr w:rsidR="00E44188" w:rsidRPr="00470C45" w14:paraId="3F203B25" w14:textId="77777777" w:rsidTr="00B046F7">
        <w:tc>
          <w:tcPr>
            <w:tcW w:w="4819" w:type="dxa"/>
            <w:shd w:val="clear" w:color="auto" w:fill="auto"/>
          </w:tcPr>
          <w:p w14:paraId="24600C00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 xml:space="preserve">Nitrazepam </w:t>
            </w:r>
          </w:p>
        </w:tc>
        <w:tc>
          <w:tcPr>
            <w:tcW w:w="4803" w:type="dxa"/>
            <w:shd w:val="clear" w:color="auto" w:fill="auto"/>
          </w:tcPr>
          <w:p w14:paraId="13B919D2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5 (2.1)</w:t>
            </w:r>
          </w:p>
        </w:tc>
      </w:tr>
      <w:tr w:rsidR="00E44188" w:rsidRPr="00470C45" w14:paraId="5E982038" w14:textId="77777777" w:rsidTr="00B046F7">
        <w:tc>
          <w:tcPr>
            <w:tcW w:w="4819" w:type="dxa"/>
            <w:shd w:val="clear" w:color="auto" w:fill="auto"/>
          </w:tcPr>
          <w:p w14:paraId="5289DA93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 xml:space="preserve">Vigabatrin </w:t>
            </w:r>
          </w:p>
        </w:tc>
        <w:tc>
          <w:tcPr>
            <w:tcW w:w="4803" w:type="dxa"/>
            <w:shd w:val="clear" w:color="auto" w:fill="auto"/>
          </w:tcPr>
          <w:p w14:paraId="0D9314F8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4 (1.7)</w:t>
            </w:r>
          </w:p>
        </w:tc>
      </w:tr>
      <w:tr w:rsidR="00E44188" w:rsidRPr="00470C45" w14:paraId="51584FCD" w14:textId="77777777" w:rsidTr="00B046F7">
        <w:tc>
          <w:tcPr>
            <w:tcW w:w="4819" w:type="dxa"/>
            <w:shd w:val="clear" w:color="auto" w:fill="auto"/>
          </w:tcPr>
          <w:p w14:paraId="0D18F20B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 xml:space="preserve">Acetazolamide </w:t>
            </w:r>
          </w:p>
        </w:tc>
        <w:tc>
          <w:tcPr>
            <w:tcW w:w="4803" w:type="dxa"/>
            <w:shd w:val="clear" w:color="auto" w:fill="auto"/>
          </w:tcPr>
          <w:p w14:paraId="110A407A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2 (0.8)</w:t>
            </w:r>
          </w:p>
        </w:tc>
      </w:tr>
      <w:tr w:rsidR="00E44188" w:rsidRPr="00470C45" w14:paraId="25596CBA" w14:textId="77777777" w:rsidTr="00B046F7">
        <w:tc>
          <w:tcPr>
            <w:tcW w:w="4819" w:type="dxa"/>
            <w:shd w:val="clear" w:color="auto" w:fill="auto"/>
          </w:tcPr>
          <w:p w14:paraId="43FA5040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proofErr w:type="spellStart"/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>Barbexaclone</w:t>
            </w:r>
            <w:proofErr w:type="spellEnd"/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 xml:space="preserve"> </w:t>
            </w:r>
          </w:p>
        </w:tc>
        <w:tc>
          <w:tcPr>
            <w:tcW w:w="4803" w:type="dxa"/>
            <w:shd w:val="clear" w:color="auto" w:fill="auto"/>
          </w:tcPr>
          <w:p w14:paraId="74E58CDA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2 (0.8)</w:t>
            </w:r>
          </w:p>
        </w:tc>
      </w:tr>
      <w:tr w:rsidR="00E44188" w:rsidRPr="00470C45" w14:paraId="3BED7273" w14:textId="77777777" w:rsidTr="00B046F7">
        <w:tc>
          <w:tcPr>
            <w:tcW w:w="4819" w:type="dxa"/>
            <w:shd w:val="clear" w:color="auto" w:fill="auto"/>
          </w:tcPr>
          <w:p w14:paraId="72ACD3D7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 xml:space="preserve">Cannabidiol </w:t>
            </w:r>
          </w:p>
        </w:tc>
        <w:tc>
          <w:tcPr>
            <w:tcW w:w="4803" w:type="dxa"/>
            <w:shd w:val="clear" w:color="auto" w:fill="auto"/>
          </w:tcPr>
          <w:p w14:paraId="6B47C8C1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2 (0.8)</w:t>
            </w:r>
          </w:p>
        </w:tc>
      </w:tr>
      <w:tr w:rsidR="00E44188" w:rsidRPr="00470C45" w14:paraId="43FC376C" w14:textId="77777777" w:rsidTr="00B046F7">
        <w:tc>
          <w:tcPr>
            <w:tcW w:w="4819" w:type="dxa"/>
            <w:shd w:val="clear" w:color="auto" w:fill="auto"/>
          </w:tcPr>
          <w:p w14:paraId="1F4C73A1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 xml:space="preserve">Gabapentin </w:t>
            </w:r>
          </w:p>
        </w:tc>
        <w:tc>
          <w:tcPr>
            <w:tcW w:w="4803" w:type="dxa"/>
            <w:shd w:val="clear" w:color="auto" w:fill="auto"/>
          </w:tcPr>
          <w:p w14:paraId="52FCB6C3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2 (0.8)</w:t>
            </w:r>
          </w:p>
        </w:tc>
      </w:tr>
      <w:tr w:rsidR="00E44188" w:rsidRPr="00470C45" w14:paraId="20605140" w14:textId="77777777" w:rsidTr="00B046F7">
        <w:tc>
          <w:tcPr>
            <w:tcW w:w="4819" w:type="dxa"/>
            <w:tcBorders>
              <w:bottom w:val="single" w:sz="12" w:space="0" w:color="auto"/>
            </w:tcBorders>
            <w:shd w:val="clear" w:color="auto" w:fill="auto"/>
          </w:tcPr>
          <w:p w14:paraId="3DE7093E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val="en-GB"/>
              </w:rPr>
              <w:t xml:space="preserve">Potassium bromide </w:t>
            </w:r>
          </w:p>
        </w:tc>
        <w:tc>
          <w:tcPr>
            <w:tcW w:w="4803" w:type="dxa"/>
            <w:tcBorders>
              <w:bottom w:val="single" w:sz="12" w:space="0" w:color="auto"/>
            </w:tcBorders>
            <w:shd w:val="clear" w:color="auto" w:fill="auto"/>
          </w:tcPr>
          <w:p w14:paraId="635A75A6" w14:textId="77777777" w:rsidR="00E44188" w:rsidRPr="00470C45" w:rsidRDefault="00E44188" w:rsidP="00B046F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470C45">
              <w:rPr>
                <w:rFonts w:ascii="Times New Roman" w:eastAsia="Times New Roman" w:hAnsi="Times New Roman" w:cs="Times New Roman"/>
                <w:lang w:val="en-GB"/>
              </w:rPr>
              <w:t>1 (0.4)</w:t>
            </w:r>
          </w:p>
        </w:tc>
      </w:tr>
      <w:tr w:rsidR="00E44188" w:rsidRPr="00470C45" w14:paraId="39CC53AC" w14:textId="77777777" w:rsidTr="00B046F7">
        <w:tc>
          <w:tcPr>
            <w:tcW w:w="9622" w:type="dxa"/>
            <w:gridSpan w:val="2"/>
            <w:tcBorders>
              <w:top w:val="single" w:sz="12" w:space="0" w:color="auto"/>
            </w:tcBorders>
            <w:shd w:val="clear" w:color="auto" w:fill="auto"/>
          </w:tcPr>
          <w:p w14:paraId="2A19C5F7" w14:textId="77777777" w:rsidR="00E44188" w:rsidRPr="007C12C4" w:rsidRDefault="00E44188" w:rsidP="00B046F7">
            <w:pPr>
              <w:spacing w:line="48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GB" w:eastAsia="it-IT"/>
              </w:rPr>
            </w:pPr>
            <w:r w:rsidRPr="007C12C4">
              <w:rPr>
                <w:rFonts w:ascii="Times New Roman" w:eastAsia="Calibri" w:hAnsi="Times New Roman" w:cs="Times New Roman"/>
                <w:sz w:val="21"/>
                <w:szCs w:val="21"/>
                <w:lang w:val="en-US" w:eastAsia="it-IT"/>
              </w:rPr>
              <w:t>Data are n (%).</w:t>
            </w:r>
          </w:p>
        </w:tc>
      </w:tr>
    </w:tbl>
    <w:p w14:paraId="617D9048" w14:textId="161D1873" w:rsidR="00123569" w:rsidRPr="00E44188" w:rsidRDefault="00123569">
      <w:pPr>
        <w:rPr>
          <w:sz w:val="22"/>
          <w:szCs w:val="22"/>
          <w:lang w:val="en-US"/>
        </w:rPr>
      </w:pPr>
    </w:p>
    <w:sectPr w:rsidR="00123569" w:rsidRPr="00E44188" w:rsidSect="007D0513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TimesNewRomanPSMT">
    <w:altName w:val="Times New Roman"/>
    <w:panose1 w:val="020B0604020202020204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9"/>
  <w:proofState w:spelling="clean" w:grammar="clean"/>
  <w:trackRevisions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22D1"/>
    <w:rsid w:val="00123569"/>
    <w:rsid w:val="001311DE"/>
    <w:rsid w:val="001B687E"/>
    <w:rsid w:val="001D4381"/>
    <w:rsid w:val="001F1F47"/>
    <w:rsid w:val="00253362"/>
    <w:rsid w:val="00317DCF"/>
    <w:rsid w:val="00370551"/>
    <w:rsid w:val="004631D8"/>
    <w:rsid w:val="004B7BBB"/>
    <w:rsid w:val="00525E5C"/>
    <w:rsid w:val="005D6274"/>
    <w:rsid w:val="00637266"/>
    <w:rsid w:val="007D0513"/>
    <w:rsid w:val="00825653"/>
    <w:rsid w:val="00826378"/>
    <w:rsid w:val="00880250"/>
    <w:rsid w:val="008E2CB7"/>
    <w:rsid w:val="009222D1"/>
    <w:rsid w:val="009343B7"/>
    <w:rsid w:val="009C6B00"/>
    <w:rsid w:val="009D3093"/>
    <w:rsid w:val="009D76BC"/>
    <w:rsid w:val="00A34882"/>
    <w:rsid w:val="00AD23FE"/>
    <w:rsid w:val="00B74626"/>
    <w:rsid w:val="00B92BEF"/>
    <w:rsid w:val="00BF46E9"/>
    <w:rsid w:val="00C51046"/>
    <w:rsid w:val="00C90C70"/>
    <w:rsid w:val="00D248CA"/>
    <w:rsid w:val="00D27E3F"/>
    <w:rsid w:val="00D97C2B"/>
    <w:rsid w:val="00DB2E9E"/>
    <w:rsid w:val="00E36037"/>
    <w:rsid w:val="00E44188"/>
    <w:rsid w:val="00F22E90"/>
    <w:rsid w:val="00F57405"/>
    <w:rsid w:val="00FA1E0D"/>
    <w:rsid w:val="00FE04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763A91"/>
  <w15:chartTrackingRefBased/>
  <w15:docId w15:val="{735196E7-7E88-D240-9C43-220E428ED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222D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222D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222D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222D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222D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222D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222D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222D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222D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222D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222D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222D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222D1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222D1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222D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222D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222D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222D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222D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222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222D1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222D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222D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222D1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222D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222D1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222D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222D1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222D1"/>
    <w:rPr>
      <w:b/>
      <w:bCs/>
      <w:smallCaps/>
      <w:color w:val="0F4761" w:themeColor="accent1" w:themeShade="BF"/>
      <w:spacing w:val="5"/>
    </w:rPr>
  </w:style>
  <w:style w:type="paragraph" w:styleId="NormaleWeb">
    <w:name w:val="Normal (Web)"/>
    <w:basedOn w:val="Normale"/>
    <w:uiPriority w:val="99"/>
    <w:semiHidden/>
    <w:unhideWhenUsed/>
    <w:rsid w:val="00637266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Revisione">
    <w:name w:val="Revision"/>
    <w:hidden/>
    <w:uiPriority w:val="99"/>
    <w:semiHidden/>
    <w:rsid w:val="00E44188"/>
  </w:style>
  <w:style w:type="character" w:styleId="Rimandocommento">
    <w:name w:val="annotation reference"/>
    <w:basedOn w:val="Carpredefinitoparagrafo"/>
    <w:uiPriority w:val="99"/>
    <w:semiHidden/>
    <w:unhideWhenUsed/>
    <w:rsid w:val="004631D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4631D8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4631D8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631D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631D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3631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133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0182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92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6962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008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tiff"/><Relationship Id="rId3" Type="http://schemas.openxmlformats.org/officeDocument/2006/relationships/settings" Target="settings.xml"/><Relationship Id="rId7" Type="http://schemas.openxmlformats.org/officeDocument/2006/relationships/image" Target="media/image3.tif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tiff"/><Relationship Id="rId5" Type="http://schemas.openxmlformats.org/officeDocument/2006/relationships/image" Target="media/image1.tif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F3B8B30-E684-9444-BACE-1CB51D5F3F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501</Words>
  <Characters>2856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3</cp:revision>
  <dcterms:created xsi:type="dcterms:W3CDTF">2024-07-27T10:53:00Z</dcterms:created>
  <dcterms:modified xsi:type="dcterms:W3CDTF">2024-07-27T10:54:00Z</dcterms:modified>
</cp:coreProperties>
</file>