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40CFFF" w14:textId="77777777" w:rsidR="00FB2CF6" w:rsidRDefault="00FB2CF6" w:rsidP="00FB2CF6">
      <w:pPr>
        <w:pStyle w:val="Caption"/>
      </w:pPr>
      <w:r>
        <w:t xml:space="preserve">Figure S </w:t>
      </w:r>
      <w:r>
        <w:fldChar w:fldCharType="begin"/>
      </w:r>
      <w:r>
        <w:instrText>SEQ Figure_S \* ARABIC</w:instrText>
      </w:r>
      <w:r>
        <w:fldChar w:fldCharType="separate"/>
      </w:r>
      <w:r>
        <w:rPr>
          <w:noProof/>
        </w:rPr>
        <w:t>1</w:t>
      </w:r>
      <w:r>
        <w:fldChar w:fldCharType="end"/>
      </w:r>
      <w:r>
        <w:t>: Illustration of GMM algorithm</w:t>
      </w:r>
    </w:p>
    <w:p w14:paraId="75786A5C" w14:textId="77777777" w:rsidR="00FB2CF6" w:rsidRDefault="00FB2CF6" w:rsidP="00FB2CF6">
      <w:pPr>
        <w:pStyle w:val="Caption"/>
      </w:pPr>
      <w:r w:rsidRPr="005B3135">
        <w:rPr>
          <w:noProof/>
        </w:rPr>
        <w:drawing>
          <wp:inline distT="0" distB="0" distL="0" distR="0" wp14:anchorId="4ECD0867" wp14:editId="2AC839E0">
            <wp:extent cx="4774708" cy="2611582"/>
            <wp:effectExtent l="0" t="0" r="6985" b="0"/>
            <wp:docPr id="2251" name="Picture 2251">
              <a:extLst xmlns:a="http://schemas.openxmlformats.org/drawingml/2006/main">
                <a:ext uri="{FF2B5EF4-FFF2-40B4-BE49-F238E27FC236}">
                  <a16:creationId xmlns:a16="http://schemas.microsoft.com/office/drawing/2014/main" id="{AFA183BD-705A-A1D4-88FA-D1E5B7FEBD5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1" name="Picture 2250">
                      <a:extLst>
                        <a:ext uri="{FF2B5EF4-FFF2-40B4-BE49-F238E27FC236}">
                          <a16:creationId xmlns:a16="http://schemas.microsoft.com/office/drawing/2014/main" id="{AFA183BD-705A-A1D4-88FA-D1E5B7FEBD5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4"/>
                    <a:srcRect t="25657" r="20273" b="36263"/>
                    <a:stretch/>
                  </pic:blipFill>
                  <pic:spPr>
                    <a:xfrm>
                      <a:off x="0" y="0"/>
                      <a:ext cx="4774708" cy="2611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954E06" w14:textId="77777777" w:rsidR="00FB2CF6" w:rsidRPr="001B3094" w:rsidRDefault="00FB2CF6" w:rsidP="00FB2CF6">
      <w:pPr>
        <w:pStyle w:val="Caption"/>
        <w:rPr>
          <w:color w:val="auto"/>
        </w:rPr>
      </w:pPr>
      <m:oMath>
        <m:sSub>
          <m:sSubPr>
            <m:ctrlPr>
              <w:rPr>
                <w:rFonts w:ascii="Cambria Math" w:hAnsi="Cambria Math"/>
                <w:i/>
                <w:color w:val="auto"/>
              </w:rPr>
            </m:ctrlPr>
          </m:sSubPr>
          <m:e>
            <m:r>
              <w:rPr>
                <w:rFonts w:ascii="Cambria Math" w:hAnsi="Cambria Math"/>
                <w:color w:val="auto"/>
              </w:rPr>
              <m:t>Y</m:t>
            </m:r>
          </m:e>
          <m:sub>
            <m:r>
              <w:rPr>
                <w:rFonts w:ascii="Cambria Math" w:hAnsi="Cambria Math"/>
                <w:color w:val="auto"/>
              </w:rPr>
              <m:t>i</m:t>
            </m:r>
          </m:sub>
        </m:sSub>
        <m:r>
          <w:rPr>
            <w:rFonts w:ascii="Cambria Math" w:hAnsi="Cambria Math"/>
            <w:color w:val="auto"/>
          </w:rPr>
          <m:t>=(</m:t>
        </m:r>
        <m:sSub>
          <m:sSubPr>
            <m:ctrlPr>
              <w:rPr>
                <w:rFonts w:ascii="Cambria Math" w:hAnsi="Cambria Math"/>
                <w:i/>
                <w:color w:val="auto"/>
              </w:rPr>
            </m:ctrlPr>
          </m:sSubPr>
          <m:e>
            <m:r>
              <w:rPr>
                <w:rFonts w:ascii="Cambria Math" w:hAnsi="Cambria Math"/>
                <w:color w:val="auto"/>
              </w:rPr>
              <m:t>Y</m:t>
            </m:r>
          </m:e>
          <m:sub>
            <m:r>
              <w:rPr>
                <w:rFonts w:ascii="Cambria Math" w:hAnsi="Cambria Math"/>
                <w:color w:val="auto"/>
              </w:rPr>
              <m:t>i1</m:t>
            </m:r>
          </m:sub>
        </m:sSub>
        <m:r>
          <w:rPr>
            <w:rFonts w:ascii="Cambria Math" w:hAnsi="Cambria Math"/>
            <w:color w:val="auto"/>
          </w:rPr>
          <m:t xml:space="preserve">, </m:t>
        </m:r>
        <m:sSub>
          <m:sSubPr>
            <m:ctrlPr>
              <w:rPr>
                <w:rFonts w:ascii="Cambria Math" w:hAnsi="Cambria Math"/>
                <w:i/>
                <w:color w:val="auto"/>
              </w:rPr>
            </m:ctrlPr>
          </m:sSubPr>
          <m:e>
            <m:r>
              <w:rPr>
                <w:rFonts w:ascii="Cambria Math" w:hAnsi="Cambria Math"/>
                <w:color w:val="auto"/>
              </w:rPr>
              <m:t>Y</m:t>
            </m:r>
          </m:e>
          <m:sub>
            <m:r>
              <w:rPr>
                <w:rFonts w:ascii="Cambria Math" w:hAnsi="Cambria Math"/>
                <w:color w:val="auto"/>
              </w:rPr>
              <m:t>i2</m:t>
            </m:r>
          </m:sub>
        </m:sSub>
        <m:r>
          <w:rPr>
            <w:rFonts w:ascii="Cambria Math" w:hAnsi="Cambria Math"/>
            <w:color w:val="auto"/>
          </w:rPr>
          <m:t xml:space="preserve">, </m:t>
        </m:r>
        <m:sSub>
          <m:sSubPr>
            <m:ctrlPr>
              <w:rPr>
                <w:rFonts w:ascii="Cambria Math" w:hAnsi="Cambria Math"/>
                <w:i/>
                <w:color w:val="auto"/>
              </w:rPr>
            </m:ctrlPr>
          </m:sSubPr>
          <m:e>
            <m:r>
              <w:rPr>
                <w:rFonts w:ascii="Cambria Math" w:hAnsi="Cambria Math"/>
                <w:color w:val="auto"/>
              </w:rPr>
              <m:t>Y</m:t>
            </m:r>
          </m:e>
          <m:sub>
            <m:r>
              <w:rPr>
                <w:rFonts w:ascii="Cambria Math" w:hAnsi="Cambria Math"/>
                <w:color w:val="auto"/>
              </w:rPr>
              <m:t>i3</m:t>
            </m:r>
          </m:sub>
        </m:sSub>
        <m:r>
          <w:rPr>
            <w:rFonts w:ascii="Cambria Math" w:hAnsi="Cambria Math"/>
            <w:color w:val="auto"/>
          </w:rPr>
          <m:t>,…,</m:t>
        </m:r>
        <m:sSub>
          <m:sSubPr>
            <m:ctrlPr>
              <w:rPr>
                <w:rFonts w:ascii="Cambria Math" w:hAnsi="Cambria Math"/>
                <w:i/>
                <w:color w:val="auto"/>
              </w:rPr>
            </m:ctrlPr>
          </m:sSubPr>
          <m:e>
            <m:r>
              <w:rPr>
                <w:rFonts w:ascii="Cambria Math" w:hAnsi="Cambria Math"/>
                <w:color w:val="auto"/>
              </w:rPr>
              <m:t>Y</m:t>
            </m:r>
          </m:e>
          <m:sub>
            <m:r>
              <w:rPr>
                <w:rFonts w:ascii="Cambria Math" w:hAnsi="Cambria Math"/>
                <w:color w:val="auto"/>
              </w:rPr>
              <m:t>it</m:t>
            </m:r>
          </m:sub>
        </m:sSub>
        <m:r>
          <w:rPr>
            <w:rFonts w:ascii="Cambria Math" w:hAnsi="Cambria Math"/>
            <w:color w:val="auto"/>
          </w:rPr>
          <m:t>)</m:t>
        </m:r>
      </m:oMath>
      <w:r w:rsidRPr="001B3094">
        <w:rPr>
          <w:color w:val="auto"/>
        </w:rPr>
        <w:t xml:space="preserve">, where  </w:t>
      </w:r>
      <m:oMath>
        <m:r>
          <w:rPr>
            <w:rFonts w:ascii="Cambria Math" w:hAnsi="Cambria Math"/>
            <w:color w:val="auto"/>
          </w:rPr>
          <m:t>t</m:t>
        </m:r>
      </m:oMath>
      <w:r>
        <w:rPr>
          <w:color w:val="auto"/>
        </w:rPr>
        <w:t xml:space="preserve"> </w:t>
      </w:r>
      <w:r w:rsidRPr="001B3094">
        <w:rPr>
          <w:color w:val="auto"/>
        </w:rPr>
        <w:t>is number of points – SALT % CFB repeated measures of each patient.</w:t>
      </w:r>
    </w:p>
    <w:p w14:paraId="25DF06BC" w14:textId="77777777" w:rsidR="00FB2CF6" w:rsidRPr="001B3094" w:rsidRDefault="00FB2CF6" w:rsidP="00FB2CF6">
      <w:pPr>
        <w:pStyle w:val="Caption"/>
        <w:rPr>
          <w:color w:val="auto"/>
        </w:rPr>
      </w:pPr>
      <m:oMath>
        <m:sSub>
          <m:sSubPr>
            <m:ctrlPr>
              <w:rPr>
                <w:rFonts w:ascii="Cambria Math" w:hAnsi="Cambria Math"/>
                <w:i/>
                <w:color w:val="auto"/>
              </w:rPr>
            </m:ctrlPr>
          </m:sSubPr>
          <m:e>
            <m:r>
              <w:rPr>
                <w:rFonts w:ascii="Cambria Math" w:hAnsi="Cambria Math"/>
                <w:color w:val="auto"/>
              </w:rPr>
              <m:t>Y</m:t>
            </m:r>
          </m:e>
          <m:sub>
            <m:r>
              <w:rPr>
                <w:rFonts w:ascii="Cambria Math" w:hAnsi="Cambria Math"/>
                <w:color w:val="auto"/>
              </w:rPr>
              <m:t>ij</m:t>
            </m:r>
          </m:sub>
        </m:sSub>
        <m:r>
          <w:rPr>
            <w:rFonts w:ascii="Cambria Math" w:hAnsi="Cambria Math"/>
            <w:color w:val="auto"/>
          </w:rPr>
          <m:t>=</m:t>
        </m:r>
        <m:sSub>
          <m:sSubPr>
            <m:ctrlPr>
              <w:rPr>
                <w:rFonts w:ascii="Cambria Math" w:hAnsi="Cambria Math"/>
                <w:i/>
                <w:color w:val="auto"/>
              </w:rPr>
            </m:ctrlPr>
          </m:sSubPr>
          <m:e>
            <m:r>
              <w:rPr>
                <w:rFonts w:ascii="Cambria Math" w:hAnsi="Cambria Math"/>
                <w:color w:val="auto"/>
              </w:rPr>
              <m:t>α</m:t>
            </m:r>
          </m:e>
          <m:sub>
            <m:r>
              <w:rPr>
                <w:rFonts w:ascii="Cambria Math" w:hAnsi="Cambria Math"/>
                <w:color w:val="auto"/>
              </w:rPr>
              <m:t>0k</m:t>
            </m:r>
          </m:sub>
        </m:sSub>
        <m:r>
          <w:rPr>
            <w:rFonts w:ascii="Cambria Math" w:hAnsi="Cambria Math"/>
            <w:color w:val="auto"/>
          </w:rPr>
          <m:t>+</m:t>
        </m:r>
        <m:sSub>
          <m:sSubPr>
            <m:ctrlPr>
              <w:rPr>
                <w:rFonts w:ascii="Cambria Math" w:hAnsi="Cambria Math"/>
                <w:i/>
                <w:color w:val="auto"/>
              </w:rPr>
            </m:ctrlPr>
          </m:sSubPr>
          <m:e>
            <m:r>
              <w:rPr>
                <w:rFonts w:ascii="Cambria Math" w:hAnsi="Cambria Math"/>
                <w:color w:val="auto"/>
              </w:rPr>
              <m:t>β</m:t>
            </m:r>
          </m:e>
          <m:sub>
            <m:r>
              <w:rPr>
                <w:rFonts w:ascii="Cambria Math" w:hAnsi="Cambria Math"/>
                <w:color w:val="auto"/>
              </w:rPr>
              <m:t>1k</m:t>
            </m:r>
          </m:sub>
        </m:sSub>
        <m:r>
          <w:rPr>
            <w:rFonts w:ascii="Cambria Math" w:hAnsi="Cambria Math"/>
            <w:color w:val="auto"/>
          </w:rPr>
          <m:t>×</m:t>
        </m:r>
        <m:sSub>
          <m:sSubPr>
            <m:ctrlPr>
              <w:rPr>
                <w:rFonts w:ascii="Cambria Math" w:hAnsi="Cambria Math"/>
                <w:i/>
                <w:color w:val="auto"/>
              </w:rPr>
            </m:ctrlPr>
          </m:sSubPr>
          <m:e>
            <m:r>
              <w:rPr>
                <w:rFonts w:ascii="Cambria Math" w:hAnsi="Cambria Math"/>
                <w:color w:val="auto"/>
              </w:rPr>
              <m:t>Time</m:t>
            </m:r>
          </m:e>
          <m:sub>
            <m:r>
              <w:rPr>
                <w:rFonts w:ascii="Cambria Math" w:hAnsi="Cambria Math"/>
                <w:color w:val="auto"/>
              </w:rPr>
              <m:t>j</m:t>
            </m:r>
          </m:sub>
        </m:sSub>
        <m:r>
          <w:rPr>
            <w:rFonts w:ascii="Cambria Math" w:hAnsi="Cambria Math"/>
            <w:color w:val="auto"/>
          </w:rPr>
          <m:t>+</m:t>
        </m:r>
        <m:sSub>
          <m:sSubPr>
            <m:ctrlPr>
              <w:rPr>
                <w:rFonts w:ascii="Cambria Math" w:hAnsi="Cambria Math"/>
                <w:i/>
                <w:color w:val="auto"/>
              </w:rPr>
            </m:ctrlPr>
          </m:sSubPr>
          <m:e>
            <m:r>
              <w:rPr>
                <w:rFonts w:ascii="Cambria Math" w:hAnsi="Cambria Math"/>
                <w:color w:val="auto"/>
              </w:rPr>
              <m:t>ε</m:t>
            </m:r>
          </m:e>
          <m:sub>
            <m:r>
              <w:rPr>
                <w:rFonts w:ascii="Cambria Math" w:hAnsi="Cambria Math"/>
                <w:color w:val="auto"/>
              </w:rPr>
              <m:t>ij</m:t>
            </m:r>
          </m:sub>
        </m:sSub>
        <m:r>
          <m:rPr>
            <m:sty m:val="bi"/>
          </m:rPr>
          <w:rPr>
            <w:rFonts w:ascii="Cambria Math" w:hAnsi="Cambria Math"/>
            <w:color w:val="auto"/>
          </w:rPr>
          <m:t xml:space="preserve">, </m:t>
        </m:r>
      </m:oMath>
      <w:r w:rsidRPr="001B3094">
        <w:rPr>
          <w:color w:val="auto"/>
        </w:rPr>
        <w:t xml:space="preserve">   </w:t>
      </w:r>
    </w:p>
    <w:p w14:paraId="781229DE" w14:textId="77777777" w:rsidR="00FB2CF6" w:rsidRPr="001B3094" w:rsidRDefault="00FB2CF6" w:rsidP="00FB2CF6">
      <w:pPr>
        <w:pStyle w:val="Caption"/>
        <w:rPr>
          <w:color w:val="auto"/>
        </w:rPr>
      </w:pPr>
      <m:oMath>
        <m:sSub>
          <m:sSubPr>
            <m:ctrlPr>
              <w:rPr>
                <w:rFonts w:ascii="Cambria Math" w:hAnsi="Cambria Math"/>
                <w:i/>
                <w:color w:val="auto"/>
              </w:rPr>
            </m:ctrlPr>
          </m:sSubPr>
          <m:e>
            <m:r>
              <w:rPr>
                <w:rFonts w:ascii="Cambria Math" w:hAnsi="Cambria Math"/>
                <w:color w:val="auto"/>
              </w:rPr>
              <m:t>α</m:t>
            </m:r>
          </m:e>
          <m:sub>
            <m:r>
              <w:rPr>
                <w:rFonts w:ascii="Cambria Math" w:hAnsi="Cambria Math"/>
                <w:color w:val="auto"/>
              </w:rPr>
              <m:t>0k</m:t>
            </m:r>
          </m:sub>
        </m:sSub>
        <m:r>
          <w:rPr>
            <w:rFonts w:ascii="Cambria Math" w:hAnsi="Cambria Math"/>
            <w:color w:val="auto"/>
          </w:rPr>
          <m:t>=</m:t>
        </m:r>
        <m:sSub>
          <m:sSubPr>
            <m:ctrlPr>
              <w:rPr>
                <w:rFonts w:ascii="Cambria Math" w:hAnsi="Cambria Math"/>
                <w:i/>
                <w:color w:val="auto"/>
              </w:rPr>
            </m:ctrlPr>
          </m:sSubPr>
          <m:e>
            <m:r>
              <w:rPr>
                <w:rFonts w:ascii="Cambria Math" w:hAnsi="Cambria Math"/>
                <w:color w:val="auto"/>
              </w:rPr>
              <m:t>μ</m:t>
            </m:r>
          </m:e>
          <m:sub>
            <m:r>
              <w:rPr>
                <w:rFonts w:ascii="Cambria Math" w:hAnsi="Cambria Math"/>
                <w:color w:val="auto"/>
              </w:rPr>
              <m:t>0k</m:t>
            </m:r>
          </m:sub>
        </m:sSub>
        <m:r>
          <w:rPr>
            <w:rFonts w:ascii="Cambria Math" w:hAnsi="Cambria Math"/>
            <w:color w:val="auto"/>
          </w:rPr>
          <m:t>+</m:t>
        </m:r>
        <m:sSub>
          <m:sSubPr>
            <m:ctrlPr>
              <w:rPr>
                <w:rFonts w:ascii="Cambria Math" w:hAnsi="Cambria Math"/>
                <w:i/>
                <w:color w:val="auto"/>
              </w:rPr>
            </m:ctrlPr>
          </m:sSubPr>
          <m:e>
            <m:r>
              <w:rPr>
                <w:rFonts w:ascii="Cambria Math" w:hAnsi="Cambria Math"/>
                <w:color w:val="auto"/>
              </w:rPr>
              <m:t>ϵ</m:t>
            </m:r>
          </m:e>
          <m:sub>
            <m:r>
              <w:rPr>
                <w:rFonts w:ascii="Cambria Math" w:hAnsi="Cambria Math"/>
                <w:color w:val="auto"/>
              </w:rPr>
              <m:t>oi</m:t>
            </m:r>
          </m:sub>
        </m:sSub>
      </m:oMath>
      <w:r>
        <w:rPr>
          <w:color w:val="auto"/>
        </w:rPr>
        <w:t xml:space="preserve">, </w:t>
      </w:r>
      <w:r w:rsidRPr="001B3094">
        <w:rPr>
          <w:color w:val="auto"/>
        </w:rPr>
        <w:t xml:space="preserve"> </w:t>
      </w:r>
    </w:p>
    <w:p w14:paraId="6BDD261A" w14:textId="77777777" w:rsidR="00FB2CF6" w:rsidRPr="001B3094" w:rsidRDefault="00FB2CF6" w:rsidP="00FB2CF6">
      <w:pPr>
        <w:pStyle w:val="Caption"/>
        <w:rPr>
          <w:color w:val="auto"/>
        </w:rPr>
      </w:pPr>
      <m:oMath>
        <m:sSub>
          <m:sSubPr>
            <m:ctrlPr>
              <w:rPr>
                <w:rFonts w:ascii="Cambria Math" w:hAnsi="Cambria Math"/>
                <w:i/>
                <w:color w:val="auto"/>
              </w:rPr>
            </m:ctrlPr>
          </m:sSubPr>
          <m:e>
            <m:r>
              <w:rPr>
                <w:rFonts w:ascii="Cambria Math" w:hAnsi="Cambria Math"/>
                <w:color w:val="auto"/>
              </w:rPr>
              <m:t>β</m:t>
            </m:r>
          </m:e>
          <m:sub>
            <m:r>
              <w:rPr>
                <w:rFonts w:ascii="Cambria Math" w:hAnsi="Cambria Math"/>
                <w:color w:val="auto"/>
              </w:rPr>
              <m:t>1k</m:t>
            </m:r>
          </m:sub>
        </m:sSub>
        <m:r>
          <w:rPr>
            <w:rFonts w:ascii="Cambria Math" w:hAnsi="Cambria Math"/>
            <w:color w:val="auto"/>
          </w:rPr>
          <m:t>=</m:t>
        </m:r>
        <m:sSub>
          <m:sSubPr>
            <m:ctrlPr>
              <w:rPr>
                <w:rFonts w:ascii="Cambria Math" w:hAnsi="Cambria Math"/>
                <w:i/>
                <w:color w:val="auto"/>
              </w:rPr>
            </m:ctrlPr>
          </m:sSubPr>
          <m:e>
            <m:r>
              <w:rPr>
                <w:rFonts w:ascii="Cambria Math" w:hAnsi="Cambria Math"/>
                <w:color w:val="auto"/>
              </w:rPr>
              <m:t>μ</m:t>
            </m:r>
          </m:e>
          <m:sub>
            <m:r>
              <w:rPr>
                <w:rFonts w:ascii="Cambria Math" w:hAnsi="Cambria Math"/>
                <w:color w:val="auto"/>
              </w:rPr>
              <m:t>1k</m:t>
            </m:r>
          </m:sub>
        </m:sSub>
        <m:r>
          <w:rPr>
            <w:rFonts w:ascii="Cambria Math" w:hAnsi="Cambria Math"/>
            <w:color w:val="auto"/>
          </w:rPr>
          <m:t>+</m:t>
        </m:r>
        <m:sSub>
          <m:sSubPr>
            <m:ctrlPr>
              <w:rPr>
                <w:rFonts w:ascii="Cambria Math" w:hAnsi="Cambria Math"/>
                <w:i/>
                <w:color w:val="auto"/>
              </w:rPr>
            </m:ctrlPr>
          </m:sSubPr>
          <m:e>
            <m:r>
              <w:rPr>
                <w:rFonts w:ascii="Cambria Math" w:hAnsi="Cambria Math"/>
                <w:color w:val="auto"/>
              </w:rPr>
              <m:t>ϵ</m:t>
            </m:r>
          </m:e>
          <m:sub>
            <m:r>
              <w:rPr>
                <w:rFonts w:ascii="Cambria Math" w:hAnsi="Cambria Math"/>
                <w:color w:val="auto"/>
              </w:rPr>
              <m:t>1i</m:t>
            </m:r>
          </m:sub>
        </m:sSub>
      </m:oMath>
      <w:r>
        <w:rPr>
          <w:color w:val="auto"/>
        </w:rPr>
        <w:t xml:space="preserve">. </w:t>
      </w:r>
      <w:r w:rsidRPr="001B3094">
        <w:rPr>
          <w:color w:val="auto"/>
        </w:rPr>
        <w:t xml:space="preserve"> </w:t>
      </w:r>
    </w:p>
    <w:p w14:paraId="1E0BA869" w14:textId="77777777" w:rsidR="00FB2CF6" w:rsidRDefault="00FB2CF6" w:rsidP="00FB2CF6">
      <w:pPr>
        <w:pStyle w:val="Caption"/>
        <w:rPr>
          <w:iCs w:val="0"/>
        </w:rPr>
      </w:pPr>
      <w:r w:rsidRPr="001B3094">
        <w:rPr>
          <w:i/>
          <w:iCs w:val="0"/>
          <w:color w:val="auto"/>
        </w:rPr>
        <w:t xml:space="preserve">CFB=change from baseline; GMM=growth mixture model; </w:t>
      </w:r>
      <w:r w:rsidRPr="001B3094">
        <w:rPr>
          <w:i/>
          <w:color w:val="auto"/>
        </w:rPr>
        <w:t>SALT = Severity of Alopecia Tool</w:t>
      </w:r>
      <w:r w:rsidRPr="001B3094">
        <w:rPr>
          <w:color w:val="auto"/>
        </w:rPr>
        <w:t xml:space="preserve"> </w:t>
      </w:r>
      <w:r>
        <w:br w:type="page"/>
      </w:r>
    </w:p>
    <w:p w14:paraId="40488C73" w14:textId="77777777" w:rsidR="00FB2CF6" w:rsidRDefault="00FB2CF6" w:rsidP="00FB2CF6">
      <w:pPr>
        <w:pStyle w:val="Caption"/>
      </w:pPr>
      <w:r>
        <w:lastRenderedPageBreak/>
        <w:t>Figure S</w:t>
      </w:r>
      <w:r>
        <w:fldChar w:fldCharType="begin"/>
      </w:r>
      <w:r>
        <w:instrText>SEQ Figure_S \* ARABIC</w:instrText>
      </w:r>
      <w:r>
        <w:fldChar w:fldCharType="separate"/>
      </w:r>
      <w:r>
        <w:rPr>
          <w:noProof/>
        </w:rPr>
        <w:t>2</w:t>
      </w:r>
      <w:r>
        <w:fldChar w:fldCharType="end"/>
      </w:r>
      <w:r>
        <w:fldChar w:fldCharType="begin"/>
      </w:r>
      <w:r>
        <w:instrText>SEQ Table_S \* ARABIC</w:instrText>
      </w:r>
      <w:r>
        <w:fldChar w:fldCharType="separate"/>
      </w:r>
      <w:r>
        <w:fldChar w:fldCharType="end"/>
      </w:r>
      <w:r w:rsidRPr="7E437C77">
        <w:t xml:space="preserve">: Identification of response </w:t>
      </w:r>
      <w:proofErr w:type="gramStart"/>
      <w:r w:rsidRPr="7E437C77">
        <w:t>patterns  from</w:t>
      </w:r>
      <w:proofErr w:type="gramEnd"/>
      <w:r w:rsidRPr="7E437C77">
        <w:t xml:space="preserve"> growth mixture modelling based on SALT score percent change from baseline among 4mg-treated patients</w:t>
      </w:r>
      <w:r>
        <w:t>.</w:t>
      </w:r>
    </w:p>
    <w:p w14:paraId="3A40FC7B" w14:textId="77777777" w:rsidR="00FB2CF6" w:rsidRPr="00F02F1E" w:rsidRDefault="00FB2CF6" w:rsidP="00FB2CF6">
      <w:r>
        <w:rPr>
          <w:noProof/>
        </w:rPr>
        <w:drawing>
          <wp:inline distT="0" distB="0" distL="0" distR="0" wp14:anchorId="5E6113C6" wp14:editId="4D40851F">
            <wp:extent cx="5940523" cy="2479712"/>
            <wp:effectExtent l="0" t="0" r="3175" b="0"/>
            <wp:docPr id="57" name="Picture 57" descr="A graph of a graph showing a response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Picture 57" descr="A graph of a graph showing a response patter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1691" cy="24885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A22D951" w14:textId="77777777" w:rsidR="00FB2CF6" w:rsidRDefault="00FB2CF6" w:rsidP="00FB2CF6">
      <w:pPr>
        <w:spacing w:line="480" w:lineRule="auto"/>
      </w:pPr>
      <w:r w:rsidRPr="00D43544">
        <w:t>The red lines indicate individual patients, the thick purple lines are the smoothing lines using local polynomial regression fitting, and the blue dotted line indicates a 30% improvement from baseline in SALT score (SALT</w:t>
      </w:r>
      <w:r w:rsidRPr="00D43544">
        <w:rPr>
          <w:vertAlign w:val="subscript"/>
        </w:rPr>
        <w:t>30</w:t>
      </w:r>
      <w:r w:rsidRPr="00D43544">
        <w:t xml:space="preserve">). </w:t>
      </w:r>
    </w:p>
    <w:p w14:paraId="55F7E213" w14:textId="77777777" w:rsidR="00FB2CF6" w:rsidRDefault="00FB2CF6" w:rsidP="00FB2CF6">
      <w:pPr>
        <w:spacing w:line="480" w:lineRule="auto"/>
      </w:pPr>
      <w:r>
        <w:t>*Most patients in Response Pattern 1 achieved a SALT</w:t>
      </w:r>
      <w:r>
        <w:rPr>
          <w:vertAlign w:val="subscript"/>
        </w:rPr>
        <w:t>30</w:t>
      </w:r>
      <w:r>
        <w:t xml:space="preserve"> by Week 12.</w:t>
      </w:r>
    </w:p>
    <w:p w14:paraId="21A8D117" w14:textId="77777777" w:rsidR="00FB2CF6" w:rsidRDefault="00FB2CF6" w:rsidP="00FB2CF6">
      <w:pPr>
        <w:spacing w:line="480" w:lineRule="auto"/>
      </w:pPr>
      <w:r>
        <w:t>**Most patients in Response Pattern 2 achieved a SALT</w:t>
      </w:r>
      <w:r>
        <w:rPr>
          <w:vertAlign w:val="subscript"/>
        </w:rPr>
        <w:t>30</w:t>
      </w:r>
      <w:r>
        <w:t xml:space="preserve"> within Weeks 12 through 32.</w:t>
      </w:r>
    </w:p>
    <w:p w14:paraId="646A1F31" w14:textId="77777777" w:rsidR="00FB2CF6" w:rsidRPr="00E70661" w:rsidRDefault="00FB2CF6" w:rsidP="00FB2CF6">
      <w:pPr>
        <w:spacing w:line="480" w:lineRule="auto"/>
      </w:pPr>
      <w:r>
        <w:t>***</w:t>
      </w:r>
      <w:r w:rsidRPr="00312332">
        <w:t xml:space="preserve"> </w:t>
      </w:r>
      <w:r>
        <w:t>Patients in Response Pattern 3 had high variability in their response over 52 weeks, with a regression line crossing the SALT</w:t>
      </w:r>
      <w:r>
        <w:rPr>
          <w:vertAlign w:val="subscript"/>
        </w:rPr>
        <w:t>30</w:t>
      </w:r>
      <w:r>
        <w:t xml:space="preserve"> threshold at approximately Week 32.</w:t>
      </w:r>
    </w:p>
    <w:p w14:paraId="563B91B6" w14:textId="77777777" w:rsidR="00FB2CF6" w:rsidRPr="00D43544" w:rsidRDefault="00FB2CF6" w:rsidP="00FB2CF6">
      <w:pPr>
        <w:spacing w:line="480" w:lineRule="auto"/>
      </w:pPr>
      <w:r w:rsidRPr="00D43544">
        <w:t xml:space="preserve">Data were censored after permanent study drug discontinuation or data collected at remote visits due to </w:t>
      </w:r>
      <w:proofErr w:type="gramStart"/>
      <w:r w:rsidRPr="00D43544">
        <w:t>the  COVID</w:t>
      </w:r>
      <w:proofErr w:type="gramEnd"/>
      <w:r w:rsidRPr="00D43544">
        <w:t xml:space="preserve">-19 pandemic. </w:t>
      </w:r>
    </w:p>
    <w:p w14:paraId="4651D712" w14:textId="77777777" w:rsidR="00FB2CF6" w:rsidRPr="00A5252F" w:rsidRDefault="00FB2CF6" w:rsidP="00FB2CF6">
      <w:pPr>
        <w:spacing w:line="480" w:lineRule="auto"/>
        <w:rPr>
          <w:i/>
          <w:iCs/>
        </w:rPr>
      </w:pPr>
      <w:r w:rsidRPr="00A5252F">
        <w:rPr>
          <w:i/>
          <w:iCs/>
        </w:rPr>
        <w:t xml:space="preserve">GMM=growth mixture modelling; SALT =Severity of Alopecia Tool </w:t>
      </w:r>
    </w:p>
    <w:p w14:paraId="4CB4B337" w14:textId="77777777" w:rsidR="00FB2CF6" w:rsidRDefault="00FB2CF6" w:rsidP="00FB2CF6">
      <w:pPr>
        <w:rPr>
          <w:rFonts w:cstheme="majorBidi"/>
          <w:b/>
          <w:color w:val="000000" w:themeColor="text1"/>
          <w:szCs w:val="32"/>
        </w:rPr>
      </w:pPr>
      <w:r>
        <w:br w:type="page"/>
      </w:r>
    </w:p>
    <w:p w14:paraId="4B4C317A" w14:textId="77777777" w:rsidR="00FB2CF6" w:rsidRDefault="00FB2CF6" w:rsidP="00FB2CF6">
      <w:pPr>
        <w:pStyle w:val="Caption"/>
      </w:pPr>
      <w:r>
        <w:lastRenderedPageBreak/>
        <w:t>Figure S</w:t>
      </w:r>
      <w:r>
        <w:fldChar w:fldCharType="begin"/>
      </w:r>
      <w:r>
        <w:instrText>SEQ Figure_S \* ARABIC</w:instrText>
      </w:r>
      <w:r>
        <w:fldChar w:fldCharType="separate"/>
      </w:r>
      <w:r>
        <w:rPr>
          <w:noProof/>
        </w:rPr>
        <w:t>3</w:t>
      </w:r>
      <w:r>
        <w:fldChar w:fldCharType="end"/>
      </w:r>
      <w:r w:rsidRPr="7E437C77">
        <w:t xml:space="preserve">: Identification of response </w:t>
      </w:r>
      <w:proofErr w:type="gramStart"/>
      <w:r w:rsidRPr="7E437C77">
        <w:t>patterns  from</w:t>
      </w:r>
      <w:proofErr w:type="gramEnd"/>
      <w:r w:rsidRPr="7E437C77">
        <w:t xml:space="preserve"> growth mixture modelling based on SALT score percent change from baseline among 2mg-treated patients</w:t>
      </w:r>
      <w:r>
        <w:t>.</w:t>
      </w:r>
    </w:p>
    <w:p w14:paraId="4512EFC2" w14:textId="77777777" w:rsidR="00FB2CF6" w:rsidRDefault="00FB2CF6" w:rsidP="00FB2CF6">
      <w:r>
        <w:rPr>
          <w:noProof/>
        </w:rPr>
        <w:drawing>
          <wp:inline distT="0" distB="0" distL="0" distR="0" wp14:anchorId="3F3FC935" wp14:editId="0D16D305">
            <wp:extent cx="5839704" cy="2406961"/>
            <wp:effectExtent l="0" t="0" r="8890" b="0"/>
            <wp:docPr id="94" name="Picture 94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Picture 94" descr="A screenshot of a grap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2676" cy="24123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284C889" w14:textId="77777777" w:rsidR="00FB2CF6" w:rsidRDefault="00FB2CF6" w:rsidP="00FB2CF6">
      <w:pPr>
        <w:spacing w:line="480" w:lineRule="auto"/>
      </w:pPr>
      <w:r w:rsidRPr="001D47C0">
        <w:t xml:space="preserve">The thin blue lines indicate individual patients, the thick blue lines are the smoothing lines using local polynomial regression fitting, and the blue dotted lines </w:t>
      </w:r>
      <w:proofErr w:type="gramStart"/>
      <w:r w:rsidRPr="001D47C0">
        <w:t>indicates</w:t>
      </w:r>
      <w:proofErr w:type="gramEnd"/>
      <w:r w:rsidRPr="001D47C0">
        <w:t xml:space="preserve"> a 30% improvement from baseline in SALT score (SALT</w:t>
      </w:r>
      <w:r w:rsidRPr="001D47C0">
        <w:rPr>
          <w:vertAlign w:val="subscript"/>
        </w:rPr>
        <w:t>30</w:t>
      </w:r>
      <w:r w:rsidRPr="001D47C0">
        <w:t>).</w:t>
      </w:r>
    </w:p>
    <w:p w14:paraId="3B0DE831" w14:textId="77777777" w:rsidR="00FB2CF6" w:rsidRDefault="00FB2CF6" w:rsidP="00FB2CF6">
      <w:pPr>
        <w:spacing w:line="480" w:lineRule="auto"/>
      </w:pPr>
      <w:r>
        <w:t>*Patients in Response Pattern 1 achieved a SALT</w:t>
      </w:r>
      <w:r>
        <w:rPr>
          <w:vertAlign w:val="subscript"/>
        </w:rPr>
        <w:t xml:space="preserve">30 </w:t>
      </w:r>
      <w:r>
        <w:t>by Week 12.</w:t>
      </w:r>
    </w:p>
    <w:p w14:paraId="1F917107" w14:textId="77777777" w:rsidR="00FB2CF6" w:rsidRDefault="00FB2CF6" w:rsidP="00FB2CF6">
      <w:pPr>
        <w:spacing w:line="480" w:lineRule="auto"/>
      </w:pPr>
      <w:r>
        <w:t>**Most patients in Response Pattern 2 achieved a SALT</w:t>
      </w:r>
      <w:r>
        <w:rPr>
          <w:vertAlign w:val="subscript"/>
        </w:rPr>
        <w:t>30</w:t>
      </w:r>
      <w:r>
        <w:t xml:space="preserve"> within Weeks 12 through 32</w:t>
      </w:r>
    </w:p>
    <w:p w14:paraId="29A9E021" w14:textId="77777777" w:rsidR="00FB2CF6" w:rsidRPr="006F58DF" w:rsidRDefault="00FB2CF6" w:rsidP="00FB2CF6">
      <w:pPr>
        <w:spacing w:line="480" w:lineRule="auto"/>
      </w:pPr>
      <w:r>
        <w:t>***Patients in Response Pattern 3 had high variability in their response over 52 weeks, with a regression line crossing the SALT</w:t>
      </w:r>
      <w:r>
        <w:rPr>
          <w:vertAlign w:val="subscript"/>
        </w:rPr>
        <w:t>30</w:t>
      </w:r>
      <w:r>
        <w:t xml:space="preserve"> threshold at approximately Week 36.</w:t>
      </w:r>
    </w:p>
    <w:p w14:paraId="75080982" w14:textId="77777777" w:rsidR="00FB2CF6" w:rsidRPr="00D43544" w:rsidRDefault="00FB2CF6" w:rsidP="00FB2CF6">
      <w:pPr>
        <w:spacing w:line="480" w:lineRule="auto"/>
      </w:pPr>
      <w:r w:rsidRPr="00D43544">
        <w:t xml:space="preserve">Data were censored after permanent study drug discontinuation or data collected at remote visits due to </w:t>
      </w:r>
      <w:proofErr w:type="gramStart"/>
      <w:r w:rsidRPr="00D43544">
        <w:t>the  COVID</w:t>
      </w:r>
      <w:proofErr w:type="gramEnd"/>
      <w:r w:rsidRPr="00D43544">
        <w:t xml:space="preserve">-19 pandemic. </w:t>
      </w:r>
    </w:p>
    <w:p w14:paraId="5061B0EB" w14:textId="77777777" w:rsidR="00FB2CF6" w:rsidRPr="00A5252F" w:rsidRDefault="00FB2CF6" w:rsidP="00FB2CF6">
      <w:pPr>
        <w:spacing w:line="480" w:lineRule="auto"/>
        <w:rPr>
          <w:i/>
          <w:iCs/>
        </w:rPr>
      </w:pPr>
      <w:r w:rsidRPr="00A5252F">
        <w:rPr>
          <w:i/>
          <w:iCs/>
        </w:rPr>
        <w:t xml:space="preserve">GMM=growth mixture modelling; SALT =Severity of Alopecia Tool </w:t>
      </w:r>
    </w:p>
    <w:p w14:paraId="6EC42063" w14:textId="77777777" w:rsidR="00975F27" w:rsidRDefault="00975F27"/>
    <w:sectPr w:rsidR="00975F27" w:rsidSect="00695C3C">
      <w:pgSz w:w="12240" w:h="15840"/>
      <w:pgMar w:top="1440" w:right="1440" w:bottom="1440" w:left="1440" w:header="720" w:footer="720" w:gutter="0"/>
      <w:pgNumType w:start="1"/>
      <w:cols w:space="720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CF6"/>
    <w:rsid w:val="00975F27"/>
    <w:rsid w:val="00FB2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6862457"/>
  <w14:defaultImageDpi w14:val="32767"/>
  <w15:chartTrackingRefBased/>
  <w15:docId w15:val="{8F8CBDB6-5512-42CE-B4DE-37CD2F086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2CF6"/>
    <w:rPr>
      <w:rFonts w:eastAsiaTheme="minorEastAsia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FB2CF6"/>
    <w:pPr>
      <w:spacing w:after="200" w:line="240" w:lineRule="auto"/>
    </w:pPr>
    <w:rPr>
      <w:iCs/>
      <w:color w:val="44546A" w:themeColor="text2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338</Words>
  <Characters>1928</Characters>
  <Application>Microsoft Office Word</Application>
  <DocSecurity>0</DocSecurity>
  <Lines>16</Lines>
  <Paragraphs>4</Paragraphs>
  <ScaleCrop>false</ScaleCrop>
  <Company/>
  <LinksUpToDate>false</LinksUpToDate>
  <CharactersWithSpaces>2262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Caulfield</dc:creator>
  <cp:keywords/>
  <dc:description/>
  <cp:lastModifiedBy>John Caulfield</cp:lastModifiedBy>
  <cp:revision>1</cp:revision>
  <dcterms:created xsi:type="dcterms:W3CDTF">2023-07-21T12:21:00Z</dcterms:created>
  <dcterms:modified xsi:type="dcterms:W3CDTF">2023-07-21T12:21:00Z</dcterms:modified>
</cp:coreProperties>
</file>