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A05FC" w14:textId="66ADB704" w:rsidR="00794C15" w:rsidRDefault="006E0833" w:rsidP="00134797">
      <w:pPr>
        <w:pStyle w:val="Non-numberedheading1"/>
        <w:spacing w:line="276" w:lineRule="auto"/>
      </w:pPr>
      <w:r w:rsidRPr="00070A09">
        <w:t>SUPPLEMENTARY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933"/>
        <w:gridCol w:w="1083"/>
      </w:tblGrid>
      <w:tr w:rsidR="009310A0" w14:paraId="72FCC51B" w14:textId="77777777" w:rsidTr="00C967D3">
        <w:tc>
          <w:tcPr>
            <w:tcW w:w="7933" w:type="dxa"/>
          </w:tcPr>
          <w:p w14:paraId="0C38A653" w14:textId="008EC1BC" w:rsidR="009310A0" w:rsidRPr="00567445" w:rsidRDefault="00A56CBB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>Supplementary Methods</w:t>
            </w:r>
          </w:p>
        </w:tc>
        <w:tc>
          <w:tcPr>
            <w:tcW w:w="1083" w:type="dxa"/>
          </w:tcPr>
          <w:p w14:paraId="74516E2E" w14:textId="01E6FBBE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>p.2</w:t>
            </w:r>
          </w:p>
        </w:tc>
      </w:tr>
      <w:tr w:rsidR="009310A0" w14:paraId="29FEF385" w14:textId="77777777" w:rsidTr="00C967D3">
        <w:tc>
          <w:tcPr>
            <w:tcW w:w="7933" w:type="dxa"/>
          </w:tcPr>
          <w:p w14:paraId="6488C73F" w14:textId="2EEFEF78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 xml:space="preserve">Table </w:t>
            </w:r>
            <w:r w:rsidR="00676028" w:rsidRPr="00567445">
              <w:rPr>
                <w:rFonts w:cs="Arial"/>
                <w:lang w:val="en-US"/>
              </w:rPr>
              <w:t>S</w:t>
            </w:r>
            <w:r w:rsidRPr="00567445">
              <w:rPr>
                <w:rFonts w:cs="Arial"/>
                <w:lang w:val="en-US"/>
              </w:rPr>
              <w:t>1. Definitions of the variables that could be included as covariates within the PSM model</w:t>
            </w:r>
          </w:p>
        </w:tc>
        <w:tc>
          <w:tcPr>
            <w:tcW w:w="1083" w:type="dxa"/>
          </w:tcPr>
          <w:p w14:paraId="6E50BA10" w14:textId="427C7BE9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>p.</w:t>
            </w:r>
            <w:r w:rsidR="00134797">
              <w:rPr>
                <w:rFonts w:cs="Arial"/>
                <w:lang w:val="en-US"/>
              </w:rPr>
              <w:t>3</w:t>
            </w:r>
          </w:p>
        </w:tc>
      </w:tr>
      <w:tr w:rsidR="009310A0" w14:paraId="1D9AD168" w14:textId="77777777" w:rsidTr="00C967D3">
        <w:tc>
          <w:tcPr>
            <w:tcW w:w="7933" w:type="dxa"/>
          </w:tcPr>
          <w:p w14:paraId="34D10AF6" w14:textId="3E69E426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 xml:space="preserve">Table </w:t>
            </w:r>
            <w:r w:rsidR="00676028" w:rsidRPr="00567445">
              <w:rPr>
                <w:rFonts w:cs="Arial"/>
                <w:lang w:val="en-US"/>
              </w:rPr>
              <w:t>S</w:t>
            </w:r>
            <w:r w:rsidRPr="00567445">
              <w:rPr>
                <w:rFonts w:cs="Arial"/>
                <w:lang w:val="en-US"/>
              </w:rPr>
              <w:t>2. Statistical significance of covariates on the primary endpoint for inclusion in the PSM model, using an ordinary least squares test on the unmatched sample</w:t>
            </w:r>
          </w:p>
        </w:tc>
        <w:tc>
          <w:tcPr>
            <w:tcW w:w="1083" w:type="dxa"/>
          </w:tcPr>
          <w:p w14:paraId="529E4A72" w14:textId="4C61B69F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>p.</w:t>
            </w:r>
            <w:r w:rsidR="00E6655F">
              <w:rPr>
                <w:rFonts w:cs="Arial"/>
                <w:lang w:val="en-US"/>
              </w:rPr>
              <w:t>4</w:t>
            </w:r>
          </w:p>
        </w:tc>
      </w:tr>
      <w:tr w:rsidR="009310A0" w14:paraId="68D9BA46" w14:textId="77777777" w:rsidTr="00C967D3">
        <w:tc>
          <w:tcPr>
            <w:tcW w:w="7933" w:type="dxa"/>
          </w:tcPr>
          <w:p w14:paraId="57603C06" w14:textId="37D104C0" w:rsidR="009310A0" w:rsidRPr="00567445" w:rsidRDefault="009310A0" w:rsidP="00134797">
            <w:pPr>
              <w:spacing w:after="120"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 xml:space="preserve">Supplementary </w:t>
            </w:r>
            <w:r w:rsidR="00A56CBB" w:rsidRPr="00567445">
              <w:rPr>
                <w:rFonts w:cs="Arial"/>
                <w:lang w:val="en-US"/>
              </w:rPr>
              <w:t>R</w:t>
            </w:r>
            <w:r w:rsidRPr="00567445">
              <w:rPr>
                <w:rFonts w:cs="Arial"/>
                <w:lang w:val="en-US"/>
              </w:rPr>
              <w:t>eferences</w:t>
            </w:r>
          </w:p>
        </w:tc>
        <w:tc>
          <w:tcPr>
            <w:tcW w:w="1083" w:type="dxa"/>
          </w:tcPr>
          <w:p w14:paraId="21EBA9B1" w14:textId="2DADED48" w:rsidR="009310A0" w:rsidRPr="00567445" w:rsidRDefault="009310A0" w:rsidP="00134797">
            <w:pPr>
              <w:spacing w:line="276" w:lineRule="auto"/>
              <w:rPr>
                <w:rFonts w:cs="Arial"/>
                <w:lang w:val="en-US"/>
              </w:rPr>
            </w:pPr>
            <w:r w:rsidRPr="00567445">
              <w:rPr>
                <w:rFonts w:cs="Arial"/>
                <w:lang w:val="en-US"/>
              </w:rPr>
              <w:t>p.</w:t>
            </w:r>
            <w:r w:rsidR="00134797">
              <w:rPr>
                <w:rFonts w:cs="Arial"/>
                <w:lang w:val="en-US"/>
              </w:rPr>
              <w:t>5</w:t>
            </w:r>
          </w:p>
        </w:tc>
      </w:tr>
    </w:tbl>
    <w:p w14:paraId="45D4786C" w14:textId="77777777" w:rsidR="009310A0" w:rsidRPr="00070A09" w:rsidRDefault="009310A0" w:rsidP="00134797">
      <w:pPr>
        <w:spacing w:line="276" w:lineRule="auto"/>
        <w:rPr>
          <w:rFonts w:cs="Arial"/>
          <w:b/>
          <w:bCs/>
          <w:sz w:val="24"/>
          <w:szCs w:val="24"/>
          <w:lang w:val="en-US"/>
        </w:rPr>
      </w:pPr>
    </w:p>
    <w:p w14:paraId="19952E3B" w14:textId="77777777" w:rsidR="009310A0" w:rsidRDefault="009310A0" w:rsidP="00134797">
      <w:pPr>
        <w:spacing w:line="276" w:lineRule="auto"/>
        <w:rPr>
          <w:rFonts w:cs="Arial"/>
          <w:i/>
          <w:iCs/>
          <w:sz w:val="24"/>
          <w:szCs w:val="24"/>
          <w:lang w:val="en-US"/>
        </w:rPr>
      </w:pPr>
      <w:r>
        <w:rPr>
          <w:rFonts w:cs="Arial"/>
          <w:i/>
          <w:iCs/>
          <w:sz w:val="24"/>
          <w:szCs w:val="24"/>
          <w:lang w:val="en-US"/>
        </w:rPr>
        <w:br w:type="page"/>
      </w:r>
    </w:p>
    <w:p w14:paraId="60C72BEC" w14:textId="68D18156" w:rsidR="00A56CBB" w:rsidRDefault="006E0833" w:rsidP="00134797">
      <w:pPr>
        <w:pStyle w:val="Non-numberedheading1"/>
        <w:spacing w:line="276" w:lineRule="auto"/>
      </w:pPr>
      <w:r>
        <w:lastRenderedPageBreak/>
        <w:t>S</w:t>
      </w:r>
      <w:r w:rsidR="00BE544E">
        <w:t>upplementary</w:t>
      </w:r>
      <w:r>
        <w:t xml:space="preserve"> M</w:t>
      </w:r>
      <w:r w:rsidR="00BE544E">
        <w:t>ethods</w:t>
      </w:r>
    </w:p>
    <w:p w14:paraId="3B1A05FD" w14:textId="6F7E7123" w:rsidR="00794C15" w:rsidRPr="00370481" w:rsidRDefault="005D44C6" w:rsidP="00134797">
      <w:pPr>
        <w:pStyle w:val="Heading2"/>
        <w:numPr>
          <w:ilvl w:val="0"/>
          <w:numId w:val="0"/>
        </w:numPr>
        <w:spacing w:line="276" w:lineRule="auto"/>
        <w:ind w:left="576" w:hanging="576"/>
        <w:rPr>
          <w:b w:val="0"/>
          <w:bCs w:val="0"/>
          <w:i/>
          <w:iCs/>
        </w:rPr>
      </w:pPr>
      <w:r w:rsidRPr="00370481">
        <w:rPr>
          <w:b w:val="0"/>
          <w:bCs w:val="0"/>
          <w:i/>
          <w:iCs/>
        </w:rPr>
        <w:t>Exclusion criteria</w:t>
      </w:r>
    </w:p>
    <w:p w14:paraId="3B1A05FE" w14:textId="77777777" w:rsidR="00794C15" w:rsidRPr="00070A09" w:rsidRDefault="005D44C6" w:rsidP="00134797">
      <w:pPr>
        <w:spacing w:line="276" w:lineRule="auto"/>
        <w:rPr>
          <w:lang w:val="en-US"/>
        </w:rPr>
      </w:pPr>
      <w:r w:rsidRPr="00070A09">
        <w:rPr>
          <w:lang w:val="en-US"/>
        </w:rPr>
        <w:t>Patients were excluded from participating in the study if any of the following criteria were met:</w:t>
      </w:r>
    </w:p>
    <w:p w14:paraId="3B1A05FF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 xml:space="preserve">Started long-term albumin (LTA) treatment after October 01, 2018 (LTA cohort) or did not receive albumin during the period of January 01, </w:t>
      </w:r>
      <w:proofErr w:type="gramStart"/>
      <w:r w:rsidRPr="00567445">
        <w:rPr>
          <w:lang w:val="en-US"/>
        </w:rPr>
        <w:t>2018</w:t>
      </w:r>
      <w:proofErr w:type="gramEnd"/>
      <w:r w:rsidRPr="00567445">
        <w:rPr>
          <w:lang w:val="en-US"/>
        </w:rPr>
        <w:t xml:space="preserve"> to December 31, 2018 (non-LTA cohort)</w:t>
      </w:r>
    </w:p>
    <w:p w14:paraId="3B1A0600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 xml:space="preserve">Albumin administration in the 4 weeks prior to inclusion, except for evidence-based indications (therapeutic paracentesis, hepatorenal syndrome, spontaneous bacterial peritonitis) </w:t>
      </w:r>
    </w:p>
    <w:p w14:paraId="3B1A0601" w14:textId="225F793C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Diagnosed with coronavirus disease 2019 between February 2020 and December 2021</w:t>
      </w:r>
    </w:p>
    <w:p w14:paraId="3B1A0602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Prior liver transplant</w:t>
      </w:r>
    </w:p>
    <w:p w14:paraId="3B1A0603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 xml:space="preserve">Prior </w:t>
      </w:r>
      <w:proofErr w:type="spellStart"/>
      <w:r w:rsidRPr="00567445">
        <w:rPr>
          <w:lang w:val="en-US"/>
        </w:rPr>
        <w:t>transjugular</w:t>
      </w:r>
      <w:proofErr w:type="spellEnd"/>
      <w:r w:rsidRPr="00567445">
        <w:rPr>
          <w:lang w:val="en-US"/>
        </w:rPr>
        <w:t xml:space="preserve"> intrahepatic portosystemic shunt</w:t>
      </w:r>
    </w:p>
    <w:p w14:paraId="3B1A0604" w14:textId="5E136DD4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Hepatocellular carcinoma outside Milan criteria (Milan criteria defined as single nodule ≤5 cm, or up to three nodules with the largest ≤3 cm in diameter, with no evidence of extrahepatic spread or macrovascular invasion)</w:t>
      </w:r>
      <w:r w:rsidR="00370481" w:rsidRPr="00FE706B">
        <w:rPr>
          <w:noProof/>
          <w:vertAlign w:val="superscript"/>
          <w:lang w:val="en-US"/>
        </w:rPr>
        <w:t>1</w:t>
      </w:r>
      <w:r w:rsidR="00FE706B" w:rsidDel="00FE706B">
        <w:rPr>
          <w:lang w:val="en-US"/>
        </w:rPr>
        <w:t xml:space="preserve"> </w:t>
      </w:r>
      <w:r w:rsidRPr="00567445">
        <w:rPr>
          <w:lang w:val="en-US"/>
        </w:rPr>
        <w:t xml:space="preserve"> </w:t>
      </w:r>
    </w:p>
    <w:p w14:paraId="3B1A0605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Non-hepatic active malignancies</w:t>
      </w:r>
    </w:p>
    <w:p w14:paraId="3B1A0606" w14:textId="0D60185A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Severe organ failure (heart, lung, or kidney failure) with an expected prognosis of &lt;1</w:t>
      </w:r>
      <w:r w:rsidR="009145D1">
        <w:rPr>
          <w:lang w:val="en-US"/>
        </w:rPr>
        <w:t> </w:t>
      </w:r>
      <w:r w:rsidRPr="00567445">
        <w:rPr>
          <w:lang w:val="en-US"/>
        </w:rPr>
        <w:t>year</w:t>
      </w:r>
    </w:p>
    <w:p w14:paraId="3B1A0607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Human immunodeficiency virus infection</w:t>
      </w:r>
    </w:p>
    <w:p w14:paraId="3B1A0608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Ongoing, severe alcohol abuse</w:t>
      </w:r>
    </w:p>
    <w:p w14:paraId="3B1A0609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Use of experimental drugs</w:t>
      </w:r>
    </w:p>
    <w:p w14:paraId="3B1A060A" w14:textId="77777777" w:rsidR="00794C15" w:rsidRPr="00567445" w:rsidRDefault="005D44C6" w:rsidP="00134797">
      <w:pPr>
        <w:pStyle w:val="ListParagraph"/>
        <w:numPr>
          <w:ilvl w:val="0"/>
          <w:numId w:val="48"/>
        </w:numPr>
        <w:spacing w:line="276" w:lineRule="auto"/>
        <w:rPr>
          <w:lang w:val="en-US"/>
        </w:rPr>
      </w:pPr>
      <w:r w:rsidRPr="00567445">
        <w:rPr>
          <w:lang w:val="en-US"/>
        </w:rPr>
        <w:t>Enrolled in another clinical study</w:t>
      </w:r>
    </w:p>
    <w:p w14:paraId="3B1A060C" w14:textId="77777777" w:rsidR="00794C15" w:rsidRPr="00370481" w:rsidRDefault="005D44C6" w:rsidP="00134797">
      <w:pPr>
        <w:pStyle w:val="Heading2"/>
        <w:numPr>
          <w:ilvl w:val="0"/>
          <w:numId w:val="0"/>
        </w:numPr>
        <w:spacing w:line="276" w:lineRule="auto"/>
        <w:ind w:left="576" w:hanging="576"/>
        <w:rPr>
          <w:b w:val="0"/>
          <w:bCs w:val="0"/>
          <w:i/>
          <w:iCs/>
        </w:rPr>
      </w:pPr>
      <w:r w:rsidRPr="00370481">
        <w:rPr>
          <w:b w:val="0"/>
          <w:bCs w:val="0"/>
          <w:i/>
          <w:iCs/>
        </w:rPr>
        <w:t>Sample size calculation</w:t>
      </w:r>
    </w:p>
    <w:p w14:paraId="3B1A060D" w14:textId="6D2A7644" w:rsidR="00794C15" w:rsidRPr="00070A09" w:rsidRDefault="005D44C6" w:rsidP="00134797">
      <w:pPr>
        <w:spacing w:line="276" w:lineRule="auto"/>
        <w:rPr>
          <w:lang w:val="en-US"/>
        </w:rPr>
      </w:pPr>
      <w:r w:rsidRPr="00070A09">
        <w:rPr>
          <w:lang w:val="en-US"/>
        </w:rPr>
        <w:t>Power calculations were performed for five different sample sizes (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=413,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=240,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=256,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=270, and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>=300) based on four endpoints (paracentesis, refractory ascites, hospitalizations, and mortality) on which the ANSWER trial</w:t>
      </w:r>
      <w:r w:rsidR="00370481" w:rsidRPr="00247FFD">
        <w:rPr>
          <w:noProof/>
          <w:vertAlign w:val="superscript"/>
          <w:lang w:val="en-US"/>
        </w:rPr>
        <w:t>2</w:t>
      </w:r>
      <w:r w:rsidRPr="00070A09">
        <w:rPr>
          <w:vertAlign w:val="superscript"/>
          <w:lang w:val="en-US"/>
        </w:rPr>
        <w:t xml:space="preserve"> </w:t>
      </w:r>
      <w:r w:rsidRPr="00070A09">
        <w:rPr>
          <w:lang w:val="en-US"/>
        </w:rPr>
        <w:t xml:space="preserve">provided enough data. A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=300 demonstrated that this was large enough to power a 90% confidence interval at a 5% margin of error for the entire study sample. Considering the preliminary propensity score matching exercise, which determined the percentage of unmatched observations between the LTA and non-LTA cohorts, the percentage sample loss for a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=300 was assumed to be between 10% </w:t>
      </w:r>
      <w:r w:rsidR="001608E8">
        <w:rPr>
          <w:lang w:val="en-US"/>
        </w:rPr>
        <w:t>and</w:t>
      </w:r>
      <w:r w:rsidR="001608E8" w:rsidRPr="00070A09">
        <w:rPr>
          <w:lang w:val="en-US"/>
        </w:rPr>
        <w:t xml:space="preserve"> </w:t>
      </w:r>
      <w:r w:rsidRPr="00070A09">
        <w:rPr>
          <w:lang w:val="en-US"/>
        </w:rPr>
        <w:t xml:space="preserve">15%. Consequently, power calculations considering a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=300 with no observations being lost, a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=270 assuming a 10% sample size loss, and a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 xml:space="preserve">=256 assuming a 15% sample size loss, were performed. The paracentesis and refractory ascites endpoints demonstrated that an estimated sample size of </w:t>
      </w:r>
      <w:r w:rsidRPr="001608E8">
        <w:rPr>
          <w:i/>
          <w:iCs/>
          <w:lang w:val="en-US"/>
        </w:rPr>
        <w:t>n</w:t>
      </w:r>
      <w:r w:rsidRPr="00070A09">
        <w:rPr>
          <w:lang w:val="en-US"/>
        </w:rPr>
        <w:t>=256 (assuming a 15% sample loss) still meets the power requirements for this study to be statistically significant.</w:t>
      </w:r>
    </w:p>
    <w:p w14:paraId="3B1A060E" w14:textId="77777777" w:rsidR="00794C15" w:rsidRDefault="00794C15" w:rsidP="00134797">
      <w:pPr>
        <w:spacing w:after="120" w:line="276" w:lineRule="auto"/>
        <w:rPr>
          <w:lang w:val="en-US"/>
        </w:rPr>
      </w:pPr>
    </w:p>
    <w:p w14:paraId="3B1A060F" w14:textId="77777777" w:rsidR="00794C15" w:rsidRDefault="005D44C6" w:rsidP="00134797">
      <w:pPr>
        <w:spacing w:after="120" w:line="276" w:lineRule="auto"/>
        <w:rPr>
          <w:b/>
          <w:bCs/>
          <w:lang w:val="en-US"/>
        </w:rPr>
      </w:pPr>
      <w:r>
        <w:rPr>
          <w:lang w:val="en-US"/>
        </w:rPr>
        <w:t xml:space="preserve"> </w:t>
      </w:r>
      <w:r>
        <w:rPr>
          <w:b/>
          <w:bCs/>
          <w:lang w:val="en-US"/>
        </w:rPr>
        <w:br w:type="page" w:clear="all"/>
      </w:r>
    </w:p>
    <w:p w14:paraId="3B1A0610" w14:textId="5BE4957F" w:rsidR="00794C15" w:rsidRPr="00070A09" w:rsidRDefault="00847E66" w:rsidP="001608E8">
      <w:pPr>
        <w:pStyle w:val="Caption"/>
        <w:spacing w:line="276" w:lineRule="auto"/>
        <w:rPr>
          <w:lang w:val="en-US"/>
        </w:rPr>
      </w:pPr>
      <w:r w:rsidRPr="00847E66">
        <w:rPr>
          <w:spacing w:val="20"/>
          <w:lang w:val="en-US"/>
        </w:rPr>
        <w:lastRenderedPageBreak/>
        <w:t>T</w:t>
      </w:r>
      <w:r w:rsidR="00DC4C65">
        <w:rPr>
          <w:spacing w:val="20"/>
          <w:lang w:val="en-US"/>
        </w:rPr>
        <w:t>able</w:t>
      </w:r>
      <w:r w:rsidRPr="00847E66">
        <w:rPr>
          <w:spacing w:val="20"/>
          <w:lang w:val="en-US"/>
        </w:rPr>
        <w:t xml:space="preserve"> </w:t>
      </w:r>
      <w:r w:rsidR="00E64394" w:rsidRPr="00847E66">
        <w:rPr>
          <w:spacing w:val="20"/>
          <w:lang w:val="en-US"/>
        </w:rPr>
        <w:t>S</w:t>
      </w:r>
      <w:r w:rsidR="005D44C6" w:rsidRPr="00847E66">
        <w:rPr>
          <w:spacing w:val="20"/>
          <w:lang w:val="en-US"/>
        </w:rPr>
        <w:t>1</w:t>
      </w:r>
      <w:r w:rsidR="000677DD">
        <w:rPr>
          <w:spacing w:val="20"/>
          <w:lang w:val="en-US"/>
        </w:rPr>
        <w:t xml:space="preserve"> </w:t>
      </w:r>
      <w:r w:rsidR="005D44C6" w:rsidRPr="00370481">
        <w:rPr>
          <w:b w:val="0"/>
          <w:bCs w:val="0"/>
          <w:lang w:val="en-US"/>
        </w:rPr>
        <w:t xml:space="preserve">Definitions </w:t>
      </w:r>
      <w:r w:rsidR="005D44C6" w:rsidRPr="00370481">
        <w:rPr>
          <w:b w:val="0"/>
          <w:bCs w:val="0"/>
        </w:rPr>
        <w:t>of</w:t>
      </w:r>
      <w:r w:rsidR="005D44C6" w:rsidRPr="00370481">
        <w:rPr>
          <w:b w:val="0"/>
          <w:bCs w:val="0"/>
          <w:lang w:val="en-US"/>
        </w:rPr>
        <w:t xml:space="preserve"> the variables that could be included as covariates within the PSM model</w:t>
      </w:r>
      <w:r w:rsidRPr="00370481">
        <w:rPr>
          <w:b w:val="0"/>
          <w:bCs w:val="0"/>
          <w:lang w:val="en-US"/>
        </w:rPr>
        <w:t>.</w:t>
      </w:r>
    </w:p>
    <w:tbl>
      <w:tblPr>
        <w:tblStyle w:val="ListTable1Light-Accent3"/>
        <w:tblW w:w="9072" w:type="dxa"/>
        <w:tblCellMar>
          <w:top w:w="57" w:type="dxa"/>
          <w:left w:w="85" w:type="dxa"/>
          <w:bottom w:w="57" w:type="dxa"/>
          <w:right w:w="85" w:type="dxa"/>
        </w:tblCellMar>
        <w:tblLook w:val="04A0" w:firstRow="1" w:lastRow="0" w:firstColumn="1" w:lastColumn="0" w:noHBand="0" w:noVBand="1"/>
      </w:tblPr>
      <w:tblGrid>
        <w:gridCol w:w="3777"/>
        <w:gridCol w:w="5295"/>
      </w:tblGrid>
      <w:tr w:rsidR="00794C15" w:rsidRPr="00567445" w14:paraId="3B1A0613" w14:textId="77777777" w:rsidTr="003704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bottom w:val="single" w:sz="4" w:space="0" w:color="auto"/>
            </w:tcBorders>
            <w:shd w:val="clear" w:color="auto" w:fill="auto"/>
          </w:tcPr>
          <w:p w14:paraId="3B1A0611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Variable</w:t>
            </w:r>
          </w:p>
        </w:tc>
        <w:tc>
          <w:tcPr>
            <w:tcW w:w="0" w:type="dxa"/>
            <w:tcBorders>
              <w:bottom w:val="single" w:sz="4" w:space="0" w:color="auto"/>
            </w:tcBorders>
            <w:shd w:val="clear" w:color="auto" w:fill="auto"/>
          </w:tcPr>
          <w:p w14:paraId="3B1A0612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Definition</w:t>
            </w:r>
          </w:p>
        </w:tc>
      </w:tr>
      <w:tr w:rsidR="00794C15" w:rsidRPr="00567445" w14:paraId="3B1A0616" w14:textId="77777777" w:rsidTr="003704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auto"/>
              <w:bottom w:val="single" w:sz="4" w:space="0" w:color="808080" w:themeColor="background1" w:themeShade="80"/>
            </w:tcBorders>
            <w:shd w:val="clear" w:color="auto" w:fill="auto"/>
          </w:tcPr>
          <w:p w14:paraId="3B1A0614" w14:textId="2D27CA82" w:rsidR="00794C15" w:rsidRPr="00567445" w:rsidRDefault="00B5150A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Sex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808080" w:themeColor="background1" w:themeShade="80"/>
            </w:tcBorders>
            <w:shd w:val="clear" w:color="auto" w:fill="auto"/>
          </w:tcPr>
          <w:p w14:paraId="3B1A0615" w14:textId="3DAD69B9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The biological </w:t>
            </w:r>
            <w:r w:rsidR="00B5150A">
              <w:rPr>
                <w:rFonts w:cs="Arial"/>
                <w:sz w:val="20"/>
                <w:szCs w:val="20"/>
                <w:lang w:val="en-US"/>
              </w:rPr>
              <w:t>sex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 of the patient, defined as male or female</w:t>
            </w:r>
          </w:p>
        </w:tc>
      </w:tr>
      <w:tr w:rsidR="00794C15" w:rsidRPr="00567445" w14:paraId="3B1A0619" w14:textId="77777777" w:rsidTr="00370481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B1A0617" w14:textId="2B8A0B15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Child</w:t>
            </w:r>
            <w:r w:rsidR="001608E8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–</w:t>
            </w: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Pugh score</w:t>
            </w:r>
          </w:p>
        </w:tc>
        <w:tc>
          <w:tcPr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B1A0618" w14:textId="0147EF5D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A score from 5 to 15 is used to assess the prognosis of a decompensated cirrhosis patient</w:t>
            </w:r>
            <w:r w:rsidR="00370481" w:rsidRPr="00247FFD">
              <w:rPr>
                <w:rFonts w:cs="Arial"/>
                <w:noProof/>
                <w:sz w:val="20"/>
                <w:szCs w:val="20"/>
                <w:vertAlign w:val="superscript"/>
                <w:lang w:val="en-US"/>
              </w:rPr>
              <w:t>3-5</w:t>
            </w:r>
          </w:p>
        </w:tc>
      </w:tr>
      <w:tr w:rsidR="00794C15" w:rsidRPr="00567445" w14:paraId="3B1A061C" w14:textId="77777777" w:rsidTr="003704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</w:tcPr>
          <w:p w14:paraId="3B1A061A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Multiple comorbidities</w:t>
            </w:r>
          </w:p>
        </w:tc>
        <w:tc>
          <w:tcPr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</w:tcPr>
          <w:p w14:paraId="3B1A061B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A binary variable with two or more cirrhosis-related comorbidities defined as one and a single cirrhosis-related comorbidity defined as zero</w:t>
            </w:r>
          </w:p>
        </w:tc>
      </w:tr>
      <w:tr w:rsidR="00794C15" w:rsidRPr="00567445" w14:paraId="3B1A061F" w14:textId="77777777" w:rsidTr="00370481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B1A061D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Age</w:t>
            </w:r>
          </w:p>
        </w:tc>
        <w:tc>
          <w:tcPr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</w:tcPr>
          <w:p w14:paraId="3B1A061E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The age of the patient as of January 01, 2019</w:t>
            </w:r>
          </w:p>
        </w:tc>
      </w:tr>
      <w:tr w:rsidR="00794C15" w:rsidRPr="00567445" w14:paraId="3B1A0622" w14:textId="77777777" w:rsidTr="0037048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</w:tcPr>
          <w:p w14:paraId="3B1A0620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Weight</w:t>
            </w:r>
          </w:p>
        </w:tc>
        <w:tc>
          <w:tcPr>
            <w:tcW w:w="0" w:type="dxa"/>
            <w:tcBorders>
              <w:top w:val="single" w:sz="4" w:space="0" w:color="808080" w:themeColor="background1" w:themeShade="80"/>
              <w:bottom w:val="single" w:sz="4" w:space="0" w:color="808080" w:themeColor="background1" w:themeShade="80"/>
            </w:tcBorders>
            <w:shd w:val="clear" w:color="auto" w:fill="auto"/>
          </w:tcPr>
          <w:p w14:paraId="3B1A0621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The weight of the patient as of January 01, 2019</w:t>
            </w:r>
          </w:p>
        </w:tc>
      </w:tr>
      <w:tr w:rsidR="00794C15" w:rsidRPr="00567445" w14:paraId="3B1A0629" w14:textId="77777777" w:rsidTr="00370481">
        <w:trPr>
          <w:trHeight w:val="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dxa"/>
            <w:tcBorders>
              <w:top w:val="single" w:sz="4" w:space="0" w:color="808080" w:themeColor="background1" w:themeShade="80"/>
              <w:bottom w:val="single" w:sz="4" w:space="0" w:color="auto"/>
            </w:tcBorders>
          </w:tcPr>
          <w:p w14:paraId="3B1A0623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 w:val="0"/>
                <w:bCs w:val="0"/>
                <w:sz w:val="20"/>
                <w:szCs w:val="20"/>
                <w:lang w:val="en-US"/>
              </w:rPr>
              <w:t>Region</w:t>
            </w:r>
          </w:p>
        </w:tc>
        <w:tc>
          <w:tcPr>
            <w:tcW w:w="0" w:type="dxa"/>
            <w:tcBorders>
              <w:top w:val="single" w:sz="4" w:space="0" w:color="808080" w:themeColor="background1" w:themeShade="80"/>
              <w:bottom w:val="single" w:sz="4" w:space="0" w:color="auto"/>
            </w:tcBorders>
          </w:tcPr>
          <w:p w14:paraId="3B1A0624" w14:textId="77777777" w:rsidR="00794C15" w:rsidRPr="00567445" w:rsidRDefault="005D44C6" w:rsidP="001608E8">
            <w:pPr>
              <w:pStyle w:val="ListParagraph"/>
              <w:spacing w:after="0" w:line="276" w:lineRule="auto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Patient chart collection was distributed between four regions of Italy</w:t>
            </w:r>
          </w:p>
          <w:p w14:paraId="3B1A0625" w14:textId="77777777" w:rsidR="00794C15" w:rsidRPr="00567445" w:rsidRDefault="005D44C6" w:rsidP="001608E8">
            <w:pPr>
              <w:pStyle w:val="ListParagraph"/>
              <w:numPr>
                <w:ilvl w:val="0"/>
                <w:numId w:val="46"/>
              </w:numPr>
              <w:spacing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it-IT"/>
              </w:rPr>
            </w:pPr>
            <w:r w:rsidRPr="00567445">
              <w:rPr>
                <w:rFonts w:cs="Arial"/>
                <w:sz w:val="20"/>
                <w:szCs w:val="20"/>
                <w:lang w:val="it-IT"/>
              </w:rPr>
              <w:t xml:space="preserve">Northeast: Friuli-Venezia Giulia, Veneto, Trentino-Alto Adige, Emilia-Romagna </w:t>
            </w:r>
          </w:p>
          <w:p w14:paraId="3B1A0626" w14:textId="77777777" w:rsidR="00794C15" w:rsidRPr="00567445" w:rsidRDefault="005D44C6" w:rsidP="001608E8">
            <w:pPr>
              <w:pStyle w:val="ListParagraph"/>
              <w:numPr>
                <w:ilvl w:val="0"/>
                <w:numId w:val="33"/>
              </w:numPr>
              <w:spacing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it-IT"/>
              </w:rPr>
            </w:pPr>
            <w:r w:rsidRPr="00567445">
              <w:rPr>
                <w:rFonts w:cs="Arial"/>
                <w:sz w:val="20"/>
                <w:szCs w:val="20"/>
                <w:lang w:val="it-IT"/>
              </w:rPr>
              <w:t xml:space="preserve">Northwest: Lombardia, Piemonte, Valle d'Aosta, Liguria </w:t>
            </w:r>
          </w:p>
          <w:p w14:paraId="3B1A0627" w14:textId="77777777" w:rsidR="00794C15" w:rsidRPr="00567445" w:rsidRDefault="005D44C6" w:rsidP="001608E8">
            <w:pPr>
              <w:pStyle w:val="ListParagraph"/>
              <w:numPr>
                <w:ilvl w:val="0"/>
                <w:numId w:val="33"/>
              </w:numPr>
              <w:spacing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Central: Umbria, Toscana, Marche, Lazio </w:t>
            </w:r>
          </w:p>
          <w:p w14:paraId="3B1A0628" w14:textId="77777777" w:rsidR="00794C15" w:rsidRPr="00567445" w:rsidRDefault="005D44C6" w:rsidP="001608E8">
            <w:pPr>
              <w:pStyle w:val="ListParagraph"/>
              <w:numPr>
                <w:ilvl w:val="0"/>
                <w:numId w:val="33"/>
              </w:numPr>
              <w:spacing w:after="0"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0"/>
                <w:szCs w:val="20"/>
                <w:lang w:val="it-IT"/>
              </w:rPr>
            </w:pPr>
            <w:r w:rsidRPr="00567445">
              <w:rPr>
                <w:rFonts w:cs="Arial"/>
                <w:sz w:val="20"/>
                <w:szCs w:val="20"/>
                <w:lang w:val="it-IT"/>
              </w:rPr>
              <w:t>South: Abruzzo, Campania, Calabria, Basilicata, Molise, Puglia, Sardegna, Sicilia</w:t>
            </w:r>
          </w:p>
        </w:tc>
      </w:tr>
    </w:tbl>
    <w:p w14:paraId="3B1A062A" w14:textId="1CCB1C44" w:rsidR="00794C15" w:rsidRPr="00070A09" w:rsidRDefault="001608E8" w:rsidP="00134797">
      <w:pPr>
        <w:pStyle w:val="Footnote"/>
        <w:spacing w:line="276" w:lineRule="auto"/>
      </w:pPr>
      <w:r>
        <w:t xml:space="preserve">Abbreviation: </w:t>
      </w:r>
      <w:r w:rsidR="005D44C6" w:rsidRPr="00070A09">
        <w:t>PSM, propensity score matching.</w:t>
      </w:r>
    </w:p>
    <w:p w14:paraId="3B1A062B" w14:textId="77777777" w:rsidR="00794C15" w:rsidRDefault="005D44C6" w:rsidP="00134797">
      <w:pPr>
        <w:spacing w:after="120" w:line="276" w:lineRule="auto"/>
        <w:rPr>
          <w:lang w:val="en-US"/>
        </w:rPr>
      </w:pPr>
      <w:r>
        <w:rPr>
          <w:lang w:val="en-US"/>
        </w:rPr>
        <w:br w:type="page" w:clear="all"/>
      </w:r>
    </w:p>
    <w:p w14:paraId="3B1A062C" w14:textId="5E08EE63" w:rsidR="00794C15" w:rsidRPr="00370481" w:rsidRDefault="00847E66" w:rsidP="001608E8">
      <w:pPr>
        <w:pStyle w:val="Caption"/>
        <w:spacing w:line="276" w:lineRule="auto"/>
        <w:rPr>
          <w:b w:val="0"/>
          <w:bCs w:val="0"/>
          <w:lang w:val="en-US"/>
        </w:rPr>
      </w:pPr>
      <w:r w:rsidRPr="00847E66">
        <w:rPr>
          <w:spacing w:val="20"/>
          <w:lang w:val="en-US"/>
        </w:rPr>
        <w:lastRenderedPageBreak/>
        <w:t>T</w:t>
      </w:r>
      <w:r w:rsidR="0074307F">
        <w:rPr>
          <w:spacing w:val="20"/>
          <w:lang w:val="en-US"/>
        </w:rPr>
        <w:t>abl</w:t>
      </w:r>
      <w:r w:rsidR="00F211BA">
        <w:rPr>
          <w:spacing w:val="20"/>
          <w:lang w:val="en-US"/>
        </w:rPr>
        <w:t xml:space="preserve">e </w:t>
      </w:r>
      <w:r w:rsidR="00E64394" w:rsidRPr="00847E66">
        <w:rPr>
          <w:spacing w:val="20"/>
          <w:lang w:val="en-US"/>
        </w:rPr>
        <w:t>S</w:t>
      </w:r>
      <w:r w:rsidR="005D44C6" w:rsidRPr="00847E66">
        <w:rPr>
          <w:spacing w:val="20"/>
          <w:lang w:val="en-US"/>
        </w:rPr>
        <w:t>2</w:t>
      </w:r>
      <w:r w:rsidR="0074307F">
        <w:rPr>
          <w:lang w:val="en-US"/>
        </w:rPr>
        <w:t xml:space="preserve"> </w:t>
      </w:r>
      <w:r w:rsidR="005D44C6" w:rsidRPr="00370481">
        <w:rPr>
          <w:b w:val="0"/>
          <w:bCs w:val="0"/>
          <w:lang w:val="en-US"/>
        </w:rPr>
        <w:t>Statistical significance of covariates on the primary endpoint for inclusion in the PSM model, using an ordinary least squares test on the unmatched sample</w:t>
      </w:r>
      <w:r w:rsidRPr="00370481">
        <w:rPr>
          <w:b w:val="0"/>
          <w:bCs w:val="0"/>
          <w:lang w:val="en-US"/>
        </w:rPr>
        <w:t>.</w:t>
      </w:r>
    </w:p>
    <w:tbl>
      <w:tblPr>
        <w:tblStyle w:val="PlainTable4"/>
        <w:tblW w:w="9072" w:type="dxa"/>
        <w:tblCellMar>
          <w:top w:w="57" w:type="dxa"/>
          <w:left w:w="85" w:type="dxa"/>
          <w:bottom w:w="57" w:type="dxa"/>
          <w:right w:w="85" w:type="dxa"/>
        </w:tblCellMar>
        <w:tblLook w:val="0600" w:firstRow="0" w:lastRow="0" w:firstColumn="0" w:lastColumn="0" w:noHBand="1" w:noVBand="1"/>
      </w:tblPr>
      <w:tblGrid>
        <w:gridCol w:w="3402"/>
        <w:gridCol w:w="1701"/>
        <w:gridCol w:w="2410"/>
        <w:gridCol w:w="1559"/>
      </w:tblGrid>
      <w:tr w:rsidR="00794C15" w:rsidRPr="00567445" w14:paraId="3B1A0631" w14:textId="77777777" w:rsidTr="00370481">
        <w:trPr>
          <w:trHeight w:val="20"/>
        </w:trPr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1A062D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/>
                <w:bCs/>
                <w:sz w:val="20"/>
                <w:szCs w:val="20"/>
                <w:lang w:val="en-US"/>
              </w:rPr>
              <w:t>Covariates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1A062E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/>
                <w:bCs/>
                <w:sz w:val="20"/>
                <w:szCs w:val="20"/>
                <w:lang w:val="en-US"/>
              </w:rPr>
              <w:t>Coefficient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1A062F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/>
                <w:bCs/>
                <w:sz w:val="20"/>
                <w:szCs w:val="20"/>
                <w:lang w:val="en-US"/>
              </w:rPr>
              <w:t>Confidence interval</w:t>
            </w:r>
          </w:p>
        </w:tc>
        <w:tc>
          <w:tcPr>
            <w:tcW w:w="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1A0630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134797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</w:t>
            </w:r>
            <w:r w:rsidRPr="00567445">
              <w:rPr>
                <w:rFonts w:cs="Arial"/>
                <w:b/>
                <w:bCs/>
                <w:sz w:val="20"/>
                <w:szCs w:val="20"/>
                <w:lang w:val="en-US"/>
              </w:rPr>
              <w:t>-value</w:t>
            </w:r>
          </w:p>
        </w:tc>
      </w:tr>
      <w:tr w:rsidR="00794C15" w:rsidRPr="00567445" w14:paraId="3B1A0633" w14:textId="77777777" w:rsidTr="00370481">
        <w:trPr>
          <w:trHeight w:val="20"/>
        </w:trPr>
        <w:tc>
          <w:tcPr>
            <w:tcW w:w="0" w:type="dxa"/>
            <w:gridSpan w:val="4"/>
            <w:tcBorders>
              <w:top w:val="single" w:sz="4" w:space="0" w:color="auto"/>
            </w:tcBorders>
            <w:shd w:val="clear" w:color="auto" w:fill="auto"/>
          </w:tcPr>
          <w:p w14:paraId="3B1A0632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 xml:space="preserve">Included in </w:t>
            </w:r>
            <w:r w:rsidRPr="00370481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PSM model</w:t>
            </w:r>
          </w:p>
        </w:tc>
      </w:tr>
      <w:tr w:rsidR="00794C15" w:rsidRPr="00567445" w14:paraId="3B1A0638" w14:textId="77777777" w:rsidTr="001608E8">
        <w:trPr>
          <w:trHeight w:val="20"/>
        </w:trPr>
        <w:tc>
          <w:tcPr>
            <w:tcW w:w="3402" w:type="dxa"/>
          </w:tcPr>
          <w:p w14:paraId="3B1A0634" w14:textId="78B7B2F7" w:rsidR="00794C15" w:rsidRPr="00567445" w:rsidRDefault="00B5150A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Sex</w:t>
            </w:r>
          </w:p>
        </w:tc>
        <w:tc>
          <w:tcPr>
            <w:tcW w:w="1701" w:type="dxa"/>
          </w:tcPr>
          <w:p w14:paraId="3B1A0635" w14:textId="4415E509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90</w:t>
            </w:r>
          </w:p>
        </w:tc>
        <w:tc>
          <w:tcPr>
            <w:tcW w:w="2410" w:type="dxa"/>
          </w:tcPr>
          <w:p w14:paraId="3B1A0636" w14:textId="4B4824C1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-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21, 2.01</w:t>
            </w:r>
          </w:p>
        </w:tc>
        <w:tc>
          <w:tcPr>
            <w:tcW w:w="1559" w:type="dxa"/>
          </w:tcPr>
          <w:p w14:paraId="3B1A0637" w14:textId="5740314C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112</w:t>
            </w:r>
          </w:p>
        </w:tc>
      </w:tr>
      <w:tr w:rsidR="00794C15" w:rsidRPr="00567445" w14:paraId="3B1A063D" w14:textId="77777777" w:rsidTr="00370481">
        <w:trPr>
          <w:trHeight w:val="20"/>
        </w:trPr>
        <w:tc>
          <w:tcPr>
            <w:tcW w:w="0" w:type="dxa"/>
            <w:shd w:val="clear" w:color="auto" w:fill="auto"/>
          </w:tcPr>
          <w:p w14:paraId="3B1A0639" w14:textId="1C8729CA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Child</w:t>
            </w:r>
            <w:r w:rsidR="001608E8">
              <w:rPr>
                <w:rFonts w:cs="Arial"/>
                <w:sz w:val="20"/>
                <w:szCs w:val="20"/>
                <w:lang w:val="en-US"/>
              </w:rPr>
              <w:t>–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Pugh score</w:t>
            </w:r>
          </w:p>
        </w:tc>
        <w:tc>
          <w:tcPr>
            <w:tcW w:w="0" w:type="dxa"/>
            <w:shd w:val="clear" w:color="auto" w:fill="auto"/>
          </w:tcPr>
          <w:p w14:paraId="3B1A063A" w14:textId="68792F1F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67</w:t>
            </w:r>
          </w:p>
        </w:tc>
        <w:tc>
          <w:tcPr>
            <w:tcW w:w="0" w:type="dxa"/>
            <w:shd w:val="clear" w:color="auto" w:fill="auto"/>
          </w:tcPr>
          <w:p w14:paraId="3B1A063B" w14:textId="5F71DAEF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 xml:space="preserve">46, </w:t>
            </w: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88</w:t>
            </w:r>
          </w:p>
        </w:tc>
        <w:tc>
          <w:tcPr>
            <w:tcW w:w="0" w:type="dxa"/>
            <w:shd w:val="clear" w:color="auto" w:fill="auto"/>
          </w:tcPr>
          <w:p w14:paraId="3B1A063C" w14:textId="136D64EE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&lt;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001*</w:t>
            </w:r>
          </w:p>
        </w:tc>
      </w:tr>
      <w:tr w:rsidR="00794C15" w:rsidRPr="00567445" w14:paraId="3B1A0642" w14:textId="77777777" w:rsidTr="00370481">
        <w:trPr>
          <w:trHeight w:val="20"/>
        </w:trPr>
        <w:tc>
          <w:tcPr>
            <w:tcW w:w="0" w:type="dxa"/>
            <w:tcBorders>
              <w:bottom w:val="single" w:sz="4" w:space="0" w:color="808080" w:themeColor="background1" w:themeShade="80"/>
            </w:tcBorders>
          </w:tcPr>
          <w:p w14:paraId="3B1A063E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Multiple comorbidities</w:t>
            </w:r>
            <w:r w:rsidRPr="00567445">
              <w:rPr>
                <w:rFonts w:cs="Arial"/>
                <w:sz w:val="20"/>
                <w:szCs w:val="20"/>
                <w:vertAlign w:val="superscript"/>
                <w:lang w:val="en-US"/>
              </w:rPr>
              <w:t>†</w:t>
            </w:r>
          </w:p>
        </w:tc>
        <w:tc>
          <w:tcPr>
            <w:tcW w:w="0" w:type="dxa"/>
            <w:tcBorders>
              <w:bottom w:val="single" w:sz="4" w:space="0" w:color="808080" w:themeColor="background1" w:themeShade="80"/>
            </w:tcBorders>
          </w:tcPr>
          <w:p w14:paraId="3B1A063F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2.09</w:t>
            </w:r>
          </w:p>
        </w:tc>
        <w:tc>
          <w:tcPr>
            <w:tcW w:w="0" w:type="dxa"/>
            <w:tcBorders>
              <w:bottom w:val="single" w:sz="4" w:space="0" w:color="808080" w:themeColor="background1" w:themeShade="80"/>
            </w:tcBorders>
          </w:tcPr>
          <w:p w14:paraId="3B1A0640" w14:textId="1F7E009B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67, 3.50</w:t>
            </w:r>
          </w:p>
        </w:tc>
        <w:tc>
          <w:tcPr>
            <w:tcW w:w="0" w:type="dxa"/>
            <w:tcBorders>
              <w:bottom w:val="single" w:sz="4" w:space="0" w:color="808080" w:themeColor="background1" w:themeShade="80"/>
            </w:tcBorders>
          </w:tcPr>
          <w:p w14:paraId="3B1A0641" w14:textId="69D83CC6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004*</w:t>
            </w:r>
          </w:p>
        </w:tc>
      </w:tr>
      <w:tr w:rsidR="00794C15" w:rsidRPr="00567445" w14:paraId="3B1A0644" w14:textId="77777777" w:rsidTr="00370481">
        <w:trPr>
          <w:trHeight w:val="20"/>
        </w:trPr>
        <w:tc>
          <w:tcPr>
            <w:tcW w:w="0" w:type="dxa"/>
            <w:gridSpan w:val="4"/>
            <w:tcBorders>
              <w:top w:val="single" w:sz="4" w:space="0" w:color="808080" w:themeColor="background1" w:themeShade="80"/>
            </w:tcBorders>
            <w:shd w:val="clear" w:color="auto" w:fill="auto"/>
          </w:tcPr>
          <w:p w14:paraId="3B1A0643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Not included in PSM model</w:t>
            </w:r>
          </w:p>
        </w:tc>
      </w:tr>
      <w:tr w:rsidR="00794C15" w:rsidRPr="00567445" w14:paraId="3B1A0649" w14:textId="77777777" w:rsidTr="001608E8">
        <w:trPr>
          <w:trHeight w:val="20"/>
        </w:trPr>
        <w:tc>
          <w:tcPr>
            <w:tcW w:w="3402" w:type="dxa"/>
          </w:tcPr>
          <w:p w14:paraId="3B1A0645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Age</w:t>
            </w:r>
          </w:p>
        </w:tc>
        <w:tc>
          <w:tcPr>
            <w:tcW w:w="1701" w:type="dxa"/>
          </w:tcPr>
          <w:p w14:paraId="3B1A0646" w14:textId="7056FAD1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-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01</w:t>
            </w:r>
          </w:p>
        </w:tc>
        <w:tc>
          <w:tcPr>
            <w:tcW w:w="2410" w:type="dxa"/>
          </w:tcPr>
          <w:p w14:paraId="3B1A0647" w14:textId="06D80E44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-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06, 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1559" w:type="dxa"/>
          </w:tcPr>
          <w:p w14:paraId="3B1A0648" w14:textId="6FB0AA32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706</w:t>
            </w:r>
          </w:p>
        </w:tc>
      </w:tr>
      <w:tr w:rsidR="00794C15" w:rsidRPr="00567445" w14:paraId="3B1A064E" w14:textId="77777777" w:rsidTr="00370481">
        <w:trPr>
          <w:trHeight w:val="20"/>
        </w:trPr>
        <w:tc>
          <w:tcPr>
            <w:tcW w:w="0" w:type="dxa"/>
            <w:shd w:val="clear" w:color="auto" w:fill="auto"/>
          </w:tcPr>
          <w:p w14:paraId="3B1A064A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Weight</w:t>
            </w:r>
          </w:p>
        </w:tc>
        <w:tc>
          <w:tcPr>
            <w:tcW w:w="0" w:type="dxa"/>
            <w:shd w:val="clear" w:color="auto" w:fill="auto"/>
          </w:tcPr>
          <w:p w14:paraId="3B1A064B" w14:textId="57EA0D17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02</w:t>
            </w:r>
          </w:p>
        </w:tc>
        <w:tc>
          <w:tcPr>
            <w:tcW w:w="0" w:type="dxa"/>
            <w:shd w:val="clear" w:color="auto" w:fill="auto"/>
          </w:tcPr>
          <w:p w14:paraId="3B1A064C" w14:textId="52B1CA6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-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02, 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06</w:t>
            </w:r>
          </w:p>
        </w:tc>
        <w:tc>
          <w:tcPr>
            <w:tcW w:w="0" w:type="dxa"/>
            <w:shd w:val="clear" w:color="auto" w:fill="auto"/>
          </w:tcPr>
          <w:p w14:paraId="3B1A064D" w14:textId="7725CED7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370</w:t>
            </w:r>
          </w:p>
        </w:tc>
      </w:tr>
      <w:tr w:rsidR="00794C15" w:rsidRPr="00567445" w14:paraId="3B1A0653" w14:textId="77777777" w:rsidTr="009C1381">
        <w:trPr>
          <w:trHeight w:val="20"/>
        </w:trPr>
        <w:tc>
          <w:tcPr>
            <w:tcW w:w="3402" w:type="dxa"/>
            <w:tcBorders>
              <w:bottom w:val="single" w:sz="4" w:space="0" w:color="auto"/>
            </w:tcBorders>
          </w:tcPr>
          <w:p w14:paraId="3B1A064F" w14:textId="77777777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Region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B1A0650" w14:textId="4C37DAC3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20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3B1A0651" w14:textId="02C3039D" w:rsidR="00794C15" w:rsidRPr="00567445" w:rsidRDefault="005D44C6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 w:rsidRPr="00567445">
              <w:rPr>
                <w:rFonts w:cs="Arial"/>
                <w:sz w:val="20"/>
                <w:szCs w:val="20"/>
                <w:lang w:val="en-US"/>
              </w:rPr>
              <w:t>-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 xml:space="preserve">38, </w:t>
            </w:r>
            <w:r w:rsidR="00D85193"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Pr="00567445">
              <w:rPr>
                <w:rFonts w:cs="Arial"/>
                <w:sz w:val="20"/>
                <w:szCs w:val="20"/>
                <w:lang w:val="en-US"/>
              </w:rPr>
              <w:t>78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B1A0652" w14:textId="78F978D6" w:rsidR="00794C15" w:rsidRPr="00567445" w:rsidRDefault="00D85193" w:rsidP="001608E8">
            <w:pPr>
              <w:spacing w:after="0" w:line="276" w:lineRule="auto"/>
              <w:rPr>
                <w:rFonts w:cs="Arial"/>
                <w:sz w:val="20"/>
                <w:szCs w:val="20"/>
                <w:lang w:val="en-US"/>
              </w:rPr>
            </w:pPr>
            <w:r>
              <w:rPr>
                <w:rFonts w:cs="Arial"/>
                <w:sz w:val="20"/>
                <w:szCs w:val="20"/>
                <w:lang w:val="en-US"/>
              </w:rPr>
              <w:t>0</w:t>
            </w:r>
            <w:r w:rsidR="009E7F5E">
              <w:rPr>
                <w:rFonts w:cs="Arial"/>
                <w:sz w:val="20"/>
                <w:szCs w:val="20"/>
                <w:lang w:val="en-US"/>
              </w:rPr>
              <w:t>.</w:t>
            </w:r>
            <w:r w:rsidR="005D44C6" w:rsidRPr="00567445">
              <w:rPr>
                <w:rFonts w:cs="Arial"/>
                <w:sz w:val="20"/>
                <w:szCs w:val="20"/>
                <w:lang w:val="en-US"/>
              </w:rPr>
              <w:t>502</w:t>
            </w:r>
          </w:p>
        </w:tc>
      </w:tr>
    </w:tbl>
    <w:p w14:paraId="3B1A0654" w14:textId="77777777" w:rsidR="00794C15" w:rsidRPr="00070A09" w:rsidRDefault="005D44C6" w:rsidP="00134797">
      <w:pPr>
        <w:pStyle w:val="Footnote"/>
        <w:spacing w:line="276" w:lineRule="auto"/>
      </w:pPr>
      <w:r w:rsidRPr="00070A09">
        <w:t>*Statistically significant.</w:t>
      </w:r>
    </w:p>
    <w:p w14:paraId="3B1A0655" w14:textId="77777777" w:rsidR="00794C15" w:rsidRPr="00070A09" w:rsidRDefault="005D44C6" w:rsidP="00134797">
      <w:pPr>
        <w:pStyle w:val="Footnote"/>
        <w:spacing w:line="276" w:lineRule="auto"/>
      </w:pPr>
      <w:r w:rsidRPr="00070A09">
        <w:rPr>
          <w:vertAlign w:val="superscript"/>
        </w:rPr>
        <w:t>†</w:t>
      </w:r>
      <w:r w:rsidRPr="00070A09">
        <w:t>Patients were defined as having multiple comorbidities if they had two or more cirrhosis-related comorbidities.</w:t>
      </w:r>
    </w:p>
    <w:p w14:paraId="3B1A0656" w14:textId="7BA85988" w:rsidR="00794C15" w:rsidRPr="00070A09" w:rsidRDefault="001608E8" w:rsidP="00134797">
      <w:pPr>
        <w:pStyle w:val="Footnote"/>
        <w:spacing w:line="276" w:lineRule="auto"/>
      </w:pPr>
      <w:r>
        <w:t xml:space="preserve">Abbreviation: </w:t>
      </w:r>
      <w:r w:rsidR="005D44C6" w:rsidRPr="00070A09">
        <w:t>PSM, propensity score matching.</w:t>
      </w:r>
    </w:p>
    <w:p w14:paraId="3B1A0657" w14:textId="77777777" w:rsidR="00794C15" w:rsidRDefault="005D44C6" w:rsidP="00134797">
      <w:pPr>
        <w:spacing w:line="276" w:lineRule="auto"/>
        <w:rPr>
          <w:lang w:val="en-US"/>
        </w:rPr>
      </w:pPr>
      <w:r>
        <w:rPr>
          <w:lang w:val="en-US"/>
        </w:rPr>
        <w:br w:type="page" w:clear="all"/>
      </w:r>
    </w:p>
    <w:p w14:paraId="3B1A0658" w14:textId="5728F294" w:rsidR="00794C15" w:rsidRPr="00070A09" w:rsidRDefault="006E0833" w:rsidP="00134797">
      <w:pPr>
        <w:pStyle w:val="Heading1"/>
        <w:numPr>
          <w:ilvl w:val="0"/>
          <w:numId w:val="0"/>
        </w:numPr>
        <w:spacing w:line="276" w:lineRule="auto"/>
        <w:ind w:left="432" w:hanging="432"/>
      </w:pPr>
      <w:r w:rsidRPr="00070A09">
        <w:lastRenderedPageBreak/>
        <w:t>S</w:t>
      </w:r>
      <w:r w:rsidR="00C2114B" w:rsidRPr="00070A09">
        <w:t>upplementary</w:t>
      </w:r>
      <w:r w:rsidRPr="00070A09">
        <w:t xml:space="preserve"> </w:t>
      </w:r>
      <w:r>
        <w:t>R</w:t>
      </w:r>
      <w:r w:rsidR="00C2114B" w:rsidRPr="00070A09">
        <w:t>eferences</w:t>
      </w:r>
    </w:p>
    <w:p w14:paraId="247AC276" w14:textId="6FEAC36D" w:rsidR="00247FFD" w:rsidRPr="00B5150A" w:rsidRDefault="00247FFD" w:rsidP="00247FFD">
      <w:pPr>
        <w:pStyle w:val="EndNoteBibliography"/>
        <w:spacing w:after="0"/>
        <w:rPr>
          <w:noProof/>
          <w:lang w:val="nb-NO"/>
        </w:rPr>
      </w:pPr>
      <w:r w:rsidRPr="00247FFD">
        <w:rPr>
          <w:noProof/>
        </w:rPr>
        <w:t>1.</w:t>
      </w:r>
      <w:r w:rsidRPr="00247FFD">
        <w:rPr>
          <w:noProof/>
        </w:rPr>
        <w:tab/>
        <w:t xml:space="preserve">Mazzaferro V, Regalia E, Doci R, Andreola S, Pulvirenti A, Bozzetti F, et al. Liver transplantation for the treatment of small hepatocellular carcinomas in patients with cirrhosis. </w:t>
      </w:r>
      <w:r w:rsidRPr="00B5150A">
        <w:rPr>
          <w:i/>
          <w:noProof/>
          <w:lang w:val="nb-NO"/>
        </w:rPr>
        <w:t>N Engl J Med</w:t>
      </w:r>
      <w:r w:rsidRPr="00B5150A">
        <w:rPr>
          <w:noProof/>
          <w:lang w:val="nb-NO"/>
        </w:rPr>
        <w:t xml:space="preserve"> 1996;</w:t>
      </w:r>
      <w:r w:rsidRPr="00B5150A">
        <w:rPr>
          <w:b/>
          <w:noProof/>
          <w:lang w:val="nb-NO"/>
        </w:rPr>
        <w:t>334</w:t>
      </w:r>
      <w:r w:rsidRPr="00B5150A">
        <w:rPr>
          <w:noProof/>
          <w:lang w:val="nb-NO"/>
        </w:rPr>
        <w:t>(11):693–9. https://doi.org/10.1056/nejm199603143341104.</w:t>
      </w:r>
    </w:p>
    <w:p w14:paraId="133C0975" w14:textId="39927F30" w:rsidR="00247FFD" w:rsidRPr="00247FFD" w:rsidRDefault="00247FFD" w:rsidP="00247FFD">
      <w:pPr>
        <w:pStyle w:val="EndNoteBibliography"/>
        <w:spacing w:after="0"/>
        <w:rPr>
          <w:noProof/>
        </w:rPr>
      </w:pPr>
      <w:r w:rsidRPr="00B5150A">
        <w:rPr>
          <w:noProof/>
          <w:lang w:val="nb-NO"/>
        </w:rPr>
        <w:t>2.</w:t>
      </w:r>
      <w:r w:rsidRPr="00B5150A">
        <w:rPr>
          <w:noProof/>
          <w:lang w:val="nb-NO"/>
        </w:rPr>
        <w:tab/>
        <w:t xml:space="preserve">Caraceni P, Riggio O, Angeli P, Alessandria C, Neri S, Foschi FG, et al. </w:t>
      </w:r>
      <w:r w:rsidRPr="00247FFD">
        <w:rPr>
          <w:noProof/>
        </w:rPr>
        <w:t xml:space="preserve">Long-term albumin administration in decompensated cirrhosis (ANSWER): An open-label randomised trial. </w:t>
      </w:r>
      <w:r w:rsidRPr="00247FFD">
        <w:rPr>
          <w:i/>
          <w:noProof/>
        </w:rPr>
        <w:t>Lancet</w:t>
      </w:r>
      <w:r w:rsidRPr="00247FFD">
        <w:rPr>
          <w:noProof/>
        </w:rPr>
        <w:t xml:space="preserve"> 2018;</w:t>
      </w:r>
      <w:r w:rsidRPr="00247FFD">
        <w:rPr>
          <w:b/>
          <w:noProof/>
        </w:rPr>
        <w:t>391</w:t>
      </w:r>
      <w:r w:rsidRPr="00247FFD">
        <w:rPr>
          <w:noProof/>
        </w:rPr>
        <w:t xml:space="preserve">(10138):2417–29. </w:t>
      </w:r>
      <w:r w:rsidRPr="00370481">
        <w:rPr>
          <w:noProof/>
        </w:rPr>
        <w:t>https://doi.org/10.1016/s0140-6736(18)30840-7</w:t>
      </w:r>
      <w:r w:rsidRPr="00247FFD">
        <w:rPr>
          <w:noProof/>
        </w:rPr>
        <w:t>.</w:t>
      </w:r>
    </w:p>
    <w:p w14:paraId="11529553" w14:textId="360285DA" w:rsidR="00247FFD" w:rsidRPr="00247FFD" w:rsidRDefault="00247FFD" w:rsidP="00247FFD">
      <w:pPr>
        <w:pStyle w:val="EndNoteBibliography"/>
        <w:spacing w:after="0"/>
        <w:rPr>
          <w:noProof/>
        </w:rPr>
      </w:pPr>
      <w:r w:rsidRPr="00247FFD">
        <w:rPr>
          <w:noProof/>
        </w:rPr>
        <w:t>3.</w:t>
      </w:r>
      <w:r w:rsidRPr="00247FFD">
        <w:rPr>
          <w:noProof/>
        </w:rPr>
        <w:tab/>
        <w:t xml:space="preserve">Cholongitas E, Papatheodoridis GV, Vangeli M, Terreni N, Patch D, Burroughs AK. Systematic review: The model for end-stage liver disease - Should it replace Child-Pugh's classification for assessing prognosis in cirrhosis? </w:t>
      </w:r>
      <w:r w:rsidRPr="00247FFD">
        <w:rPr>
          <w:i/>
          <w:noProof/>
        </w:rPr>
        <w:t>Aliment Pharmacol Ther</w:t>
      </w:r>
      <w:r w:rsidRPr="00247FFD">
        <w:rPr>
          <w:noProof/>
        </w:rPr>
        <w:t xml:space="preserve"> 2005;</w:t>
      </w:r>
      <w:r w:rsidRPr="00247FFD">
        <w:rPr>
          <w:b/>
          <w:noProof/>
        </w:rPr>
        <w:t>22</w:t>
      </w:r>
      <w:r w:rsidRPr="00247FFD">
        <w:rPr>
          <w:noProof/>
        </w:rPr>
        <w:t xml:space="preserve">(11–12):1079–89. </w:t>
      </w:r>
      <w:r w:rsidRPr="00370481">
        <w:rPr>
          <w:noProof/>
        </w:rPr>
        <w:t>https://doi.org/10.1111/j.1365-2036.2005.02691.x</w:t>
      </w:r>
      <w:r w:rsidRPr="00247FFD">
        <w:rPr>
          <w:noProof/>
        </w:rPr>
        <w:t>.</w:t>
      </w:r>
    </w:p>
    <w:p w14:paraId="6ECD2E00" w14:textId="77777777" w:rsidR="00247FFD" w:rsidRPr="00247FFD" w:rsidRDefault="00247FFD" w:rsidP="00247FFD">
      <w:pPr>
        <w:pStyle w:val="EndNoteBibliography"/>
        <w:spacing w:after="0"/>
        <w:rPr>
          <w:noProof/>
        </w:rPr>
      </w:pPr>
      <w:r w:rsidRPr="00247FFD">
        <w:rPr>
          <w:noProof/>
        </w:rPr>
        <w:t>4.</w:t>
      </w:r>
      <w:r w:rsidRPr="00247FFD">
        <w:rPr>
          <w:noProof/>
        </w:rPr>
        <w:tab/>
        <w:t>Child C, Turcotte J. The liver and portal hypertension. In:</w:t>
      </w:r>
      <w:r w:rsidRPr="00247FFD">
        <w:rPr>
          <w:i/>
          <w:noProof/>
        </w:rPr>
        <w:t xml:space="preserve"> Child CI, ed Surgery and Portal Hypertension</w:t>
      </w:r>
      <w:r w:rsidRPr="00247FFD">
        <w:rPr>
          <w:noProof/>
        </w:rPr>
        <w:t>. Philadelphia, USA: W. B. Saunders; 1964, p. 50–8.</w:t>
      </w:r>
    </w:p>
    <w:p w14:paraId="38C6C526" w14:textId="5808C14F" w:rsidR="00247FFD" w:rsidRPr="00247FFD" w:rsidRDefault="00247FFD" w:rsidP="00247FFD">
      <w:pPr>
        <w:pStyle w:val="EndNoteBibliography"/>
        <w:spacing w:after="0"/>
        <w:rPr>
          <w:noProof/>
        </w:rPr>
      </w:pPr>
      <w:r w:rsidRPr="00247FFD">
        <w:rPr>
          <w:noProof/>
        </w:rPr>
        <w:t>5.</w:t>
      </w:r>
      <w:r w:rsidRPr="00247FFD">
        <w:rPr>
          <w:noProof/>
        </w:rPr>
        <w:tab/>
        <w:t xml:space="preserve">Pugh RN, Murray-Lyon IM, Dawson JL, Pietroni MC, Williams R. Transection of the oesophagus for bleeding oesophageal varices. </w:t>
      </w:r>
      <w:r w:rsidRPr="00247FFD">
        <w:rPr>
          <w:i/>
          <w:noProof/>
        </w:rPr>
        <w:t>Br J Surg</w:t>
      </w:r>
      <w:r w:rsidRPr="00247FFD">
        <w:rPr>
          <w:noProof/>
        </w:rPr>
        <w:t xml:space="preserve"> 1973;</w:t>
      </w:r>
      <w:r w:rsidRPr="00247FFD">
        <w:rPr>
          <w:b/>
          <w:noProof/>
        </w:rPr>
        <w:t>60</w:t>
      </w:r>
      <w:r w:rsidRPr="00247FFD">
        <w:rPr>
          <w:noProof/>
        </w:rPr>
        <w:t xml:space="preserve">(8):646–9. </w:t>
      </w:r>
      <w:r w:rsidRPr="00370481">
        <w:rPr>
          <w:noProof/>
        </w:rPr>
        <w:t>https://doi.org/10.1002/bjs.1800600817</w:t>
      </w:r>
      <w:r w:rsidRPr="00247FFD">
        <w:rPr>
          <w:noProof/>
        </w:rPr>
        <w:t>.</w:t>
      </w:r>
    </w:p>
    <w:p w14:paraId="3B1A065E" w14:textId="6A94F793" w:rsidR="00794C15" w:rsidRPr="00567445" w:rsidRDefault="00794C15" w:rsidP="00370481">
      <w:pPr>
        <w:spacing w:after="120" w:line="276" w:lineRule="auto"/>
        <w:rPr>
          <w:lang w:val="en-US"/>
        </w:rPr>
      </w:pPr>
    </w:p>
    <w:sectPr w:rsidR="00794C15" w:rsidRPr="00567445" w:rsidSect="0074310A">
      <w:footerReference w:type="default" r:id="rId11"/>
      <w:pgSz w:w="11906" w:h="16838" w:code="9"/>
      <w:pgMar w:top="1440" w:right="1440" w:bottom="1440" w:left="1440" w:header="708" w:footer="708" w:gutter="0"/>
      <w:pgNumType w:start="1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128031" w14:textId="77777777" w:rsidR="001F0AA4" w:rsidRDefault="001F0AA4">
      <w:pPr>
        <w:spacing w:after="0" w:line="240" w:lineRule="auto"/>
      </w:pPr>
      <w:r>
        <w:separator/>
      </w:r>
    </w:p>
  </w:endnote>
  <w:endnote w:type="continuationSeparator" w:id="0">
    <w:p w14:paraId="59F632B6" w14:textId="77777777" w:rsidR="001F0AA4" w:rsidRDefault="001F0AA4">
      <w:pPr>
        <w:spacing w:after="0" w:line="240" w:lineRule="auto"/>
      </w:pPr>
      <w:r>
        <w:continuationSeparator/>
      </w:r>
    </w:p>
  </w:endnote>
  <w:endnote w:type="continuationNotice" w:id="1">
    <w:p w14:paraId="204E30E9" w14:textId="77777777" w:rsidR="001F0AA4" w:rsidRDefault="001F0AA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UPOYJ+Calibri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9512702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2D51039A" w14:textId="77777777" w:rsidR="0074310A" w:rsidRPr="00500A9B" w:rsidRDefault="0074310A" w:rsidP="007C6835">
        <w:pPr>
          <w:pStyle w:val="Footer"/>
          <w:jc w:val="center"/>
          <w:rPr>
            <w:sz w:val="20"/>
            <w:szCs w:val="20"/>
          </w:rPr>
        </w:pPr>
        <w:r w:rsidRPr="00500A9B">
          <w:rPr>
            <w:sz w:val="20"/>
            <w:szCs w:val="20"/>
          </w:rPr>
          <w:fldChar w:fldCharType="begin"/>
        </w:r>
        <w:r w:rsidRPr="00500A9B">
          <w:rPr>
            <w:sz w:val="20"/>
            <w:szCs w:val="20"/>
          </w:rPr>
          <w:instrText xml:space="preserve"> PAGE   \* MERGEFORMAT </w:instrText>
        </w:r>
        <w:r w:rsidRPr="00500A9B">
          <w:rPr>
            <w:sz w:val="20"/>
            <w:szCs w:val="20"/>
          </w:rPr>
          <w:fldChar w:fldCharType="separate"/>
        </w:r>
        <w:r w:rsidRPr="00500A9B">
          <w:rPr>
            <w:sz w:val="20"/>
            <w:szCs w:val="20"/>
          </w:rPr>
          <w:t>2</w:t>
        </w:r>
        <w:r w:rsidRPr="00500A9B">
          <w:rPr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31399" w14:textId="77777777" w:rsidR="001F0AA4" w:rsidRDefault="001F0AA4">
      <w:pPr>
        <w:spacing w:after="0" w:line="240" w:lineRule="auto"/>
      </w:pPr>
      <w:r>
        <w:separator/>
      </w:r>
    </w:p>
  </w:footnote>
  <w:footnote w:type="continuationSeparator" w:id="0">
    <w:p w14:paraId="743EF8B7" w14:textId="77777777" w:rsidR="001F0AA4" w:rsidRDefault="001F0AA4">
      <w:pPr>
        <w:spacing w:after="0" w:line="240" w:lineRule="auto"/>
      </w:pPr>
      <w:r>
        <w:continuationSeparator/>
      </w:r>
    </w:p>
  </w:footnote>
  <w:footnote w:type="continuationNotice" w:id="1">
    <w:p w14:paraId="407BA0F2" w14:textId="77777777" w:rsidR="001F0AA4" w:rsidRDefault="001F0AA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02A1D"/>
    <w:multiLevelType w:val="multilevel"/>
    <w:tmpl w:val="BD0625F4"/>
    <w:lvl w:ilvl="0">
      <w:start w:val="1"/>
      <w:numFmt w:val="bullet"/>
      <w:lvlText w:val="•"/>
      <w:lvlJc w:val="left"/>
      <w:pPr>
        <w:tabs>
          <w:tab w:val="num" w:pos="1211"/>
        </w:tabs>
        <w:ind w:left="1211" w:hanging="360"/>
      </w:pPr>
      <w:rPr>
        <w:rFonts w:ascii="Arial" w:hAnsi="Arial" w:hint="default"/>
      </w:rPr>
    </w:lvl>
    <w:lvl w:ilvl="1">
      <w:start w:val="1"/>
      <w:numFmt w:val="bullet"/>
      <w:lvlText w:val="•"/>
      <w:lvlJc w:val="left"/>
      <w:pPr>
        <w:tabs>
          <w:tab w:val="num" w:pos="1931"/>
        </w:tabs>
        <w:ind w:left="1931" w:hanging="360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tabs>
          <w:tab w:val="num" w:pos="2651"/>
        </w:tabs>
        <w:ind w:left="2651" w:hanging="360"/>
      </w:pPr>
      <w:rPr>
        <w:rFonts w:ascii="Arial" w:hAnsi="Arial" w:hint="default"/>
      </w:rPr>
    </w:lvl>
    <w:lvl w:ilvl="3">
      <w:start w:val="1"/>
      <w:numFmt w:val="bullet"/>
      <w:lvlText w:val="•"/>
      <w:lvlJc w:val="left"/>
      <w:pPr>
        <w:tabs>
          <w:tab w:val="num" w:pos="3371"/>
        </w:tabs>
        <w:ind w:left="3371" w:hanging="360"/>
      </w:pPr>
      <w:rPr>
        <w:rFonts w:ascii="Arial" w:hAnsi="Arial" w:hint="default"/>
      </w:rPr>
    </w:lvl>
    <w:lvl w:ilvl="4">
      <w:start w:val="1"/>
      <w:numFmt w:val="bullet"/>
      <w:lvlText w:val="•"/>
      <w:lvlJc w:val="left"/>
      <w:pPr>
        <w:tabs>
          <w:tab w:val="num" w:pos="4091"/>
        </w:tabs>
        <w:ind w:left="4091" w:hanging="360"/>
      </w:pPr>
      <w:rPr>
        <w:rFonts w:ascii="Arial" w:hAnsi="Arial" w:hint="default"/>
      </w:rPr>
    </w:lvl>
    <w:lvl w:ilvl="5">
      <w:start w:val="1"/>
      <w:numFmt w:val="bullet"/>
      <w:lvlText w:val="•"/>
      <w:lvlJc w:val="left"/>
      <w:pPr>
        <w:tabs>
          <w:tab w:val="num" w:pos="4811"/>
        </w:tabs>
        <w:ind w:left="4811" w:hanging="360"/>
      </w:pPr>
      <w:rPr>
        <w:rFonts w:ascii="Arial" w:hAnsi="Arial" w:hint="default"/>
      </w:rPr>
    </w:lvl>
    <w:lvl w:ilvl="6">
      <w:start w:val="1"/>
      <w:numFmt w:val="bullet"/>
      <w:lvlText w:val="•"/>
      <w:lvlJc w:val="left"/>
      <w:pPr>
        <w:tabs>
          <w:tab w:val="num" w:pos="5531"/>
        </w:tabs>
        <w:ind w:left="5531" w:hanging="360"/>
      </w:pPr>
      <w:rPr>
        <w:rFonts w:ascii="Arial" w:hAnsi="Arial" w:hint="default"/>
      </w:rPr>
    </w:lvl>
    <w:lvl w:ilvl="7">
      <w:start w:val="1"/>
      <w:numFmt w:val="bullet"/>
      <w:lvlText w:val="•"/>
      <w:lvlJc w:val="left"/>
      <w:pPr>
        <w:tabs>
          <w:tab w:val="num" w:pos="6251"/>
        </w:tabs>
        <w:ind w:left="6251" w:hanging="360"/>
      </w:pPr>
      <w:rPr>
        <w:rFonts w:ascii="Arial" w:hAnsi="Arial" w:hint="default"/>
      </w:rPr>
    </w:lvl>
    <w:lvl w:ilvl="8">
      <w:start w:val="1"/>
      <w:numFmt w:val="bullet"/>
      <w:lvlText w:val="•"/>
      <w:lvlJc w:val="left"/>
      <w:pPr>
        <w:tabs>
          <w:tab w:val="num" w:pos="6971"/>
        </w:tabs>
        <w:ind w:left="6971" w:hanging="360"/>
      </w:pPr>
      <w:rPr>
        <w:rFonts w:ascii="Arial" w:hAnsi="Arial" w:hint="default"/>
      </w:rPr>
    </w:lvl>
  </w:abstractNum>
  <w:abstractNum w:abstractNumId="1" w15:restartNumberingAfterBreak="0">
    <w:nsid w:val="041664EB"/>
    <w:multiLevelType w:val="multilevel"/>
    <w:tmpl w:val="CE1EF584"/>
    <w:lvl w:ilvl="0">
      <w:start w:val="1"/>
      <w:numFmt w:val="bullet"/>
      <w:suff w:val="space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54ABD"/>
    <w:multiLevelType w:val="multilevel"/>
    <w:tmpl w:val="0C1A8772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021B4C"/>
    <w:multiLevelType w:val="multilevel"/>
    <w:tmpl w:val="D70C8B2E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7A720E7"/>
    <w:multiLevelType w:val="multilevel"/>
    <w:tmpl w:val="F932A52C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E02615"/>
    <w:multiLevelType w:val="multilevel"/>
    <w:tmpl w:val="59ACB2FE"/>
    <w:lvl w:ilvl="0">
      <w:start w:val="1"/>
      <w:numFmt w:val="bullet"/>
      <w:lvlText w:val="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3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6" w15:restartNumberingAfterBreak="0">
    <w:nsid w:val="19201CA0"/>
    <w:multiLevelType w:val="multilevel"/>
    <w:tmpl w:val="CE5AF2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23344F"/>
    <w:multiLevelType w:val="hybridMultilevel"/>
    <w:tmpl w:val="CDA49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38722D"/>
    <w:multiLevelType w:val="multilevel"/>
    <w:tmpl w:val="072A57C6"/>
    <w:lvl w:ilvl="0">
      <w:start w:val="1"/>
      <w:numFmt w:val="bullet"/>
      <w:suff w:val="space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D627B50"/>
    <w:multiLevelType w:val="multilevel"/>
    <w:tmpl w:val="0E5EA18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B45A7C"/>
    <w:multiLevelType w:val="multilevel"/>
    <w:tmpl w:val="27506D84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07486D"/>
    <w:multiLevelType w:val="multilevel"/>
    <w:tmpl w:val="68E8E2E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306C20"/>
    <w:multiLevelType w:val="multilevel"/>
    <w:tmpl w:val="CEA414C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F10A19"/>
    <w:multiLevelType w:val="multilevel"/>
    <w:tmpl w:val="0CD6B7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suff w:val="space"/>
      <w:lvlText w:val="%2."/>
      <w:lvlJc w:val="left"/>
      <w:pPr>
        <w:ind w:left="1080" w:hanging="360"/>
      </w:pPr>
    </w:lvl>
    <w:lvl w:ilvl="2">
      <w:start w:val="1"/>
      <w:numFmt w:val="lowerRoman"/>
      <w:suff w:val="space"/>
      <w:lvlText w:val="%3."/>
      <w:lvlJc w:val="right"/>
      <w:pPr>
        <w:ind w:left="1800" w:hanging="180"/>
      </w:pPr>
    </w:lvl>
    <w:lvl w:ilvl="3">
      <w:start w:val="1"/>
      <w:numFmt w:val="decimal"/>
      <w:suff w:val="space"/>
      <w:lvlText w:val="%4."/>
      <w:lvlJc w:val="left"/>
      <w:pPr>
        <w:ind w:left="2520" w:hanging="360"/>
      </w:pPr>
    </w:lvl>
    <w:lvl w:ilvl="4">
      <w:start w:val="1"/>
      <w:numFmt w:val="lowerLetter"/>
      <w:suff w:val="space"/>
      <w:lvlText w:val="%5."/>
      <w:lvlJc w:val="left"/>
      <w:pPr>
        <w:ind w:left="3240" w:hanging="360"/>
      </w:pPr>
    </w:lvl>
    <w:lvl w:ilvl="5">
      <w:start w:val="1"/>
      <w:numFmt w:val="lowerRoman"/>
      <w:suff w:val="space"/>
      <w:lvlText w:val="%6."/>
      <w:lvlJc w:val="right"/>
      <w:pPr>
        <w:ind w:left="3960" w:hanging="180"/>
      </w:pPr>
    </w:lvl>
    <w:lvl w:ilvl="6">
      <w:start w:val="1"/>
      <w:numFmt w:val="decimal"/>
      <w:suff w:val="space"/>
      <w:lvlText w:val="%7."/>
      <w:lvlJc w:val="left"/>
      <w:pPr>
        <w:ind w:left="4680" w:hanging="360"/>
      </w:pPr>
    </w:lvl>
    <w:lvl w:ilvl="7">
      <w:start w:val="1"/>
      <w:numFmt w:val="lowerLetter"/>
      <w:suff w:val="space"/>
      <w:lvlText w:val="%8."/>
      <w:lvlJc w:val="left"/>
      <w:pPr>
        <w:ind w:left="5400" w:hanging="360"/>
      </w:pPr>
    </w:lvl>
    <w:lvl w:ilvl="8">
      <w:start w:val="1"/>
      <w:numFmt w:val="lowerRoman"/>
      <w:suff w:val="space"/>
      <w:lvlText w:val="%9."/>
      <w:lvlJc w:val="right"/>
      <w:pPr>
        <w:ind w:left="6120" w:hanging="180"/>
      </w:pPr>
    </w:lvl>
  </w:abstractNum>
  <w:abstractNum w:abstractNumId="14" w15:restartNumberingAfterBreak="0">
    <w:nsid w:val="2E3151D2"/>
    <w:multiLevelType w:val="multilevel"/>
    <w:tmpl w:val="766694D6"/>
    <w:lvl w:ilvl="0">
      <w:start w:val="1"/>
      <w:numFmt w:val="bullet"/>
      <w:suff w:val="space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F237CE6"/>
    <w:multiLevelType w:val="multilevel"/>
    <w:tmpl w:val="99142552"/>
    <w:lvl w:ilvl="0">
      <w:start w:val="1"/>
      <w:numFmt w:val="bullet"/>
      <w:suff w:val="space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666FE6"/>
    <w:multiLevelType w:val="multilevel"/>
    <w:tmpl w:val="16C83C9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6E7347"/>
    <w:multiLevelType w:val="multilevel"/>
    <w:tmpl w:val="5F9692E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46B2A59"/>
    <w:multiLevelType w:val="multilevel"/>
    <w:tmpl w:val="8B9A393C"/>
    <w:lvl w:ilvl="0">
      <w:start w:val="1"/>
      <w:numFmt w:val="bullet"/>
      <w:suff w:val="space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>
      <w:start w:val="1"/>
      <w:numFmt w:val="bullet"/>
      <w:suff w:val="space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>
      <w:start w:val="1"/>
      <w:numFmt w:val="bullet"/>
      <w:suff w:val="space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>
      <w:start w:val="1"/>
      <w:numFmt w:val="bullet"/>
      <w:suff w:val="space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>
      <w:start w:val="1"/>
      <w:numFmt w:val="bullet"/>
      <w:suff w:val="space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>
      <w:start w:val="1"/>
      <w:numFmt w:val="bullet"/>
      <w:suff w:val="space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>
      <w:start w:val="1"/>
      <w:numFmt w:val="bullet"/>
      <w:suff w:val="space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>
      <w:start w:val="1"/>
      <w:numFmt w:val="bullet"/>
      <w:suff w:val="space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>
      <w:start w:val="1"/>
      <w:numFmt w:val="bullet"/>
      <w:suff w:val="space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3B277E0E"/>
    <w:multiLevelType w:val="multilevel"/>
    <w:tmpl w:val="76F40CB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BA03F7"/>
    <w:multiLevelType w:val="multilevel"/>
    <w:tmpl w:val="A134C478"/>
    <w:lvl w:ilvl="0">
      <w:start w:val="1"/>
      <w:numFmt w:val="decimal"/>
      <w:suff w:val="space"/>
      <w:lvlText w:val="%1."/>
      <w:lvlJc w:val="left"/>
      <w:pPr>
        <w:ind w:left="360" w:hanging="360"/>
      </w:pPr>
    </w:lvl>
    <w:lvl w:ilvl="1">
      <w:start w:val="1"/>
      <w:numFmt w:val="lowerLetter"/>
      <w:suff w:val="space"/>
      <w:lvlText w:val="%2."/>
      <w:lvlJc w:val="left"/>
      <w:pPr>
        <w:ind w:left="1080" w:hanging="360"/>
      </w:pPr>
    </w:lvl>
    <w:lvl w:ilvl="2">
      <w:start w:val="1"/>
      <w:numFmt w:val="lowerRoman"/>
      <w:suff w:val="space"/>
      <w:lvlText w:val="%3."/>
      <w:lvlJc w:val="right"/>
      <w:pPr>
        <w:ind w:left="1800" w:hanging="180"/>
      </w:pPr>
    </w:lvl>
    <w:lvl w:ilvl="3">
      <w:start w:val="1"/>
      <w:numFmt w:val="decimal"/>
      <w:suff w:val="space"/>
      <w:lvlText w:val="%4."/>
      <w:lvlJc w:val="left"/>
      <w:pPr>
        <w:ind w:left="2520" w:hanging="360"/>
      </w:pPr>
    </w:lvl>
    <w:lvl w:ilvl="4">
      <w:start w:val="1"/>
      <w:numFmt w:val="lowerLetter"/>
      <w:suff w:val="space"/>
      <w:lvlText w:val="%5."/>
      <w:lvlJc w:val="left"/>
      <w:pPr>
        <w:ind w:left="3240" w:hanging="360"/>
      </w:pPr>
    </w:lvl>
    <w:lvl w:ilvl="5">
      <w:start w:val="1"/>
      <w:numFmt w:val="lowerRoman"/>
      <w:suff w:val="space"/>
      <w:lvlText w:val="%6."/>
      <w:lvlJc w:val="right"/>
      <w:pPr>
        <w:ind w:left="3960" w:hanging="180"/>
      </w:pPr>
    </w:lvl>
    <w:lvl w:ilvl="6">
      <w:start w:val="1"/>
      <w:numFmt w:val="decimal"/>
      <w:suff w:val="space"/>
      <w:lvlText w:val="%7."/>
      <w:lvlJc w:val="left"/>
      <w:pPr>
        <w:ind w:left="4680" w:hanging="360"/>
      </w:pPr>
    </w:lvl>
    <w:lvl w:ilvl="7">
      <w:start w:val="1"/>
      <w:numFmt w:val="lowerLetter"/>
      <w:suff w:val="space"/>
      <w:lvlText w:val="%8."/>
      <w:lvlJc w:val="left"/>
      <w:pPr>
        <w:ind w:left="5400" w:hanging="360"/>
      </w:pPr>
    </w:lvl>
    <w:lvl w:ilvl="8">
      <w:start w:val="1"/>
      <w:numFmt w:val="lowerRoman"/>
      <w:suff w:val="space"/>
      <w:lvlText w:val="%9."/>
      <w:lvlJc w:val="right"/>
      <w:pPr>
        <w:ind w:left="6120" w:hanging="180"/>
      </w:pPr>
    </w:lvl>
  </w:abstractNum>
  <w:abstractNum w:abstractNumId="21" w15:restartNumberingAfterBreak="0">
    <w:nsid w:val="3E7C4D6E"/>
    <w:multiLevelType w:val="multilevel"/>
    <w:tmpl w:val="68307BD2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ED0E9C"/>
    <w:multiLevelType w:val="multilevel"/>
    <w:tmpl w:val="72B891CC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1DE27C1"/>
    <w:multiLevelType w:val="multilevel"/>
    <w:tmpl w:val="84E00526"/>
    <w:lvl w:ilvl="0">
      <w:start w:val="1"/>
      <w:numFmt w:val="bullet"/>
      <w:suff w:val="space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5810AA"/>
    <w:multiLevelType w:val="multilevel"/>
    <w:tmpl w:val="EACA0D88"/>
    <w:lvl w:ilvl="0">
      <w:start w:val="1"/>
      <w:numFmt w:val="bullet"/>
      <w:suff w:val="space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49DB1063"/>
    <w:multiLevelType w:val="multilevel"/>
    <w:tmpl w:val="B9F4478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B914020"/>
    <w:multiLevelType w:val="multilevel"/>
    <w:tmpl w:val="AEA09F1E"/>
    <w:lvl w:ilvl="0">
      <w:start w:val="1"/>
      <w:numFmt w:val="decimal"/>
      <w:suff w:val="space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suff w:val="space"/>
      <w:lvlText w:val="%2."/>
      <w:lvlJc w:val="left"/>
      <w:pPr>
        <w:ind w:left="1440" w:hanging="360"/>
      </w:pPr>
    </w:lvl>
    <w:lvl w:ilvl="2">
      <w:start w:val="1"/>
      <w:numFmt w:val="lowerRoman"/>
      <w:suff w:val="space"/>
      <w:lvlText w:val="%3."/>
      <w:lvlJc w:val="right"/>
      <w:pPr>
        <w:ind w:left="2160" w:hanging="180"/>
      </w:pPr>
    </w:lvl>
    <w:lvl w:ilvl="3">
      <w:start w:val="1"/>
      <w:numFmt w:val="decimal"/>
      <w:suff w:val="space"/>
      <w:lvlText w:val="%4."/>
      <w:lvlJc w:val="left"/>
      <w:pPr>
        <w:ind w:left="2880" w:hanging="360"/>
      </w:pPr>
    </w:lvl>
    <w:lvl w:ilvl="4">
      <w:start w:val="1"/>
      <w:numFmt w:val="lowerLetter"/>
      <w:suff w:val="space"/>
      <w:lvlText w:val="%5."/>
      <w:lvlJc w:val="left"/>
      <w:pPr>
        <w:ind w:left="3600" w:hanging="360"/>
      </w:pPr>
    </w:lvl>
    <w:lvl w:ilvl="5">
      <w:start w:val="1"/>
      <w:numFmt w:val="lowerRoman"/>
      <w:suff w:val="space"/>
      <w:lvlText w:val="%6."/>
      <w:lvlJc w:val="right"/>
      <w:pPr>
        <w:ind w:left="4320" w:hanging="180"/>
      </w:pPr>
    </w:lvl>
    <w:lvl w:ilvl="6">
      <w:start w:val="1"/>
      <w:numFmt w:val="decimal"/>
      <w:suff w:val="space"/>
      <w:lvlText w:val="%7."/>
      <w:lvlJc w:val="left"/>
      <w:pPr>
        <w:ind w:left="5040" w:hanging="360"/>
      </w:pPr>
    </w:lvl>
    <w:lvl w:ilvl="7">
      <w:start w:val="1"/>
      <w:numFmt w:val="lowerLetter"/>
      <w:suff w:val="space"/>
      <w:lvlText w:val="%8."/>
      <w:lvlJc w:val="left"/>
      <w:pPr>
        <w:ind w:left="5760" w:hanging="360"/>
      </w:pPr>
    </w:lvl>
    <w:lvl w:ilvl="8">
      <w:start w:val="1"/>
      <w:numFmt w:val="lowerRoman"/>
      <w:suff w:val="space"/>
      <w:lvlText w:val="%9."/>
      <w:lvlJc w:val="right"/>
      <w:pPr>
        <w:ind w:left="6480" w:hanging="180"/>
      </w:pPr>
    </w:lvl>
  </w:abstractNum>
  <w:abstractNum w:abstractNumId="27" w15:restartNumberingAfterBreak="0">
    <w:nsid w:val="4CEC50ED"/>
    <w:multiLevelType w:val="multilevel"/>
    <w:tmpl w:val="AB72B3A8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C3B15"/>
    <w:multiLevelType w:val="multilevel"/>
    <w:tmpl w:val="9A8A07AE"/>
    <w:lvl w:ilvl="0">
      <w:start w:val="1"/>
      <w:numFmt w:val="bullet"/>
      <w:lvlText w:val=""/>
      <w:lvlJc w:val="left"/>
      <w:pPr>
        <w:ind w:left="720" w:hanging="363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3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3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3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3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3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3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3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3"/>
      </w:pPr>
      <w:rPr>
        <w:rFonts w:ascii="Wingdings" w:hAnsi="Wingdings" w:hint="default"/>
      </w:rPr>
    </w:lvl>
  </w:abstractNum>
  <w:abstractNum w:abstractNumId="29" w15:restartNumberingAfterBreak="0">
    <w:nsid w:val="583F2255"/>
    <w:multiLevelType w:val="multilevel"/>
    <w:tmpl w:val="85744A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3B01D8"/>
    <w:multiLevelType w:val="multilevel"/>
    <w:tmpl w:val="E0AA9C5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5D69607C"/>
    <w:multiLevelType w:val="multilevel"/>
    <w:tmpl w:val="EFECEBB2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5FE17CBB"/>
    <w:multiLevelType w:val="multilevel"/>
    <w:tmpl w:val="C54C9DDE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DC0A84"/>
    <w:multiLevelType w:val="multilevel"/>
    <w:tmpl w:val="41BACEDE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 w15:restartNumberingAfterBreak="0">
    <w:nsid w:val="63C3070D"/>
    <w:multiLevelType w:val="multilevel"/>
    <w:tmpl w:val="37426FA2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3E879EE"/>
    <w:multiLevelType w:val="multilevel"/>
    <w:tmpl w:val="0262A480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BD70DF"/>
    <w:multiLevelType w:val="multilevel"/>
    <w:tmpl w:val="C45EBE7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5801B56"/>
    <w:multiLevelType w:val="multilevel"/>
    <w:tmpl w:val="C59A43E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9EF3F99"/>
    <w:multiLevelType w:val="multilevel"/>
    <w:tmpl w:val="34121AE6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6C2941B2"/>
    <w:multiLevelType w:val="multilevel"/>
    <w:tmpl w:val="036EEA8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0303EEB"/>
    <w:multiLevelType w:val="multilevel"/>
    <w:tmpl w:val="E0A0FAA4"/>
    <w:lvl w:ilvl="0">
      <w:start w:val="1"/>
      <w:numFmt w:val="bullet"/>
      <w:suff w:val="space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suff w:val="space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>
      <w:start w:val="1"/>
      <w:numFmt w:val="bullet"/>
      <w:suff w:val="space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>
      <w:start w:val="1"/>
      <w:numFmt w:val="bullet"/>
      <w:suff w:val="space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suff w:val="space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>
      <w:start w:val="1"/>
      <w:numFmt w:val="bullet"/>
      <w:suff w:val="space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>
      <w:start w:val="1"/>
      <w:numFmt w:val="bullet"/>
      <w:suff w:val="space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>
      <w:start w:val="1"/>
      <w:numFmt w:val="bullet"/>
      <w:suff w:val="space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>
      <w:start w:val="1"/>
      <w:numFmt w:val="bullet"/>
      <w:suff w:val="space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1" w15:restartNumberingAfterBreak="0">
    <w:nsid w:val="725C0DCB"/>
    <w:multiLevelType w:val="multilevel"/>
    <w:tmpl w:val="A8D2EA44"/>
    <w:lvl w:ilvl="0">
      <w:start w:val="1"/>
      <w:numFmt w:val="bullet"/>
      <w:suff w:val="space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35B405A"/>
    <w:multiLevelType w:val="multilevel"/>
    <w:tmpl w:val="0B6C926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4715734"/>
    <w:multiLevelType w:val="multilevel"/>
    <w:tmpl w:val="6630B392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52848AB"/>
    <w:multiLevelType w:val="multilevel"/>
    <w:tmpl w:val="30A0B790"/>
    <w:lvl w:ilvl="0">
      <w:start w:val="1"/>
      <w:numFmt w:val="bullet"/>
      <w:suff w:val="space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>
      <w:start w:val="1"/>
      <w:numFmt w:val="bullet"/>
      <w:suff w:val="space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>
      <w:start w:val="1"/>
      <w:numFmt w:val="bullet"/>
      <w:suff w:val="space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>
      <w:start w:val="1"/>
      <w:numFmt w:val="bullet"/>
      <w:suff w:val="space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>
      <w:start w:val="1"/>
      <w:numFmt w:val="bullet"/>
      <w:suff w:val="space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>
      <w:start w:val="1"/>
      <w:numFmt w:val="bullet"/>
      <w:suff w:val="space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>
      <w:start w:val="1"/>
      <w:numFmt w:val="bullet"/>
      <w:suff w:val="space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>
      <w:start w:val="1"/>
      <w:numFmt w:val="bullet"/>
      <w:suff w:val="space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>
      <w:start w:val="1"/>
      <w:numFmt w:val="bullet"/>
      <w:suff w:val="space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5" w15:restartNumberingAfterBreak="0">
    <w:nsid w:val="78470FD7"/>
    <w:multiLevelType w:val="multilevel"/>
    <w:tmpl w:val="BE56880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788A1C7D"/>
    <w:multiLevelType w:val="multilevel"/>
    <w:tmpl w:val="30B62AE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C594842"/>
    <w:multiLevelType w:val="hybridMultilevel"/>
    <w:tmpl w:val="955A2A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EA0188F"/>
    <w:multiLevelType w:val="multilevel"/>
    <w:tmpl w:val="D1148F30"/>
    <w:lvl w:ilvl="0">
      <w:start w:val="1"/>
      <w:numFmt w:val="bullet"/>
      <w:suff w:val="space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suff w:val="space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space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suff w:val="space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suff w:val="space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space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suff w:val="space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suff w:val="space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space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7FD011B9"/>
    <w:multiLevelType w:val="multilevel"/>
    <w:tmpl w:val="21FAF77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4669019">
    <w:abstractNumId w:val="36"/>
  </w:num>
  <w:num w:numId="2" w16cid:durableId="627391531">
    <w:abstractNumId w:val="46"/>
  </w:num>
  <w:num w:numId="3" w16cid:durableId="2081362409">
    <w:abstractNumId w:val="11"/>
  </w:num>
  <w:num w:numId="4" w16cid:durableId="287397382">
    <w:abstractNumId w:val="25"/>
  </w:num>
  <w:num w:numId="5" w16cid:durableId="948898413">
    <w:abstractNumId w:val="33"/>
  </w:num>
  <w:num w:numId="6" w16cid:durableId="191310216">
    <w:abstractNumId w:val="0"/>
  </w:num>
  <w:num w:numId="7" w16cid:durableId="1657874533">
    <w:abstractNumId w:val="9"/>
  </w:num>
  <w:num w:numId="8" w16cid:durableId="1359507519">
    <w:abstractNumId w:val="43"/>
  </w:num>
  <w:num w:numId="9" w16cid:durableId="1909068077">
    <w:abstractNumId w:val="27"/>
  </w:num>
  <w:num w:numId="10" w16cid:durableId="1225411154">
    <w:abstractNumId w:val="38"/>
  </w:num>
  <w:num w:numId="11" w16cid:durableId="184953160">
    <w:abstractNumId w:val="49"/>
  </w:num>
  <w:num w:numId="12" w16cid:durableId="1094981124">
    <w:abstractNumId w:val="42"/>
  </w:num>
  <w:num w:numId="13" w16cid:durableId="563025496">
    <w:abstractNumId w:val="39"/>
  </w:num>
  <w:num w:numId="14" w16cid:durableId="661928718">
    <w:abstractNumId w:val="3"/>
  </w:num>
  <w:num w:numId="15" w16cid:durableId="1711370059">
    <w:abstractNumId w:val="29"/>
  </w:num>
  <w:num w:numId="16" w16cid:durableId="1462186873">
    <w:abstractNumId w:val="17"/>
  </w:num>
  <w:num w:numId="17" w16cid:durableId="968050359">
    <w:abstractNumId w:val="19"/>
  </w:num>
  <w:num w:numId="18" w16cid:durableId="1018969193">
    <w:abstractNumId w:val="30"/>
  </w:num>
  <w:num w:numId="19" w16cid:durableId="453793927">
    <w:abstractNumId w:val="12"/>
  </w:num>
  <w:num w:numId="20" w16cid:durableId="35736098">
    <w:abstractNumId w:val="16"/>
  </w:num>
  <w:num w:numId="21" w16cid:durableId="2127850074">
    <w:abstractNumId w:val="45"/>
  </w:num>
  <w:num w:numId="22" w16cid:durableId="538589650">
    <w:abstractNumId w:val="6"/>
  </w:num>
  <w:num w:numId="23" w16cid:durableId="2141917684">
    <w:abstractNumId w:val="15"/>
  </w:num>
  <w:num w:numId="24" w16cid:durableId="1714958476">
    <w:abstractNumId w:val="14"/>
  </w:num>
  <w:num w:numId="25" w16cid:durableId="1075975895">
    <w:abstractNumId w:val="10"/>
  </w:num>
  <w:num w:numId="26" w16cid:durableId="408818183">
    <w:abstractNumId w:val="23"/>
  </w:num>
  <w:num w:numId="27" w16cid:durableId="1393651976">
    <w:abstractNumId w:val="44"/>
  </w:num>
  <w:num w:numId="28" w16cid:durableId="2052000066">
    <w:abstractNumId w:val="18"/>
  </w:num>
  <w:num w:numId="29" w16cid:durableId="1233351827">
    <w:abstractNumId w:val="34"/>
  </w:num>
  <w:num w:numId="30" w16cid:durableId="1327586778">
    <w:abstractNumId w:val="1"/>
  </w:num>
  <w:num w:numId="31" w16cid:durableId="1639333253">
    <w:abstractNumId w:val="48"/>
  </w:num>
  <w:num w:numId="32" w16cid:durableId="339429505">
    <w:abstractNumId w:val="40"/>
  </w:num>
  <w:num w:numId="33" w16cid:durableId="1903440042">
    <w:abstractNumId w:val="28"/>
  </w:num>
  <w:num w:numId="34" w16cid:durableId="815412060">
    <w:abstractNumId w:val="21"/>
  </w:num>
  <w:num w:numId="35" w16cid:durableId="701829129">
    <w:abstractNumId w:val="2"/>
  </w:num>
  <w:num w:numId="36" w16cid:durableId="660625670">
    <w:abstractNumId w:val="8"/>
  </w:num>
  <w:num w:numId="37" w16cid:durableId="584997730">
    <w:abstractNumId w:val="35"/>
  </w:num>
  <w:num w:numId="38" w16cid:durableId="521630311">
    <w:abstractNumId w:val="22"/>
  </w:num>
  <w:num w:numId="39" w16cid:durableId="886912279">
    <w:abstractNumId w:val="4"/>
  </w:num>
  <w:num w:numId="40" w16cid:durableId="2105881385">
    <w:abstractNumId w:val="24"/>
  </w:num>
  <w:num w:numId="41" w16cid:durableId="49116252">
    <w:abstractNumId w:val="41"/>
  </w:num>
  <w:num w:numId="42" w16cid:durableId="294259103">
    <w:abstractNumId w:val="32"/>
  </w:num>
  <w:num w:numId="43" w16cid:durableId="254559556">
    <w:abstractNumId w:val="20"/>
  </w:num>
  <w:num w:numId="44" w16cid:durableId="156725602">
    <w:abstractNumId w:val="26"/>
  </w:num>
  <w:num w:numId="45" w16cid:durableId="1907715311">
    <w:abstractNumId w:val="37"/>
  </w:num>
  <w:num w:numId="46" w16cid:durableId="1921979899">
    <w:abstractNumId w:val="5"/>
  </w:num>
  <w:num w:numId="47" w16cid:durableId="153035754">
    <w:abstractNumId w:val="13"/>
  </w:num>
  <w:num w:numId="48" w16cid:durableId="1295870316">
    <w:abstractNumId w:val="7"/>
  </w:num>
  <w:num w:numId="49" w16cid:durableId="1360739107">
    <w:abstractNumId w:val="31"/>
  </w:num>
  <w:num w:numId="50" w16cid:durableId="119966067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SortMethod w:val="000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nn Hepatol&lt;/Style&gt;&lt;LeftDelim&gt;{&lt;/LeftDelim&gt;&lt;RightDelim&gt;}&lt;/RightDelim&gt;&lt;FontName&gt;Arial&lt;/FontName&gt;&lt;FontSize&gt;11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5rvtrrant29ape0a2spw2ddfedastaztrte&quot;&gt;LTA RWE&lt;record-ids&gt;&lt;item&gt;13&lt;/item&gt;&lt;item&gt;22&lt;/item&gt;&lt;item&gt;27&lt;/item&gt;&lt;item&gt;28&lt;/item&gt;&lt;item&gt;29&lt;/item&gt;&lt;/record-ids&gt;&lt;/item&gt;&lt;/Libraries&gt;"/>
    <w:docVar w:name="EN.UseJSCitationFormat" w:val="False"/>
  </w:docVars>
  <w:rsids>
    <w:rsidRoot w:val="00794C15"/>
    <w:rsid w:val="000124DA"/>
    <w:rsid w:val="000225DE"/>
    <w:rsid w:val="000300F9"/>
    <w:rsid w:val="00030D86"/>
    <w:rsid w:val="0004009A"/>
    <w:rsid w:val="00056AB9"/>
    <w:rsid w:val="000674FC"/>
    <w:rsid w:val="000677DD"/>
    <w:rsid w:val="00070A09"/>
    <w:rsid w:val="000722EA"/>
    <w:rsid w:val="00077E40"/>
    <w:rsid w:val="00081DE2"/>
    <w:rsid w:val="000911E1"/>
    <w:rsid w:val="0009276F"/>
    <w:rsid w:val="0009355E"/>
    <w:rsid w:val="00093D0F"/>
    <w:rsid w:val="00095A85"/>
    <w:rsid w:val="00097794"/>
    <w:rsid w:val="000A11CA"/>
    <w:rsid w:val="000A3173"/>
    <w:rsid w:val="000A3F62"/>
    <w:rsid w:val="000A4765"/>
    <w:rsid w:val="000B156C"/>
    <w:rsid w:val="000C49F9"/>
    <w:rsid w:val="000C5C06"/>
    <w:rsid w:val="000C7AF5"/>
    <w:rsid w:val="000D195F"/>
    <w:rsid w:val="000D292B"/>
    <w:rsid w:val="000D6386"/>
    <w:rsid w:val="000E3F59"/>
    <w:rsid w:val="000E5ACB"/>
    <w:rsid w:val="000F0F91"/>
    <w:rsid w:val="001000E7"/>
    <w:rsid w:val="0010131F"/>
    <w:rsid w:val="00104A54"/>
    <w:rsid w:val="0010623B"/>
    <w:rsid w:val="00120753"/>
    <w:rsid w:val="00124F6F"/>
    <w:rsid w:val="001253E4"/>
    <w:rsid w:val="0013044D"/>
    <w:rsid w:val="00131663"/>
    <w:rsid w:val="00134797"/>
    <w:rsid w:val="00140B94"/>
    <w:rsid w:val="00144B93"/>
    <w:rsid w:val="001460FE"/>
    <w:rsid w:val="00147A9B"/>
    <w:rsid w:val="001608E8"/>
    <w:rsid w:val="001634DA"/>
    <w:rsid w:val="0016394C"/>
    <w:rsid w:val="00167E40"/>
    <w:rsid w:val="00167EE6"/>
    <w:rsid w:val="00173862"/>
    <w:rsid w:val="00175FCD"/>
    <w:rsid w:val="001769CD"/>
    <w:rsid w:val="0018068A"/>
    <w:rsid w:val="001862DA"/>
    <w:rsid w:val="00190FEA"/>
    <w:rsid w:val="001A0464"/>
    <w:rsid w:val="001A1A38"/>
    <w:rsid w:val="001B3DD9"/>
    <w:rsid w:val="001C070F"/>
    <w:rsid w:val="001C3007"/>
    <w:rsid w:val="001C570D"/>
    <w:rsid w:val="001C7AF8"/>
    <w:rsid w:val="001D0F50"/>
    <w:rsid w:val="001D2517"/>
    <w:rsid w:val="001D7310"/>
    <w:rsid w:val="001D791D"/>
    <w:rsid w:val="001F0AA4"/>
    <w:rsid w:val="001F1545"/>
    <w:rsid w:val="001F1F65"/>
    <w:rsid w:val="001F1FCD"/>
    <w:rsid w:val="001F7A7C"/>
    <w:rsid w:val="00204477"/>
    <w:rsid w:val="00205AE6"/>
    <w:rsid w:val="00205F3E"/>
    <w:rsid w:val="0020680A"/>
    <w:rsid w:val="002075E5"/>
    <w:rsid w:val="002228B7"/>
    <w:rsid w:val="00222D6F"/>
    <w:rsid w:val="002253C3"/>
    <w:rsid w:val="00231D44"/>
    <w:rsid w:val="00231F58"/>
    <w:rsid w:val="00233277"/>
    <w:rsid w:val="002358AF"/>
    <w:rsid w:val="00237C1F"/>
    <w:rsid w:val="002416A0"/>
    <w:rsid w:val="00243CA7"/>
    <w:rsid w:val="00247FFD"/>
    <w:rsid w:val="00251CFC"/>
    <w:rsid w:val="0025266A"/>
    <w:rsid w:val="002541BC"/>
    <w:rsid w:val="00257552"/>
    <w:rsid w:val="00263DDF"/>
    <w:rsid w:val="0027294E"/>
    <w:rsid w:val="0027447B"/>
    <w:rsid w:val="00276797"/>
    <w:rsid w:val="0027683C"/>
    <w:rsid w:val="00280081"/>
    <w:rsid w:val="0029526D"/>
    <w:rsid w:val="002A1A7B"/>
    <w:rsid w:val="002A2B15"/>
    <w:rsid w:val="002A32F2"/>
    <w:rsid w:val="002A3823"/>
    <w:rsid w:val="002B01F8"/>
    <w:rsid w:val="002B1DF2"/>
    <w:rsid w:val="002B570A"/>
    <w:rsid w:val="002B5BCF"/>
    <w:rsid w:val="002C18C9"/>
    <w:rsid w:val="002C22D5"/>
    <w:rsid w:val="002C6B25"/>
    <w:rsid w:val="002D0712"/>
    <w:rsid w:val="002E19BC"/>
    <w:rsid w:val="002E707D"/>
    <w:rsid w:val="002F14A7"/>
    <w:rsid w:val="0030640C"/>
    <w:rsid w:val="00307ED0"/>
    <w:rsid w:val="00317B7F"/>
    <w:rsid w:val="00321DFE"/>
    <w:rsid w:val="00325B5D"/>
    <w:rsid w:val="00331FC6"/>
    <w:rsid w:val="0033318D"/>
    <w:rsid w:val="00340D91"/>
    <w:rsid w:val="003453C2"/>
    <w:rsid w:val="003470FF"/>
    <w:rsid w:val="00347615"/>
    <w:rsid w:val="003606BA"/>
    <w:rsid w:val="00370481"/>
    <w:rsid w:val="003740B5"/>
    <w:rsid w:val="003751D5"/>
    <w:rsid w:val="0038017A"/>
    <w:rsid w:val="003806D9"/>
    <w:rsid w:val="003868F4"/>
    <w:rsid w:val="00386924"/>
    <w:rsid w:val="003873F4"/>
    <w:rsid w:val="00392142"/>
    <w:rsid w:val="003922F0"/>
    <w:rsid w:val="003941E8"/>
    <w:rsid w:val="00397C95"/>
    <w:rsid w:val="003A3429"/>
    <w:rsid w:val="003B3828"/>
    <w:rsid w:val="003B7AE9"/>
    <w:rsid w:val="003C58C5"/>
    <w:rsid w:val="003D40FC"/>
    <w:rsid w:val="003D5215"/>
    <w:rsid w:val="003D6BAE"/>
    <w:rsid w:val="003E26AD"/>
    <w:rsid w:val="003E2E48"/>
    <w:rsid w:val="003E32B0"/>
    <w:rsid w:val="003E3DF4"/>
    <w:rsid w:val="003E7C84"/>
    <w:rsid w:val="003F40F5"/>
    <w:rsid w:val="004000A4"/>
    <w:rsid w:val="00400C0F"/>
    <w:rsid w:val="00402BFD"/>
    <w:rsid w:val="00415490"/>
    <w:rsid w:val="00417182"/>
    <w:rsid w:val="00424715"/>
    <w:rsid w:val="00431154"/>
    <w:rsid w:val="00433BCA"/>
    <w:rsid w:val="004448FD"/>
    <w:rsid w:val="00447DD0"/>
    <w:rsid w:val="0045431C"/>
    <w:rsid w:val="00462EA4"/>
    <w:rsid w:val="0046516B"/>
    <w:rsid w:val="004725A6"/>
    <w:rsid w:val="00483F20"/>
    <w:rsid w:val="00484E34"/>
    <w:rsid w:val="00495E0D"/>
    <w:rsid w:val="004B1346"/>
    <w:rsid w:val="004B2549"/>
    <w:rsid w:val="004C634B"/>
    <w:rsid w:val="004C749F"/>
    <w:rsid w:val="004D2663"/>
    <w:rsid w:val="004D68B0"/>
    <w:rsid w:val="004E7811"/>
    <w:rsid w:val="00500A9B"/>
    <w:rsid w:val="00504BDA"/>
    <w:rsid w:val="00507861"/>
    <w:rsid w:val="005235AA"/>
    <w:rsid w:val="0052562A"/>
    <w:rsid w:val="005265F3"/>
    <w:rsid w:val="00534EE9"/>
    <w:rsid w:val="005415C3"/>
    <w:rsid w:val="0054182F"/>
    <w:rsid w:val="005427D7"/>
    <w:rsid w:val="00550BAE"/>
    <w:rsid w:val="00551FC8"/>
    <w:rsid w:val="005573B2"/>
    <w:rsid w:val="00567445"/>
    <w:rsid w:val="00570D2F"/>
    <w:rsid w:val="00572A8D"/>
    <w:rsid w:val="00573298"/>
    <w:rsid w:val="00574F3E"/>
    <w:rsid w:val="00575690"/>
    <w:rsid w:val="005807E6"/>
    <w:rsid w:val="00580BCE"/>
    <w:rsid w:val="00581467"/>
    <w:rsid w:val="00586DEA"/>
    <w:rsid w:val="00587FD3"/>
    <w:rsid w:val="00596086"/>
    <w:rsid w:val="005A2F5E"/>
    <w:rsid w:val="005A4A8C"/>
    <w:rsid w:val="005A5E94"/>
    <w:rsid w:val="005A6BE2"/>
    <w:rsid w:val="005C49CB"/>
    <w:rsid w:val="005D44C6"/>
    <w:rsid w:val="005D5A60"/>
    <w:rsid w:val="00601AB2"/>
    <w:rsid w:val="00603DD8"/>
    <w:rsid w:val="00611C38"/>
    <w:rsid w:val="00614C00"/>
    <w:rsid w:val="00617F3F"/>
    <w:rsid w:val="00622710"/>
    <w:rsid w:val="006351D5"/>
    <w:rsid w:val="00636737"/>
    <w:rsid w:val="00652276"/>
    <w:rsid w:val="006602DF"/>
    <w:rsid w:val="00661048"/>
    <w:rsid w:val="00665C1B"/>
    <w:rsid w:val="00671D1F"/>
    <w:rsid w:val="00671D35"/>
    <w:rsid w:val="00676028"/>
    <w:rsid w:val="00676A60"/>
    <w:rsid w:val="00676CF4"/>
    <w:rsid w:val="00685EA9"/>
    <w:rsid w:val="006967B7"/>
    <w:rsid w:val="0069696D"/>
    <w:rsid w:val="006B6342"/>
    <w:rsid w:val="006C2B37"/>
    <w:rsid w:val="006D08ED"/>
    <w:rsid w:val="006D6AAD"/>
    <w:rsid w:val="006E0833"/>
    <w:rsid w:val="006E199B"/>
    <w:rsid w:val="006E2293"/>
    <w:rsid w:val="006E257B"/>
    <w:rsid w:val="006E4E65"/>
    <w:rsid w:val="006E7949"/>
    <w:rsid w:val="006F1B9F"/>
    <w:rsid w:val="00700C72"/>
    <w:rsid w:val="00707BBE"/>
    <w:rsid w:val="00714C83"/>
    <w:rsid w:val="00714F93"/>
    <w:rsid w:val="00721109"/>
    <w:rsid w:val="007222AA"/>
    <w:rsid w:val="00722B61"/>
    <w:rsid w:val="007231FD"/>
    <w:rsid w:val="007306C7"/>
    <w:rsid w:val="00734AF4"/>
    <w:rsid w:val="00734D47"/>
    <w:rsid w:val="0073757E"/>
    <w:rsid w:val="0074307F"/>
    <w:rsid w:val="0074310A"/>
    <w:rsid w:val="00743203"/>
    <w:rsid w:val="00745474"/>
    <w:rsid w:val="007532BF"/>
    <w:rsid w:val="0075479B"/>
    <w:rsid w:val="00762393"/>
    <w:rsid w:val="0076682D"/>
    <w:rsid w:val="00770173"/>
    <w:rsid w:val="007706AD"/>
    <w:rsid w:val="0078424E"/>
    <w:rsid w:val="0079289B"/>
    <w:rsid w:val="00794527"/>
    <w:rsid w:val="00794C15"/>
    <w:rsid w:val="00796F8A"/>
    <w:rsid w:val="007A1B08"/>
    <w:rsid w:val="007A3253"/>
    <w:rsid w:val="007A510C"/>
    <w:rsid w:val="007A7EE7"/>
    <w:rsid w:val="007C1138"/>
    <w:rsid w:val="007C28A4"/>
    <w:rsid w:val="007C6835"/>
    <w:rsid w:val="007D4000"/>
    <w:rsid w:val="007D794F"/>
    <w:rsid w:val="007E6688"/>
    <w:rsid w:val="007E7E9C"/>
    <w:rsid w:val="007F3B82"/>
    <w:rsid w:val="00800723"/>
    <w:rsid w:val="00802E91"/>
    <w:rsid w:val="00803DFF"/>
    <w:rsid w:val="00813DBC"/>
    <w:rsid w:val="00831C1F"/>
    <w:rsid w:val="008335F5"/>
    <w:rsid w:val="00847584"/>
    <w:rsid w:val="00847E66"/>
    <w:rsid w:val="008509BA"/>
    <w:rsid w:val="00851E42"/>
    <w:rsid w:val="0086145F"/>
    <w:rsid w:val="00875FCC"/>
    <w:rsid w:val="00882137"/>
    <w:rsid w:val="008821AD"/>
    <w:rsid w:val="00884B65"/>
    <w:rsid w:val="0088693C"/>
    <w:rsid w:val="00893172"/>
    <w:rsid w:val="0089463C"/>
    <w:rsid w:val="00896D59"/>
    <w:rsid w:val="008A6665"/>
    <w:rsid w:val="008C2D31"/>
    <w:rsid w:val="008C6BFB"/>
    <w:rsid w:val="008D0D4F"/>
    <w:rsid w:val="008D203A"/>
    <w:rsid w:val="008D7875"/>
    <w:rsid w:val="008E26C3"/>
    <w:rsid w:val="008E47CE"/>
    <w:rsid w:val="008E5FA6"/>
    <w:rsid w:val="008F26C0"/>
    <w:rsid w:val="008F2FBF"/>
    <w:rsid w:val="008F61E2"/>
    <w:rsid w:val="008F6CF5"/>
    <w:rsid w:val="009026D0"/>
    <w:rsid w:val="009145D1"/>
    <w:rsid w:val="00915384"/>
    <w:rsid w:val="00916CA6"/>
    <w:rsid w:val="009273C0"/>
    <w:rsid w:val="00930E98"/>
    <w:rsid w:val="009310A0"/>
    <w:rsid w:val="00932E94"/>
    <w:rsid w:val="00936FC1"/>
    <w:rsid w:val="00937F2E"/>
    <w:rsid w:val="009439D4"/>
    <w:rsid w:val="00950123"/>
    <w:rsid w:val="00955FC2"/>
    <w:rsid w:val="00961652"/>
    <w:rsid w:val="00972D34"/>
    <w:rsid w:val="00973191"/>
    <w:rsid w:val="00983C92"/>
    <w:rsid w:val="00983DC6"/>
    <w:rsid w:val="00992767"/>
    <w:rsid w:val="009A2FCD"/>
    <w:rsid w:val="009A6A1B"/>
    <w:rsid w:val="009B36CE"/>
    <w:rsid w:val="009C12D6"/>
    <w:rsid w:val="009C1381"/>
    <w:rsid w:val="009C6489"/>
    <w:rsid w:val="009D2866"/>
    <w:rsid w:val="009D4B85"/>
    <w:rsid w:val="009E19AD"/>
    <w:rsid w:val="009E3052"/>
    <w:rsid w:val="009E34E4"/>
    <w:rsid w:val="009E4EE4"/>
    <w:rsid w:val="009E5F21"/>
    <w:rsid w:val="009E7410"/>
    <w:rsid w:val="009E7F5E"/>
    <w:rsid w:val="009F4E9F"/>
    <w:rsid w:val="009F6487"/>
    <w:rsid w:val="009F7350"/>
    <w:rsid w:val="00A03C8A"/>
    <w:rsid w:val="00A06771"/>
    <w:rsid w:val="00A1209E"/>
    <w:rsid w:val="00A13AEF"/>
    <w:rsid w:val="00A21CC8"/>
    <w:rsid w:val="00A21F2D"/>
    <w:rsid w:val="00A27DFF"/>
    <w:rsid w:val="00A556DB"/>
    <w:rsid w:val="00A56CBB"/>
    <w:rsid w:val="00A76069"/>
    <w:rsid w:val="00A84635"/>
    <w:rsid w:val="00A86D48"/>
    <w:rsid w:val="00A90F72"/>
    <w:rsid w:val="00A9284C"/>
    <w:rsid w:val="00A940CA"/>
    <w:rsid w:val="00A94B46"/>
    <w:rsid w:val="00A96109"/>
    <w:rsid w:val="00A969F9"/>
    <w:rsid w:val="00A97523"/>
    <w:rsid w:val="00AA0771"/>
    <w:rsid w:val="00AA173A"/>
    <w:rsid w:val="00AA2859"/>
    <w:rsid w:val="00AB45E6"/>
    <w:rsid w:val="00AB55CB"/>
    <w:rsid w:val="00AB7CEE"/>
    <w:rsid w:val="00AC110F"/>
    <w:rsid w:val="00AE683C"/>
    <w:rsid w:val="00AE7F92"/>
    <w:rsid w:val="00AF5B15"/>
    <w:rsid w:val="00AF7868"/>
    <w:rsid w:val="00B0348C"/>
    <w:rsid w:val="00B05958"/>
    <w:rsid w:val="00B0791D"/>
    <w:rsid w:val="00B14EB7"/>
    <w:rsid w:val="00B16836"/>
    <w:rsid w:val="00B22167"/>
    <w:rsid w:val="00B30F9C"/>
    <w:rsid w:val="00B323B9"/>
    <w:rsid w:val="00B32F78"/>
    <w:rsid w:val="00B40A69"/>
    <w:rsid w:val="00B42121"/>
    <w:rsid w:val="00B424D9"/>
    <w:rsid w:val="00B449D8"/>
    <w:rsid w:val="00B44F9C"/>
    <w:rsid w:val="00B459A3"/>
    <w:rsid w:val="00B473CA"/>
    <w:rsid w:val="00B5150A"/>
    <w:rsid w:val="00B5520B"/>
    <w:rsid w:val="00B564A0"/>
    <w:rsid w:val="00B610F5"/>
    <w:rsid w:val="00B72BF8"/>
    <w:rsid w:val="00B73B76"/>
    <w:rsid w:val="00B744CE"/>
    <w:rsid w:val="00B83CA4"/>
    <w:rsid w:val="00B86B57"/>
    <w:rsid w:val="00B94D4E"/>
    <w:rsid w:val="00BA644F"/>
    <w:rsid w:val="00BB148E"/>
    <w:rsid w:val="00BB28E7"/>
    <w:rsid w:val="00BB3198"/>
    <w:rsid w:val="00BD18D8"/>
    <w:rsid w:val="00BD1CF9"/>
    <w:rsid w:val="00BD2828"/>
    <w:rsid w:val="00BD774F"/>
    <w:rsid w:val="00BE0601"/>
    <w:rsid w:val="00BE544E"/>
    <w:rsid w:val="00BE69DA"/>
    <w:rsid w:val="00BF42D7"/>
    <w:rsid w:val="00BF512D"/>
    <w:rsid w:val="00C040B1"/>
    <w:rsid w:val="00C05A10"/>
    <w:rsid w:val="00C15FEE"/>
    <w:rsid w:val="00C179C5"/>
    <w:rsid w:val="00C2114B"/>
    <w:rsid w:val="00C238F1"/>
    <w:rsid w:val="00C23E6E"/>
    <w:rsid w:val="00C3421C"/>
    <w:rsid w:val="00C4225A"/>
    <w:rsid w:val="00C470E0"/>
    <w:rsid w:val="00C5745D"/>
    <w:rsid w:val="00C57F34"/>
    <w:rsid w:val="00C602F6"/>
    <w:rsid w:val="00C7770C"/>
    <w:rsid w:val="00C80425"/>
    <w:rsid w:val="00C80667"/>
    <w:rsid w:val="00C83798"/>
    <w:rsid w:val="00C86F56"/>
    <w:rsid w:val="00C9386B"/>
    <w:rsid w:val="00C967D3"/>
    <w:rsid w:val="00CA0AC0"/>
    <w:rsid w:val="00CA437B"/>
    <w:rsid w:val="00CA4739"/>
    <w:rsid w:val="00CA4FAE"/>
    <w:rsid w:val="00CB4388"/>
    <w:rsid w:val="00CB4EEC"/>
    <w:rsid w:val="00CB6121"/>
    <w:rsid w:val="00CC059D"/>
    <w:rsid w:val="00CC0D5F"/>
    <w:rsid w:val="00CC139B"/>
    <w:rsid w:val="00CD5980"/>
    <w:rsid w:val="00CD5DE6"/>
    <w:rsid w:val="00CE249E"/>
    <w:rsid w:val="00CF0B47"/>
    <w:rsid w:val="00CF462F"/>
    <w:rsid w:val="00CF6670"/>
    <w:rsid w:val="00D006C3"/>
    <w:rsid w:val="00D048A1"/>
    <w:rsid w:val="00D1278F"/>
    <w:rsid w:val="00D23831"/>
    <w:rsid w:val="00D30A9C"/>
    <w:rsid w:val="00D34A12"/>
    <w:rsid w:val="00D4202F"/>
    <w:rsid w:val="00D52209"/>
    <w:rsid w:val="00D62D7B"/>
    <w:rsid w:val="00D637EA"/>
    <w:rsid w:val="00D76D52"/>
    <w:rsid w:val="00D85193"/>
    <w:rsid w:val="00D852C4"/>
    <w:rsid w:val="00D85C71"/>
    <w:rsid w:val="00D90E73"/>
    <w:rsid w:val="00D9143B"/>
    <w:rsid w:val="00D95692"/>
    <w:rsid w:val="00D962FB"/>
    <w:rsid w:val="00DA3A9C"/>
    <w:rsid w:val="00DB1C7F"/>
    <w:rsid w:val="00DB4E81"/>
    <w:rsid w:val="00DB721E"/>
    <w:rsid w:val="00DC03BB"/>
    <w:rsid w:val="00DC071A"/>
    <w:rsid w:val="00DC4C65"/>
    <w:rsid w:val="00DE6575"/>
    <w:rsid w:val="00E06745"/>
    <w:rsid w:val="00E153E6"/>
    <w:rsid w:val="00E1664B"/>
    <w:rsid w:val="00E17E34"/>
    <w:rsid w:val="00E22C45"/>
    <w:rsid w:val="00E22C53"/>
    <w:rsid w:val="00E25891"/>
    <w:rsid w:val="00E3059B"/>
    <w:rsid w:val="00E37A8D"/>
    <w:rsid w:val="00E439E0"/>
    <w:rsid w:val="00E578F0"/>
    <w:rsid w:val="00E62F0E"/>
    <w:rsid w:val="00E63B15"/>
    <w:rsid w:val="00E64394"/>
    <w:rsid w:val="00E6655F"/>
    <w:rsid w:val="00E70AEF"/>
    <w:rsid w:val="00E73551"/>
    <w:rsid w:val="00E75A34"/>
    <w:rsid w:val="00E8022E"/>
    <w:rsid w:val="00E825E4"/>
    <w:rsid w:val="00E83E0A"/>
    <w:rsid w:val="00E91456"/>
    <w:rsid w:val="00E91664"/>
    <w:rsid w:val="00EB515D"/>
    <w:rsid w:val="00EC1AD0"/>
    <w:rsid w:val="00ED13E5"/>
    <w:rsid w:val="00ED277A"/>
    <w:rsid w:val="00ED3119"/>
    <w:rsid w:val="00EE026D"/>
    <w:rsid w:val="00EE1BA0"/>
    <w:rsid w:val="00EE36D0"/>
    <w:rsid w:val="00EE4ECB"/>
    <w:rsid w:val="00F003B0"/>
    <w:rsid w:val="00F0233D"/>
    <w:rsid w:val="00F15017"/>
    <w:rsid w:val="00F2083B"/>
    <w:rsid w:val="00F211BA"/>
    <w:rsid w:val="00F329AB"/>
    <w:rsid w:val="00F32FC7"/>
    <w:rsid w:val="00F3640F"/>
    <w:rsid w:val="00F425BE"/>
    <w:rsid w:val="00F67A7E"/>
    <w:rsid w:val="00F67B8F"/>
    <w:rsid w:val="00F67F4B"/>
    <w:rsid w:val="00F76C63"/>
    <w:rsid w:val="00F82FE0"/>
    <w:rsid w:val="00F83184"/>
    <w:rsid w:val="00F940AC"/>
    <w:rsid w:val="00FA20DE"/>
    <w:rsid w:val="00FC23E1"/>
    <w:rsid w:val="00FC7480"/>
    <w:rsid w:val="00FD0950"/>
    <w:rsid w:val="00FD2486"/>
    <w:rsid w:val="00FD2EED"/>
    <w:rsid w:val="00FE50F1"/>
    <w:rsid w:val="00FE706B"/>
    <w:rsid w:val="00FF0DFC"/>
    <w:rsid w:val="00FF2D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B1A04AA"/>
  <w15:docId w15:val="{834D417B-2B5B-4F05-A322-9074B2413B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266A"/>
    <w:pPr>
      <w:spacing w:after="240" w:line="480" w:lineRule="auto"/>
    </w:pPr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104A54"/>
    <w:pPr>
      <w:keepNext/>
      <w:numPr>
        <w:numId w:val="49"/>
      </w:numPr>
      <w:outlineLvl w:val="0"/>
    </w:pPr>
    <w:rPr>
      <w:rFonts w:cs="Arial"/>
      <w:b/>
      <w:spacing w:val="20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04A54"/>
    <w:pPr>
      <w:keepNext/>
      <w:numPr>
        <w:ilvl w:val="1"/>
        <w:numId w:val="49"/>
      </w:numPr>
      <w:outlineLvl w:val="1"/>
    </w:pPr>
    <w:rPr>
      <w:rFonts w:cs="Arial"/>
      <w:b/>
      <w:bCs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numPr>
        <w:ilvl w:val="2"/>
        <w:numId w:val="49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numPr>
        <w:ilvl w:val="3"/>
        <w:numId w:val="49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numPr>
        <w:ilvl w:val="4"/>
        <w:numId w:val="49"/>
      </w:numPr>
      <w:spacing w:before="320" w:after="200"/>
      <w:outlineLvl w:val="4"/>
    </w:pPr>
    <w:rPr>
      <w:rFonts w:eastAsia="Arial" w:cs="Arial"/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numPr>
        <w:ilvl w:val="5"/>
        <w:numId w:val="49"/>
      </w:numPr>
      <w:spacing w:before="320" w:after="200"/>
      <w:outlineLvl w:val="5"/>
    </w:pPr>
    <w:rPr>
      <w:rFonts w:eastAsia="Arial" w:cs="Arial"/>
      <w:b/>
      <w:bCs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numPr>
        <w:ilvl w:val="6"/>
        <w:numId w:val="49"/>
      </w:numPr>
      <w:spacing w:before="320" w:after="200"/>
      <w:outlineLvl w:val="6"/>
    </w:pPr>
    <w:rPr>
      <w:rFonts w:eastAsia="Arial" w:cs="Arial"/>
      <w:b/>
      <w:bCs/>
      <w:i/>
      <w:iCs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numPr>
        <w:ilvl w:val="7"/>
        <w:numId w:val="49"/>
      </w:numPr>
      <w:spacing w:before="320" w:after="200"/>
      <w:outlineLvl w:val="7"/>
    </w:pPr>
    <w:rPr>
      <w:rFonts w:eastAsia="Arial" w:cs="Arial"/>
      <w:i/>
      <w:iCs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numPr>
        <w:ilvl w:val="8"/>
        <w:numId w:val="49"/>
      </w:numPr>
      <w:spacing w:before="320" w:after="200"/>
      <w:outlineLvl w:val="8"/>
    </w:pPr>
    <w:rPr>
      <w:rFonts w:eastAsia="Arial" w:cs="Arial"/>
      <w:i/>
      <w:iCs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GridTable1Light-Accent1">
    <w:name w:val="Grid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styleId="GridTable1Light-Accent2">
    <w:name w:val="Grid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styleId="GridTable1Light-Accent3">
    <w:name w:val="Grid Table 1 Light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styleId="GridTable1Light-Accent4">
    <w:name w:val="Grid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styleId="GridTable1Light-Accent5">
    <w:name w:val="Grid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styleId="GridTable1Light-Accent6">
    <w:name w:val="Grid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GridTable2-Accent1">
    <w:name w:val="Grid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37DC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styleId="GridTable2-Accent2">
    <w:name w:val="Grid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2-Accent3">
    <w:name w:val="Grid Table 2 Accent 3"/>
    <w:basedOn w:val="TableNormal"/>
    <w:uiPriority w:val="47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one" w:sz="4" w:space="0" w:color="000000"/>
          <w:bottom w:val="single" w:sz="12" w:space="0" w:color="C9C9C9" w:themeColor="accent3" w:themeTint="99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single" w:sz="2" w:space="0" w:color="C9C9C9" w:themeColor="accent3" w:themeTint="99"/>
          <w:bottom w:val="none" w:sz="4" w:space="0" w:color="000000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2-Accent4">
    <w:name w:val="Grid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2-Accent5">
    <w:name w:val="Grid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B9BD5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styleId="GridTable2-Accent6">
    <w:name w:val="Grid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3-Accent1">
    <w:name w:val="Grid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37DC8" w:themeColor="accent1" w:themeTint="EA"/>
        <w:insideH w:val="single" w:sz="4" w:space="0" w:color="537DC8" w:themeColor="accent1" w:themeTint="EA"/>
        <w:insideV w:val="single" w:sz="4" w:space="0" w:color="537DC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1" w:themeTint="34" w:fill="D8E2F3" w:themeFill="accent1" w:themeFillTint="34"/>
      </w:tcPr>
    </w:tblStylePr>
  </w:style>
  <w:style w:type="table" w:styleId="GridTable3-Accent2">
    <w:name w:val="Grid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3-Accent3">
    <w:name w:val="Grid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styleId="GridTable3-Accent4">
    <w:name w:val="Grid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3-Accent5">
    <w:name w:val="Grid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styleId="GridTable3-Accent6">
    <w:name w:val="Grid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4-Accent1">
    <w:name w:val="Grid Table 4 Accent 1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  <w:insideV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37DC8" w:themeColor="accent1" w:themeTint="EA"/>
          <w:left w:val="single" w:sz="4" w:space="0" w:color="537DC8" w:themeColor="accent1" w:themeTint="EA"/>
          <w:bottom w:val="single" w:sz="4" w:space="0" w:color="537DC8" w:themeColor="accent1" w:themeTint="EA"/>
          <w:right w:val="single" w:sz="4" w:space="0" w:color="537DC8" w:themeColor="accent1" w:themeTint="EA"/>
        </w:tcBorders>
        <w:shd w:val="clear" w:color="537DC8" w:themeColor="accent1" w:themeTint="EA" w:fill="537DC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37DC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3F3" w:themeColor="accent1" w:themeTint="32" w:fill="DAE3F3" w:themeFill="accent1" w:themeFillTint="32"/>
      </w:tcPr>
    </w:tblStylePr>
  </w:style>
  <w:style w:type="table" w:styleId="GridTable4-Accent2">
    <w:name w:val="Grid Table 4 Accent 2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styleId="GridTable4-Accent3">
    <w:name w:val="Grid Table 4 Accent 3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styleId="GridTable4-Accent4">
    <w:name w:val="Grid Table 4 Accent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styleId="GridTable4-Accent5">
    <w:name w:val="Grid Table 4 Accent 5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</w:tcBorders>
        <w:shd w:val="clear" w:color="5B9BD5" w:themeColor="accent5" w:fill="5B9BD5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styleId="GridTable4-Accent6">
    <w:name w:val="Grid Table 4 Accent 6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GridTable5Dark-Accent2">
    <w:name w:val="Grid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styleId="GridTable5Dark-Accent3">
    <w:name w:val="Grid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styleId="GridTable5Dark-Accent5">
    <w:name w:val="Grid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5" w:themeTint="34" w:fill="DDEAF6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5" w:fill="5B9BD5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band1Vert">
      <w:tblPr/>
      <w:tcPr>
        <w:shd w:val="clear" w:color="B3D0EB" w:themeColor="accent5" w:themeTint="75" w:fill="B3D0EB" w:themeFill="accent5" w:themeFillTint="75"/>
      </w:tcPr>
    </w:tblStylePr>
    <w:tblStylePr w:type="band1Horz">
      <w:tblPr/>
      <w:tcPr>
        <w:shd w:val="clear" w:color="B3D0EB" w:themeColor="accent5" w:themeTint="75" w:fill="B3D0EB" w:themeFill="accent5" w:themeFillTint="75"/>
      </w:tcPr>
    </w:tblStylePr>
  </w:style>
  <w:style w:type="table" w:styleId="GridTable5Dark-Accent6">
    <w:name w:val="Grid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GridTable6Colorful-Accent1">
    <w:name w:val="Grid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0B7E1" w:themeColor="accent1" w:themeTint="80"/>
        <w:left w:val="single" w:sz="4" w:space="0" w:color="A0B7E1" w:themeColor="accent1" w:themeTint="80"/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b/>
        <w:color w:val="A0B7E1" w:themeColor="accent1" w:themeTint="80" w:themeShade="95"/>
      </w:rPr>
      <w:tblPr/>
      <w:tcPr>
        <w:tcBorders>
          <w:bottom w:val="single" w:sz="12" w:space="0" w:color="A0B7E1" w:themeColor="accent1" w:themeTint="80"/>
        </w:tcBorders>
      </w:tcPr>
    </w:tblStylePr>
    <w:tblStylePr w:type="lastRow">
      <w:rPr>
        <w:b/>
        <w:color w:val="A0B7E1" w:themeColor="accent1" w:themeTint="80" w:themeShade="95"/>
      </w:rPr>
    </w:tblStylePr>
    <w:tblStylePr w:type="firstCol">
      <w:rPr>
        <w:b/>
        <w:color w:val="A0B7E1" w:themeColor="accent1" w:themeTint="80" w:themeShade="95"/>
      </w:rPr>
    </w:tblStylePr>
    <w:tblStylePr w:type="lastCol">
      <w:rPr>
        <w:b/>
        <w:color w:val="A0B7E1" w:themeColor="accent1" w:themeTint="80" w:themeShade="95"/>
      </w:r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styleId="GridTable6Colorful-Accent2">
    <w:name w:val="Grid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6Colorful-Accent3">
    <w:name w:val="Grid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6Colorful-Accent4">
    <w:name w:val="Grid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6Colorful-Accent5">
    <w:name w:val="Grid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  <w:insideH w:val="single" w:sz="4" w:space="0" w:color="5B9BD5" w:themeColor="accent5"/>
        <w:insideV w:val="single" w:sz="4" w:space="0" w:color="5B9BD5" w:themeColor="accent5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5B9BD5" w:themeColor="accent5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GridTable6Colorful-Accent6">
    <w:name w:val="Grid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45A8D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45A8D" w:themeColor="accent5" w:themeShade="95"/>
      </w:rPr>
    </w:tblStylePr>
    <w:tblStylePr w:type="firstCol">
      <w:rPr>
        <w:b/>
        <w:color w:val="245A8D" w:themeColor="accent5" w:themeShade="95"/>
      </w:rPr>
    </w:tblStylePr>
    <w:tblStylePr w:type="lastCol">
      <w:rPr>
        <w:b/>
        <w:color w:val="245A8D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GridTable7Colorful-Accent1">
    <w:name w:val="Grid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0B7E1" w:themeColor="accent1" w:themeTint="80"/>
        <w:right w:val="single" w:sz="4" w:space="0" w:color="A0B7E1" w:themeColor="accent1" w:themeTint="80"/>
        <w:insideH w:val="single" w:sz="4" w:space="0" w:color="A0B7E1" w:themeColor="accent1" w:themeTint="80"/>
        <w:insideV w:val="single" w:sz="4" w:space="0" w:color="A0B7E1" w:themeColor="accent1" w:themeTint="80"/>
      </w:tblBorders>
    </w:tblPr>
    <w:tblStylePr w:type="fir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0B7E1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0B7E1" w:themeColor="accent1" w:themeTint="80" w:themeShade="95"/>
        <w:sz w:val="22"/>
      </w:rPr>
      <w:tblPr/>
      <w:tcPr>
        <w:tcBorders>
          <w:top w:val="single" w:sz="4" w:space="0" w:color="A0B7E1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0B7E1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0B7E1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0B7E1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1" w:themeTint="34" w:fill="D8E2F3" w:themeFill="accent1" w:themeFillTint="34"/>
      </w:tcPr>
    </w:tblStylePr>
    <w:tblStylePr w:type="band1Horz">
      <w:rPr>
        <w:rFonts w:ascii="Arial" w:hAnsi="Arial"/>
        <w:color w:val="A0B7E1" w:themeColor="accent1" w:themeTint="80" w:themeShade="95"/>
        <w:sz w:val="22"/>
      </w:rPr>
      <w:tblPr/>
      <w:tcPr>
        <w:shd w:val="clear" w:color="D8E2F3" w:themeColor="accent1" w:themeTint="34" w:fill="D8E2F3" w:themeFill="accent1" w:themeFillTint="34"/>
      </w:tcPr>
    </w:tblStylePr>
    <w:tblStylePr w:type="band2Horz">
      <w:rPr>
        <w:rFonts w:ascii="Arial" w:hAnsi="Arial"/>
        <w:color w:val="A0B7E1" w:themeColor="accent1" w:themeTint="80" w:themeShade="95"/>
        <w:sz w:val="22"/>
      </w:rPr>
    </w:tblStylePr>
  </w:style>
  <w:style w:type="table" w:styleId="GridTable7Colorful-Accent2">
    <w:name w:val="Grid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GridTable7Colorful-Accent3">
    <w:name w:val="Grid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styleId="GridTable7Colorful-Accent4">
    <w:name w:val="Grid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GridTable7Colorful-Accent5">
    <w:name w:val="Grid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  <w:insideV w:val="single" w:sz="4" w:space="0" w:color="A2C6E7" w:themeColor="accent5" w:themeTint="90"/>
      </w:tblBorders>
    </w:tblPr>
    <w:tblStylePr w:type="fir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45A8D" w:themeColor="accent5" w:themeShade="95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2C6E7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5" w:themeShade="95"/>
        <w:sz w:val="22"/>
      </w:rPr>
      <w:tblPr/>
      <w:tcPr>
        <w:tcBorders>
          <w:top w:val="none" w:sz="4" w:space="0" w:color="000000"/>
          <w:left w:val="single" w:sz="4" w:space="0" w:color="A2C6E7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245A8D" w:themeColor="accent5" w:themeShade="95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2Horz">
      <w:rPr>
        <w:rFonts w:ascii="Arial" w:hAnsi="Arial"/>
        <w:color w:val="245A8D" w:themeColor="accent5" w:themeShade="95"/>
        <w:sz w:val="22"/>
      </w:rPr>
    </w:tblStylePr>
  </w:style>
  <w:style w:type="table" w:styleId="GridTable7Colorful-Accent6">
    <w:name w:val="Grid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ListTable1Light-Accent1">
    <w:name w:val="List Table 1 Light Accent 1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tblPr/>
      <w:tcPr>
        <w:shd w:val="clear" w:color="CFDBF0" w:themeColor="accent1" w:themeTint="40" w:fill="CFDBF0" w:themeFill="accent1" w:themeFillTint="40"/>
      </w:tcPr>
    </w:tblStylePr>
  </w:style>
  <w:style w:type="table" w:styleId="ListTable1Light-Accent2">
    <w:name w:val="List Table 1 Light Accent 2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styleId="ListTable1Light-Accent3">
    <w:name w:val="List Table 1 Light Accent 3"/>
    <w:basedOn w:val="TableNormal"/>
    <w:uiPriority w:val="4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1Light-Accent4">
    <w:name w:val="List Table 1 Light Accent 4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styleId="ListTable1Light-Accent5">
    <w:name w:val="List Table 1 Light Accent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tblPr/>
      <w:tcPr>
        <w:shd w:val="clear" w:color="D5E5F4" w:themeColor="accent5" w:themeTint="40" w:fill="D5E5F4" w:themeFill="accent5" w:themeFillTint="40"/>
      </w:tcPr>
    </w:tblStylePr>
  </w:style>
  <w:style w:type="table" w:styleId="ListTable1Light-Accent6">
    <w:name w:val="List Table 1 Light Accent 6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ListTable2-Accent1">
    <w:name w:val="List Table 2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bottom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1" w:themeTint="90"/>
          <w:left w:val="none" w:sz="4" w:space="0" w:color="000000"/>
          <w:bottom w:val="single" w:sz="4" w:space="0" w:color="95AFDD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styleId="ListTable2-Accent2">
    <w:name w:val="List Table 2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styleId="ListTable2-Accent3">
    <w:name w:val="List Table 2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styleId="ListTable2-Accent4">
    <w:name w:val="List Table 2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styleId="ListTable2-Accent5">
    <w:name w:val="List Table 2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bottom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5" w:themeTint="90"/>
          <w:left w:val="none" w:sz="4" w:space="0" w:color="000000"/>
          <w:bottom w:val="single" w:sz="4" w:space="0" w:color="A2C6E7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styleId="ListTable2-Accent6">
    <w:name w:val="List Table 2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Table3-Accent1">
    <w:name w:val="List Table 3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left w:val="single" w:sz="4" w:space="0" w:color="4472C4" w:themeColor="accent1"/>
        <w:bottom w:val="single" w:sz="4" w:space="0" w:color="4472C4" w:themeColor="accent1"/>
        <w:right w:val="single" w:sz="4" w:space="0" w:color="4472C4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472C4" w:themeColor="accent1"/>
          <w:right w:val="single" w:sz="4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472C4" w:themeColor="accent1"/>
          <w:bottom w:val="single" w:sz="4" w:space="0" w:color="4472C4" w:themeColor="accent1"/>
        </w:tcBorders>
      </w:tcPr>
    </w:tblStylePr>
  </w:style>
  <w:style w:type="table" w:styleId="ListTable3-Accent2">
    <w:name w:val="List Table 3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styleId="ListTable3-Accent3">
    <w:name w:val="List Table 3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styleId="ListTable3-Accent4">
    <w:name w:val="List Table 3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styleId="ListTable3-Accent5">
    <w:name w:val="List Table 3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left w:val="single" w:sz="4" w:space="0" w:color="9BC2E5" w:themeColor="accent5" w:themeTint="9A"/>
        <w:bottom w:val="single" w:sz="4" w:space="0" w:color="9BC2E5" w:themeColor="accent5" w:themeTint="9A"/>
        <w:right w:val="single" w:sz="4" w:space="0" w:color="9BC2E5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C2E5" w:themeColor="accent5" w:themeTint="9A" w:fill="9BC2E5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BC2E5" w:themeColor="accent5" w:themeTint="9A"/>
          <w:right w:val="single" w:sz="4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BC2E5" w:themeColor="accent5" w:themeTint="9A"/>
          <w:bottom w:val="single" w:sz="4" w:space="0" w:color="9BC2E5" w:themeColor="accent5" w:themeTint="9A"/>
        </w:tcBorders>
      </w:tcPr>
    </w:tblStylePr>
  </w:style>
  <w:style w:type="table" w:styleId="ListTable3-Accent6">
    <w:name w:val="List Table 3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ListTable4-Accent1">
    <w:name w:val="List Table 4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1" w:themeTint="90"/>
        <w:left w:val="single" w:sz="4" w:space="0" w:color="95AFDD" w:themeColor="accent1" w:themeTint="90"/>
        <w:bottom w:val="single" w:sz="4" w:space="0" w:color="95AFDD" w:themeColor="accent1" w:themeTint="90"/>
        <w:right w:val="single" w:sz="4" w:space="0" w:color="95AFDD" w:themeColor="accent1" w:themeTint="90"/>
        <w:insideH w:val="single" w:sz="4" w:space="0" w:color="95AFDD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1" w:themeTint="40" w:fill="CFDBF0" w:themeFill="accent1" w:themeFillTint="40"/>
      </w:tcPr>
    </w:tblStylePr>
  </w:style>
  <w:style w:type="table" w:styleId="ListTable4-Accent2">
    <w:name w:val="List Table 4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styleId="ListTable4-Accent3">
    <w:name w:val="List Table 4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styleId="ListTable4-Accent4">
    <w:name w:val="List Table 4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styleId="ListTable4-Accent5">
    <w:name w:val="List Table 4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5" w:themeTint="90"/>
        <w:left w:val="single" w:sz="4" w:space="0" w:color="A2C6E7" w:themeColor="accent5" w:themeTint="90"/>
        <w:bottom w:val="single" w:sz="4" w:space="0" w:color="A2C6E7" w:themeColor="accent5" w:themeTint="90"/>
        <w:right w:val="single" w:sz="4" w:space="0" w:color="A2C6E7" w:themeColor="accent5" w:themeTint="90"/>
        <w:insideH w:val="single" w:sz="4" w:space="0" w:color="A2C6E7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5" w:themeTint="40" w:fill="D5E5F4" w:themeFill="accent5" w:themeFillTint="40"/>
      </w:tcPr>
    </w:tblStylePr>
  </w:style>
  <w:style w:type="table" w:styleId="ListTable4-Accent6">
    <w:name w:val="List Table 4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ListTable5Dark-Accent1">
    <w:name w:val="List Table 5 Dark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472C4" w:themeColor="accent1"/>
        <w:left w:val="single" w:sz="32" w:space="0" w:color="4472C4" w:themeColor="accent1"/>
        <w:bottom w:val="single" w:sz="32" w:space="0" w:color="4472C4" w:themeColor="accent1"/>
        <w:right w:val="single" w:sz="32" w:space="0" w:color="4472C4" w:themeColor="accent1"/>
      </w:tblBorders>
      <w:shd w:val="clear" w:color="4472C4" w:themeColor="accent1" w:fill="4472C4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472C4" w:themeColor="accent1"/>
          <w:bottom w:val="single" w:sz="12" w:space="0" w:color="FFFFFF" w:themeColor="light1"/>
        </w:tcBorders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472C4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472C4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472C4" w:themeColor="accent1" w:fill="4472C4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472C4" w:themeColor="accent1" w:fill="4472C4" w:themeFill="accent1"/>
      </w:tcPr>
    </w:tblStylePr>
  </w:style>
  <w:style w:type="table" w:styleId="ListTable5Dark-Accent2">
    <w:name w:val="List Table 5 Dark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styleId="ListTable5Dark-Accent3">
    <w:name w:val="List Table 5 Dark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styleId="ListTable5Dark-Accent4">
    <w:name w:val="List Table 5 Dark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styleId="ListTable5Dark-Accent5">
    <w:name w:val="List Table 5 Dark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BC2E5" w:themeColor="accent5" w:themeTint="9A"/>
        <w:left w:val="single" w:sz="32" w:space="0" w:color="9BC2E5" w:themeColor="accent5" w:themeTint="9A"/>
        <w:bottom w:val="single" w:sz="32" w:space="0" w:color="9BC2E5" w:themeColor="accent5" w:themeTint="9A"/>
        <w:right w:val="single" w:sz="32" w:space="0" w:color="9BC2E5" w:themeColor="accent5" w:themeTint="9A"/>
      </w:tblBorders>
      <w:shd w:val="clear" w:color="9BC2E5" w:themeColor="accent5" w:themeTint="9A" w:fill="9BC2E5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BC2E5" w:themeColor="accent5" w:themeTint="9A"/>
          <w:bottom w:val="single" w:sz="12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BC2E5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BC2E5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BC2E5" w:themeColor="accent5" w:themeTint="9A" w:fill="9BC2E5" w:themeFill="accent5" w:themeFillTint="9A"/>
      </w:tcPr>
    </w:tblStylePr>
  </w:style>
  <w:style w:type="table" w:styleId="ListTable5Dark-Accent6">
    <w:name w:val="List Table 5 Dark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ListTable6Colorful-Accent1">
    <w:name w:val="List Table 6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1"/>
        <w:bottom w:val="single" w:sz="4" w:space="0" w:color="4472C4" w:themeColor="accent1"/>
      </w:tblBorders>
    </w:tblPr>
    <w:tblStylePr w:type="firstRow">
      <w:rPr>
        <w:b/>
        <w:color w:val="254175" w:themeColor="accent1" w:themeShade="95"/>
      </w:rPr>
      <w:tblPr/>
      <w:tcPr>
        <w:tcBorders>
          <w:bottom w:val="single" w:sz="4" w:space="0" w:color="4472C4" w:themeColor="accent1"/>
        </w:tcBorders>
      </w:tcPr>
    </w:tblStylePr>
    <w:tblStylePr w:type="lastRow">
      <w:rPr>
        <w:b/>
        <w:color w:val="254175" w:themeColor="accent1" w:themeShade="95"/>
      </w:rPr>
      <w:tblPr/>
      <w:tcPr>
        <w:tcBorders>
          <w:top w:val="single" w:sz="4" w:space="0" w:color="4472C4" w:themeColor="accent1"/>
        </w:tcBorders>
      </w:tcPr>
    </w:tblStylePr>
    <w:tblStylePr w:type="firstCol">
      <w:rPr>
        <w:b/>
        <w:color w:val="254175" w:themeColor="accent1" w:themeShade="95"/>
      </w:rPr>
    </w:tblStylePr>
    <w:tblStylePr w:type="lastCol">
      <w:rPr>
        <w:b/>
        <w:color w:val="254175" w:themeColor="accent1" w:themeShade="95"/>
      </w:r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styleId="ListTable6Colorful-Accent2">
    <w:name w:val="List Table 6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6Colorful-Accent3">
    <w:name w:val="List Table 6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6Colorful-Accent4">
    <w:name w:val="List Table 6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6Colorful-Accent5">
    <w:name w:val="List Table 6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C2E5" w:themeColor="accent5" w:themeTint="9A"/>
        <w:bottom w:val="single" w:sz="4" w:space="0" w:color="9BC2E5" w:themeColor="accent5" w:themeTint="9A"/>
      </w:tblBorders>
    </w:tblPr>
    <w:tblStylePr w:type="firstRow">
      <w:rPr>
        <w:b/>
        <w:color w:val="9BC2E5" w:themeColor="accent5" w:themeTint="9A" w:themeShade="95"/>
      </w:rPr>
      <w:tblPr/>
      <w:tcPr>
        <w:tcBorders>
          <w:bottom w:val="single" w:sz="4" w:space="0" w:color="9BC2E5" w:themeColor="accent5" w:themeTint="9A"/>
        </w:tcBorders>
      </w:tcPr>
    </w:tblStylePr>
    <w:tblStylePr w:type="lastRow">
      <w:rPr>
        <w:b/>
        <w:color w:val="9BC2E5" w:themeColor="accent5" w:themeTint="9A" w:themeShade="95"/>
      </w:rPr>
      <w:tblPr/>
      <w:tcPr>
        <w:tcBorders>
          <w:top w:val="single" w:sz="4" w:space="0" w:color="9BC2E5" w:themeColor="accent5" w:themeTint="9A"/>
        </w:tcBorders>
      </w:tcPr>
    </w:tblStylePr>
    <w:tblStylePr w:type="firstCol">
      <w:rPr>
        <w:b/>
        <w:color w:val="9BC2E5" w:themeColor="accent5" w:themeTint="9A" w:themeShade="95"/>
      </w:rPr>
    </w:tblStylePr>
    <w:tblStylePr w:type="lastCol">
      <w:rPr>
        <w:b/>
        <w:color w:val="9BC2E5" w:themeColor="accent5" w:themeTint="9A" w:themeShade="95"/>
      </w:r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styleId="ListTable6Colorful-Accent6">
    <w:name w:val="List Table 6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ListTable7Colorful-Accent1">
    <w:name w:val="List Table 7 Colorful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472C4" w:themeColor="accent1"/>
      </w:tblBorders>
    </w:tblPr>
    <w:tblStylePr w:type="fir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54175" w:themeColor="accent1" w:themeShade="95"/>
        <w:sz w:val="22"/>
      </w:rPr>
      <w:tblPr/>
      <w:tcPr>
        <w:tcBorders>
          <w:top w:val="single" w:sz="4" w:space="0" w:color="4472C4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472C4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1" w:themeShade="95"/>
        <w:sz w:val="22"/>
      </w:rPr>
      <w:tblPr/>
      <w:tcPr>
        <w:tcBorders>
          <w:top w:val="none" w:sz="4" w:space="0" w:color="000000"/>
          <w:left w:val="single" w:sz="4" w:space="0" w:color="4472C4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1" w:themeTint="40" w:fill="CFDBF0" w:themeFill="accent1" w:themeFillTint="40"/>
      </w:tcPr>
    </w:tblStylePr>
    <w:tblStylePr w:type="band1Horz">
      <w:rPr>
        <w:rFonts w:ascii="Arial" w:hAnsi="Arial"/>
        <w:color w:val="254175" w:themeColor="accent1" w:themeShade="95"/>
        <w:sz w:val="22"/>
      </w:rPr>
      <w:tblPr/>
      <w:tcPr>
        <w:shd w:val="clear" w:color="CFDBF0" w:themeColor="accent1" w:themeTint="40" w:fill="CFDBF0" w:themeFill="accent1" w:themeFillTint="40"/>
      </w:tcPr>
    </w:tblStylePr>
    <w:tblStylePr w:type="band2Horz">
      <w:rPr>
        <w:rFonts w:ascii="Arial" w:hAnsi="Arial"/>
        <w:color w:val="254175" w:themeColor="accent1" w:themeShade="95"/>
        <w:sz w:val="22"/>
      </w:rPr>
    </w:tblStylePr>
  </w:style>
  <w:style w:type="table" w:styleId="ListTable7Colorful-Accent2">
    <w:name w:val="List Table 7 Colorful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styleId="ListTable7Colorful-Accent3">
    <w:name w:val="List Table 7 Colorful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styleId="ListTable7Colorful-Accent4">
    <w:name w:val="List Table 7 Colorful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styleId="ListTable7Colorful-Accent5">
    <w:name w:val="List Table 7 Colorful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BC2E5" w:themeColor="accent5" w:themeTint="9A"/>
      </w:tblBorders>
    </w:tblPr>
    <w:tblStylePr w:type="fir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C2E5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single" w:sz="4" w:space="0" w:color="9BC2E5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BC2E5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BC2E5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BC2E5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5" w:themeTint="40" w:fill="D5E5F4" w:themeFill="accent5" w:themeFillTint="40"/>
      </w:tcPr>
    </w:tblStylePr>
    <w:tblStylePr w:type="band1Horz">
      <w:rPr>
        <w:rFonts w:ascii="Arial" w:hAnsi="Arial"/>
        <w:color w:val="9BC2E5" w:themeColor="accent5" w:themeTint="9A" w:themeShade="95"/>
        <w:sz w:val="22"/>
      </w:rPr>
      <w:tblPr/>
      <w:tcPr>
        <w:shd w:val="clear" w:color="D5E5F4" w:themeColor="accent5" w:themeTint="40" w:fill="D5E5F4" w:themeFill="accent5" w:themeFillTint="40"/>
      </w:tcPr>
    </w:tblStylePr>
    <w:tblStylePr w:type="band2Horz">
      <w:rPr>
        <w:rFonts w:ascii="Arial" w:hAnsi="Arial"/>
        <w:color w:val="9BC2E5" w:themeColor="accent5" w:themeTint="9A" w:themeShade="95"/>
        <w:sz w:val="22"/>
      </w:rPr>
    </w:tblStylePr>
  </w:style>
  <w:style w:type="table" w:styleId="ListTable7Colorful-Accent6">
    <w:name w:val="List Table 7 Colorful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character" w:customStyle="1" w:styleId="Heading1Char">
    <w:name w:val="Heading 1 Char"/>
    <w:basedOn w:val="DefaultParagraphFont"/>
    <w:link w:val="Heading1"/>
    <w:uiPriority w:val="9"/>
    <w:rsid w:val="00104A54"/>
    <w:rPr>
      <w:rFonts w:ascii="Arial" w:hAnsi="Arial" w:cs="Arial"/>
      <w:b/>
      <w:spacing w:val="20"/>
      <w:lang w:val="en-US"/>
    </w:rPr>
  </w:style>
  <w:style w:type="paragraph" w:customStyle="1" w:styleId="Default">
    <w:name w:val="Default"/>
    <w:pPr>
      <w:spacing w:after="0" w:line="240" w:lineRule="auto"/>
    </w:pPr>
    <w:rPr>
      <w:rFonts w:ascii="MUPOYJ+Calibri" w:hAnsi="MUPOYJ+Calibri" w:cs="MUPOYJ+Calibri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104A54"/>
    <w:rPr>
      <w:rFonts w:ascii="Arial" w:hAnsi="Arial" w:cs="Arial"/>
      <w:b/>
      <w:bCs/>
      <w:lang w:val="en-US"/>
    </w:rPr>
  </w:style>
  <w:style w:type="paragraph" w:styleId="ListParagraph">
    <w:name w:val="List Paragraph"/>
    <w:basedOn w:val="Normal"/>
    <w:link w:val="ListParagraphChar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Segoe UI" w:eastAsia="Times New Roman" w:hAnsi="Segoe UI" w:cs="Segoe UI"/>
      <w:sz w:val="18"/>
      <w:szCs w:val="18"/>
      <w:lang w:val="en-US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Segoe UI" w:eastAsia="Times New Roman" w:hAnsi="Segoe UI" w:cs="Segoe UI"/>
      <w:sz w:val="18"/>
      <w:szCs w:val="18"/>
      <w:lang w:val="en-US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inorEastAsia"/>
      <w:color w:val="5A5A5A" w:themeColor="text1" w:themeTint="A5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pPr>
      <w:spacing w:after="0"/>
      <w:jc w:val="center"/>
    </w:pPr>
    <w:rPr>
      <w:rFonts w:cs="Arial"/>
      <w:lang w:val="en-US"/>
    </w:rPr>
  </w:style>
  <w:style w:type="character" w:customStyle="1" w:styleId="ListParagraphChar">
    <w:name w:val="List Paragraph Char"/>
    <w:basedOn w:val="DefaultParagraphFont"/>
    <w:link w:val="ListParagraph"/>
    <w:uiPriority w:val="34"/>
  </w:style>
  <w:style w:type="character" w:customStyle="1" w:styleId="EndNoteBibliographyTitleChar">
    <w:name w:val="EndNote Bibliography Title Char"/>
    <w:basedOn w:val="ListParagraphChar"/>
    <w:link w:val="EndNoteBibliographyTitle"/>
    <w:rPr>
      <w:rFonts w:ascii="Arial" w:hAnsi="Arial" w:cs="Arial"/>
      <w:lang w:val="en-US"/>
    </w:rPr>
  </w:style>
  <w:style w:type="paragraph" w:customStyle="1" w:styleId="EndNoteBibliography">
    <w:name w:val="EndNote Bibliography"/>
    <w:basedOn w:val="Normal"/>
    <w:link w:val="EndNoteBibliographyChar"/>
    <w:rPr>
      <w:rFonts w:cs="Arial"/>
      <w:lang w:val="en-US"/>
    </w:rPr>
  </w:style>
  <w:style w:type="character" w:customStyle="1" w:styleId="EndNoteBibliographyChar">
    <w:name w:val="EndNote Bibliography Char"/>
    <w:basedOn w:val="ListParagraphChar"/>
    <w:link w:val="EndNoteBibliography"/>
    <w:rPr>
      <w:rFonts w:ascii="Arial" w:hAnsi="Arial" w:cs="Arial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Pr>
      <w:b/>
      <w:bCs/>
      <w:sz w:val="20"/>
      <w:szCs w:val="20"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PlainTable1">
    <w:name w:val="Plain Table 1"/>
    <w:basedOn w:val="TableNormal"/>
    <w:uiPriority w:val="4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Revision">
    <w:name w:val="Revision"/>
    <w:hidden/>
    <w:uiPriority w:val="99"/>
    <w:semiHidden/>
    <w:pPr>
      <w:spacing w:after="0" w:line="240" w:lineRule="auto"/>
    </w:pPr>
  </w:style>
  <w:style w:type="table" w:styleId="PlainTable2">
    <w:name w:val="Plain Table 2"/>
    <w:basedOn w:val="TableNormal"/>
    <w:uiPriority w:val="4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4">
    <w:name w:val="Plain Table 4"/>
    <w:basedOn w:val="TableNormal"/>
    <w:uiPriority w:val="44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5Char">
    <w:name w:val="Heading 5 Char"/>
    <w:basedOn w:val="DefaultParagraphFont"/>
    <w:link w:val="Heading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="Arial" w:eastAsia="Arial" w:hAnsi="Arial" w:cs="Arial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="Arial" w:eastAsia="Arial" w:hAnsi="Arial" w:cs="Arial"/>
      <w:b/>
      <w:bCs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rPr>
      <w:rFonts w:ascii="Arial" w:eastAsia="Arial" w:hAnsi="Arial" w:cs="Arial"/>
      <w:i/>
      <w:iCs/>
    </w:rPr>
  </w:style>
  <w:style w:type="character" w:customStyle="1" w:styleId="Heading9Char">
    <w:name w:val="Heading 9 Char"/>
    <w:basedOn w:val="DefaultParagraphFont"/>
    <w:link w:val="Heading9"/>
    <w:uiPriority w:val="9"/>
    <w:rPr>
      <w:rFonts w:ascii="Arial" w:eastAsia="Arial" w:hAnsi="Arial" w:cs="Arial"/>
      <w:i/>
      <w:iCs/>
      <w:sz w:val="21"/>
      <w:szCs w:val="21"/>
    </w:rPr>
  </w:style>
  <w:style w:type="paragraph" w:styleId="NoSpacing">
    <w:name w:val="No Spacing"/>
    <w:uiPriority w:val="1"/>
    <w:qFormat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7C6835"/>
    <w:rPr>
      <w:rFonts w:cs="Arial"/>
      <w:b/>
      <w:bCs/>
      <w:sz w:val="24"/>
      <w:szCs w:val="24"/>
      <w:lang w:val="en-US"/>
    </w:rPr>
  </w:style>
  <w:style w:type="character" w:customStyle="1" w:styleId="TitleChar">
    <w:name w:val="Title Char"/>
    <w:basedOn w:val="DefaultParagraphFont"/>
    <w:link w:val="Title"/>
    <w:uiPriority w:val="10"/>
    <w:rsid w:val="007C6835"/>
    <w:rPr>
      <w:rFonts w:ascii="Arial" w:hAnsi="Arial" w:cs="Arial"/>
      <w:b/>
      <w:bCs/>
      <w:sz w:val="24"/>
      <w:szCs w:val="24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pPr>
      <w:ind w:left="720" w:right="720"/>
    </w:pPr>
    <w:rPr>
      <w:i/>
    </w:rPr>
  </w:style>
  <w:style w:type="character" w:customStyle="1" w:styleId="QuoteChar">
    <w:name w:val="Quote Char"/>
    <w:basedOn w:val="DefaultParagraphFont"/>
    <w:link w:val="Quote"/>
    <w:uiPriority w:val="29"/>
    <w:rPr>
      <w:i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shd w:val="clear" w:color="auto" w:fill="F2F2F2"/>
    </w:rPr>
  </w:style>
  <w:style w:type="paragraph" w:styleId="Caption">
    <w:name w:val="caption"/>
    <w:basedOn w:val="Normal"/>
    <w:next w:val="Normal"/>
    <w:uiPriority w:val="35"/>
    <w:unhideWhenUsed/>
    <w:qFormat/>
    <w:rsid w:val="0074310A"/>
    <w:pPr>
      <w:spacing w:line="240" w:lineRule="auto"/>
      <w:outlineLvl w:val="0"/>
    </w:pPr>
    <w:rPr>
      <w:b/>
      <w:bCs/>
      <w:szCs w:val="18"/>
    </w:rPr>
  </w:style>
  <w:style w:type="character" w:customStyle="1" w:styleId="CaptionChar">
    <w:name w:val="Caption Char"/>
    <w:uiPriority w:val="99"/>
  </w:style>
  <w:style w:type="table" w:styleId="PlainTable3">
    <w:name w:val="Plain Table 3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PlainTable5">
    <w:name w:val="Plain Table 5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GridTable1Light">
    <w:name w:val="Grid Table 1 Light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styleId="GridTable2">
    <w:name w:val="Grid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3">
    <w:name w:val="Grid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4">
    <w:name w:val="Grid Table 4"/>
    <w:basedOn w:val="TableNormal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styleId="GridTable5Dark">
    <w:name w:val="Grid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1" w:themeTint="34" w:fill="D8E2F3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1" w:fill="4472C4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1" w:fill="4472C4" w:themeFill="accent1"/>
      </w:tcPr>
    </w:tblStylePr>
    <w:tblStylePr w:type="band1Vert">
      <w:tblPr/>
      <w:tcPr>
        <w:shd w:val="clear" w:color="A9BEE4" w:themeColor="accent1" w:themeTint="75" w:fill="A9BEE4" w:themeFill="accent1" w:themeFillTint="75"/>
      </w:tcPr>
    </w:tblStylePr>
    <w:tblStylePr w:type="band1Horz">
      <w:tblPr/>
      <w:tcPr>
        <w:shd w:val="clear" w:color="A9BEE4" w:themeColor="accent1" w:themeTint="75" w:fill="A9BEE4" w:themeFill="accent1" w:themeFillTint="75"/>
      </w:tcPr>
    </w:tblStylePr>
  </w:style>
  <w:style w:type="table" w:customStyle="1" w:styleId="GridTable5Dark-Accent4">
    <w:name w:val="Grid Table 5 Dark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styleId="GridTable6Colorful">
    <w:name w:val="Grid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GridTable7Colorful">
    <w:name w:val="Grid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styleId="ListTable1Light">
    <w:name w:val="List Table 1 Light"/>
    <w:basedOn w:val="TableNormal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styleId="ListTable2">
    <w:name w:val="List Table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ListTable3">
    <w:name w:val="List Table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ListTable4">
    <w:name w:val="List Table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styleId="ListTable5Dark">
    <w:name w:val="List Table 5 Dark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styleId="ListTable6Colorful">
    <w:name w:val="List Table 6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styleId="ListTable7Colorful">
    <w:name w:val="List Table 7 Colorful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ned-Accent">
    <w:name w:val="Lined - Accent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Lined-Accent2">
    <w:name w:val="Lined - Accent 2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Lined-Accent6">
    <w:name w:val="Lined - Accent 6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254175" w:themeColor="accent1" w:themeShade="95"/>
        <w:left w:val="single" w:sz="4" w:space="0" w:color="254175" w:themeColor="accent1" w:themeShade="95"/>
        <w:bottom w:val="single" w:sz="4" w:space="0" w:color="254175" w:themeColor="accent1" w:themeShade="95"/>
        <w:right w:val="single" w:sz="4" w:space="0" w:color="254175" w:themeColor="accent1" w:themeShade="95"/>
        <w:insideH w:val="single" w:sz="4" w:space="0" w:color="254175" w:themeColor="accent1" w:themeShade="95"/>
        <w:insideV w:val="single" w:sz="4" w:space="0" w:color="254175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37DC8" w:themeColor="accent1" w:themeTint="EA" w:fill="537DC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4D2EC" w:themeColor="accent1" w:themeTint="50" w:fill="C4D2EC" w:themeFill="accent1" w:themeFillTint="50"/>
      </w:tcPr>
    </w:tblStylePr>
  </w:style>
  <w:style w:type="table" w:customStyle="1" w:styleId="BorderedLined-Accent2">
    <w:name w:val="Bordered &amp; Lined - Accent 2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245A8D" w:themeColor="accent5" w:themeShade="95"/>
        <w:left w:val="single" w:sz="4" w:space="0" w:color="245A8D" w:themeColor="accent5" w:themeShade="95"/>
        <w:bottom w:val="single" w:sz="4" w:space="0" w:color="245A8D" w:themeColor="accent5" w:themeShade="95"/>
        <w:right w:val="single" w:sz="4" w:space="0" w:color="245A8D" w:themeColor="accent5" w:themeShade="95"/>
        <w:insideH w:val="single" w:sz="4" w:space="0" w:color="245A8D" w:themeColor="accent5" w:themeShade="95"/>
        <w:insideV w:val="single" w:sz="4" w:space="0" w:color="245A8D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B9BD5" w:themeColor="accent5" w:fill="5B9BD5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DEAF6" w:themeColor="accent5" w:themeTint="34" w:fill="DDEAF6" w:themeFill="accent5" w:themeFillTint="34"/>
      </w:tcPr>
    </w:tblStylePr>
  </w:style>
  <w:style w:type="table" w:customStyle="1" w:styleId="BorderedLined-Accent6">
    <w:name w:val="Bordered &amp; Lined - Accent 6"/>
    <w:basedOn w:val="TableNormal"/>
    <w:uiPriority w:val="99"/>
    <w:pPr>
      <w:spacing w:after="0" w:line="240" w:lineRule="auto"/>
    </w:pPr>
    <w:rPr>
      <w:color w:val="404040"/>
      <w:sz w:val="20"/>
      <w:szCs w:val="20"/>
      <w:lang w:eastAsia="en-GB"/>
      <w14:ligatures w14:val="none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1" w:themeTint="67"/>
        <w:left w:val="single" w:sz="4" w:space="0" w:color="B3C5E7" w:themeColor="accent1" w:themeTint="67"/>
        <w:bottom w:val="single" w:sz="4" w:space="0" w:color="B3C5E7" w:themeColor="accent1" w:themeTint="67"/>
        <w:right w:val="single" w:sz="4" w:space="0" w:color="B3C5E7" w:themeColor="accent1" w:themeTint="67"/>
        <w:insideH w:val="single" w:sz="4" w:space="0" w:color="B3C5E7" w:themeColor="accent1" w:themeTint="67"/>
        <w:insideV w:val="single" w:sz="4" w:space="0" w:color="B3C5E7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472C4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472C4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472C4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1" w:themeTint="67"/>
          <w:left w:val="single" w:sz="4" w:space="0" w:color="B3C5E7" w:themeColor="accent1" w:themeTint="67"/>
          <w:bottom w:val="single" w:sz="4" w:space="0" w:color="B3C5E7" w:themeColor="accent1" w:themeTint="67"/>
          <w:right w:val="single" w:sz="4" w:space="0" w:color="B3C5E7" w:themeColor="accent1" w:themeTint="67"/>
        </w:tcBorders>
      </w:tcPr>
    </w:tblStylePr>
  </w:style>
  <w:style w:type="table" w:customStyle="1" w:styleId="Bordered-Accent2">
    <w:name w:val="Bordered - Accent 2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5" w:themeTint="67"/>
        <w:left w:val="single" w:sz="4" w:space="0" w:color="BCD6EE" w:themeColor="accent5" w:themeTint="67"/>
        <w:bottom w:val="single" w:sz="4" w:space="0" w:color="BCD6EE" w:themeColor="accent5" w:themeTint="67"/>
        <w:right w:val="single" w:sz="4" w:space="0" w:color="BCD6EE" w:themeColor="accent5" w:themeTint="67"/>
        <w:insideH w:val="single" w:sz="4" w:space="0" w:color="BCD6EE" w:themeColor="accent5" w:themeTint="67"/>
        <w:insideV w:val="single" w:sz="4" w:space="0" w:color="BCD6EE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BC2E5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BC2E5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BC2E5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5" w:themeTint="67"/>
          <w:left w:val="single" w:sz="4" w:space="0" w:color="BCD6EE" w:themeColor="accent5" w:themeTint="67"/>
          <w:bottom w:val="single" w:sz="4" w:space="0" w:color="BCD6EE" w:themeColor="accent5" w:themeTint="67"/>
          <w:right w:val="single" w:sz="4" w:space="0" w:color="BCD6EE" w:themeColor="accent5" w:themeTint="67"/>
        </w:tcBorders>
      </w:tcPr>
    </w:tblStylePr>
  </w:style>
  <w:style w:type="table" w:customStyle="1" w:styleId="Bordered-Accent6">
    <w:name w:val="Bordered - Accent 6"/>
    <w:basedOn w:val="TableNormal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Pr>
      <w:sz w:val="18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Pr>
      <w:sz w:val="20"/>
    </w:rPr>
  </w:style>
  <w:style w:type="character" w:styleId="EndnoteReference">
    <w:name w:val="endnote reference"/>
    <w:basedOn w:val="DefaultParagraphFont"/>
    <w:uiPriority w:val="99"/>
    <w:semiHidden/>
    <w:unhideWhenUsed/>
    <w:rPr>
      <w:vertAlign w:val="superscript"/>
    </w:rPr>
  </w:style>
  <w:style w:type="paragraph" w:styleId="TOC1">
    <w:name w:val="toc 1"/>
    <w:basedOn w:val="Normal"/>
    <w:next w:val="Normal"/>
    <w:uiPriority w:val="39"/>
    <w:unhideWhenUsed/>
    <w:pPr>
      <w:spacing w:after="57"/>
    </w:pPr>
  </w:style>
  <w:style w:type="paragraph" w:styleId="TOC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OC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OC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OC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OC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OC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OC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OC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TOCHeading">
    <w:name w:val="TOC Heading"/>
    <w:uiPriority w:val="39"/>
    <w:unhideWhenUsed/>
  </w:style>
  <w:style w:type="paragraph" w:styleId="TableofFigures">
    <w:name w:val="table of figures"/>
    <w:basedOn w:val="Normal"/>
    <w:next w:val="Normal"/>
    <w:uiPriority w:val="99"/>
    <w:unhideWhenUsed/>
    <w:pPr>
      <w:spacing w:after="0"/>
    </w:pPr>
  </w:style>
  <w:style w:type="paragraph" w:customStyle="1" w:styleId="Footnote">
    <w:name w:val="Footnote"/>
    <w:basedOn w:val="Normal"/>
    <w:qFormat/>
    <w:rsid w:val="007C6835"/>
    <w:pPr>
      <w:spacing w:before="120" w:after="120" w:line="240" w:lineRule="auto"/>
      <w:contextualSpacing/>
    </w:pPr>
    <w:rPr>
      <w:sz w:val="20"/>
      <w:lang w:val="en-US"/>
    </w:rPr>
  </w:style>
  <w:style w:type="paragraph" w:customStyle="1" w:styleId="Non-numberedheading1">
    <w:name w:val="Non-numbered heading 1"/>
    <w:basedOn w:val="Normal"/>
    <w:qFormat/>
    <w:rsid w:val="009C12D6"/>
    <w:pPr>
      <w:outlineLvl w:val="1"/>
    </w:pPr>
    <w:rPr>
      <w:b/>
      <w:spacing w:val="20"/>
    </w:rPr>
  </w:style>
  <w:style w:type="paragraph" w:customStyle="1" w:styleId="NormalIndent1">
    <w:name w:val="Normal Indent1"/>
    <w:basedOn w:val="Normal"/>
    <w:qFormat/>
    <w:rsid w:val="00847E66"/>
    <w:pPr>
      <w:ind w:firstLine="284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DD35F98B967540B0A81DC29A17CA2A" ma:contentTypeVersion="4" ma:contentTypeDescription="Create a new document." ma:contentTypeScope="" ma:versionID="bb82cdf0928273b66f7a19ed80f6335d">
  <xsd:schema xmlns:xsd="http://www.w3.org/2001/XMLSchema" xmlns:xs="http://www.w3.org/2001/XMLSchema" xmlns:p="http://schemas.microsoft.com/office/2006/metadata/properties" xmlns:ns2="add549c8-0a1b-43a2-bee9-ad379b7c69b6" targetNamespace="http://schemas.microsoft.com/office/2006/metadata/properties" ma:root="true" ma:fieldsID="25966b0cad0c16d28c5dff1cef9c0f6e" ns2:_="">
    <xsd:import namespace="add549c8-0a1b-43a2-bee9-ad379b7c69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d549c8-0a1b-43a2-bee9-ad379b7c69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D34220-94FA-4103-96A0-206ED74B40F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FFF66A-F0DF-4A43-8036-8B588F00E8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d549c8-0a1b-43a2-bee9-ad379b7c69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4FDED95-F9E9-42DE-9F33-944D1F96564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7E49F73-B177-40D3-85E7-71F41B3A2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Meridian HealthComms</dc:creator>
  <cp:keywords/>
  <dc:description/>
  <cp:lastModifiedBy>Medical writer</cp:lastModifiedBy>
  <cp:revision>7</cp:revision>
  <cp:lastPrinted>2024-08-23T09:39:00Z</cp:lastPrinted>
  <dcterms:created xsi:type="dcterms:W3CDTF">2024-11-18T15:18:00Z</dcterms:created>
  <dcterms:modified xsi:type="dcterms:W3CDTF">2025-06-05T11:23:00Z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0x0101002CDD35F98B967540B0A81DC29A17CA2A</vt:lpwstr>
  </property>
  <property fmtid="{D5CDD505-2E9C-101B-9397-08002B2CF9AE}" pid="3" name="Order">
    <vt:r8>2239100</vt:r8>
  </property>
  <property fmtid="{D5CDD505-2E9C-101B-9397-08002B2CF9AE}" pid="4" name="MediaServiceImageTags">
    <vt:lpwstr/>
  </property>
  <property fmtid="{D5CDD505-2E9C-101B-9397-08002B2CF9AE}" pid="5" name="_ExtendedDescription">
    <vt:lpwstr/>
  </property>
</Properties>
</file>