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tbl>
      <w:tblPr>
        <w:tblW w:w="9972" w:type="dxa"/>
        <w:jc w:val="left"/>
        <w:tblInd w:w="0" w:type="dxa"/>
        <w:tblLayout w:type="fixed"/>
        <w:tblCellMar>
          <w:top w:w="30" w:type="dxa"/>
          <w:left w:w="45" w:type="dxa"/>
          <w:bottom w:w="30" w:type="dxa"/>
          <w:right w:w="45" w:type="dxa"/>
        </w:tblCellMar>
      </w:tblPr>
      <w:tblGrid>
        <w:gridCol w:w="3090"/>
        <w:gridCol w:w="1730"/>
        <w:gridCol w:w="1334"/>
        <w:gridCol w:w="1984"/>
        <w:gridCol w:w="1834"/>
      </w:tblGrid>
      <w:tr>
        <w:trPr/>
        <w:tc>
          <w:tcPr>
            <w:tcW w:w="997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bidi w:val="0"/>
              <w:jc w:val="left"/>
              <w:rPr/>
            </w:pPr>
            <w:r>
              <w:rPr>
                <w:rFonts w:ascii="Arial" w:hAnsi="Arial"/>
                <w:b/>
                <w:i w:val="false"/>
                <w:caps w:val="false"/>
                <w:smallCaps w:val="false"/>
                <w:sz w:val="20"/>
              </w:rPr>
              <w:t>Supplementary Table 1</w:t>
            </w:r>
            <w:r>
              <w:rPr>
                <w:rFonts w:ascii="Arial" w:hAnsi="Arial"/>
                <w:i w:val="false"/>
                <w:caps w:val="false"/>
                <w:smallCaps w:val="false"/>
                <w:sz w:val="20"/>
              </w:rPr>
              <w:t>. C</w:t>
              <w:noBreakHyphen/>
              <w:t>index values and their 95 % confidence intervals for predicting progression</w:t>
              <w:noBreakHyphen/>
              <w:t>free survival (PFS) and overall survival (OS) in the training and test datasets, stratified by the presence of &gt; 50 % missing data, for both cytogenetics</w:t>
              <w:noBreakHyphen/>
              <w:t>based and cytogenetics</w:t>
              <w:noBreakHyphen/>
              <w:t>free models.</w:t>
            </w:r>
          </w:p>
        </w:tc>
      </w:tr>
      <w:tr>
        <w:trPr/>
        <w:tc>
          <w:tcPr>
            <w:tcW w:w="30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Model</w:t>
            </w:r>
          </w:p>
        </w:tc>
        <w:tc>
          <w:tcPr>
            <w:tcW w:w="173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Missing Data</w:t>
            </w:r>
          </w:p>
        </w:tc>
        <w:tc>
          <w:tcPr>
            <w:tcW w:w="13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Endpoint</w:t>
            </w: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Training</w:t>
            </w:r>
          </w:p>
        </w:tc>
        <w:tc>
          <w:tcPr>
            <w:tcW w:w="18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Test</w:t>
            </w:r>
          </w:p>
        </w:tc>
      </w:tr>
      <w:tr>
        <w:trPr/>
        <w:tc>
          <w:tcPr>
            <w:tcW w:w="3090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Cytogenetics-Based Model (6 variables)</w:t>
            </w:r>
          </w:p>
        </w:tc>
        <w:tc>
          <w:tcPr>
            <w:tcW w:w="1730" w:type="dxa"/>
            <w:vMerge w:val="restart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≤</w:t>
            </w:r>
            <w:r>
              <w:rPr/>
              <w:t>50% missing</w:t>
            </w:r>
          </w:p>
        </w:tc>
        <w:tc>
          <w:tcPr>
            <w:tcW w:w="13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0.660 (0.650–0.671)</w:t>
            </w:r>
          </w:p>
        </w:tc>
        <w:tc>
          <w:tcPr>
            <w:tcW w:w="18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0.668 (0.653–0.683)</w:t>
            </w:r>
          </w:p>
        </w:tc>
      </w:tr>
      <w:tr>
        <w:trPr/>
        <w:tc>
          <w:tcPr>
            <w:tcW w:w="3090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30" w:type="dxa"/>
            <w:vMerge w:val="continue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3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0.607 (0.598–0.616)</w:t>
            </w:r>
          </w:p>
        </w:tc>
        <w:tc>
          <w:tcPr>
            <w:tcW w:w="18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0.617 (0.605–0.630)</w:t>
            </w:r>
          </w:p>
        </w:tc>
      </w:tr>
      <w:tr>
        <w:trPr/>
        <w:tc>
          <w:tcPr>
            <w:tcW w:w="3090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30" w:type="dxa"/>
            <w:vMerge w:val="restart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&gt;50% missing</w:t>
            </w:r>
          </w:p>
        </w:tc>
        <w:tc>
          <w:tcPr>
            <w:tcW w:w="13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0.610 (0.529–0.690)</w:t>
            </w:r>
          </w:p>
        </w:tc>
        <w:tc>
          <w:tcPr>
            <w:tcW w:w="18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0.640 (0.610–0.671)</w:t>
            </w:r>
          </w:p>
        </w:tc>
      </w:tr>
      <w:tr>
        <w:trPr/>
        <w:tc>
          <w:tcPr>
            <w:tcW w:w="3090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30" w:type="dxa"/>
            <w:vMerge w:val="continue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3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0.558 (0.487–0.628)</w:t>
            </w:r>
          </w:p>
        </w:tc>
        <w:tc>
          <w:tcPr>
            <w:tcW w:w="18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0.584 (0.560–.609)</w:t>
            </w:r>
          </w:p>
        </w:tc>
      </w:tr>
      <w:tr>
        <w:trPr/>
        <w:tc>
          <w:tcPr>
            <w:tcW w:w="3090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Cytogenetics-Free Model (4 variables)</w:t>
            </w:r>
          </w:p>
        </w:tc>
        <w:tc>
          <w:tcPr>
            <w:tcW w:w="1730" w:type="dxa"/>
            <w:vMerge w:val="restart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≤</w:t>
            </w:r>
            <w:r>
              <w:rPr/>
              <w:t>50% missing</w:t>
            </w:r>
          </w:p>
        </w:tc>
        <w:tc>
          <w:tcPr>
            <w:tcW w:w="13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0.660 (0.649–0.670)</w:t>
            </w:r>
          </w:p>
        </w:tc>
        <w:tc>
          <w:tcPr>
            <w:tcW w:w="18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0.666 (0.651–0.681)</w:t>
            </w:r>
          </w:p>
        </w:tc>
      </w:tr>
      <w:tr>
        <w:trPr/>
        <w:tc>
          <w:tcPr>
            <w:tcW w:w="3090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30" w:type="dxa"/>
            <w:vMerge w:val="continue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3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0.605 (0.596–0.614)</w:t>
            </w:r>
          </w:p>
        </w:tc>
        <w:tc>
          <w:tcPr>
            <w:tcW w:w="18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0.619 (0.607–0.632)</w:t>
            </w:r>
          </w:p>
        </w:tc>
      </w:tr>
      <w:tr>
        <w:trPr/>
        <w:tc>
          <w:tcPr>
            <w:tcW w:w="3090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30" w:type="dxa"/>
            <w:vMerge w:val="restart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&gt;50% missing</w:t>
            </w:r>
          </w:p>
        </w:tc>
        <w:tc>
          <w:tcPr>
            <w:tcW w:w="13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0.608 (0.525–0.691)</w:t>
            </w:r>
          </w:p>
        </w:tc>
        <w:tc>
          <w:tcPr>
            <w:tcW w:w="18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0.636 (0.605–0.667)</w:t>
            </w:r>
          </w:p>
        </w:tc>
      </w:tr>
      <w:tr>
        <w:trPr/>
        <w:tc>
          <w:tcPr>
            <w:tcW w:w="3090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730" w:type="dxa"/>
            <w:vMerge w:val="continue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3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98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0.571 (0.497–0.645)</w:t>
            </w:r>
          </w:p>
        </w:tc>
        <w:tc>
          <w:tcPr>
            <w:tcW w:w="1834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0.598 (0.574–0.623)</w:t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auto"/>
    <w:pitch w:val="default"/>
  </w:font>
</w:fonts>
</file>

<file path=word/settings.xml><?xml version="1.0" encoding="utf-8"?>
<w:settings xmlns:w="http://schemas.openxmlformats.org/wordprocessingml/2006/main">
  <w:zoom w:percent="9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LibreOffice/7.3.0.3$Windows_X86_64 LibreOffice_project/0f246aa12d0eee4a0f7adcefbf7c878fc2238db3</Application>
  <AppVersion>15.0000</AppVersion>
  <Pages>1</Pages>
  <Words>120</Words>
  <Characters>705</Characters>
  <CharactersWithSpaces>773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2025-08-05T23:22:31Z</dcterms:created>
  <dc:creator/>
  <dc:description/>
  <dc:language>en-US</dc:language>
  <cp:lastModifiedBy/>
  <dcterms:modified xsi:type="dcterms:W3CDTF">2025-08-05T23:23:17Z</dcterms:modified>
  <cp:revision>1</cp:revision>
  <dc:subject/>
  <dc:title/>
</cp:coreProperties>
</file>