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20C5E3" w14:textId="4D64C7FB" w:rsidR="00532E13" w:rsidRPr="00F22A95" w:rsidRDefault="007B680D" w:rsidP="007B680D">
      <w:pPr>
        <w:jc w:val="center"/>
        <w:rPr>
          <w:sz w:val="36"/>
          <w:szCs w:val="36"/>
          <w:lang w:val="en-GB"/>
        </w:rPr>
      </w:pPr>
      <w:bookmarkStart w:id="0" w:name="_Hlk159580585"/>
      <w:bookmarkEnd w:id="0"/>
      <w:r w:rsidRPr="00F22A95">
        <w:rPr>
          <w:sz w:val="36"/>
          <w:szCs w:val="36"/>
          <w:lang w:val="en-GB"/>
        </w:rPr>
        <w:t>Supplementary materials</w:t>
      </w:r>
    </w:p>
    <w:p w14:paraId="59029A42" w14:textId="77777777" w:rsidR="00726CD5" w:rsidRPr="00F22A95" w:rsidRDefault="00726CD5" w:rsidP="007B680D">
      <w:pPr>
        <w:jc w:val="center"/>
        <w:rPr>
          <w:sz w:val="36"/>
          <w:szCs w:val="36"/>
          <w:lang w:val="en-GB"/>
        </w:rPr>
      </w:pPr>
    </w:p>
    <w:p w14:paraId="1A9BC620" w14:textId="6AE47B4D" w:rsidR="00B13D00" w:rsidRDefault="00B13D00" w:rsidP="00B13D00">
      <w:pPr>
        <w:jc w:val="both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Optimization of irrigation on walnut throug</w:t>
      </w:r>
      <w:r w:rsidR="00720FE1">
        <w:rPr>
          <w:sz w:val="28"/>
          <w:szCs w:val="28"/>
          <w:lang w:val="en-GB"/>
        </w:rPr>
        <w:t>h</w:t>
      </w:r>
      <w:r>
        <w:rPr>
          <w:sz w:val="28"/>
          <w:szCs w:val="28"/>
          <w:lang w:val="en-GB"/>
        </w:rPr>
        <w:t xml:space="preserve"> the IRRIFRAME water balance model</w:t>
      </w:r>
    </w:p>
    <w:p w14:paraId="650C8B38" w14:textId="77777777" w:rsidR="00B13D00" w:rsidRPr="000F63A6" w:rsidRDefault="00B13D00" w:rsidP="00B13D00">
      <w:pPr>
        <w:jc w:val="center"/>
        <w:rPr>
          <w:sz w:val="18"/>
          <w:szCs w:val="18"/>
          <w:vertAlign w:val="superscript"/>
        </w:rPr>
      </w:pPr>
      <w:r w:rsidRPr="00047895">
        <w:rPr>
          <w:sz w:val="18"/>
          <w:szCs w:val="18"/>
        </w:rPr>
        <w:t>Giulio Demetrio Perulli</w:t>
      </w:r>
      <w:r w:rsidRPr="000F63A6">
        <w:rPr>
          <w:sz w:val="18"/>
          <w:szCs w:val="18"/>
          <w:vertAlign w:val="superscript"/>
        </w:rPr>
        <w:t>1</w:t>
      </w:r>
      <w:r w:rsidRPr="00047895">
        <w:rPr>
          <w:sz w:val="18"/>
          <w:szCs w:val="18"/>
        </w:rPr>
        <w:t>, Elena Baldi</w:t>
      </w:r>
      <w:r w:rsidRPr="000F63A6">
        <w:rPr>
          <w:sz w:val="18"/>
          <w:szCs w:val="18"/>
          <w:vertAlign w:val="superscript"/>
        </w:rPr>
        <w:t>1</w:t>
      </w:r>
      <w:r w:rsidRPr="00047895">
        <w:rPr>
          <w:sz w:val="18"/>
          <w:szCs w:val="18"/>
        </w:rPr>
        <w:t>, Moreno Toselli</w:t>
      </w:r>
      <w:r w:rsidRPr="000F63A6">
        <w:rPr>
          <w:sz w:val="18"/>
          <w:szCs w:val="18"/>
          <w:vertAlign w:val="superscript"/>
        </w:rPr>
        <w:t>1</w:t>
      </w:r>
      <w:r w:rsidRPr="00047895">
        <w:rPr>
          <w:sz w:val="18"/>
          <w:szCs w:val="18"/>
        </w:rPr>
        <w:t>,</w:t>
      </w:r>
      <w:r>
        <w:rPr>
          <w:sz w:val="18"/>
          <w:szCs w:val="18"/>
        </w:rPr>
        <w:t xml:space="preserve"> </w:t>
      </w:r>
      <w:r w:rsidRPr="00047895">
        <w:rPr>
          <w:sz w:val="18"/>
          <w:szCs w:val="18"/>
        </w:rPr>
        <w:t>Salvatore Luca Gentile</w:t>
      </w:r>
      <w:r w:rsidRPr="000F63A6">
        <w:rPr>
          <w:sz w:val="18"/>
          <w:szCs w:val="18"/>
          <w:vertAlign w:val="superscript"/>
        </w:rPr>
        <w:t>2</w:t>
      </w:r>
      <w:r w:rsidRPr="00047895">
        <w:rPr>
          <w:sz w:val="18"/>
          <w:szCs w:val="18"/>
        </w:rPr>
        <w:t>, Domenico Solimando</w:t>
      </w:r>
      <w:r w:rsidRPr="000F63A6">
        <w:rPr>
          <w:sz w:val="18"/>
          <w:szCs w:val="18"/>
          <w:vertAlign w:val="superscript"/>
        </w:rPr>
        <w:t>2</w:t>
      </w:r>
      <w:r w:rsidRPr="00047895">
        <w:rPr>
          <w:sz w:val="18"/>
          <w:szCs w:val="18"/>
        </w:rPr>
        <w:t>, Stefano Anconelli</w:t>
      </w:r>
      <w:r w:rsidRPr="000F63A6">
        <w:rPr>
          <w:sz w:val="18"/>
          <w:szCs w:val="18"/>
          <w:vertAlign w:val="superscript"/>
        </w:rPr>
        <w:t>2</w:t>
      </w:r>
      <w:r w:rsidRPr="00047895">
        <w:rPr>
          <w:sz w:val="18"/>
          <w:szCs w:val="18"/>
        </w:rPr>
        <w:t xml:space="preserve">, </w:t>
      </w:r>
      <w:r>
        <w:rPr>
          <w:sz w:val="18"/>
          <w:szCs w:val="18"/>
        </w:rPr>
        <w:t>Alejandro Perez Pastor</w:t>
      </w:r>
      <w:r w:rsidRPr="002105D9">
        <w:rPr>
          <w:sz w:val="18"/>
          <w:szCs w:val="18"/>
          <w:vertAlign w:val="superscript"/>
        </w:rPr>
        <w:t>3</w:t>
      </w:r>
      <w:r>
        <w:rPr>
          <w:sz w:val="18"/>
          <w:szCs w:val="18"/>
        </w:rPr>
        <w:t>, Alexandra Boini</w:t>
      </w:r>
      <w:r w:rsidRPr="000F63A6">
        <w:rPr>
          <w:sz w:val="18"/>
          <w:szCs w:val="18"/>
          <w:vertAlign w:val="superscript"/>
        </w:rPr>
        <w:t>1</w:t>
      </w:r>
      <w:r>
        <w:rPr>
          <w:sz w:val="18"/>
          <w:szCs w:val="18"/>
        </w:rPr>
        <w:t xml:space="preserve">, </w:t>
      </w:r>
      <w:r w:rsidRPr="00047895">
        <w:rPr>
          <w:sz w:val="18"/>
          <w:szCs w:val="18"/>
        </w:rPr>
        <w:t>Luigi Manfrini</w:t>
      </w:r>
      <w:r w:rsidRPr="000F63A6">
        <w:rPr>
          <w:sz w:val="18"/>
          <w:szCs w:val="18"/>
          <w:vertAlign w:val="superscript"/>
        </w:rPr>
        <w:t>1</w:t>
      </w:r>
    </w:p>
    <w:p w14:paraId="2D45DC21" w14:textId="77777777" w:rsidR="00B13D00" w:rsidRPr="00236421" w:rsidRDefault="00B13D00" w:rsidP="00B13D00">
      <w:pPr>
        <w:spacing w:line="240" w:lineRule="auto"/>
        <w:jc w:val="center"/>
        <w:rPr>
          <w:rFonts w:ascii="Times New Roman" w:hAnsi="Times New Roman" w:cs="Times New Roman"/>
          <w:sz w:val="14"/>
          <w:szCs w:val="14"/>
          <w:lang w:val="en-GB"/>
        </w:rPr>
      </w:pPr>
      <w:r w:rsidRPr="00236421">
        <w:rPr>
          <w:rFonts w:ascii="Times New Roman" w:hAnsi="Times New Roman" w:cs="Times New Roman"/>
          <w:sz w:val="14"/>
          <w:szCs w:val="14"/>
          <w:vertAlign w:val="superscript"/>
          <w:lang w:val="en-GB"/>
        </w:rPr>
        <w:t>1</w:t>
      </w:r>
      <w:r w:rsidRPr="00236421">
        <w:rPr>
          <w:rFonts w:ascii="Times New Roman" w:hAnsi="Times New Roman" w:cs="Times New Roman"/>
          <w:sz w:val="14"/>
          <w:szCs w:val="14"/>
          <w:lang w:val="en-GB"/>
        </w:rPr>
        <w:t>Departement of Agricultural and Food Sciences (DISTAL) – University of Bologna</w:t>
      </w:r>
    </w:p>
    <w:p w14:paraId="6C1AB055" w14:textId="77777777" w:rsidR="00B13D00" w:rsidRDefault="00B13D00" w:rsidP="00B13D00">
      <w:pPr>
        <w:spacing w:line="240" w:lineRule="auto"/>
        <w:jc w:val="center"/>
        <w:rPr>
          <w:rFonts w:ascii="Times New Roman" w:hAnsi="Times New Roman" w:cs="Times New Roman"/>
          <w:sz w:val="14"/>
          <w:szCs w:val="14"/>
        </w:rPr>
      </w:pPr>
      <w:r w:rsidRPr="00236421">
        <w:rPr>
          <w:rFonts w:ascii="Times New Roman" w:hAnsi="Times New Roman" w:cs="Times New Roman"/>
          <w:sz w:val="14"/>
          <w:szCs w:val="14"/>
          <w:vertAlign w:val="superscript"/>
        </w:rPr>
        <w:t>2</w:t>
      </w:r>
      <w:r w:rsidRPr="00236421">
        <w:rPr>
          <w:rFonts w:ascii="Times New Roman" w:hAnsi="Times New Roman" w:cs="Times New Roman"/>
          <w:sz w:val="14"/>
          <w:szCs w:val="14"/>
        </w:rPr>
        <w:t>Consorzio di bonifica di II grado per il Canale Emiliano Romagnolo – CER</w:t>
      </w:r>
    </w:p>
    <w:p w14:paraId="56EB9E9E" w14:textId="77777777" w:rsidR="00B13D00" w:rsidRPr="00677FAD" w:rsidRDefault="00B13D00" w:rsidP="00B13D00">
      <w:pPr>
        <w:spacing w:line="240" w:lineRule="auto"/>
        <w:jc w:val="center"/>
        <w:rPr>
          <w:rFonts w:ascii="Times New Roman" w:hAnsi="Times New Roman" w:cs="Times New Roman"/>
          <w:sz w:val="14"/>
          <w:szCs w:val="14"/>
          <w:lang w:val="en-GB"/>
        </w:rPr>
      </w:pPr>
      <w:r w:rsidRPr="00677FAD">
        <w:rPr>
          <w:rFonts w:ascii="Times New Roman" w:hAnsi="Times New Roman" w:cs="Times New Roman"/>
          <w:sz w:val="14"/>
          <w:szCs w:val="14"/>
          <w:vertAlign w:val="superscript"/>
          <w:lang w:val="en-GB"/>
        </w:rPr>
        <w:t>3</w:t>
      </w:r>
      <w:r w:rsidRPr="00677FAD">
        <w:rPr>
          <w:rFonts w:ascii="Times New Roman" w:hAnsi="Times New Roman" w:cs="Times New Roman"/>
          <w:sz w:val="14"/>
          <w:szCs w:val="14"/>
          <w:lang w:val="en-GB"/>
        </w:rPr>
        <w:t>Technical University of Cartagena</w:t>
      </w:r>
    </w:p>
    <w:p w14:paraId="1E828D12" w14:textId="77777777" w:rsidR="007B680D" w:rsidRDefault="007B680D"/>
    <w:p w14:paraId="78AE0644" w14:textId="77777777" w:rsidR="00321C65" w:rsidRDefault="00321C65"/>
    <w:p w14:paraId="14ED08B9" w14:textId="77777777" w:rsidR="00321C65" w:rsidRDefault="00321C65"/>
    <w:p w14:paraId="604013F5" w14:textId="77777777" w:rsidR="00321C65" w:rsidRDefault="00321C65"/>
    <w:p w14:paraId="382C3D72" w14:textId="50675376" w:rsidR="00A6170F" w:rsidRDefault="00A6170F" w:rsidP="00A6170F">
      <w:pPr>
        <w:pStyle w:val="NormaleWeb"/>
        <w:jc w:val="center"/>
      </w:pPr>
      <w:r>
        <w:rPr>
          <w:noProof/>
        </w:rPr>
        <w:lastRenderedPageBreak/>
        <w:drawing>
          <wp:inline distT="0" distB="0" distL="0" distR="0" wp14:anchorId="42A11194" wp14:editId="1EEDCE49">
            <wp:extent cx="6120130" cy="3442970"/>
            <wp:effectExtent l="5080" t="0" r="0" b="0"/>
            <wp:docPr id="1655257231" name="Immagine 3" descr="Immagine che contiene aria aperta, terreno, suolo, alb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257231" name="Immagine 3" descr="Immagine che contiene aria aperta, terreno, suolo, alber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20130" cy="344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473D9E" w14:textId="23F5D112" w:rsidR="00ED3901" w:rsidRPr="00321C65" w:rsidRDefault="00A6170F">
      <w:pPr>
        <w:rPr>
          <w:sz w:val="24"/>
          <w:szCs w:val="24"/>
          <w:lang w:val="en-GB"/>
        </w:rPr>
      </w:pPr>
      <w:r w:rsidRPr="00321C65">
        <w:rPr>
          <w:sz w:val="24"/>
          <w:szCs w:val="24"/>
          <w:lang w:val="en-GB"/>
        </w:rPr>
        <w:t xml:space="preserve">Figure S1. Soil profile in the middle of </w:t>
      </w:r>
      <w:r w:rsidR="00F22A95">
        <w:rPr>
          <w:sz w:val="24"/>
          <w:szCs w:val="24"/>
          <w:lang w:val="en-GB"/>
        </w:rPr>
        <w:t>a</w:t>
      </w:r>
      <w:r w:rsidRPr="00321C65">
        <w:rPr>
          <w:sz w:val="24"/>
          <w:szCs w:val="24"/>
          <w:lang w:val="en-GB"/>
        </w:rPr>
        <w:t xml:space="preserve"> walnut orchard row</w:t>
      </w:r>
      <w:r w:rsidR="007B3904">
        <w:rPr>
          <w:sz w:val="24"/>
          <w:szCs w:val="24"/>
          <w:lang w:val="en-GB"/>
        </w:rPr>
        <w:t xml:space="preserve"> (27</w:t>
      </w:r>
      <w:r w:rsidR="007B3904" w:rsidRPr="007B3904">
        <w:rPr>
          <w:sz w:val="24"/>
          <w:szCs w:val="24"/>
          <w:vertAlign w:val="superscript"/>
          <w:lang w:val="en-GB"/>
        </w:rPr>
        <w:t>th</w:t>
      </w:r>
      <w:r w:rsidR="007B3904">
        <w:rPr>
          <w:sz w:val="24"/>
          <w:szCs w:val="24"/>
          <w:lang w:val="en-GB"/>
        </w:rPr>
        <w:t xml:space="preserve"> August 2019)</w:t>
      </w:r>
      <w:r w:rsidRPr="00321C65">
        <w:rPr>
          <w:sz w:val="24"/>
          <w:szCs w:val="24"/>
          <w:lang w:val="en-GB"/>
        </w:rPr>
        <w:t xml:space="preserve">. </w:t>
      </w:r>
      <w:r w:rsidR="00321C65" w:rsidRPr="00321C65">
        <w:rPr>
          <w:sz w:val="24"/>
          <w:szCs w:val="24"/>
          <w:lang w:val="en-GB"/>
        </w:rPr>
        <w:t xml:space="preserve">Roots are reaching 1m </w:t>
      </w:r>
      <w:r w:rsidR="007B3904">
        <w:rPr>
          <w:sz w:val="24"/>
          <w:szCs w:val="24"/>
          <w:lang w:val="en-GB"/>
        </w:rPr>
        <w:t xml:space="preserve">soil </w:t>
      </w:r>
      <w:r w:rsidR="00321C65" w:rsidRPr="00321C65">
        <w:rPr>
          <w:sz w:val="24"/>
          <w:szCs w:val="24"/>
          <w:lang w:val="en-GB"/>
        </w:rPr>
        <w:t xml:space="preserve">depth.  </w:t>
      </w:r>
      <w:r w:rsidR="00726CD5">
        <w:rPr>
          <w:sz w:val="24"/>
          <w:szCs w:val="24"/>
          <w:lang w:val="en-GB"/>
        </w:rPr>
        <w:t xml:space="preserve">Excavation and profile analysis </w:t>
      </w:r>
      <w:r w:rsidR="007B3904">
        <w:rPr>
          <w:sz w:val="24"/>
          <w:szCs w:val="24"/>
          <w:lang w:val="en-GB"/>
        </w:rPr>
        <w:t xml:space="preserve">was </w:t>
      </w:r>
      <w:r w:rsidR="00726CD5">
        <w:rPr>
          <w:sz w:val="24"/>
          <w:szCs w:val="24"/>
          <w:lang w:val="en-GB"/>
        </w:rPr>
        <w:t>realized by I.TER (</w:t>
      </w:r>
      <w:r w:rsidR="00726CD5" w:rsidRPr="00726CD5">
        <w:rPr>
          <w:sz w:val="24"/>
          <w:szCs w:val="24"/>
          <w:lang w:val="en-GB"/>
        </w:rPr>
        <w:t>https://www.pedologia.net/</w:t>
      </w:r>
      <w:r w:rsidR="00726CD5">
        <w:rPr>
          <w:sz w:val="24"/>
          <w:szCs w:val="24"/>
          <w:lang w:val="en-GB"/>
        </w:rPr>
        <w:t>)</w:t>
      </w:r>
      <w:r w:rsidR="00B926DF">
        <w:rPr>
          <w:sz w:val="24"/>
          <w:szCs w:val="24"/>
          <w:lang w:val="en-GB"/>
        </w:rPr>
        <w:t>.</w:t>
      </w:r>
      <w:r w:rsidRPr="00321C65">
        <w:rPr>
          <w:sz w:val="24"/>
          <w:szCs w:val="24"/>
          <w:lang w:val="en-GB"/>
        </w:rPr>
        <w:t xml:space="preserve"> </w:t>
      </w:r>
    </w:p>
    <w:p w14:paraId="5716A9BF" w14:textId="77777777" w:rsidR="00B23885" w:rsidRDefault="00B23885">
      <w:pPr>
        <w:rPr>
          <w:i/>
          <w:iCs/>
          <w:lang w:val="en-GB"/>
        </w:rPr>
      </w:pPr>
    </w:p>
    <w:p w14:paraId="52841610" w14:textId="77777777" w:rsidR="00B23885" w:rsidRDefault="00B23885">
      <w:pPr>
        <w:rPr>
          <w:i/>
          <w:iCs/>
          <w:lang w:val="en-GB"/>
        </w:rPr>
      </w:pPr>
    </w:p>
    <w:p w14:paraId="623B938D" w14:textId="6F0591E4" w:rsidR="00BB4F02" w:rsidRDefault="000526FD" w:rsidP="003F512A">
      <w:pPr>
        <w:jc w:val="center"/>
        <w:rPr>
          <w:i/>
          <w:iCs/>
          <w:lang w:val="en-GB"/>
        </w:rPr>
      </w:pPr>
      <w:r>
        <w:rPr>
          <w:i/>
          <w:iCs/>
          <w:noProof/>
          <w:lang w:val="en-GB"/>
        </w:rPr>
        <w:lastRenderedPageBreak/>
        <w:drawing>
          <wp:inline distT="0" distB="0" distL="0" distR="0" wp14:anchorId="36AC3FF5" wp14:editId="021A15CD">
            <wp:extent cx="6066550" cy="8156448"/>
            <wp:effectExtent l="0" t="0" r="0" b="0"/>
            <wp:docPr id="1800839001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198" cy="81868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B83A46" w14:textId="7B1A8209" w:rsidR="00F7586C" w:rsidRPr="003C6196" w:rsidRDefault="00F7586C" w:rsidP="003C6196">
      <w:pPr>
        <w:jc w:val="both"/>
        <w:rPr>
          <w:sz w:val="24"/>
          <w:szCs w:val="24"/>
          <w:lang w:val="en-GB"/>
        </w:rPr>
      </w:pPr>
      <w:r w:rsidRPr="003C6196">
        <w:rPr>
          <w:sz w:val="24"/>
          <w:szCs w:val="24"/>
          <w:lang w:val="en-GB"/>
        </w:rPr>
        <w:t>Figure S2. Estimated soil water content</w:t>
      </w:r>
      <w:r w:rsidR="003B165B">
        <w:rPr>
          <w:sz w:val="24"/>
          <w:szCs w:val="24"/>
          <w:lang w:val="en-GB"/>
        </w:rPr>
        <w:t xml:space="preserve"> </w:t>
      </w:r>
      <w:r w:rsidRPr="003C6196">
        <w:rPr>
          <w:sz w:val="24"/>
          <w:szCs w:val="24"/>
          <w:lang w:val="en-GB"/>
        </w:rPr>
        <w:t xml:space="preserve">from the IRRIFRAME model in 2018 a); 2019 b); 2020 c); 2021 d). </w:t>
      </w:r>
      <w:r w:rsidR="000526FD">
        <w:rPr>
          <w:sz w:val="24"/>
          <w:szCs w:val="24"/>
          <w:lang w:val="en-GB"/>
        </w:rPr>
        <w:t>Continuous l</w:t>
      </w:r>
      <w:r w:rsidRPr="003C6196">
        <w:rPr>
          <w:sz w:val="24"/>
          <w:szCs w:val="24"/>
          <w:lang w:val="en-GB"/>
        </w:rPr>
        <w:t>ines (o</w:t>
      </w:r>
      <w:r w:rsidRPr="003C6196">
        <w:rPr>
          <w:sz w:val="24"/>
          <w:szCs w:val="24"/>
          <w:lang w:val="en-GB"/>
        </w:rPr>
        <w:t>range</w:t>
      </w:r>
      <w:r w:rsidRPr="003C6196">
        <w:rPr>
          <w:sz w:val="24"/>
          <w:szCs w:val="24"/>
          <w:lang w:val="en-GB"/>
        </w:rPr>
        <w:t xml:space="preserve">, </w:t>
      </w:r>
      <w:r w:rsidRPr="003C6196">
        <w:rPr>
          <w:sz w:val="24"/>
          <w:szCs w:val="24"/>
          <w:lang w:val="en-GB"/>
        </w:rPr>
        <w:t xml:space="preserve">light-orange </w:t>
      </w:r>
      <w:r w:rsidRPr="003C6196">
        <w:rPr>
          <w:sz w:val="24"/>
          <w:szCs w:val="24"/>
          <w:lang w:val="en-GB"/>
        </w:rPr>
        <w:t xml:space="preserve">and </w:t>
      </w:r>
      <w:proofErr w:type="gramStart"/>
      <w:r w:rsidRPr="003C6196">
        <w:rPr>
          <w:sz w:val="24"/>
          <w:szCs w:val="24"/>
          <w:lang w:val="en-GB"/>
        </w:rPr>
        <w:t>light-</w:t>
      </w:r>
      <w:r w:rsidRPr="003C6196">
        <w:rPr>
          <w:sz w:val="24"/>
          <w:szCs w:val="24"/>
          <w:lang w:val="en-GB"/>
        </w:rPr>
        <w:t>blue</w:t>
      </w:r>
      <w:proofErr w:type="gramEnd"/>
      <w:r w:rsidRPr="003C6196">
        <w:rPr>
          <w:sz w:val="24"/>
          <w:szCs w:val="24"/>
          <w:lang w:val="en-GB"/>
        </w:rPr>
        <w:t>) represent the estimated soil water content for each treatment. Squares (</w:t>
      </w:r>
      <w:r w:rsidRPr="003C6196">
        <w:rPr>
          <w:sz w:val="24"/>
          <w:szCs w:val="24"/>
          <w:lang w:val="en-GB"/>
        </w:rPr>
        <w:t xml:space="preserve">orange, light-orange and </w:t>
      </w:r>
      <w:proofErr w:type="gramStart"/>
      <w:r w:rsidRPr="003C6196">
        <w:rPr>
          <w:sz w:val="24"/>
          <w:szCs w:val="24"/>
          <w:lang w:val="en-GB"/>
        </w:rPr>
        <w:t>light-blue</w:t>
      </w:r>
      <w:proofErr w:type="gramEnd"/>
      <w:r w:rsidRPr="003C6196">
        <w:rPr>
          <w:sz w:val="24"/>
          <w:szCs w:val="24"/>
          <w:lang w:val="en-GB"/>
        </w:rPr>
        <w:t xml:space="preserve">) are the real measured soil water content for </w:t>
      </w:r>
      <w:r w:rsidR="003C6196">
        <w:rPr>
          <w:sz w:val="24"/>
          <w:szCs w:val="24"/>
          <w:lang w:val="en-GB"/>
        </w:rPr>
        <w:t xml:space="preserve">each </w:t>
      </w:r>
      <w:r w:rsidRPr="003C6196">
        <w:rPr>
          <w:sz w:val="24"/>
          <w:szCs w:val="24"/>
          <w:lang w:val="en-GB"/>
        </w:rPr>
        <w:t xml:space="preserve">treatment. </w:t>
      </w:r>
      <w:r w:rsidR="001154BE">
        <w:rPr>
          <w:sz w:val="24"/>
          <w:szCs w:val="24"/>
          <w:lang w:val="en-GB"/>
        </w:rPr>
        <w:t>These p</w:t>
      </w:r>
      <w:r w:rsidR="003C6196">
        <w:rPr>
          <w:sz w:val="24"/>
          <w:szCs w:val="24"/>
          <w:lang w:val="en-GB"/>
        </w:rPr>
        <w:t>unctiform</w:t>
      </w:r>
      <w:r w:rsidRPr="003C6196">
        <w:rPr>
          <w:sz w:val="24"/>
          <w:szCs w:val="24"/>
          <w:lang w:val="en-GB"/>
        </w:rPr>
        <w:t xml:space="preserve"> </w:t>
      </w:r>
      <w:r w:rsidRPr="003C6196">
        <w:rPr>
          <w:sz w:val="24"/>
          <w:szCs w:val="24"/>
          <w:lang w:val="en-US"/>
        </w:rPr>
        <w:t>s</w:t>
      </w:r>
      <w:r w:rsidRPr="003C6196">
        <w:rPr>
          <w:sz w:val="24"/>
          <w:szCs w:val="24"/>
          <w:lang w:val="en-US"/>
        </w:rPr>
        <w:t xml:space="preserve">oil moisture data </w:t>
      </w:r>
      <w:r w:rsidRPr="003C6196">
        <w:rPr>
          <w:sz w:val="24"/>
          <w:szCs w:val="24"/>
          <w:lang w:val="en-US"/>
        </w:rPr>
        <w:t xml:space="preserve">measurements </w:t>
      </w:r>
      <w:r w:rsidRPr="003C6196">
        <w:rPr>
          <w:sz w:val="24"/>
          <w:szCs w:val="24"/>
          <w:lang w:val="en-US"/>
        </w:rPr>
        <w:t xml:space="preserve">were utilized </w:t>
      </w:r>
      <w:r w:rsidRPr="003C6196">
        <w:rPr>
          <w:sz w:val="24"/>
          <w:szCs w:val="24"/>
          <w:lang w:val="en-US"/>
        </w:rPr>
        <w:lastRenderedPageBreak/>
        <w:t xml:space="preserve">to perform </w:t>
      </w:r>
      <w:r w:rsidRPr="003C6196">
        <w:rPr>
          <w:sz w:val="24"/>
          <w:szCs w:val="24"/>
          <w:lang w:val="en-US"/>
        </w:rPr>
        <w:t>an</w:t>
      </w:r>
      <w:r w:rsidRPr="003C6196">
        <w:rPr>
          <w:sz w:val="24"/>
          <w:szCs w:val="24"/>
          <w:lang w:val="en-US"/>
        </w:rPr>
        <w:t xml:space="preserve"> adjustment of the volumetric water content estimated by the I</w:t>
      </w:r>
      <w:r w:rsidR="001154BE">
        <w:rPr>
          <w:sz w:val="24"/>
          <w:szCs w:val="24"/>
          <w:lang w:val="en-US"/>
        </w:rPr>
        <w:t>RRIFRAME</w:t>
      </w:r>
      <w:r w:rsidRPr="003C6196">
        <w:rPr>
          <w:sz w:val="24"/>
          <w:szCs w:val="24"/>
          <w:lang w:val="en-US"/>
        </w:rPr>
        <w:t xml:space="preserve"> </w:t>
      </w:r>
      <w:r w:rsidRPr="003C6196">
        <w:rPr>
          <w:sz w:val="24"/>
          <w:szCs w:val="24"/>
          <w:lang w:val="en-US"/>
        </w:rPr>
        <w:t>model.</w:t>
      </w:r>
      <w:r w:rsidR="000526FD">
        <w:rPr>
          <w:sz w:val="24"/>
          <w:szCs w:val="24"/>
          <w:lang w:val="en-US"/>
        </w:rPr>
        <w:t xml:space="preserve"> </w:t>
      </w:r>
      <w:r w:rsidR="001154BE">
        <w:rPr>
          <w:sz w:val="24"/>
          <w:szCs w:val="24"/>
          <w:lang w:val="en-US"/>
        </w:rPr>
        <w:t>D</w:t>
      </w:r>
      <w:r w:rsidR="001154BE">
        <w:rPr>
          <w:sz w:val="24"/>
          <w:szCs w:val="24"/>
          <w:lang w:val="en-US"/>
        </w:rPr>
        <w:t xml:space="preserve">ashed lines </w:t>
      </w:r>
      <w:r w:rsidR="001154BE">
        <w:rPr>
          <w:sz w:val="24"/>
          <w:szCs w:val="24"/>
          <w:lang w:val="en-US"/>
        </w:rPr>
        <w:t>(r</w:t>
      </w:r>
      <w:r w:rsidR="000526FD">
        <w:rPr>
          <w:sz w:val="24"/>
          <w:szCs w:val="24"/>
          <w:lang w:val="en-US"/>
        </w:rPr>
        <w:t xml:space="preserve">ed, orange, </w:t>
      </w:r>
      <w:proofErr w:type="spellStart"/>
      <w:r w:rsidR="000526FD">
        <w:rPr>
          <w:sz w:val="24"/>
          <w:szCs w:val="24"/>
          <w:lang w:val="en-US"/>
        </w:rPr>
        <w:t>blu</w:t>
      </w:r>
      <w:proofErr w:type="spellEnd"/>
      <w:r w:rsidR="000526FD">
        <w:rPr>
          <w:sz w:val="24"/>
          <w:szCs w:val="24"/>
          <w:lang w:val="en-US"/>
        </w:rPr>
        <w:t xml:space="preserve"> and </w:t>
      </w:r>
      <w:proofErr w:type="gramStart"/>
      <w:r w:rsidR="000526FD">
        <w:rPr>
          <w:sz w:val="24"/>
          <w:szCs w:val="24"/>
          <w:lang w:val="en-US"/>
        </w:rPr>
        <w:t>ligh</w:t>
      </w:r>
      <w:r w:rsidR="001154BE">
        <w:rPr>
          <w:sz w:val="24"/>
          <w:szCs w:val="24"/>
          <w:lang w:val="en-US"/>
        </w:rPr>
        <w:t>t</w:t>
      </w:r>
      <w:r w:rsidR="000526FD">
        <w:rPr>
          <w:sz w:val="24"/>
          <w:szCs w:val="24"/>
          <w:lang w:val="en-US"/>
        </w:rPr>
        <w:t>-blue</w:t>
      </w:r>
      <w:proofErr w:type="gramEnd"/>
      <w:r w:rsidR="001154BE">
        <w:rPr>
          <w:sz w:val="24"/>
          <w:szCs w:val="24"/>
          <w:lang w:val="en-US"/>
        </w:rPr>
        <w:t>)</w:t>
      </w:r>
      <w:r w:rsidR="000526FD">
        <w:rPr>
          <w:sz w:val="24"/>
          <w:szCs w:val="24"/>
          <w:lang w:val="en-US"/>
        </w:rPr>
        <w:t xml:space="preserve"> represent respectively: Wilting Point (WP), Irrigation Intervention Threshold, Field Capacity (FC) and Upper Threshold.</w:t>
      </w:r>
    </w:p>
    <w:p w14:paraId="6CB96F03" w14:textId="35A04C7F" w:rsidR="00F7586C" w:rsidRPr="00F7586C" w:rsidRDefault="00F7586C">
      <w:pPr>
        <w:rPr>
          <w:i/>
          <w:iCs/>
          <w:lang w:val="en-US"/>
        </w:rPr>
      </w:pPr>
    </w:p>
    <w:sectPr w:rsidR="00F7586C" w:rsidRPr="00F758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revisionView w:insDel="0" w:formatting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E13"/>
    <w:rsid w:val="000526FD"/>
    <w:rsid w:val="001154BE"/>
    <w:rsid w:val="001C2B63"/>
    <w:rsid w:val="002C38A8"/>
    <w:rsid w:val="00321C65"/>
    <w:rsid w:val="003B165B"/>
    <w:rsid w:val="003C6196"/>
    <w:rsid w:val="003F39CB"/>
    <w:rsid w:val="003F512A"/>
    <w:rsid w:val="00413B73"/>
    <w:rsid w:val="005226A9"/>
    <w:rsid w:val="00532E13"/>
    <w:rsid w:val="00561459"/>
    <w:rsid w:val="005A0593"/>
    <w:rsid w:val="00720FE1"/>
    <w:rsid w:val="00726CD5"/>
    <w:rsid w:val="007B3904"/>
    <w:rsid w:val="007B680D"/>
    <w:rsid w:val="0082016E"/>
    <w:rsid w:val="00851F04"/>
    <w:rsid w:val="00A6170F"/>
    <w:rsid w:val="00B13D00"/>
    <w:rsid w:val="00B23885"/>
    <w:rsid w:val="00B27A5B"/>
    <w:rsid w:val="00B926DF"/>
    <w:rsid w:val="00BB4F02"/>
    <w:rsid w:val="00DB7062"/>
    <w:rsid w:val="00E236B7"/>
    <w:rsid w:val="00E70D46"/>
    <w:rsid w:val="00EB687F"/>
    <w:rsid w:val="00EC63AC"/>
    <w:rsid w:val="00ED3901"/>
    <w:rsid w:val="00F22A95"/>
    <w:rsid w:val="00F53CBF"/>
    <w:rsid w:val="00F7586C"/>
    <w:rsid w:val="00FA0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7DAEF"/>
  <w15:chartTrackingRefBased/>
  <w15:docId w15:val="{BBAFE503-1518-4839-8F38-8B29C7BBB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D3901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D390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A617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217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4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 </dc:creator>
  <cp:keywords/>
  <dc:description/>
  <cp:lastModifiedBy>Reviewer </cp:lastModifiedBy>
  <cp:revision>23</cp:revision>
  <dcterms:created xsi:type="dcterms:W3CDTF">2024-02-23T10:10:00Z</dcterms:created>
  <dcterms:modified xsi:type="dcterms:W3CDTF">2024-12-23T23:04:00Z</dcterms:modified>
</cp:coreProperties>
</file>