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421D" w14:textId="77777777" w:rsidR="00FF190A" w:rsidRDefault="00FF190A" w:rsidP="00FF190A">
      <w:pPr>
        <w:keepNext/>
        <w:spacing w:line="48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374CB8">
        <w:rPr>
          <w:rFonts w:ascii="Arial" w:hAnsi="Arial" w:cs="Arial"/>
          <w:b/>
          <w:bCs/>
          <w:sz w:val="22"/>
          <w:szCs w:val="22"/>
          <w:lang w:val="en-US"/>
        </w:rPr>
        <w:t xml:space="preserve">Geriatric Team Support in the Emergency Department — A </w:t>
      </w:r>
      <w:proofErr w:type="spellStart"/>
      <w:r w:rsidRPr="00374CB8">
        <w:rPr>
          <w:rFonts w:ascii="Arial" w:hAnsi="Arial" w:cs="Arial"/>
          <w:b/>
          <w:bCs/>
          <w:sz w:val="22"/>
          <w:szCs w:val="22"/>
          <w:lang w:val="en-US"/>
        </w:rPr>
        <w:t>randomised</w:t>
      </w:r>
      <w:proofErr w:type="spellEnd"/>
      <w:r w:rsidRPr="00374CB8">
        <w:rPr>
          <w:rFonts w:ascii="Arial" w:hAnsi="Arial" w:cs="Arial"/>
          <w:b/>
          <w:bCs/>
          <w:sz w:val="22"/>
          <w:szCs w:val="22"/>
          <w:lang w:val="en-US"/>
        </w:rPr>
        <w:t xml:space="preserve"> trial investigating the effects on Hospital Admission and Community Care in Older Adults (GerED-21)</w:t>
      </w:r>
    </w:p>
    <w:p w14:paraId="3D8BE5E3" w14:textId="77777777" w:rsidR="00FF190A" w:rsidRDefault="00FF190A" w:rsidP="004D5383">
      <w:pPr>
        <w:spacing w:line="480" w:lineRule="auto"/>
        <w:rPr>
          <w:rFonts w:ascii="Arial" w:hAnsi="Arial" w:cs="Arial"/>
          <w:b/>
          <w:bCs/>
          <w:sz w:val="22"/>
          <w:lang w:val="en-GB"/>
        </w:rPr>
      </w:pPr>
    </w:p>
    <w:p w14:paraId="1BFBBD1D" w14:textId="734F2002" w:rsidR="004D5383" w:rsidRPr="009B69FE" w:rsidRDefault="004D5383" w:rsidP="004D5383">
      <w:pPr>
        <w:spacing w:line="480" w:lineRule="auto"/>
        <w:rPr>
          <w:rFonts w:ascii="Arial" w:hAnsi="Arial" w:cs="Arial"/>
          <w:b/>
          <w:bCs/>
          <w:sz w:val="22"/>
          <w:lang w:val="en-GB"/>
        </w:rPr>
      </w:pPr>
      <w:r w:rsidRPr="009B69FE">
        <w:rPr>
          <w:rFonts w:ascii="Arial" w:hAnsi="Arial" w:cs="Arial"/>
          <w:b/>
          <w:bCs/>
          <w:sz w:val="22"/>
          <w:lang w:val="en-GB"/>
        </w:rPr>
        <w:t xml:space="preserve">SUPPLEMENTS </w:t>
      </w:r>
    </w:p>
    <w:p w14:paraId="0B77ED1E" w14:textId="77777777" w:rsidR="000E1EDA" w:rsidRDefault="000E1EDA" w:rsidP="004D5383">
      <w:pPr>
        <w:spacing w:line="480" w:lineRule="auto"/>
        <w:rPr>
          <w:rFonts w:ascii="Arial" w:hAnsi="Arial" w:cs="Arial"/>
          <w:b/>
          <w:sz w:val="22"/>
          <w:lang w:val="en-US"/>
        </w:rPr>
      </w:pPr>
    </w:p>
    <w:p w14:paraId="2392C665" w14:textId="4039FBA6" w:rsidR="004D5383" w:rsidRPr="000E1EDA" w:rsidRDefault="00FF190A" w:rsidP="004D5383">
      <w:pPr>
        <w:spacing w:line="480" w:lineRule="auto"/>
        <w:rPr>
          <w:rFonts w:ascii="Arial" w:hAnsi="Arial" w:cs="Arial"/>
          <w:b/>
          <w:sz w:val="22"/>
          <w:lang w:val="en-US"/>
        </w:rPr>
      </w:pPr>
      <w:r w:rsidRPr="000E1EDA">
        <w:rPr>
          <w:rFonts w:ascii="Arial" w:hAnsi="Arial" w:cs="Arial"/>
          <w:b/>
          <w:sz w:val="22"/>
          <w:lang w:val="en-US"/>
        </w:rPr>
        <w:t>Content list</w:t>
      </w:r>
    </w:p>
    <w:p w14:paraId="5AF618CB" w14:textId="50E1DFCC" w:rsidR="009B69FE" w:rsidRDefault="009B69FE" w:rsidP="000E1EDA">
      <w:pPr>
        <w:spacing w:before="120"/>
        <w:outlineLvl w:val="2"/>
        <w:rPr>
          <w:rFonts w:ascii="Arial" w:hAnsi="Arial"/>
          <w:b/>
          <w:bCs/>
          <w:sz w:val="22"/>
          <w:szCs w:val="27"/>
          <w:lang w:val="en-US"/>
        </w:rPr>
      </w:pPr>
      <w:bookmarkStart w:id="0" w:name="_Hlk231466765"/>
      <w:r w:rsidRPr="009B69FE">
        <w:rPr>
          <w:rFonts w:ascii="Arial" w:hAnsi="Arial"/>
          <w:b/>
          <w:bCs/>
          <w:sz w:val="22"/>
          <w:szCs w:val="27"/>
          <w:lang w:val="en-US"/>
        </w:rPr>
        <w:t>Appendix 1</w:t>
      </w:r>
      <w:bookmarkEnd w:id="0"/>
      <w:r w:rsidRPr="009B69FE">
        <w:rPr>
          <w:rFonts w:ascii="Arial" w:hAnsi="Arial"/>
          <w:b/>
          <w:bCs/>
          <w:sz w:val="22"/>
          <w:szCs w:val="27"/>
          <w:lang w:val="en-US"/>
        </w:rPr>
        <w:t xml:space="preserve"> </w:t>
      </w:r>
      <w:r>
        <w:rPr>
          <w:rFonts w:ascii="Arial" w:hAnsi="Arial"/>
          <w:b/>
          <w:bCs/>
          <w:sz w:val="22"/>
          <w:szCs w:val="27"/>
          <w:lang w:val="en-US"/>
        </w:rPr>
        <w:t xml:space="preserve">Checklist of </w:t>
      </w:r>
      <w:r w:rsidRPr="00B717F0">
        <w:rPr>
          <w:rFonts w:ascii="Arial" w:hAnsi="Arial"/>
          <w:b/>
          <w:bCs/>
          <w:sz w:val="22"/>
          <w:szCs w:val="27"/>
          <w:lang w:val="en-US"/>
        </w:rPr>
        <w:t xml:space="preserve">Clinical Presentations </w:t>
      </w:r>
    </w:p>
    <w:p w14:paraId="33BB86FE" w14:textId="09018D1E" w:rsidR="00FF190A" w:rsidRPr="00B717F0" w:rsidRDefault="009D50DE" w:rsidP="000E1EDA">
      <w:pPr>
        <w:spacing w:before="120"/>
        <w:outlineLvl w:val="2"/>
        <w:rPr>
          <w:rFonts w:ascii="Arial" w:hAnsi="Arial"/>
          <w:b/>
          <w:bCs/>
          <w:sz w:val="22"/>
          <w:szCs w:val="27"/>
          <w:lang w:val="en-US"/>
        </w:rPr>
      </w:pPr>
      <w:r w:rsidRPr="009B69FE">
        <w:rPr>
          <w:rFonts w:ascii="Arial" w:hAnsi="Arial"/>
          <w:b/>
          <w:bCs/>
          <w:sz w:val="22"/>
          <w:szCs w:val="27"/>
          <w:lang w:val="en-US"/>
        </w:rPr>
        <w:t xml:space="preserve">Appendix </w:t>
      </w:r>
      <w:r>
        <w:rPr>
          <w:rFonts w:ascii="Arial" w:hAnsi="Arial"/>
          <w:b/>
          <w:bCs/>
          <w:sz w:val="22"/>
          <w:szCs w:val="27"/>
          <w:lang w:val="en-US"/>
        </w:rPr>
        <w:t>2</w:t>
      </w:r>
      <w:r w:rsidRPr="009B69FE">
        <w:rPr>
          <w:rFonts w:ascii="Arial" w:hAnsi="Arial"/>
          <w:b/>
          <w:bCs/>
          <w:sz w:val="22"/>
          <w:szCs w:val="27"/>
          <w:lang w:val="en-US"/>
        </w:rPr>
        <w:t xml:space="preserve"> </w:t>
      </w:r>
      <w:r w:rsidR="00FF190A" w:rsidRPr="00B717F0">
        <w:rPr>
          <w:rFonts w:ascii="Arial" w:hAnsi="Arial"/>
          <w:b/>
          <w:bCs/>
          <w:sz w:val="22"/>
          <w:szCs w:val="27"/>
          <w:lang w:val="en-US"/>
        </w:rPr>
        <w:t>Clinical Interventions</w:t>
      </w:r>
    </w:p>
    <w:p w14:paraId="5902A46F" w14:textId="6892ADFC" w:rsidR="009B69FE" w:rsidRPr="00B717F0" w:rsidRDefault="009D50DE" w:rsidP="000E1EDA">
      <w:pPr>
        <w:spacing w:before="120"/>
        <w:outlineLvl w:val="2"/>
        <w:rPr>
          <w:rFonts w:ascii="Arial" w:hAnsi="Arial"/>
          <w:b/>
          <w:bCs/>
          <w:sz w:val="22"/>
          <w:szCs w:val="27"/>
          <w:lang w:val="en-US"/>
        </w:rPr>
      </w:pPr>
      <w:r w:rsidRPr="009B69FE">
        <w:rPr>
          <w:rFonts w:ascii="Arial" w:hAnsi="Arial"/>
          <w:b/>
          <w:bCs/>
          <w:sz w:val="22"/>
          <w:szCs w:val="27"/>
          <w:lang w:val="en-US"/>
        </w:rPr>
        <w:t xml:space="preserve">Appendix </w:t>
      </w:r>
      <w:r>
        <w:rPr>
          <w:rFonts w:ascii="Arial" w:hAnsi="Arial"/>
          <w:b/>
          <w:bCs/>
          <w:sz w:val="22"/>
          <w:szCs w:val="27"/>
          <w:lang w:val="en-US"/>
        </w:rPr>
        <w:t>3</w:t>
      </w:r>
      <w:r w:rsidRPr="009B69FE">
        <w:rPr>
          <w:rFonts w:ascii="Arial" w:hAnsi="Arial"/>
          <w:b/>
          <w:bCs/>
          <w:sz w:val="22"/>
          <w:szCs w:val="27"/>
          <w:lang w:val="en-US"/>
        </w:rPr>
        <w:t xml:space="preserve"> </w:t>
      </w:r>
      <w:r w:rsidR="009B69FE" w:rsidRPr="00B717F0">
        <w:rPr>
          <w:rFonts w:ascii="Arial" w:hAnsi="Arial"/>
          <w:b/>
          <w:bCs/>
          <w:sz w:val="22"/>
          <w:szCs w:val="27"/>
          <w:lang w:val="en-US"/>
        </w:rPr>
        <w:t>Social and Welfare Interventions</w:t>
      </w:r>
    </w:p>
    <w:p w14:paraId="0AC1C59E" w14:textId="79CECD31" w:rsidR="009B69FE" w:rsidRDefault="009D50DE" w:rsidP="000E1EDA">
      <w:pPr>
        <w:spacing w:before="120"/>
        <w:rPr>
          <w:rFonts w:ascii="Arial" w:hAnsi="Arial" w:cs="Arial"/>
          <w:sz w:val="22"/>
          <w:szCs w:val="22"/>
          <w:lang w:val="en-GB"/>
        </w:rPr>
      </w:pPr>
      <w:r w:rsidRPr="009B69FE">
        <w:rPr>
          <w:rFonts w:ascii="Arial" w:hAnsi="Arial"/>
          <w:b/>
          <w:bCs/>
          <w:sz w:val="22"/>
          <w:szCs w:val="27"/>
          <w:lang w:val="en-US"/>
        </w:rPr>
        <w:t xml:space="preserve">Appendix </w:t>
      </w:r>
      <w:r>
        <w:rPr>
          <w:rFonts w:ascii="Arial" w:hAnsi="Arial"/>
          <w:b/>
          <w:bCs/>
          <w:sz w:val="22"/>
          <w:szCs w:val="27"/>
          <w:lang w:val="en-US"/>
        </w:rPr>
        <w:t>4</w:t>
      </w:r>
      <w:r w:rsidRPr="009B69FE">
        <w:rPr>
          <w:rFonts w:ascii="Arial" w:hAnsi="Arial"/>
          <w:b/>
          <w:bCs/>
          <w:sz w:val="22"/>
          <w:szCs w:val="27"/>
          <w:lang w:val="en-US"/>
        </w:rPr>
        <w:t xml:space="preserve"> </w:t>
      </w:r>
      <w:r w:rsidR="009B69FE" w:rsidRPr="00C06E33">
        <w:rPr>
          <w:rFonts w:ascii="Arial" w:hAnsi="Arial" w:cs="Arial"/>
          <w:b/>
          <w:sz w:val="22"/>
          <w:szCs w:val="22"/>
          <w:lang w:val="en-GB"/>
        </w:rPr>
        <w:t xml:space="preserve">Table </w:t>
      </w:r>
      <w:r w:rsidR="009B69FE">
        <w:rPr>
          <w:rFonts w:ascii="Arial" w:hAnsi="Arial" w:cs="Arial"/>
          <w:b/>
          <w:sz w:val="22"/>
          <w:szCs w:val="22"/>
          <w:lang w:val="en-GB"/>
        </w:rPr>
        <w:t>S1</w:t>
      </w:r>
      <w:r w:rsidR="009B69FE" w:rsidRPr="00C06E33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9B69FE" w:rsidRPr="00C06E33">
        <w:rPr>
          <w:rFonts w:ascii="Arial" w:hAnsi="Arial" w:cs="Arial"/>
          <w:sz w:val="22"/>
          <w:szCs w:val="22"/>
          <w:lang w:val="en-GB"/>
        </w:rPr>
        <w:t>Median length of stay in the ED by intervention and outcome, according to whether participants had been detained in the ED for checks</w:t>
      </w:r>
    </w:p>
    <w:p w14:paraId="31CE7BEE" w14:textId="386A1A02" w:rsidR="009B69FE" w:rsidRPr="00D45344" w:rsidRDefault="009D50DE" w:rsidP="000E1EDA">
      <w:pPr>
        <w:spacing w:before="120"/>
        <w:rPr>
          <w:rFonts w:ascii="Arial" w:hAnsi="Arial" w:cs="Arial"/>
          <w:sz w:val="22"/>
          <w:szCs w:val="22"/>
          <w:lang w:val="en-GB"/>
        </w:rPr>
      </w:pPr>
      <w:r w:rsidRPr="009B69FE">
        <w:rPr>
          <w:rFonts w:ascii="Arial" w:hAnsi="Arial"/>
          <w:b/>
          <w:bCs/>
          <w:sz w:val="22"/>
          <w:szCs w:val="27"/>
          <w:lang w:val="en-US"/>
        </w:rPr>
        <w:t xml:space="preserve">Appendix </w:t>
      </w:r>
      <w:r>
        <w:rPr>
          <w:rFonts w:ascii="Arial" w:hAnsi="Arial"/>
          <w:b/>
          <w:bCs/>
          <w:sz w:val="22"/>
          <w:szCs w:val="27"/>
          <w:lang w:val="en-US"/>
        </w:rPr>
        <w:t>5</w:t>
      </w:r>
      <w:r w:rsidRPr="009B69FE">
        <w:rPr>
          <w:rFonts w:ascii="Arial" w:hAnsi="Arial"/>
          <w:b/>
          <w:bCs/>
          <w:sz w:val="22"/>
          <w:szCs w:val="27"/>
          <w:lang w:val="en-US"/>
        </w:rPr>
        <w:t xml:space="preserve"> </w:t>
      </w:r>
      <w:r w:rsidR="009B69FE" w:rsidRPr="005F160D">
        <w:rPr>
          <w:rFonts w:ascii="Arial" w:hAnsi="Arial" w:cs="Arial"/>
          <w:b/>
          <w:sz w:val="22"/>
          <w:szCs w:val="22"/>
          <w:lang w:val="en-GB"/>
        </w:rPr>
        <w:t xml:space="preserve">Table </w:t>
      </w:r>
      <w:r w:rsidR="009B69FE">
        <w:rPr>
          <w:rFonts w:ascii="Arial" w:hAnsi="Arial" w:cs="Arial"/>
          <w:b/>
          <w:sz w:val="22"/>
          <w:szCs w:val="22"/>
          <w:lang w:val="en-GB"/>
        </w:rPr>
        <w:t>S2</w:t>
      </w:r>
      <w:r w:rsidR="009B69FE" w:rsidRPr="005F160D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9B69FE" w:rsidRPr="00584B1D">
        <w:rPr>
          <w:rFonts w:ascii="Arial" w:hAnsi="Arial" w:cs="Arial"/>
          <w:sz w:val="22"/>
          <w:szCs w:val="22"/>
          <w:lang w:val="en-GB"/>
        </w:rPr>
        <w:t xml:space="preserve">Interventions and health </w:t>
      </w:r>
      <w:r w:rsidR="009B69FE" w:rsidRPr="005F160D">
        <w:rPr>
          <w:rFonts w:ascii="Arial" w:hAnsi="Arial" w:cs="Arial"/>
          <w:sz w:val="22"/>
          <w:szCs w:val="22"/>
          <w:lang w:val="en-GB"/>
        </w:rPr>
        <w:t xml:space="preserve">services </w:t>
      </w:r>
      <w:r w:rsidR="009B69FE">
        <w:rPr>
          <w:rFonts w:ascii="Arial" w:hAnsi="Arial" w:cs="Arial"/>
          <w:sz w:val="22"/>
          <w:szCs w:val="22"/>
          <w:lang w:val="en-GB"/>
        </w:rPr>
        <w:t xml:space="preserve">provided </w:t>
      </w:r>
      <w:r w:rsidR="009B69FE" w:rsidRPr="005F160D">
        <w:rPr>
          <w:rFonts w:ascii="Arial" w:hAnsi="Arial" w:cs="Arial"/>
          <w:sz w:val="22"/>
          <w:szCs w:val="22"/>
          <w:lang w:val="en-GB"/>
        </w:rPr>
        <w:t>by the geriatric team at the index ED attendance for participants discharged home</w:t>
      </w:r>
    </w:p>
    <w:p w14:paraId="354EF9B6" w14:textId="77777777" w:rsidR="009B69FE" w:rsidRPr="00C06E33" w:rsidRDefault="009B69FE" w:rsidP="009B69FE">
      <w:pPr>
        <w:rPr>
          <w:rFonts w:ascii="Arial" w:hAnsi="Arial" w:cs="Arial"/>
          <w:sz w:val="22"/>
          <w:szCs w:val="22"/>
          <w:lang w:val="en-GB"/>
        </w:rPr>
      </w:pPr>
    </w:p>
    <w:p w14:paraId="268B8EEB" w14:textId="77777777" w:rsidR="00FF190A" w:rsidRDefault="00FF190A">
      <w:pPr>
        <w:spacing w:after="160" w:line="278" w:lineRule="auto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  <w:br w:type="page"/>
      </w:r>
    </w:p>
    <w:p w14:paraId="58698583" w14:textId="77777777" w:rsidR="009D50DE" w:rsidRDefault="009D50DE" w:rsidP="009D50DE">
      <w:pPr>
        <w:spacing w:before="100" w:beforeAutospacing="1" w:after="100" w:afterAutospacing="1" w:line="480" w:lineRule="auto"/>
        <w:outlineLvl w:val="2"/>
        <w:rPr>
          <w:rFonts w:ascii="Arial" w:hAnsi="Arial"/>
          <w:b/>
          <w:bCs/>
          <w:sz w:val="22"/>
          <w:szCs w:val="27"/>
          <w:lang w:val="en-US"/>
        </w:rPr>
      </w:pPr>
      <w:r w:rsidRPr="009B69FE">
        <w:rPr>
          <w:rFonts w:ascii="Arial" w:hAnsi="Arial"/>
          <w:b/>
          <w:bCs/>
          <w:sz w:val="22"/>
          <w:szCs w:val="27"/>
          <w:lang w:val="en-US"/>
        </w:rPr>
        <w:lastRenderedPageBreak/>
        <w:t xml:space="preserve">Appendix 1 </w:t>
      </w:r>
      <w:r>
        <w:rPr>
          <w:rFonts w:ascii="Arial" w:hAnsi="Arial"/>
          <w:b/>
          <w:bCs/>
          <w:sz w:val="22"/>
          <w:szCs w:val="27"/>
          <w:lang w:val="en-US"/>
        </w:rPr>
        <w:t xml:space="preserve">Checklist of </w:t>
      </w:r>
      <w:r w:rsidRPr="00B717F0">
        <w:rPr>
          <w:rFonts w:ascii="Arial" w:hAnsi="Arial"/>
          <w:b/>
          <w:bCs/>
          <w:sz w:val="22"/>
          <w:szCs w:val="27"/>
          <w:lang w:val="en-US"/>
        </w:rPr>
        <w:t xml:space="preserve">Clinical Presentations </w:t>
      </w:r>
    </w:p>
    <w:p w14:paraId="49570ABD" w14:textId="77777777" w:rsidR="007378B5" w:rsidRPr="0038283F" w:rsidRDefault="007378B5" w:rsidP="004D5383">
      <w:pPr>
        <w:spacing w:line="480" w:lineRule="auto"/>
        <w:rPr>
          <w:rFonts w:ascii="Arial" w:hAnsi="Arial"/>
          <w:b/>
          <w:bCs/>
          <w:sz w:val="22"/>
          <w:szCs w:val="22"/>
          <w:lang w:val="en-US"/>
        </w:rPr>
      </w:pPr>
    </w:p>
    <w:p w14:paraId="1FB4D9DE" w14:textId="77777777" w:rsidR="004D5383" w:rsidRPr="009B69FE" w:rsidRDefault="004D5383" w:rsidP="009B69FE">
      <w:pPr>
        <w:pStyle w:val="ListParagraph"/>
        <w:numPr>
          <w:ilvl w:val="0"/>
          <w:numId w:val="2"/>
        </w:numPr>
        <w:spacing w:line="480" w:lineRule="auto"/>
        <w:rPr>
          <w:rFonts w:ascii="Arial" w:hAnsi="Arial"/>
          <w:sz w:val="22"/>
          <w:lang w:val="en-US"/>
        </w:rPr>
      </w:pPr>
      <w:r w:rsidRPr="009B69FE">
        <w:rPr>
          <w:rFonts w:ascii="Arial" w:hAnsi="Arial"/>
          <w:b/>
          <w:bCs/>
          <w:sz w:val="22"/>
          <w:lang w:val="en-US"/>
        </w:rPr>
        <w:t xml:space="preserve">Intestinal </w:t>
      </w:r>
      <w:proofErr w:type="spellStart"/>
      <w:r w:rsidRPr="009B69FE">
        <w:rPr>
          <w:rFonts w:ascii="Arial" w:hAnsi="Arial"/>
          <w:b/>
          <w:bCs/>
          <w:sz w:val="22"/>
          <w:lang w:val="en-US"/>
        </w:rPr>
        <w:t>Subocclusion</w:t>
      </w:r>
      <w:proofErr w:type="spellEnd"/>
      <w:r w:rsidRPr="009B69FE">
        <w:rPr>
          <w:rFonts w:ascii="Arial" w:hAnsi="Arial"/>
          <w:b/>
          <w:bCs/>
          <w:sz w:val="22"/>
          <w:lang w:val="en-US"/>
        </w:rPr>
        <w:t xml:space="preserve"> Due to Fecal Impaction</w:t>
      </w:r>
      <w:r w:rsidRPr="009B69FE">
        <w:rPr>
          <w:rFonts w:ascii="Arial" w:hAnsi="Arial"/>
          <w:sz w:val="22"/>
          <w:lang w:val="en-US"/>
        </w:rPr>
        <w:t>: Recurrent or newly identified cases; abdominal X-ray and routine blood tests will be performed in the Emergency Department (ED) to exclude surgical causes.</w:t>
      </w:r>
    </w:p>
    <w:p w14:paraId="7816CBB3" w14:textId="77777777" w:rsidR="004D5383" w:rsidRPr="00B717F0" w:rsidRDefault="004D5383" w:rsidP="007378B5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Hyperglycemia</w:t>
      </w:r>
      <w:r w:rsidRPr="00B717F0">
        <w:rPr>
          <w:rFonts w:ascii="Arial" w:hAnsi="Arial"/>
          <w:sz w:val="22"/>
          <w:lang w:val="en-US"/>
        </w:rPr>
        <w:t>: Blood glucose &lt; 400 mg/dL in known diabetic patients, without signs of ketoacidosis, no impairment of vital functions, and with preserved or only mildly altered consciousness.</w:t>
      </w:r>
    </w:p>
    <w:p w14:paraId="1D9178C2" w14:textId="77777777" w:rsidR="004D5383" w:rsidRPr="00B717F0" w:rsidRDefault="004D5383" w:rsidP="004D5383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Recent Onset of Asthenia, Dizziness, and Postural Instability</w:t>
      </w:r>
      <w:r w:rsidRPr="00B717F0">
        <w:rPr>
          <w:rFonts w:ascii="Arial" w:hAnsi="Arial"/>
          <w:sz w:val="22"/>
          <w:lang w:val="en-US"/>
        </w:rPr>
        <w:t>: In the absence of vital function impairment and with preserved consciousness; electrocardiogram, routine blood tests, and brain CT scan will be performed in the ED if clinically indicated.</w:t>
      </w:r>
    </w:p>
    <w:p w14:paraId="70D25F26" w14:textId="77777777" w:rsidR="004D5383" w:rsidRPr="00B717F0" w:rsidRDefault="004D5383" w:rsidP="004D5383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Iatrogenic Hypoglycemia</w:t>
      </w:r>
      <w:r w:rsidRPr="00B717F0">
        <w:rPr>
          <w:rFonts w:ascii="Arial" w:hAnsi="Arial"/>
          <w:sz w:val="22"/>
          <w:lang w:val="en-US"/>
        </w:rPr>
        <w:t>: Induced by oral antidiabetic agents and/or long-acting insulin, with preserved consciousness.</w:t>
      </w:r>
    </w:p>
    <w:p w14:paraId="5199293E" w14:textId="77777777" w:rsidR="004D5383" w:rsidRPr="00B717F0" w:rsidRDefault="004D5383" w:rsidP="004D5383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Non-Traumatic Syncopal Episode</w:t>
      </w:r>
      <w:r w:rsidRPr="00B717F0">
        <w:rPr>
          <w:rFonts w:ascii="Arial" w:hAnsi="Arial"/>
          <w:sz w:val="22"/>
          <w:lang w:val="en-US"/>
        </w:rPr>
        <w:t>: Cardiogenic and neurological causes must be excluded prior to classification.</w:t>
      </w:r>
    </w:p>
    <w:p w14:paraId="7BD013B3" w14:textId="77777777" w:rsidR="004D5383" w:rsidRPr="00B717F0" w:rsidRDefault="004D5383" w:rsidP="004D5383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Behavioral Disturbances in Dementia</w:t>
      </w:r>
      <w:r w:rsidRPr="00B717F0">
        <w:rPr>
          <w:rFonts w:ascii="Arial" w:hAnsi="Arial"/>
          <w:sz w:val="22"/>
          <w:lang w:val="en-US"/>
        </w:rPr>
        <w:t>: New onset or worsening of behavioral symptoms in patients with dementia, excluding delirium (assessed using DELIRIUMS acronym and appropriate diagnostic tests to rule out severe organic causes not previously identified).</w:t>
      </w:r>
    </w:p>
    <w:p w14:paraId="7890B49B" w14:textId="77777777" w:rsidR="004D5383" w:rsidRPr="00B717F0" w:rsidRDefault="004D5383" w:rsidP="004D5383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Recent Onset or Worsening of Edema with Dyspnea</w:t>
      </w:r>
      <w:r w:rsidRPr="00B717F0">
        <w:rPr>
          <w:rFonts w:ascii="Arial" w:hAnsi="Arial"/>
          <w:sz w:val="22"/>
          <w:lang w:val="en-US"/>
        </w:rPr>
        <w:t>: Occurring in patients with a history of cardiac or respiratory disease (e.g., congestive heart failure, chronic obstructive pulmonary disease), without vital function impairment and with preserved consciousness.</w:t>
      </w:r>
    </w:p>
    <w:p w14:paraId="626DA4CE" w14:textId="77777777" w:rsidR="004D5383" w:rsidRPr="00B717F0" w:rsidRDefault="004D5383" w:rsidP="004D5383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</w:rPr>
      </w:pPr>
      <w:r w:rsidRPr="00B717F0">
        <w:rPr>
          <w:rFonts w:ascii="Arial" w:hAnsi="Arial"/>
          <w:b/>
          <w:bCs/>
          <w:sz w:val="22"/>
          <w:lang w:val="en-US"/>
        </w:rPr>
        <w:t>Non-Traumatic or Minor Dynamic Falls</w:t>
      </w:r>
      <w:r w:rsidRPr="00B717F0">
        <w:rPr>
          <w:rFonts w:ascii="Arial" w:hAnsi="Arial"/>
          <w:sz w:val="22"/>
          <w:lang w:val="en-US"/>
        </w:rPr>
        <w:t xml:space="preserve">: Negative radiological findings for fractures and negative brain CT in cases of concomitant head trauma; absence of significant blood test abnormalities (e.g., anemia, dehydration, electrolyte imbalance, elevated inflammatory markers). </w:t>
      </w:r>
      <w:r w:rsidRPr="00B717F0">
        <w:rPr>
          <w:rFonts w:ascii="Arial" w:hAnsi="Arial"/>
          <w:sz w:val="22"/>
        </w:rPr>
        <w:t>Major or traumatic falls must be excluded.</w:t>
      </w:r>
    </w:p>
    <w:p w14:paraId="23584E7A" w14:textId="77777777" w:rsidR="004D5383" w:rsidRPr="00B717F0" w:rsidRDefault="004D5383" w:rsidP="004D5383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Clinical Signs of Acute Dehydration</w:t>
      </w:r>
      <w:r w:rsidRPr="00B717F0">
        <w:rPr>
          <w:rFonts w:ascii="Arial" w:hAnsi="Arial"/>
          <w:sz w:val="22"/>
          <w:lang w:val="en-US"/>
        </w:rPr>
        <w:t>: Due to heat exposure, insufficient fluid intake, diarrhea (including iatrogenic), or fever; in the absence of severe electrolyte imbalance or renal dysfunction, and with preserved or only mildly altered consciousness.</w:t>
      </w:r>
    </w:p>
    <w:p w14:paraId="0DC7576B" w14:textId="77777777" w:rsidR="004D5383" w:rsidRPr="00B717F0" w:rsidRDefault="004D5383" w:rsidP="004D5383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lastRenderedPageBreak/>
        <w:t>Uncomplicated Pelvic Fracture</w:t>
      </w:r>
      <w:r w:rsidRPr="00B717F0">
        <w:rPr>
          <w:rFonts w:ascii="Arial" w:hAnsi="Arial"/>
          <w:sz w:val="22"/>
          <w:lang w:val="en-US"/>
        </w:rPr>
        <w:t>: Characterized by hematoma, acute urinary retention, intestinal obstruction, or need for high-dose analgesia; managed conservatively with bed rest, where logistical and care coordination issues predominate over orthopedic or internal medicine concerns.</w:t>
      </w:r>
    </w:p>
    <w:p w14:paraId="33716715" w14:textId="77777777" w:rsidR="004D5383" w:rsidRPr="00B717F0" w:rsidRDefault="004D5383" w:rsidP="004D5383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Acute Bronchitis or Exacerbation of COPD and/or Pulmonary Infiltrate</w:t>
      </w:r>
      <w:r w:rsidRPr="00B717F0">
        <w:rPr>
          <w:rFonts w:ascii="Arial" w:hAnsi="Arial"/>
          <w:sz w:val="22"/>
          <w:lang w:val="en-US"/>
        </w:rPr>
        <w:t>: Confirmed by chest X-ray and arterial blood gas analysis, in the absence of respiratory failure.</w:t>
      </w:r>
    </w:p>
    <w:p w14:paraId="208C67D9" w14:textId="597537DF" w:rsidR="004D5383" w:rsidRPr="009B69FE" w:rsidRDefault="004D5383" w:rsidP="004D5383">
      <w:pPr>
        <w:spacing w:line="480" w:lineRule="auto"/>
        <w:rPr>
          <w:rFonts w:ascii="Arial" w:hAnsi="Arial"/>
          <w:sz w:val="22"/>
          <w:lang w:val="en-US"/>
        </w:rPr>
      </w:pPr>
    </w:p>
    <w:p w14:paraId="4578B3CB" w14:textId="77777777" w:rsidR="004D5383" w:rsidRPr="00B717F0" w:rsidRDefault="004D5383" w:rsidP="004D5383">
      <w:pPr>
        <w:spacing w:line="480" w:lineRule="auto"/>
        <w:ind w:left="1069"/>
        <w:rPr>
          <w:rFonts w:ascii="Arial" w:hAnsi="Arial" w:cs="Arial"/>
          <w:sz w:val="22"/>
          <w:lang w:val="en-GB"/>
        </w:rPr>
      </w:pPr>
    </w:p>
    <w:p w14:paraId="429642EB" w14:textId="77777777" w:rsidR="004D5383" w:rsidRPr="00B717F0" w:rsidRDefault="004D5383" w:rsidP="004D5383">
      <w:pPr>
        <w:spacing w:line="480" w:lineRule="auto"/>
        <w:rPr>
          <w:rFonts w:ascii="Arial" w:hAnsi="Arial" w:cs="Arial"/>
          <w:sz w:val="22"/>
          <w:lang w:val="en-US"/>
        </w:rPr>
      </w:pPr>
      <w:r w:rsidRPr="00B717F0">
        <w:rPr>
          <w:rFonts w:ascii="Arial" w:hAnsi="Arial" w:cs="Arial"/>
          <w:sz w:val="22"/>
          <w:lang w:val="en-US"/>
        </w:rPr>
        <w:t>:</w:t>
      </w:r>
    </w:p>
    <w:p w14:paraId="199218DA" w14:textId="77777777" w:rsidR="004D5383" w:rsidRPr="00B717F0" w:rsidRDefault="00D71B10" w:rsidP="004D5383">
      <w:pPr>
        <w:spacing w:line="480" w:lineRule="auto"/>
        <w:ind w:left="1069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14:ligatures w14:val="standardContextual"/>
        </w:rPr>
        <w:pict w14:anchorId="6120CF16">
          <v:rect id="_x0000_i1025" alt="" style="width:3.85pt;height:.05pt;mso-width-percent:0;mso-height-percent:0;mso-width-percent:0;mso-height-percent:0" o:hrpct="8" o:hralign="center" o:hrstd="t" o:hr="t" fillcolor="#a0a0a0" stroked="f"/>
        </w:pict>
      </w:r>
    </w:p>
    <w:p w14:paraId="14D010C1" w14:textId="77777777" w:rsidR="004D5383" w:rsidRPr="00B717F0" w:rsidRDefault="004D5383" w:rsidP="004D5383">
      <w:pPr>
        <w:spacing w:after="160" w:line="480" w:lineRule="auto"/>
        <w:rPr>
          <w:rFonts w:ascii="Arial" w:hAnsi="Arial"/>
          <w:b/>
          <w:bCs/>
          <w:sz w:val="22"/>
          <w:szCs w:val="27"/>
          <w:lang w:val="en-US"/>
        </w:rPr>
      </w:pPr>
      <w:r w:rsidRPr="00B717F0">
        <w:rPr>
          <w:rFonts w:ascii="Arial" w:hAnsi="Arial"/>
          <w:b/>
          <w:bCs/>
          <w:sz w:val="22"/>
          <w:szCs w:val="27"/>
          <w:lang w:val="en-US"/>
        </w:rPr>
        <w:br w:type="page"/>
      </w:r>
    </w:p>
    <w:p w14:paraId="54CEEE4A" w14:textId="77777777" w:rsidR="009D50DE" w:rsidRPr="009D50DE" w:rsidRDefault="009D50DE" w:rsidP="009D50DE">
      <w:pPr>
        <w:spacing w:before="100" w:beforeAutospacing="1" w:after="100" w:afterAutospacing="1" w:line="480" w:lineRule="auto"/>
        <w:outlineLvl w:val="2"/>
        <w:rPr>
          <w:rFonts w:ascii="Arial" w:hAnsi="Arial"/>
          <w:b/>
          <w:bCs/>
          <w:sz w:val="22"/>
          <w:szCs w:val="27"/>
          <w:lang w:val="en-US"/>
        </w:rPr>
      </w:pPr>
      <w:r w:rsidRPr="009D50DE">
        <w:rPr>
          <w:rFonts w:ascii="Arial" w:hAnsi="Arial"/>
          <w:b/>
          <w:bCs/>
          <w:sz w:val="22"/>
          <w:szCs w:val="27"/>
          <w:lang w:val="en-US"/>
        </w:rPr>
        <w:lastRenderedPageBreak/>
        <w:t>Appendix 2 Clinical Interventions</w:t>
      </w:r>
    </w:p>
    <w:p w14:paraId="0C8CA890" w14:textId="77777777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b/>
          <w:bCs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 xml:space="preserve">Therapeutic and Medication Review: </w:t>
      </w:r>
      <w:r w:rsidRPr="00B717F0">
        <w:rPr>
          <w:rFonts w:ascii="Arial" w:hAnsi="Arial"/>
          <w:bCs/>
          <w:sz w:val="22"/>
          <w:lang w:val="en-US"/>
        </w:rPr>
        <w:t>Evaluation of current therapies and assessment of medication appropriateness and effectiveness</w:t>
      </w:r>
      <w:r w:rsidRPr="00B717F0">
        <w:rPr>
          <w:rFonts w:ascii="Arial" w:hAnsi="Arial"/>
          <w:b/>
          <w:bCs/>
          <w:sz w:val="22"/>
          <w:lang w:val="en-US"/>
        </w:rPr>
        <w:t>.</w:t>
      </w:r>
    </w:p>
    <w:p w14:paraId="0B2B4CF2" w14:textId="77777777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b/>
          <w:bCs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 xml:space="preserve">Caregiver Support: </w:t>
      </w:r>
      <w:r w:rsidRPr="00B717F0">
        <w:rPr>
          <w:rFonts w:ascii="Arial" w:hAnsi="Arial"/>
          <w:bCs/>
          <w:sz w:val="22"/>
          <w:lang w:val="en-US"/>
        </w:rPr>
        <w:t>Implementation of non-pharmacological strategies to assist caregivers in managing cognitive decline in home settings</w:t>
      </w:r>
      <w:r w:rsidRPr="00B717F0">
        <w:rPr>
          <w:rFonts w:ascii="Arial" w:hAnsi="Arial"/>
          <w:b/>
          <w:bCs/>
          <w:sz w:val="22"/>
          <w:lang w:val="en-US"/>
        </w:rPr>
        <w:t>.</w:t>
      </w:r>
    </w:p>
    <w:p w14:paraId="17338EF9" w14:textId="27EC3B6E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b/>
          <w:bCs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 xml:space="preserve">Geriatric Follow-Up: </w:t>
      </w:r>
      <w:r w:rsidRPr="00B717F0">
        <w:rPr>
          <w:rFonts w:ascii="Arial" w:hAnsi="Arial"/>
          <w:bCs/>
          <w:sz w:val="22"/>
          <w:lang w:val="en-US"/>
        </w:rPr>
        <w:t>Scheduling of geriatric consultations to ensure continuous monitoring of neurocognitive conditions</w:t>
      </w:r>
      <w:r w:rsidRPr="00B717F0">
        <w:rPr>
          <w:rFonts w:ascii="Arial" w:hAnsi="Arial"/>
          <w:b/>
          <w:bCs/>
          <w:sz w:val="22"/>
          <w:lang w:val="en-US"/>
        </w:rPr>
        <w:t>.</w:t>
      </w:r>
    </w:p>
    <w:p w14:paraId="30009CA2" w14:textId="77777777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b/>
          <w:bCs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 xml:space="preserve">Specialist Collaboration: </w:t>
      </w:r>
      <w:r w:rsidRPr="00B717F0">
        <w:rPr>
          <w:rFonts w:ascii="Arial" w:hAnsi="Arial"/>
          <w:bCs/>
          <w:sz w:val="22"/>
          <w:lang w:val="en-US"/>
        </w:rPr>
        <w:t>Coordination of home-based therapeutic programs and follow-up visits in partnership with relevant specialists</w:t>
      </w:r>
      <w:r w:rsidRPr="00B717F0">
        <w:rPr>
          <w:rFonts w:ascii="Arial" w:hAnsi="Arial"/>
          <w:b/>
          <w:bCs/>
          <w:sz w:val="22"/>
          <w:lang w:val="en-US"/>
        </w:rPr>
        <w:t>.</w:t>
      </w:r>
    </w:p>
    <w:p w14:paraId="2285B2D8" w14:textId="77777777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bCs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 xml:space="preserve">Primary Care Coordination: </w:t>
      </w:r>
      <w:r w:rsidRPr="00B717F0">
        <w:rPr>
          <w:rFonts w:ascii="Arial" w:hAnsi="Arial"/>
          <w:bCs/>
          <w:sz w:val="22"/>
          <w:lang w:val="en-US"/>
        </w:rPr>
        <w:t>Communication with primary care providers via written reports and telephone consultations to support shared decision-making in treatment planning.</w:t>
      </w:r>
    </w:p>
    <w:p w14:paraId="07DD4F15" w14:textId="77777777" w:rsidR="009D50DE" w:rsidRPr="009D50DE" w:rsidRDefault="009D50DE" w:rsidP="009D50DE">
      <w:pPr>
        <w:spacing w:before="100" w:beforeAutospacing="1" w:after="100" w:afterAutospacing="1" w:line="480" w:lineRule="auto"/>
        <w:outlineLvl w:val="2"/>
        <w:rPr>
          <w:rFonts w:ascii="Arial" w:hAnsi="Arial"/>
          <w:b/>
          <w:bCs/>
          <w:sz w:val="22"/>
          <w:szCs w:val="27"/>
          <w:lang w:val="en-US"/>
        </w:rPr>
      </w:pPr>
      <w:r w:rsidRPr="009D50DE">
        <w:rPr>
          <w:rFonts w:ascii="Arial" w:hAnsi="Arial"/>
          <w:b/>
          <w:bCs/>
          <w:sz w:val="22"/>
          <w:szCs w:val="27"/>
          <w:lang w:val="en-US"/>
        </w:rPr>
        <w:t>Appendix 3 Social and Welfare Interventions</w:t>
      </w:r>
    </w:p>
    <w:p w14:paraId="492B3C91" w14:textId="77777777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Activation of Social Home Care Services</w:t>
      </w:r>
      <w:r w:rsidRPr="00B717F0">
        <w:rPr>
          <w:rFonts w:ascii="Arial" w:hAnsi="Arial"/>
          <w:sz w:val="22"/>
          <w:lang w:val="en-US"/>
        </w:rPr>
        <w:t>: Initiation of in-home support services tailored to the needs of elderly individuals.</w:t>
      </w:r>
    </w:p>
    <w:p w14:paraId="1ABF6D1B" w14:textId="77777777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Engagement with Local Social Services</w:t>
      </w:r>
      <w:r w:rsidRPr="00B717F0">
        <w:rPr>
          <w:rFonts w:ascii="Arial" w:hAnsi="Arial"/>
          <w:sz w:val="22"/>
          <w:lang w:val="en-US"/>
        </w:rPr>
        <w:t>: Collaboration with municipal social service agencies to collect relevant information and coordinate ongoing assistance.</w:t>
      </w:r>
    </w:p>
    <w:p w14:paraId="3CC963E6" w14:textId="00ED3AC3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Simplified Multidimensional Assessment</w:t>
      </w:r>
      <w:r w:rsidR="00BB69D3">
        <w:rPr>
          <w:rFonts w:ascii="Arial" w:hAnsi="Arial"/>
          <w:b/>
          <w:bCs/>
          <w:sz w:val="22"/>
          <w:lang w:val="en-US"/>
        </w:rPr>
        <w:t>:</w:t>
      </w:r>
      <w:r w:rsidRPr="00B717F0">
        <w:rPr>
          <w:rFonts w:ascii="Arial" w:hAnsi="Arial"/>
          <w:sz w:val="22"/>
          <w:lang w:val="en-US"/>
        </w:rPr>
        <w:t xml:space="preserve"> </w:t>
      </w:r>
      <w:r w:rsidR="00BB69D3">
        <w:rPr>
          <w:rFonts w:ascii="Arial" w:hAnsi="Arial"/>
          <w:sz w:val="22"/>
          <w:lang w:val="en-US"/>
        </w:rPr>
        <w:t>E</w:t>
      </w:r>
      <w:r w:rsidRPr="00B717F0">
        <w:rPr>
          <w:rFonts w:ascii="Arial" w:hAnsi="Arial"/>
          <w:sz w:val="22"/>
          <w:lang w:val="en-US"/>
        </w:rPr>
        <w:t>valuat</w:t>
      </w:r>
      <w:r w:rsidR="00BB69D3">
        <w:rPr>
          <w:rFonts w:ascii="Arial" w:hAnsi="Arial"/>
          <w:sz w:val="22"/>
          <w:lang w:val="en-US"/>
        </w:rPr>
        <w:t>ion of</w:t>
      </w:r>
      <w:r w:rsidRPr="00B717F0">
        <w:rPr>
          <w:rFonts w:ascii="Arial" w:hAnsi="Arial"/>
          <w:sz w:val="22"/>
          <w:lang w:val="en-US"/>
        </w:rPr>
        <w:t xml:space="preserve"> the functional, social, and health-related needs of older adults, facilitating access to personalized services such as home care or Day Center enrollment.</w:t>
      </w:r>
    </w:p>
    <w:p w14:paraId="150A4626" w14:textId="48506CB6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Complex Multidimensional Evaluation</w:t>
      </w:r>
      <w:r w:rsidR="00BB69D3">
        <w:rPr>
          <w:rFonts w:ascii="Arial" w:hAnsi="Arial"/>
          <w:b/>
          <w:bCs/>
          <w:sz w:val="22"/>
          <w:lang w:val="en-US"/>
        </w:rPr>
        <w:t xml:space="preserve">: </w:t>
      </w:r>
      <w:r w:rsidRPr="00B717F0">
        <w:rPr>
          <w:rFonts w:ascii="Arial" w:hAnsi="Arial"/>
          <w:sz w:val="22"/>
          <w:lang w:val="en-US"/>
        </w:rPr>
        <w:t>Comprehensive assessment of elderly individuals to develop advanced care plans, which may include recommendations for institutional care.</w:t>
      </w:r>
    </w:p>
    <w:p w14:paraId="4631E03E" w14:textId="77777777" w:rsidR="004D5383" w:rsidRPr="00B717F0" w:rsidRDefault="004D5383" w:rsidP="004D5383">
      <w:pPr>
        <w:numPr>
          <w:ilvl w:val="0"/>
          <w:numId w:val="1"/>
        </w:numPr>
        <w:spacing w:line="480" w:lineRule="auto"/>
        <w:rPr>
          <w:rFonts w:ascii="Arial" w:hAnsi="Arial"/>
          <w:sz w:val="22"/>
          <w:lang w:val="en-US"/>
        </w:rPr>
      </w:pPr>
      <w:r w:rsidRPr="00B717F0">
        <w:rPr>
          <w:rFonts w:ascii="Arial" w:hAnsi="Arial"/>
          <w:b/>
          <w:bCs/>
          <w:sz w:val="22"/>
          <w:lang w:val="en-US"/>
        </w:rPr>
        <w:t>Coordination with Lower Intensity Care Facilities</w:t>
      </w:r>
      <w:r w:rsidRPr="00B717F0">
        <w:rPr>
          <w:rFonts w:ascii="Arial" w:hAnsi="Arial"/>
          <w:sz w:val="22"/>
          <w:lang w:val="en-US"/>
        </w:rPr>
        <w:t>: Partnership with accredited private healthcare institutions to arrange temporary patient stays, supporting caregivers in planning home reintegration or awaiting long-term placement.</w:t>
      </w:r>
    </w:p>
    <w:p w14:paraId="42BE9C6E" w14:textId="77777777" w:rsidR="009B69FE" w:rsidRDefault="009B69FE">
      <w:pPr>
        <w:spacing w:after="160" w:line="278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br w:type="page"/>
      </w:r>
    </w:p>
    <w:p w14:paraId="26E7E581" w14:textId="74F349C9" w:rsidR="00560C60" w:rsidRPr="00C06E33" w:rsidRDefault="009D50DE" w:rsidP="00560C60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Appendix 4 </w:t>
      </w:r>
      <w:r w:rsidR="00560C60" w:rsidRPr="00C06E33">
        <w:rPr>
          <w:rFonts w:ascii="Arial" w:hAnsi="Arial" w:cs="Arial"/>
          <w:b/>
          <w:sz w:val="22"/>
          <w:szCs w:val="22"/>
          <w:lang w:val="en-GB"/>
        </w:rPr>
        <w:t xml:space="preserve">Table </w:t>
      </w:r>
      <w:r w:rsidR="00560C60">
        <w:rPr>
          <w:rFonts w:ascii="Arial" w:hAnsi="Arial" w:cs="Arial"/>
          <w:b/>
          <w:sz w:val="22"/>
          <w:szCs w:val="22"/>
          <w:lang w:val="en-GB"/>
        </w:rPr>
        <w:t>S1</w:t>
      </w:r>
      <w:r w:rsidR="00560C60" w:rsidRPr="00C06E33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0739A5" w:rsidRPr="000739A5">
        <w:rPr>
          <w:rFonts w:ascii="Arial" w:hAnsi="Arial" w:cs="Arial"/>
          <w:sz w:val="22"/>
          <w:szCs w:val="22"/>
          <w:lang w:val="en-US"/>
        </w:rPr>
        <w:t xml:space="preserve">Median Emergency Department length of stay by intervention group and outcome, stratified by whether participants were held for further </w:t>
      </w:r>
      <w:r w:rsidR="000739A5">
        <w:rPr>
          <w:rFonts w:ascii="Arial" w:hAnsi="Arial" w:cs="Arial"/>
          <w:sz w:val="22"/>
          <w:szCs w:val="22"/>
          <w:lang w:val="en-US"/>
        </w:rPr>
        <w:t>observation</w:t>
      </w:r>
    </w:p>
    <w:tbl>
      <w:tblPr>
        <w:tblStyle w:val="TableGrid"/>
        <w:tblW w:w="97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5"/>
        <w:gridCol w:w="517"/>
        <w:gridCol w:w="826"/>
        <w:gridCol w:w="540"/>
        <w:gridCol w:w="974"/>
        <w:gridCol w:w="850"/>
        <w:gridCol w:w="541"/>
        <w:gridCol w:w="828"/>
        <w:gridCol w:w="487"/>
        <w:gridCol w:w="1016"/>
        <w:gridCol w:w="850"/>
      </w:tblGrid>
      <w:tr w:rsidR="00560C60" w:rsidRPr="00C06E33" w14:paraId="394698A5" w14:textId="77777777" w:rsidTr="00584B1D">
        <w:trPr>
          <w:trHeight w:val="454"/>
        </w:trPr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5C4E19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CD7F4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6E33">
              <w:rPr>
                <w:rFonts w:ascii="Arial" w:hAnsi="Arial" w:cs="Arial"/>
                <w:b/>
                <w:sz w:val="18"/>
                <w:szCs w:val="18"/>
              </w:rPr>
              <w:t>Discharged</w:t>
            </w:r>
          </w:p>
        </w:tc>
        <w:tc>
          <w:tcPr>
            <w:tcW w:w="372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659D0C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6E33">
              <w:rPr>
                <w:rFonts w:ascii="Arial" w:hAnsi="Arial" w:cs="Arial"/>
                <w:b/>
                <w:sz w:val="18"/>
                <w:szCs w:val="18"/>
              </w:rPr>
              <w:t>Admitted</w:t>
            </w:r>
          </w:p>
        </w:tc>
      </w:tr>
      <w:tr w:rsidR="00560C60" w:rsidRPr="00C06E33" w14:paraId="07D2CA5B" w14:textId="77777777" w:rsidTr="00584B1D">
        <w:tc>
          <w:tcPr>
            <w:tcW w:w="2325" w:type="dxa"/>
            <w:tcBorders>
              <w:right w:val="single" w:sz="4" w:space="0" w:color="auto"/>
            </w:tcBorders>
          </w:tcPr>
          <w:p w14:paraId="645AD020" w14:textId="77777777" w:rsidR="00560C60" w:rsidRPr="00C06E33" w:rsidRDefault="00560C60" w:rsidP="00584B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auto"/>
            </w:tcBorders>
            <w:vAlign w:val="center"/>
          </w:tcPr>
          <w:p w14:paraId="0AEF41D5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6E33">
              <w:rPr>
                <w:rFonts w:ascii="Arial" w:hAnsi="Arial" w:cs="Arial"/>
                <w:b/>
                <w:sz w:val="18"/>
                <w:szCs w:val="18"/>
              </w:rPr>
              <w:t>Usual care</w:t>
            </w:r>
          </w:p>
        </w:tc>
        <w:tc>
          <w:tcPr>
            <w:tcW w:w="1514" w:type="dxa"/>
            <w:gridSpan w:val="2"/>
            <w:shd w:val="clear" w:color="auto" w:fill="B7D4EF" w:themeFill="text2" w:themeFillTint="33"/>
            <w:vAlign w:val="center"/>
          </w:tcPr>
          <w:p w14:paraId="17BD3291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6E33">
              <w:rPr>
                <w:rFonts w:ascii="Arial" w:hAnsi="Arial" w:cs="Arial"/>
                <w:b/>
                <w:sz w:val="18"/>
                <w:szCs w:val="18"/>
              </w:rPr>
              <w:t>Geriatric Team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049A244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left w:val="single" w:sz="4" w:space="0" w:color="auto"/>
            </w:tcBorders>
            <w:vAlign w:val="center"/>
          </w:tcPr>
          <w:p w14:paraId="33E2F062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6E33">
              <w:rPr>
                <w:rFonts w:ascii="Arial" w:hAnsi="Arial" w:cs="Arial"/>
                <w:b/>
                <w:sz w:val="18"/>
                <w:szCs w:val="18"/>
              </w:rPr>
              <w:t>Usual care</w:t>
            </w:r>
          </w:p>
        </w:tc>
        <w:tc>
          <w:tcPr>
            <w:tcW w:w="1503" w:type="dxa"/>
            <w:gridSpan w:val="2"/>
            <w:shd w:val="clear" w:color="auto" w:fill="B7D4EF" w:themeFill="text2" w:themeFillTint="33"/>
            <w:vAlign w:val="center"/>
          </w:tcPr>
          <w:p w14:paraId="242CA5BD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6E33">
              <w:rPr>
                <w:rFonts w:ascii="Arial" w:hAnsi="Arial" w:cs="Arial"/>
                <w:b/>
                <w:sz w:val="18"/>
                <w:szCs w:val="18"/>
              </w:rPr>
              <w:t>Geriatric Team</w:t>
            </w:r>
          </w:p>
        </w:tc>
        <w:tc>
          <w:tcPr>
            <w:tcW w:w="850" w:type="dxa"/>
            <w:shd w:val="clear" w:color="auto" w:fill="auto"/>
          </w:tcPr>
          <w:p w14:paraId="5FDEF7BC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0C60" w:rsidRPr="00C06E33" w14:paraId="12A25140" w14:textId="77777777" w:rsidTr="00584B1D"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14:paraId="3CA9BD7B" w14:textId="77777777" w:rsidR="00560C60" w:rsidRPr="00C06E33" w:rsidRDefault="00560C60" w:rsidP="00584B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D6E8E8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DB1E23A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Median LOS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7D4EF" w:themeFill="text2" w:themeFillTint="33"/>
            <w:vAlign w:val="center"/>
          </w:tcPr>
          <w:p w14:paraId="7C408BA8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B7D4EF" w:themeFill="text2" w:themeFillTint="33"/>
            <w:vAlign w:val="center"/>
          </w:tcPr>
          <w:p w14:paraId="533A9BE6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Median LOS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7BA7BE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p-value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DEC7B0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319F9676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Median LOS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B7D4EF" w:themeFill="text2" w:themeFillTint="33"/>
            <w:vAlign w:val="center"/>
          </w:tcPr>
          <w:p w14:paraId="525BF971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B7D4EF" w:themeFill="text2" w:themeFillTint="33"/>
            <w:vAlign w:val="center"/>
          </w:tcPr>
          <w:p w14:paraId="2D7D5651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Median LOS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53B57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p-value</w:t>
            </w:r>
          </w:p>
        </w:tc>
      </w:tr>
      <w:tr w:rsidR="00560C60" w:rsidRPr="00C06E33" w14:paraId="6EF47B82" w14:textId="77777777" w:rsidTr="00584B1D"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813B327" w14:textId="77777777" w:rsidR="00560C60" w:rsidRPr="00C06E33" w:rsidRDefault="00560C60" w:rsidP="00584B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Overall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</w:tcBorders>
          </w:tcPr>
          <w:p w14:paraId="26CCD422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14:paraId="1AF2E4A9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733AE5BB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B7D4EF" w:themeFill="text2" w:themeFillTint="33"/>
            <w:vAlign w:val="center"/>
          </w:tcPr>
          <w:p w14:paraId="358C3BEF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5FE4032F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0.084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</w:tcPr>
          <w:p w14:paraId="495B073A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14:paraId="44311E27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16</w:t>
            </w:r>
          </w:p>
        </w:tc>
        <w:tc>
          <w:tcPr>
            <w:tcW w:w="487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2B5E8F18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B7D4EF" w:themeFill="text2" w:themeFillTint="33"/>
            <w:vAlign w:val="center"/>
          </w:tcPr>
          <w:p w14:paraId="65A445C9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A162774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560C60" w:rsidRPr="00C06E33" w14:paraId="2063643B" w14:textId="77777777" w:rsidTr="00584B1D"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433196C" w14:textId="77777777" w:rsidR="00560C60" w:rsidRDefault="00560C60" w:rsidP="00584B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</w:tcBorders>
          </w:tcPr>
          <w:p w14:paraId="27630CFE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14:paraId="1DF62E10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0851E1B9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B7D4EF" w:themeFill="text2" w:themeFillTint="33"/>
            <w:vAlign w:val="center"/>
          </w:tcPr>
          <w:p w14:paraId="484D3BBE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55F9B114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</w:tcPr>
          <w:p w14:paraId="670B29ED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14:paraId="325444E3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65E37F7F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B7D4EF" w:themeFill="text2" w:themeFillTint="33"/>
            <w:vAlign w:val="center"/>
          </w:tcPr>
          <w:p w14:paraId="639F0C77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7AE2F8F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0C60" w:rsidRPr="000739A5" w14:paraId="13581A78" w14:textId="77777777" w:rsidTr="00584B1D">
        <w:tc>
          <w:tcPr>
            <w:tcW w:w="2325" w:type="dxa"/>
            <w:tcBorders>
              <w:right w:val="single" w:sz="4" w:space="0" w:color="auto"/>
            </w:tcBorders>
            <w:vAlign w:val="bottom"/>
          </w:tcPr>
          <w:p w14:paraId="2008F8C3" w14:textId="5A5BC234" w:rsidR="00560C60" w:rsidRPr="00C06E33" w:rsidRDefault="000739A5" w:rsidP="00584B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Further observation </w:t>
            </w:r>
          </w:p>
        </w:tc>
        <w:tc>
          <w:tcPr>
            <w:tcW w:w="517" w:type="dxa"/>
            <w:tcBorders>
              <w:left w:val="single" w:sz="4" w:space="0" w:color="auto"/>
            </w:tcBorders>
          </w:tcPr>
          <w:p w14:paraId="133C15B4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vAlign w:val="center"/>
          </w:tcPr>
          <w:p w14:paraId="03194B19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7D4EF" w:themeFill="text2" w:themeFillTint="33"/>
          </w:tcPr>
          <w:p w14:paraId="7C62B41A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B7D4EF" w:themeFill="text2" w:themeFillTint="33"/>
            <w:vAlign w:val="center"/>
          </w:tcPr>
          <w:p w14:paraId="71A44839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673B083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14:paraId="5F476A87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14:paraId="51CEAE2F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B7D4EF" w:themeFill="text2" w:themeFillTint="33"/>
          </w:tcPr>
          <w:p w14:paraId="00FD258F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B7D4EF" w:themeFill="text2" w:themeFillTint="33"/>
            <w:vAlign w:val="center"/>
          </w:tcPr>
          <w:p w14:paraId="0A968252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4B122D13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0C60" w:rsidRPr="00C06E33" w14:paraId="7B8F4132" w14:textId="77777777" w:rsidTr="00584B1D">
        <w:tc>
          <w:tcPr>
            <w:tcW w:w="2325" w:type="dxa"/>
            <w:tcBorders>
              <w:right w:val="single" w:sz="4" w:space="0" w:color="auto"/>
            </w:tcBorders>
            <w:vAlign w:val="bottom"/>
          </w:tcPr>
          <w:p w14:paraId="35FC203F" w14:textId="4D5A73F7" w:rsidR="00560C60" w:rsidRPr="00C06E33" w:rsidRDefault="00560C60" w:rsidP="00584B1D">
            <w:pPr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739A5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517" w:type="dxa"/>
            <w:tcBorders>
              <w:left w:val="single" w:sz="4" w:space="0" w:color="auto"/>
            </w:tcBorders>
          </w:tcPr>
          <w:p w14:paraId="246DE2A3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826" w:type="dxa"/>
            <w:vAlign w:val="center"/>
          </w:tcPr>
          <w:p w14:paraId="269C4136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540" w:type="dxa"/>
            <w:shd w:val="clear" w:color="auto" w:fill="B7D4EF" w:themeFill="text2" w:themeFillTint="33"/>
          </w:tcPr>
          <w:p w14:paraId="537E7EB8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974" w:type="dxa"/>
            <w:shd w:val="clear" w:color="auto" w:fill="B7D4EF" w:themeFill="text2" w:themeFillTint="33"/>
            <w:vAlign w:val="center"/>
          </w:tcPr>
          <w:p w14:paraId="36D04B56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FE6EAB2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0.725</w:t>
            </w:r>
          </w:p>
        </w:tc>
        <w:tc>
          <w:tcPr>
            <w:tcW w:w="541" w:type="dxa"/>
            <w:tcBorders>
              <w:left w:val="single" w:sz="4" w:space="0" w:color="auto"/>
            </w:tcBorders>
          </w:tcPr>
          <w:p w14:paraId="08C6A14F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828" w:type="dxa"/>
            <w:vAlign w:val="center"/>
          </w:tcPr>
          <w:p w14:paraId="472703E1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16</w:t>
            </w:r>
          </w:p>
        </w:tc>
        <w:tc>
          <w:tcPr>
            <w:tcW w:w="487" w:type="dxa"/>
            <w:shd w:val="clear" w:color="auto" w:fill="B7D4EF" w:themeFill="text2" w:themeFillTint="33"/>
          </w:tcPr>
          <w:p w14:paraId="3ECCA0B6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16" w:type="dxa"/>
            <w:shd w:val="clear" w:color="auto" w:fill="B7D4EF" w:themeFill="text2" w:themeFillTint="33"/>
            <w:vAlign w:val="center"/>
          </w:tcPr>
          <w:p w14:paraId="4B3E3504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14:paraId="2C84BE8F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560C60" w:rsidRPr="00C06E33" w14:paraId="065A7B0E" w14:textId="77777777" w:rsidTr="00584B1D">
        <w:tc>
          <w:tcPr>
            <w:tcW w:w="2325" w:type="dxa"/>
            <w:tcBorders>
              <w:right w:val="single" w:sz="4" w:space="0" w:color="auto"/>
            </w:tcBorders>
            <w:vAlign w:val="bottom"/>
          </w:tcPr>
          <w:p w14:paraId="41C525C8" w14:textId="02E338F9" w:rsidR="00560C60" w:rsidRPr="00C06E33" w:rsidRDefault="00560C60" w:rsidP="00584B1D">
            <w:pPr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25C2D">
              <w:rPr>
                <w:rFonts w:ascii="Arial" w:hAnsi="Arial" w:cs="Arial"/>
                <w:sz w:val="18"/>
                <w:szCs w:val="18"/>
              </w:rPr>
              <w:t>I</w:t>
            </w:r>
            <w:r w:rsidRPr="00C06E33">
              <w:rPr>
                <w:rFonts w:ascii="Arial" w:hAnsi="Arial" w:cs="Arial"/>
                <w:sz w:val="18"/>
                <w:szCs w:val="18"/>
              </w:rPr>
              <w:t>n the ED</w:t>
            </w:r>
          </w:p>
        </w:tc>
        <w:tc>
          <w:tcPr>
            <w:tcW w:w="517" w:type="dxa"/>
            <w:tcBorders>
              <w:left w:val="single" w:sz="4" w:space="0" w:color="auto"/>
            </w:tcBorders>
          </w:tcPr>
          <w:p w14:paraId="434744FE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26" w:type="dxa"/>
            <w:vAlign w:val="center"/>
          </w:tcPr>
          <w:p w14:paraId="202EAE39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13</w:t>
            </w:r>
          </w:p>
        </w:tc>
        <w:tc>
          <w:tcPr>
            <w:tcW w:w="540" w:type="dxa"/>
            <w:shd w:val="clear" w:color="auto" w:fill="B7D4EF" w:themeFill="text2" w:themeFillTint="33"/>
          </w:tcPr>
          <w:p w14:paraId="39DE9467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74" w:type="dxa"/>
            <w:shd w:val="clear" w:color="auto" w:fill="B7D4EF" w:themeFill="text2" w:themeFillTint="33"/>
            <w:vAlign w:val="center"/>
          </w:tcPr>
          <w:p w14:paraId="2AF00923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59B55C3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0.077</w:t>
            </w:r>
          </w:p>
        </w:tc>
        <w:tc>
          <w:tcPr>
            <w:tcW w:w="541" w:type="dxa"/>
            <w:tcBorders>
              <w:left w:val="single" w:sz="4" w:space="0" w:color="auto"/>
            </w:tcBorders>
          </w:tcPr>
          <w:p w14:paraId="4335EFB5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828" w:type="dxa"/>
            <w:vAlign w:val="center"/>
          </w:tcPr>
          <w:p w14:paraId="0739D2BE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12.5</w:t>
            </w:r>
          </w:p>
        </w:tc>
        <w:tc>
          <w:tcPr>
            <w:tcW w:w="487" w:type="dxa"/>
            <w:shd w:val="clear" w:color="auto" w:fill="B7D4EF" w:themeFill="text2" w:themeFillTint="33"/>
          </w:tcPr>
          <w:p w14:paraId="50566A49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16" w:type="dxa"/>
            <w:shd w:val="clear" w:color="auto" w:fill="B7D4EF" w:themeFill="text2" w:themeFillTint="33"/>
            <w:vAlign w:val="center"/>
          </w:tcPr>
          <w:p w14:paraId="1E385341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14:paraId="71DEAB31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0.123</w:t>
            </w:r>
          </w:p>
        </w:tc>
      </w:tr>
      <w:tr w:rsidR="00560C60" w:rsidRPr="00C06E33" w14:paraId="5C9F6FCE" w14:textId="77777777" w:rsidTr="00584B1D"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82F6C20" w14:textId="176776B8" w:rsidR="00560C60" w:rsidRPr="00C06E33" w:rsidRDefault="00560C60" w:rsidP="00584B1D">
            <w:pPr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739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5C2D">
              <w:rPr>
                <w:rFonts w:ascii="Arial" w:hAnsi="Arial" w:cs="Arial"/>
                <w:sz w:val="18"/>
                <w:szCs w:val="18"/>
              </w:rPr>
              <w:t xml:space="preserve">In the </w:t>
            </w:r>
            <w:r w:rsidRPr="00C06E33">
              <w:rPr>
                <w:rFonts w:ascii="Arial" w:hAnsi="Arial" w:cs="Arial"/>
                <w:sz w:val="18"/>
                <w:szCs w:val="18"/>
              </w:rPr>
              <w:t xml:space="preserve">Obs. Med. </w:t>
            </w:r>
            <w:r w:rsidR="00925C2D"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2E53EFA0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651CAB75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27.5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7D4EF" w:themeFill="text2" w:themeFillTint="33"/>
          </w:tcPr>
          <w:p w14:paraId="17EA9BA5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B7D4EF" w:themeFill="text2" w:themeFillTint="33"/>
            <w:vAlign w:val="center"/>
          </w:tcPr>
          <w:p w14:paraId="1E61D140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29A54298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0.954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</w:tcBorders>
          </w:tcPr>
          <w:p w14:paraId="43F8797D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2E599A0F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23.5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B7D4EF" w:themeFill="text2" w:themeFillTint="33"/>
          </w:tcPr>
          <w:p w14:paraId="3E780FA2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B7D4EF" w:themeFill="text2" w:themeFillTint="33"/>
            <w:vAlign w:val="center"/>
          </w:tcPr>
          <w:p w14:paraId="1EFCA00E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6E33">
              <w:rPr>
                <w:rFonts w:ascii="Arial" w:hAnsi="Arial" w:cs="Arial"/>
                <w:i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C9509A2" w14:textId="77777777" w:rsidR="00560C60" w:rsidRPr="00C06E33" w:rsidRDefault="00560C60" w:rsidP="00584B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E33">
              <w:rPr>
                <w:rFonts w:ascii="Arial" w:hAnsi="Arial" w:cs="Arial"/>
                <w:sz w:val="18"/>
                <w:szCs w:val="18"/>
              </w:rPr>
              <w:t>0.653</w:t>
            </w:r>
          </w:p>
        </w:tc>
      </w:tr>
    </w:tbl>
    <w:p w14:paraId="6B911783" w14:textId="77777777" w:rsidR="00560C60" w:rsidRPr="00C06E33" w:rsidRDefault="00560C60" w:rsidP="00560C60">
      <w:pPr>
        <w:rPr>
          <w:rFonts w:ascii="Arial" w:hAnsi="Arial" w:cs="Arial"/>
          <w:b/>
          <w:sz w:val="22"/>
          <w:szCs w:val="22"/>
          <w:lang w:val="en-GB"/>
        </w:rPr>
      </w:pPr>
    </w:p>
    <w:p w14:paraId="383FE916" w14:textId="77777777" w:rsidR="00560C60" w:rsidRDefault="00560C60" w:rsidP="00560C60">
      <w:pPr>
        <w:rPr>
          <w:rFonts w:ascii="Arial" w:hAnsi="Arial" w:cs="Arial"/>
          <w:b/>
          <w:sz w:val="22"/>
          <w:szCs w:val="22"/>
          <w:highlight w:val="yellow"/>
          <w:lang w:val="en-GB"/>
        </w:rPr>
      </w:pPr>
    </w:p>
    <w:p w14:paraId="06DDCB6F" w14:textId="77777777" w:rsidR="00560C60" w:rsidRDefault="00560C60" w:rsidP="00560C60">
      <w:pPr>
        <w:rPr>
          <w:rFonts w:ascii="Arial" w:hAnsi="Arial" w:cs="Arial"/>
          <w:b/>
          <w:sz w:val="22"/>
          <w:szCs w:val="22"/>
          <w:highlight w:val="yellow"/>
          <w:lang w:val="en-GB"/>
        </w:rPr>
      </w:pPr>
    </w:p>
    <w:p w14:paraId="1EA7B33A" w14:textId="77777777" w:rsidR="00560C60" w:rsidRPr="00584B1D" w:rsidRDefault="00560C60" w:rsidP="00560C60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22936C73" w14:textId="77777777" w:rsidR="00560C60" w:rsidRPr="00584B1D" w:rsidRDefault="00560C60" w:rsidP="00560C60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0CB429FC" w14:textId="77777777" w:rsidR="00560C60" w:rsidRPr="00584B1D" w:rsidRDefault="00560C60" w:rsidP="00560C60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76BB507B" w14:textId="77777777" w:rsidR="00560C60" w:rsidRPr="00584B1D" w:rsidRDefault="00560C60" w:rsidP="00560C60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0B0B77C5" w14:textId="1B442307" w:rsidR="00560C60" w:rsidRPr="00D45344" w:rsidRDefault="009D50DE" w:rsidP="00560C60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Appendix 5 </w:t>
      </w:r>
      <w:r w:rsidR="00560C60" w:rsidRPr="005F160D">
        <w:rPr>
          <w:rFonts w:ascii="Arial" w:hAnsi="Arial" w:cs="Arial"/>
          <w:b/>
          <w:sz w:val="22"/>
          <w:szCs w:val="22"/>
          <w:lang w:val="en-GB"/>
        </w:rPr>
        <w:t xml:space="preserve">Table </w:t>
      </w:r>
      <w:r w:rsidR="00560C60">
        <w:rPr>
          <w:rFonts w:ascii="Arial" w:hAnsi="Arial" w:cs="Arial"/>
          <w:b/>
          <w:sz w:val="22"/>
          <w:szCs w:val="22"/>
          <w:lang w:val="en-GB"/>
        </w:rPr>
        <w:t>S2</w:t>
      </w:r>
      <w:r w:rsidR="00560C60" w:rsidRPr="005F160D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560C60" w:rsidRPr="00584B1D">
        <w:rPr>
          <w:rFonts w:ascii="Arial" w:hAnsi="Arial" w:cs="Arial"/>
          <w:sz w:val="22"/>
          <w:szCs w:val="22"/>
          <w:lang w:val="en-GB"/>
        </w:rPr>
        <w:t xml:space="preserve">Interventions and health </w:t>
      </w:r>
      <w:r w:rsidR="00560C60" w:rsidRPr="005F160D">
        <w:rPr>
          <w:rFonts w:ascii="Arial" w:hAnsi="Arial" w:cs="Arial"/>
          <w:sz w:val="22"/>
          <w:szCs w:val="22"/>
          <w:lang w:val="en-GB"/>
        </w:rPr>
        <w:t xml:space="preserve">services </w:t>
      </w:r>
      <w:r w:rsidR="0038283F">
        <w:rPr>
          <w:rFonts w:ascii="Arial" w:hAnsi="Arial" w:cs="Arial"/>
          <w:sz w:val="22"/>
          <w:szCs w:val="22"/>
          <w:lang w:val="en-GB"/>
        </w:rPr>
        <w:t xml:space="preserve">provided </w:t>
      </w:r>
      <w:r w:rsidR="00560C60" w:rsidRPr="005F160D">
        <w:rPr>
          <w:rFonts w:ascii="Arial" w:hAnsi="Arial" w:cs="Arial"/>
          <w:sz w:val="22"/>
          <w:szCs w:val="22"/>
          <w:lang w:val="en-GB"/>
        </w:rPr>
        <w:t>by the geriatric team at the index ED attendance for participants discharged home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2"/>
        <w:gridCol w:w="1451"/>
      </w:tblGrid>
      <w:tr w:rsidR="00560C60" w:rsidRPr="009B69FE" w14:paraId="084F4AC6" w14:textId="77777777" w:rsidTr="009B69FE">
        <w:tc>
          <w:tcPr>
            <w:tcW w:w="5812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</w:tcPr>
          <w:p w14:paraId="51FE886C" w14:textId="77777777" w:rsidR="00560C60" w:rsidRPr="009B69FE" w:rsidRDefault="00560C60" w:rsidP="00584B1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451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2CC4787E" w14:textId="196020B1" w:rsidR="00560C60" w:rsidRPr="009B69FE" w:rsidRDefault="009B69FE" w:rsidP="009B69FE">
            <w:pPr>
              <w:jc w:val="center"/>
              <w:rPr>
                <w:rFonts w:ascii="Arial" w:hAnsi="Arial" w:cs="Arial"/>
                <w:lang w:val="en-GB"/>
              </w:rPr>
            </w:pPr>
            <w:proofErr w:type="gramStart"/>
            <w:r w:rsidRPr="009B69FE">
              <w:rPr>
                <w:rFonts w:ascii="Arial" w:hAnsi="Arial" w:cs="Arial"/>
                <w:lang w:val="en-GB"/>
              </w:rPr>
              <w:t>N(</w:t>
            </w:r>
            <w:proofErr w:type="gramEnd"/>
            <w:r w:rsidRPr="009B69FE">
              <w:rPr>
                <w:rFonts w:ascii="Arial" w:hAnsi="Arial" w:cs="Arial"/>
                <w:lang w:val="en-GB"/>
              </w:rPr>
              <w:t>%)</w:t>
            </w:r>
          </w:p>
        </w:tc>
      </w:tr>
      <w:tr w:rsidR="00560C60" w:rsidRPr="009B69FE" w14:paraId="3A468DBE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44EF7" w14:textId="779D7EE9" w:rsidR="00560C60" w:rsidRPr="009B69FE" w:rsidRDefault="009B0DC7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Advice on</w:t>
            </w:r>
            <w:r w:rsidR="00A048F3" w:rsidRPr="009B69FE">
              <w:rPr>
                <w:rFonts w:ascii="Arial" w:hAnsi="Arial" w:cs="Arial"/>
                <w:lang w:val="en-GB"/>
              </w:rPr>
              <w:t xml:space="preserve"> the local network of services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64D0C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103 (38.0%)</w:t>
            </w:r>
          </w:p>
        </w:tc>
      </w:tr>
      <w:tr w:rsidR="00560C60" w:rsidRPr="009B69FE" w14:paraId="4082305A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87755" w14:textId="4BC2BDC9" w:rsidR="00560C60" w:rsidRPr="009B69FE" w:rsidRDefault="00A048F3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 xml:space="preserve">Notification to community </w:t>
            </w:r>
            <w:r w:rsidR="00EA79FD" w:rsidRPr="009B69FE">
              <w:rPr>
                <w:rFonts w:ascii="Arial" w:hAnsi="Arial" w:cs="Arial"/>
                <w:lang w:val="en-GB"/>
              </w:rPr>
              <w:t>s</w:t>
            </w:r>
            <w:r w:rsidRPr="009B69FE">
              <w:rPr>
                <w:rFonts w:ascii="Arial" w:hAnsi="Arial" w:cs="Arial"/>
                <w:lang w:val="en-GB"/>
              </w:rPr>
              <w:t xml:space="preserve">ervices 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6D265" w14:textId="08F79CC4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83 (30</w:t>
            </w:r>
            <w:r w:rsidR="00EA79FD" w:rsidRPr="009B69FE">
              <w:rPr>
                <w:rFonts w:ascii="Arial" w:hAnsi="Arial" w:cs="Arial"/>
                <w:lang w:val="en-GB"/>
              </w:rPr>
              <w:t>.</w:t>
            </w:r>
            <w:r w:rsidRPr="009B69FE">
              <w:rPr>
                <w:rFonts w:ascii="Arial" w:hAnsi="Arial" w:cs="Arial"/>
                <w:lang w:val="en-GB"/>
              </w:rPr>
              <w:t>6%)</w:t>
            </w:r>
          </w:p>
        </w:tc>
      </w:tr>
      <w:tr w:rsidR="00560C60" w:rsidRPr="009B69FE" w14:paraId="11AE203E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5C75B" w14:textId="1E45CF64" w:rsidR="00560C60" w:rsidRPr="009B69FE" w:rsidRDefault="00A048F3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 xml:space="preserve">Referral to hospital-based social services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DE604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68 (25.1%)</w:t>
            </w:r>
          </w:p>
        </w:tc>
      </w:tr>
      <w:tr w:rsidR="00560C60" w:rsidRPr="009B69FE" w14:paraId="06843DD0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79681" w14:textId="5185F71C" w:rsidR="00560C60" w:rsidRPr="009B69FE" w:rsidRDefault="00A048F3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 xml:space="preserve">Activation of Social Home Care Services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5C49C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50 (18.5%)</w:t>
            </w:r>
          </w:p>
        </w:tc>
      </w:tr>
      <w:tr w:rsidR="00560C60" w:rsidRPr="009B69FE" w14:paraId="474F185C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3FD53" w14:textId="754D8C39" w:rsidR="00560C60" w:rsidRPr="009B69FE" w:rsidRDefault="00A048F3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Referral to the Cognitive Disorder and Dementia</w:t>
            </w:r>
            <w:r w:rsidR="009B0DC7" w:rsidRPr="009B69FE">
              <w:rPr>
                <w:rFonts w:ascii="Arial" w:hAnsi="Arial" w:cs="Arial"/>
                <w:lang w:val="en-GB"/>
              </w:rPr>
              <w:t xml:space="preserve"> </w:t>
            </w:r>
            <w:r w:rsidRPr="009B69FE">
              <w:rPr>
                <w:rFonts w:ascii="Arial" w:hAnsi="Arial" w:cs="Arial"/>
                <w:lang w:val="en-GB"/>
              </w:rPr>
              <w:t>Centre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A2BCC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32 (11.8%)</w:t>
            </w:r>
          </w:p>
        </w:tc>
      </w:tr>
      <w:tr w:rsidR="00560C60" w:rsidRPr="009B69FE" w14:paraId="33EB5EA4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666CD" w14:textId="3B0969AF" w:rsidR="00560C60" w:rsidRPr="009B69FE" w:rsidRDefault="00EA79FD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 xml:space="preserve">Assessment for assistive devices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29719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27 (10.0%)</w:t>
            </w:r>
          </w:p>
        </w:tc>
      </w:tr>
      <w:tr w:rsidR="00560C60" w:rsidRPr="009B69FE" w14:paraId="3F31E5A0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A9B22" w14:textId="73282587" w:rsidR="00560C60" w:rsidRPr="009B69FE" w:rsidRDefault="00560C60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A</w:t>
            </w:r>
            <w:r w:rsidR="00A048F3" w:rsidRPr="009B69FE">
              <w:rPr>
                <w:rFonts w:ascii="Arial" w:hAnsi="Arial" w:cs="Arial"/>
                <w:lang w:val="en-GB"/>
              </w:rPr>
              <w:t>djustment of psychotropic medication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E5439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19 (7.0%)</w:t>
            </w:r>
          </w:p>
        </w:tc>
      </w:tr>
      <w:tr w:rsidR="00560C60" w:rsidRPr="009B69FE" w14:paraId="4A97EE93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2F992" w14:textId="637CEE7F" w:rsidR="00560C60" w:rsidRPr="009B69FE" w:rsidRDefault="00A048F3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 xml:space="preserve">Activation of Nursing </w:t>
            </w:r>
            <w:r w:rsidR="009B69FE" w:rsidRPr="009B69FE">
              <w:rPr>
                <w:rFonts w:ascii="Arial" w:hAnsi="Arial" w:cs="Arial"/>
                <w:lang w:val="en-GB"/>
              </w:rPr>
              <w:t xml:space="preserve">Home </w:t>
            </w:r>
            <w:r w:rsidRPr="009B69FE">
              <w:rPr>
                <w:rFonts w:ascii="Arial" w:hAnsi="Arial" w:cs="Arial"/>
                <w:lang w:val="en-GB"/>
              </w:rPr>
              <w:t>Care Services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D5D0F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9 (3.3%)</w:t>
            </w:r>
          </w:p>
        </w:tc>
      </w:tr>
      <w:tr w:rsidR="00560C60" w:rsidRPr="009B69FE" w14:paraId="0BCFD84D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86D58" w14:textId="3A4DF251" w:rsidR="00560C60" w:rsidRPr="009B69FE" w:rsidRDefault="00A048F3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 xml:space="preserve">Management of socio-health emergencies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7B10B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8 (3.0%)</w:t>
            </w:r>
          </w:p>
        </w:tc>
      </w:tr>
      <w:tr w:rsidR="00560C60" w:rsidRPr="009B69FE" w14:paraId="3E415ACE" w14:textId="77777777" w:rsidTr="009B69FE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9CBA1" w14:textId="5B55D608" w:rsidR="00560C60" w:rsidRPr="009B69FE" w:rsidRDefault="00A048F3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Other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A82B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5 (1.8%)</w:t>
            </w:r>
          </w:p>
        </w:tc>
      </w:tr>
      <w:tr w:rsidR="00560C60" w:rsidRPr="009B69FE" w14:paraId="1A672AAB" w14:textId="77777777" w:rsidTr="009B69FE"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455AF0" w14:textId="0700CB20" w:rsidR="00560C60" w:rsidRPr="009B69FE" w:rsidRDefault="00A048F3" w:rsidP="00584B1D">
            <w:pPr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 xml:space="preserve">Day Centre referral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E9BAE" w14:textId="77777777" w:rsidR="00560C60" w:rsidRPr="009B69FE" w:rsidRDefault="00560C60" w:rsidP="009B69FE">
            <w:pPr>
              <w:jc w:val="center"/>
              <w:rPr>
                <w:rFonts w:ascii="Arial" w:hAnsi="Arial" w:cs="Arial"/>
                <w:lang w:val="en-GB"/>
              </w:rPr>
            </w:pPr>
            <w:r w:rsidRPr="009B69FE">
              <w:rPr>
                <w:rFonts w:ascii="Arial" w:hAnsi="Arial" w:cs="Arial"/>
                <w:lang w:val="en-GB"/>
              </w:rPr>
              <w:t>3 (1.1%)</w:t>
            </w:r>
          </w:p>
        </w:tc>
      </w:tr>
    </w:tbl>
    <w:p w14:paraId="671B5572" w14:textId="77777777" w:rsidR="00560C60" w:rsidRPr="00C515C9" w:rsidRDefault="00560C60" w:rsidP="00560C60">
      <w:pPr>
        <w:spacing w:line="480" w:lineRule="auto"/>
        <w:rPr>
          <w:rFonts w:ascii="Arial" w:hAnsi="Arial" w:cs="Arial"/>
          <w:sz w:val="22"/>
          <w:szCs w:val="22"/>
          <w:lang w:val="en-GB"/>
        </w:rPr>
      </w:pPr>
    </w:p>
    <w:p w14:paraId="567405B4" w14:textId="77777777" w:rsidR="004D5383" w:rsidRPr="004D5383" w:rsidRDefault="004D5383">
      <w:pPr>
        <w:rPr>
          <w:lang w:val="en-US"/>
        </w:rPr>
      </w:pPr>
    </w:p>
    <w:sectPr w:rsidR="004D5383" w:rsidRPr="004D53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E06"/>
    <w:multiLevelType w:val="hybridMultilevel"/>
    <w:tmpl w:val="DD70A5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C32ED"/>
    <w:multiLevelType w:val="multilevel"/>
    <w:tmpl w:val="74D2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A70342"/>
    <w:multiLevelType w:val="multilevel"/>
    <w:tmpl w:val="74D2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1"/>
  </w:docVars>
  <w:rsids>
    <w:rsidRoot w:val="004D5383"/>
    <w:rsid w:val="000739A5"/>
    <w:rsid w:val="000B336B"/>
    <w:rsid w:val="000E1EDA"/>
    <w:rsid w:val="001B15EB"/>
    <w:rsid w:val="0038283F"/>
    <w:rsid w:val="00424C76"/>
    <w:rsid w:val="004A1E07"/>
    <w:rsid w:val="004D5383"/>
    <w:rsid w:val="00532E4C"/>
    <w:rsid w:val="00560C60"/>
    <w:rsid w:val="005C7E1E"/>
    <w:rsid w:val="00677633"/>
    <w:rsid w:val="007378B5"/>
    <w:rsid w:val="007B1AF0"/>
    <w:rsid w:val="00925C2D"/>
    <w:rsid w:val="009A263C"/>
    <w:rsid w:val="009B0DC7"/>
    <w:rsid w:val="009B69FE"/>
    <w:rsid w:val="009D50DE"/>
    <w:rsid w:val="00A048F3"/>
    <w:rsid w:val="00BB69D3"/>
    <w:rsid w:val="00D46CF9"/>
    <w:rsid w:val="00D71B10"/>
    <w:rsid w:val="00E00E11"/>
    <w:rsid w:val="00E25FA0"/>
    <w:rsid w:val="00EA79FD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07C9A"/>
  <w15:chartTrackingRefBased/>
  <w15:docId w15:val="{3EA7BCE5-460E-5043-BC43-A209ADB2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0D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3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3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3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3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3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3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3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3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3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3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3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3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3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3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3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3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3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60C60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7378B5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9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90A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1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827</Words>
  <Characters>5204</Characters>
  <Application>Microsoft Office Word</Application>
  <DocSecurity>0</DocSecurity>
  <Lines>216</Lines>
  <Paragraphs>137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Bendini</dc:creator>
  <cp:keywords/>
  <dc:description/>
  <cp:lastModifiedBy>S3G_BibVerified</cp:lastModifiedBy>
  <cp:revision>3</cp:revision>
  <cp:lastPrinted>2026-01-05T12:26:00Z</cp:lastPrinted>
  <dcterms:created xsi:type="dcterms:W3CDTF">2026-05-27T17:25:00Z</dcterms:created>
  <dcterms:modified xsi:type="dcterms:W3CDTF">2026-06-04T06:32:00Z</dcterms:modified>
</cp:coreProperties>
</file>