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3AD95B" w14:textId="0EB9845B" w:rsidR="00846EF4" w:rsidRPr="000146CC" w:rsidRDefault="00D93E8E" w:rsidP="004D7BE0">
      <w:pPr>
        <w:keepNext w:val="0"/>
        <w:spacing w:after="240" w:line="480" w:lineRule="auto"/>
        <w:rPr>
          <w:rFonts w:ascii="Times New Roman" w:hAnsi="Times New Roman" w:cs="Times New Roman"/>
          <w:sz w:val="24"/>
          <w:szCs w:val="24"/>
        </w:rPr>
      </w:pPr>
      <w:r w:rsidRPr="000146CC">
        <w:rPr>
          <w:rFonts w:ascii="Times New Roman" w:hAnsi="Times New Roman" w:cs="Times New Roman"/>
          <w:b/>
          <w:bCs/>
          <w:sz w:val="24"/>
          <w:szCs w:val="24"/>
        </w:rPr>
        <w:t xml:space="preserve">Table S1. </w:t>
      </w:r>
      <w:r w:rsidR="00D16688" w:rsidRPr="000146C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0146CC">
        <w:rPr>
          <w:rFonts w:ascii="Times New Roman" w:hAnsi="Times New Roman" w:cs="Times New Roman"/>
          <w:sz w:val="24"/>
          <w:szCs w:val="24"/>
        </w:rPr>
        <w:t xml:space="preserve">Summary of studies included in the population </w:t>
      </w:r>
      <w:r w:rsidR="003C6D21" w:rsidRPr="000146CC">
        <w:rPr>
          <w:rFonts w:ascii="Times New Roman" w:hAnsi="Times New Roman" w:cs="Times New Roman"/>
          <w:sz w:val="24"/>
          <w:szCs w:val="24"/>
        </w:rPr>
        <w:t>pharmacokinetics</w:t>
      </w:r>
      <w:r w:rsidRPr="000146C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0146CC">
        <w:rPr>
          <w:rFonts w:ascii="Times New Roman" w:hAnsi="Times New Roman" w:cs="Times New Roman"/>
          <w:sz w:val="24"/>
          <w:szCs w:val="24"/>
        </w:rPr>
        <w:t>analysis</w:t>
      </w:r>
      <w:proofErr w:type="gramEnd"/>
    </w:p>
    <w:tbl>
      <w:tblPr>
        <w:tblStyle w:val="BayerTableStyle"/>
        <w:tblW w:w="5000" w:type="pct"/>
        <w:tblBorders>
          <w:top w:val="none" w:sz="0" w:space="0" w:color="auto"/>
          <w:bottom w:val="none" w:sz="0" w:space="0" w:color="auto"/>
        </w:tblBorders>
        <w:tblCellMar>
          <w:left w:w="108" w:type="dxa"/>
          <w:right w:w="108" w:type="dxa"/>
        </w:tblCellMar>
        <w:tblLook w:val="04A0" w:firstRow="1" w:lastRow="0" w:firstColumn="1" w:lastColumn="0" w:noHBand="0" w:noVBand="1"/>
      </w:tblPr>
      <w:tblGrid>
        <w:gridCol w:w="4040"/>
        <w:gridCol w:w="3824"/>
        <w:gridCol w:w="4327"/>
        <w:gridCol w:w="1767"/>
      </w:tblGrid>
      <w:tr w:rsidR="000146CC" w:rsidRPr="000146CC" w14:paraId="2FC19435" w14:textId="77777777" w:rsidTr="00FD63E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7" w:type="pct"/>
            <w:tcBorders>
              <w:top w:val="single" w:sz="2" w:space="0" w:color="auto"/>
              <w:bottom w:val="single" w:sz="2" w:space="0" w:color="auto"/>
            </w:tcBorders>
          </w:tcPr>
          <w:p w14:paraId="658DB318" w14:textId="77777777" w:rsidR="00D93E8E" w:rsidRPr="000146CC" w:rsidRDefault="00D93E8E" w:rsidP="008549D5">
            <w:pPr>
              <w:keepNext w:val="0"/>
              <w:spacing w:before="120" w:after="120"/>
              <w:rPr>
                <w:rFonts w:ascii="Times New Roman" w:hAnsi="Times New Roman"/>
                <w:b/>
                <w:bCs/>
                <w:sz w:val="24"/>
                <w:szCs w:val="24"/>
                <w:highlight w:val="yellow"/>
              </w:rPr>
            </w:pPr>
            <w:r w:rsidRPr="000146CC">
              <w:rPr>
                <w:rFonts w:ascii="Times New Roman" w:hAnsi="Times New Roman"/>
                <w:b/>
                <w:bCs/>
                <w:sz w:val="24"/>
                <w:szCs w:val="24"/>
              </w:rPr>
              <w:t>Study</w:t>
            </w:r>
          </w:p>
        </w:tc>
        <w:tc>
          <w:tcPr>
            <w:tcW w:w="1370" w:type="pct"/>
            <w:tcBorders>
              <w:top w:val="single" w:sz="2" w:space="0" w:color="auto"/>
              <w:bottom w:val="single" w:sz="2" w:space="0" w:color="auto"/>
            </w:tcBorders>
          </w:tcPr>
          <w:p w14:paraId="081C79DC" w14:textId="77777777" w:rsidR="00D93E8E" w:rsidRPr="000146CC" w:rsidRDefault="00D93E8E" w:rsidP="008549D5">
            <w:pPr>
              <w:keepNext w:val="0"/>
              <w:spacing w:before="120" w:after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/>
                <w:bCs/>
                <w:sz w:val="24"/>
                <w:szCs w:val="24"/>
                <w:highlight w:val="yellow"/>
              </w:rPr>
            </w:pPr>
            <w:r w:rsidRPr="000146CC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Dosing </w:t>
            </w:r>
            <w:proofErr w:type="spellStart"/>
            <w:r w:rsidRPr="000146CC">
              <w:rPr>
                <w:rFonts w:ascii="Times New Roman" w:hAnsi="Times New Roman"/>
                <w:b/>
                <w:bCs/>
                <w:sz w:val="24"/>
                <w:szCs w:val="24"/>
              </w:rPr>
              <w:t>regimen</w:t>
            </w:r>
            <w:r w:rsidRPr="000146CC">
              <w:rPr>
                <w:rFonts w:ascii="Times New Roman" w:hAnsi="Times New Roman"/>
                <w:b/>
                <w:bCs/>
                <w:sz w:val="24"/>
                <w:szCs w:val="24"/>
                <w:vertAlign w:val="superscript"/>
              </w:rPr>
              <w:t>a</w:t>
            </w:r>
            <w:proofErr w:type="spellEnd"/>
          </w:p>
        </w:tc>
        <w:tc>
          <w:tcPr>
            <w:tcW w:w="1550" w:type="pct"/>
            <w:tcBorders>
              <w:top w:val="single" w:sz="2" w:space="0" w:color="auto"/>
              <w:bottom w:val="single" w:sz="2" w:space="0" w:color="auto"/>
            </w:tcBorders>
          </w:tcPr>
          <w:p w14:paraId="477BB41B" w14:textId="77777777" w:rsidR="00D93E8E" w:rsidRPr="000146CC" w:rsidRDefault="00D93E8E" w:rsidP="008549D5">
            <w:pPr>
              <w:keepNext w:val="0"/>
              <w:spacing w:before="120" w:after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/>
                <w:bCs/>
                <w:sz w:val="24"/>
                <w:szCs w:val="24"/>
                <w:highlight w:val="yellow"/>
              </w:rPr>
            </w:pPr>
            <w:r w:rsidRPr="000146CC">
              <w:rPr>
                <w:rFonts w:ascii="Times New Roman" w:hAnsi="Times New Roman"/>
                <w:b/>
                <w:bCs/>
                <w:sz w:val="24"/>
                <w:szCs w:val="24"/>
              </w:rPr>
              <w:t>PK sampling schedule</w:t>
            </w:r>
          </w:p>
        </w:tc>
        <w:tc>
          <w:tcPr>
            <w:tcW w:w="633" w:type="pct"/>
            <w:tcBorders>
              <w:top w:val="single" w:sz="2" w:space="0" w:color="auto"/>
              <w:bottom w:val="single" w:sz="2" w:space="0" w:color="auto"/>
            </w:tcBorders>
          </w:tcPr>
          <w:p w14:paraId="6FB938B6" w14:textId="77777777" w:rsidR="00D93E8E" w:rsidRPr="000146CC" w:rsidRDefault="00D93E8E" w:rsidP="008549D5">
            <w:pPr>
              <w:keepNext w:val="0"/>
              <w:spacing w:before="120" w:after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/>
                <w:bCs/>
                <w:sz w:val="24"/>
                <w:szCs w:val="24"/>
                <w:highlight w:val="yellow"/>
              </w:rPr>
            </w:pPr>
            <w:proofErr w:type="spellStart"/>
            <w:r w:rsidRPr="000146CC">
              <w:rPr>
                <w:rFonts w:ascii="Times New Roman" w:hAnsi="Times New Roman"/>
                <w:b/>
                <w:bCs/>
                <w:sz w:val="24"/>
                <w:szCs w:val="24"/>
              </w:rPr>
              <w:t>n</w:t>
            </w:r>
            <w:r w:rsidRPr="000146CC">
              <w:rPr>
                <w:rFonts w:ascii="Times New Roman" w:hAnsi="Times New Roman"/>
                <w:b/>
                <w:bCs/>
                <w:sz w:val="24"/>
                <w:szCs w:val="24"/>
                <w:vertAlign w:val="superscript"/>
              </w:rPr>
              <w:t>b</w:t>
            </w:r>
            <w:proofErr w:type="spellEnd"/>
          </w:p>
        </w:tc>
      </w:tr>
      <w:tr w:rsidR="000146CC" w:rsidRPr="000146CC" w14:paraId="73E95749" w14:textId="77777777" w:rsidTr="00FD63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7" w:type="pct"/>
            <w:tcBorders>
              <w:top w:val="single" w:sz="2" w:space="0" w:color="auto"/>
            </w:tcBorders>
          </w:tcPr>
          <w:p w14:paraId="305F72EC" w14:textId="3EDE4982" w:rsidR="00D93E8E" w:rsidRPr="000146CC" w:rsidRDefault="00D93E8E" w:rsidP="008549D5">
            <w:pPr>
              <w:keepNext w:val="0"/>
              <w:spacing w:before="120" w:after="120"/>
              <w:rPr>
                <w:rFonts w:ascii="Times New Roman" w:hAnsi="Times New Roman"/>
                <w:sz w:val="24"/>
                <w:szCs w:val="24"/>
              </w:rPr>
            </w:pPr>
            <w:r w:rsidRPr="000146CC">
              <w:rPr>
                <w:rFonts w:ascii="Times New Roman" w:hAnsi="Times New Roman"/>
                <w:sz w:val="24"/>
                <w:szCs w:val="24"/>
              </w:rPr>
              <w:t xml:space="preserve">Study 12871: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Phase I dose</w:t>
            </w:r>
            <w:r w:rsidR="00553972" w:rsidRPr="000146CC">
              <w:rPr>
                <w:rFonts w:ascii="Times New Roman" w:eastAsiaTheme="minorEastAsia" w:hAnsi="Times New Roman"/>
                <w:sz w:val="24"/>
                <w:szCs w:val="24"/>
              </w:rPr>
              <w:t>-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escalation study of </w:t>
            </w:r>
            <w:proofErr w:type="spellStart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copanlisib</w:t>
            </w:r>
            <w:proofErr w:type="spellEnd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in patients with solid tumors 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>(NCT00962611)</w:t>
            </w:r>
            <w:r w:rsidR="00125FCB" w:rsidRPr="000146CC">
              <w:rPr>
                <w:rFonts w:ascii="Times New Roman" w:hAnsi="Times New Roman"/>
                <w:noProof/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1370" w:type="pct"/>
            <w:tcBorders>
              <w:top w:val="single" w:sz="2" w:space="0" w:color="auto"/>
            </w:tcBorders>
          </w:tcPr>
          <w:p w14:paraId="58C88E04" w14:textId="1871C829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/>
                <w:bCs/>
                <w:sz w:val="24"/>
                <w:szCs w:val="24"/>
                <w:highlight w:val="yellow"/>
              </w:rPr>
            </w:pPr>
            <w:proofErr w:type="spellStart"/>
            <w:r w:rsidRPr="000146CC">
              <w:rPr>
                <w:rFonts w:ascii="Times New Roman" w:hAnsi="Times New Roman"/>
                <w:sz w:val="24"/>
                <w:szCs w:val="24"/>
              </w:rPr>
              <w:t>Copanlisib</w:t>
            </w:r>
            <w:proofErr w:type="spellEnd"/>
            <w:r w:rsidRPr="000146CC">
              <w:rPr>
                <w:rFonts w:ascii="Times New Roman" w:hAnsi="Times New Roman"/>
                <w:sz w:val="24"/>
                <w:szCs w:val="24"/>
              </w:rPr>
              <w:t xml:space="preserve"> 0.1</w:t>
            </w:r>
            <w:r w:rsidR="00553972" w:rsidRPr="000146CC">
              <w:rPr>
                <w:rFonts w:ascii="Times New Roman" w:hAnsi="Times New Roman"/>
                <w:sz w:val="24"/>
                <w:szCs w:val="24"/>
              </w:rPr>
              <w:t>–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 xml:space="preserve">1.2 mg/kg </w:t>
            </w:r>
            <w:r w:rsidR="00553972" w:rsidRPr="000146CC">
              <w:rPr>
                <w:rFonts w:ascii="Times New Roman" w:hAnsi="Times New Roman"/>
                <w:sz w:val="24"/>
                <w:szCs w:val="24"/>
              </w:rPr>
              <w:br/>
            </w:r>
            <w:r w:rsidRPr="000146CC">
              <w:rPr>
                <w:rFonts w:ascii="Times New Roman" w:hAnsi="Times New Roman"/>
                <w:sz w:val="24"/>
                <w:szCs w:val="24"/>
              </w:rPr>
              <w:t>(3</w:t>
            </w:r>
            <w:r w:rsidR="004D73DD" w:rsidRPr="000146CC">
              <w:rPr>
                <w:rFonts w:ascii="Times New Roman" w:hAnsi="Times New Roman"/>
                <w:sz w:val="24"/>
                <w:szCs w:val="24"/>
              </w:rPr>
              <w:t> 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>weeks on/1 week off)</w:t>
            </w:r>
          </w:p>
        </w:tc>
        <w:tc>
          <w:tcPr>
            <w:tcW w:w="1550" w:type="pct"/>
            <w:tcBorders>
              <w:top w:val="single" w:sz="2" w:space="0" w:color="auto"/>
            </w:tcBorders>
          </w:tcPr>
          <w:p w14:paraId="20FD17D5" w14:textId="233FB102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Cycle 1,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d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ay 1: 0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hours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(</w:t>
            </w:r>
            <w:r w:rsidR="00553972" w:rsidRPr="000146CC">
              <w:rPr>
                <w:rFonts w:ascii="Times New Roman" w:eastAsiaTheme="minorEastAsia" w:hAnsi="Times New Roman"/>
                <w:sz w:val="24"/>
                <w:szCs w:val="24"/>
              </w:rPr>
              <w:t>before dosing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), 0.5, 1, 1.5, 2, 3, 5, 8, 11, 25, 49 h</w:t>
            </w:r>
            <w:r w:rsidR="00553972" w:rsidRPr="000146CC">
              <w:rPr>
                <w:rFonts w:ascii="Times New Roman" w:eastAsiaTheme="minorEastAsia" w:hAnsi="Times New Roman"/>
                <w:sz w:val="24"/>
                <w:szCs w:val="24"/>
              </w:rPr>
              <w:t>ours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</w:t>
            </w:r>
            <w:r w:rsidR="00553972"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after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dos</w:t>
            </w:r>
            <w:r w:rsidR="00553972" w:rsidRPr="000146CC">
              <w:rPr>
                <w:rFonts w:ascii="Times New Roman" w:eastAsiaTheme="minorEastAsia" w:hAnsi="Times New Roman"/>
                <w:sz w:val="24"/>
                <w:szCs w:val="24"/>
              </w:rPr>
              <w:t>ing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; additional optional PK sample 72,</w:t>
            </w:r>
            <w:r w:rsidR="00553972" w:rsidRPr="000146CC">
              <w:rPr>
                <w:rFonts w:ascii="Times New Roman" w:eastAsiaTheme="minorEastAsia" w:hAnsi="Times New Roman"/>
                <w:sz w:val="24"/>
                <w:szCs w:val="24"/>
              </w:rPr>
              <w:t> 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120 h</w:t>
            </w:r>
            <w:r w:rsidR="00553972" w:rsidRPr="000146CC">
              <w:rPr>
                <w:rFonts w:ascii="Times New Roman" w:eastAsiaTheme="minorEastAsia" w:hAnsi="Times New Roman"/>
                <w:sz w:val="24"/>
                <w:szCs w:val="24"/>
              </w:rPr>
              <w:t>ours after dosing</w:t>
            </w:r>
          </w:p>
          <w:p w14:paraId="2887FAD5" w14:textId="21BE300F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Cycle 1,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d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ay 8: 0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hours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(</w:t>
            </w:r>
            <w:r w:rsidR="00553972" w:rsidRPr="000146CC">
              <w:rPr>
                <w:rFonts w:ascii="Times New Roman" w:eastAsiaTheme="minorEastAsia" w:hAnsi="Times New Roman"/>
                <w:sz w:val="24"/>
                <w:szCs w:val="24"/>
              </w:rPr>
              <w:t>before dosing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)</w:t>
            </w:r>
          </w:p>
          <w:p w14:paraId="03AE768E" w14:textId="641C386B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Cycle 1,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d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ay 15: 0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hours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(</w:t>
            </w:r>
            <w:r w:rsidR="00553972" w:rsidRPr="000146CC">
              <w:rPr>
                <w:rFonts w:ascii="Times New Roman" w:eastAsiaTheme="minorEastAsia" w:hAnsi="Times New Roman"/>
                <w:sz w:val="24"/>
                <w:szCs w:val="24"/>
              </w:rPr>
              <w:t>before dosing)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, 0.5, 1, 1.5, 2, 3, 5, 8, 11, 25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hours after dosing</w:t>
            </w:r>
          </w:p>
          <w:p w14:paraId="5706C967" w14:textId="75C36903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/>
                <w:bCs/>
                <w:sz w:val="24"/>
                <w:szCs w:val="24"/>
                <w:highlight w:val="yellow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Cycle 3,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d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ay 15: 0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hours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(</w:t>
            </w:r>
            <w:r w:rsidR="00553972" w:rsidRPr="000146CC">
              <w:rPr>
                <w:rFonts w:ascii="Times New Roman" w:eastAsiaTheme="minorEastAsia" w:hAnsi="Times New Roman"/>
                <w:sz w:val="24"/>
                <w:szCs w:val="24"/>
              </w:rPr>
              <w:t>before dosing)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, 0.5, 1, 1.5, 2, 3, 5, 8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hours after dosing</w:t>
            </w:r>
          </w:p>
        </w:tc>
        <w:tc>
          <w:tcPr>
            <w:tcW w:w="633" w:type="pct"/>
            <w:tcBorders>
              <w:top w:val="single" w:sz="2" w:space="0" w:color="auto"/>
            </w:tcBorders>
          </w:tcPr>
          <w:p w14:paraId="3A694784" w14:textId="77777777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/>
                <w:bCs/>
                <w:sz w:val="24"/>
                <w:szCs w:val="24"/>
                <w:highlight w:val="yellow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56</w:t>
            </w:r>
          </w:p>
        </w:tc>
      </w:tr>
      <w:tr w:rsidR="000146CC" w:rsidRPr="000146CC" w14:paraId="5D71E88C" w14:textId="77777777" w:rsidTr="00FD63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7" w:type="pct"/>
          </w:tcPr>
          <w:p w14:paraId="59C67E89" w14:textId="3003A180" w:rsidR="00D93E8E" w:rsidRPr="000146CC" w:rsidRDefault="00D93E8E" w:rsidP="008549D5">
            <w:pPr>
              <w:keepNext w:val="0"/>
              <w:spacing w:before="120" w:after="120"/>
              <w:rPr>
                <w:rFonts w:ascii="Times New Roman" w:hAnsi="Times New Roman"/>
                <w:sz w:val="24"/>
                <w:szCs w:val="24"/>
              </w:rPr>
            </w:pPr>
            <w:r w:rsidRPr="000146CC">
              <w:rPr>
                <w:rFonts w:ascii="Times New Roman" w:hAnsi="Times New Roman"/>
                <w:sz w:val="24"/>
                <w:szCs w:val="24"/>
              </w:rPr>
              <w:t xml:space="preserve">Study 15205: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Phase I dose</w:t>
            </w:r>
            <w:r w:rsidR="00553972" w:rsidRPr="000146CC">
              <w:rPr>
                <w:rFonts w:ascii="Times New Roman" w:eastAsiaTheme="minorEastAsia" w:hAnsi="Times New Roman"/>
                <w:sz w:val="24"/>
                <w:szCs w:val="24"/>
              </w:rPr>
              <w:t>-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escalation study of </w:t>
            </w:r>
            <w:proofErr w:type="spellStart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copanlisib</w:t>
            </w:r>
            <w:proofErr w:type="spellEnd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in Japanese patients with solid tumors 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>(NCT01404390)</w:t>
            </w:r>
            <w:r w:rsidR="00125FCB" w:rsidRPr="000146CC">
              <w:rPr>
                <w:rFonts w:ascii="Times New Roman" w:hAnsi="Times New Roman"/>
                <w:noProof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370" w:type="pct"/>
          </w:tcPr>
          <w:p w14:paraId="2EF120B7" w14:textId="691E9D3F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/>
                <w:bCs/>
                <w:sz w:val="24"/>
                <w:szCs w:val="24"/>
                <w:highlight w:val="yellow"/>
              </w:rPr>
            </w:pPr>
            <w:proofErr w:type="spellStart"/>
            <w:r w:rsidRPr="000146CC">
              <w:rPr>
                <w:rFonts w:ascii="Times New Roman" w:hAnsi="Times New Roman"/>
                <w:sz w:val="24"/>
                <w:szCs w:val="24"/>
              </w:rPr>
              <w:t>Copanlisib</w:t>
            </w:r>
            <w:proofErr w:type="spellEnd"/>
            <w:r w:rsidRPr="000146CC">
              <w:rPr>
                <w:rFonts w:ascii="Times New Roman" w:hAnsi="Times New Roman"/>
                <w:sz w:val="24"/>
                <w:szCs w:val="24"/>
              </w:rPr>
              <w:t xml:space="preserve"> 0.4 or 0.8 mg/kg (3</w:t>
            </w:r>
            <w:r w:rsidR="004D73DD" w:rsidRPr="000146CC">
              <w:rPr>
                <w:rFonts w:ascii="Times New Roman" w:hAnsi="Times New Roman"/>
                <w:sz w:val="24"/>
                <w:szCs w:val="24"/>
              </w:rPr>
              <w:t> 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>weeks on/1 week off)</w:t>
            </w:r>
          </w:p>
        </w:tc>
        <w:tc>
          <w:tcPr>
            <w:tcW w:w="1550" w:type="pct"/>
          </w:tcPr>
          <w:p w14:paraId="3380C46B" w14:textId="7C397271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Cycle 1,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d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ay 1: 0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hours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(</w:t>
            </w:r>
            <w:r w:rsidR="00553972" w:rsidRPr="000146CC">
              <w:rPr>
                <w:rFonts w:ascii="Times New Roman" w:eastAsiaTheme="minorEastAsia" w:hAnsi="Times New Roman"/>
                <w:sz w:val="24"/>
                <w:szCs w:val="24"/>
              </w:rPr>
              <w:t>before dosing)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, 0.5, 1, 1.5, 2, 3, 5, 8, 11, 25, 49, 168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hours after dosing</w:t>
            </w:r>
            <w:r w:rsidR="00130CA7"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;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additional optional PK samples 72, 96, 120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hours after dosing</w:t>
            </w:r>
          </w:p>
          <w:p w14:paraId="6DFC0F11" w14:textId="6838F2F9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Cycle 1,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d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ay 15: 0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hours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(</w:t>
            </w:r>
            <w:r w:rsidR="00553972" w:rsidRPr="000146CC">
              <w:rPr>
                <w:rFonts w:ascii="Times New Roman" w:eastAsiaTheme="minorEastAsia" w:hAnsi="Times New Roman"/>
                <w:sz w:val="24"/>
                <w:szCs w:val="24"/>
              </w:rPr>
              <w:t>before dosing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), 0.5, 1, 1.5, 2, 3, 5, 8, 11, 25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hours after dosing</w:t>
            </w:r>
          </w:p>
          <w:p w14:paraId="79DAE2FA" w14:textId="60CFE106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/>
                <w:bCs/>
                <w:sz w:val="24"/>
                <w:szCs w:val="24"/>
                <w:highlight w:val="yellow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Cycle 3,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d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ay 15: 0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hours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(</w:t>
            </w:r>
            <w:r w:rsidR="00553972" w:rsidRPr="000146CC">
              <w:rPr>
                <w:rFonts w:ascii="Times New Roman" w:eastAsiaTheme="minorEastAsia" w:hAnsi="Times New Roman"/>
                <w:sz w:val="24"/>
                <w:szCs w:val="24"/>
              </w:rPr>
              <w:t>before dosing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), 0.5, 1, 1.5, 2, 3, 5, 8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hours after dosing</w:t>
            </w:r>
          </w:p>
        </w:tc>
        <w:tc>
          <w:tcPr>
            <w:tcW w:w="633" w:type="pct"/>
          </w:tcPr>
          <w:p w14:paraId="5D428EEC" w14:textId="77777777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/>
                <w:bCs/>
                <w:sz w:val="24"/>
                <w:szCs w:val="24"/>
                <w:highlight w:val="yellow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10</w:t>
            </w:r>
          </w:p>
        </w:tc>
      </w:tr>
      <w:tr w:rsidR="000146CC" w:rsidRPr="000146CC" w14:paraId="57E8BE43" w14:textId="77777777" w:rsidTr="00FD63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7" w:type="pct"/>
          </w:tcPr>
          <w:p w14:paraId="75F32384" w14:textId="281F0397" w:rsidR="00D93E8E" w:rsidRPr="000146CC" w:rsidRDefault="00D93E8E" w:rsidP="008549D5">
            <w:pPr>
              <w:keepNext w:val="0"/>
              <w:spacing w:before="120" w:after="120"/>
              <w:rPr>
                <w:rFonts w:ascii="Times New Roman" w:hAnsi="Times New Roman"/>
                <w:sz w:val="24"/>
                <w:szCs w:val="24"/>
              </w:rPr>
            </w:pPr>
            <w:r w:rsidRPr="000146CC">
              <w:rPr>
                <w:rFonts w:ascii="Times New Roman" w:hAnsi="Times New Roman"/>
                <w:sz w:val="24"/>
                <w:szCs w:val="24"/>
              </w:rPr>
              <w:t>Study 16270:</w:t>
            </w:r>
            <w:r w:rsidR="004D73DD" w:rsidRPr="000146C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Phase I drug–drug interaction study of </w:t>
            </w:r>
            <w:proofErr w:type="spellStart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copanlisib</w:t>
            </w:r>
            <w:proofErr w:type="spellEnd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in patients with advanced solid tumors 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>(NCT02253420)</w:t>
            </w:r>
            <w:r w:rsidR="00125FCB" w:rsidRPr="000146CC">
              <w:rPr>
                <w:rFonts w:ascii="Times New Roman" w:hAnsi="Times New Roman"/>
                <w:noProof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1370" w:type="pct"/>
          </w:tcPr>
          <w:p w14:paraId="097AE08C" w14:textId="0064F7A9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0146CC">
              <w:rPr>
                <w:rFonts w:ascii="Times New Roman" w:hAnsi="Times New Roman"/>
                <w:sz w:val="24"/>
                <w:szCs w:val="24"/>
              </w:rPr>
              <w:t>Copanlisib</w:t>
            </w:r>
            <w:proofErr w:type="spellEnd"/>
            <w:r w:rsidR="009B3B00" w:rsidRPr="000146CC">
              <w:rPr>
                <w:rFonts w:ascii="Times New Roman" w:hAnsi="Times New Roman"/>
                <w:sz w:val="24"/>
                <w:szCs w:val="24"/>
              </w:rPr>
              <w:t xml:space="preserve"> Arm A:</w:t>
            </w:r>
          </w:p>
          <w:p w14:paraId="4A05056B" w14:textId="25CDC3BE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</w:rPr>
            </w:pPr>
            <w:r w:rsidRPr="000146CC">
              <w:rPr>
                <w:rFonts w:ascii="Times New Roman" w:hAnsi="Times New Roman"/>
                <w:sz w:val="24"/>
                <w:szCs w:val="24"/>
              </w:rPr>
              <w:lastRenderedPageBreak/>
              <w:t>Cycle 1</w:t>
            </w:r>
            <w:r w:rsidR="009B3B00" w:rsidRPr="000146CC">
              <w:rPr>
                <w:rFonts w:ascii="Times New Roman" w:hAnsi="Times New Roman"/>
                <w:sz w:val="24"/>
                <w:szCs w:val="24"/>
              </w:rPr>
              <w:t>,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B3B00" w:rsidRPr="000146CC">
              <w:rPr>
                <w:rFonts w:ascii="Times New Roman" w:hAnsi="Times New Roman"/>
                <w:sz w:val="24"/>
                <w:szCs w:val="24"/>
              </w:rPr>
              <w:t>p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>art 1: single 12</w:t>
            </w:r>
            <w:r w:rsidR="00410A41" w:rsidRPr="000146CC">
              <w:rPr>
                <w:rFonts w:ascii="Times New Roman" w:hAnsi="Times New Roman"/>
                <w:sz w:val="24"/>
                <w:szCs w:val="24"/>
              </w:rPr>
              <w:t> 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>mg doses on days 1 and 15</w:t>
            </w:r>
            <w:r w:rsidR="009B3B00" w:rsidRPr="000146CC">
              <w:rPr>
                <w:rFonts w:ascii="Times New Roman" w:hAnsi="Times New Roman"/>
                <w:sz w:val="24"/>
                <w:szCs w:val="24"/>
              </w:rPr>
              <w:t>; p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>art 2: single 60</w:t>
            </w:r>
            <w:r w:rsidR="009B3B00" w:rsidRPr="000146CC">
              <w:rPr>
                <w:rFonts w:ascii="Times New Roman" w:hAnsi="Times New Roman"/>
                <w:sz w:val="24"/>
                <w:szCs w:val="24"/>
              </w:rPr>
              <w:t> 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>mg doses on days 1 and 15</w:t>
            </w:r>
          </w:p>
          <w:p w14:paraId="3DADBA4E" w14:textId="0EF8E982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</w:rPr>
            </w:pPr>
            <w:r w:rsidRPr="000146CC">
              <w:rPr>
                <w:rFonts w:ascii="Times New Roman" w:hAnsi="Times New Roman"/>
                <w:sz w:val="24"/>
                <w:szCs w:val="24"/>
              </w:rPr>
              <w:t>Cycle 2 onwards: 60</w:t>
            </w:r>
            <w:r w:rsidR="00410A41" w:rsidRPr="000146CC">
              <w:rPr>
                <w:rFonts w:ascii="Times New Roman" w:hAnsi="Times New Roman"/>
                <w:sz w:val="24"/>
                <w:szCs w:val="24"/>
              </w:rPr>
              <w:t> 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 xml:space="preserve">mg </w:t>
            </w:r>
            <w:r w:rsidR="009B3B00" w:rsidRPr="000146CC">
              <w:rPr>
                <w:rFonts w:ascii="Times New Roman" w:hAnsi="Times New Roman"/>
                <w:sz w:val="24"/>
                <w:szCs w:val="24"/>
              </w:rPr>
              <w:br/>
            </w:r>
            <w:r w:rsidRPr="000146CC">
              <w:rPr>
                <w:rFonts w:ascii="Times New Roman" w:hAnsi="Times New Roman"/>
                <w:sz w:val="24"/>
                <w:szCs w:val="24"/>
              </w:rPr>
              <w:t>(3 weeks on/1 week off)</w:t>
            </w:r>
          </w:p>
          <w:p w14:paraId="4CD11368" w14:textId="21DC219B" w:rsidR="00D93E8E" w:rsidRPr="000146CC" w:rsidRDefault="009B3B00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0146CC">
              <w:rPr>
                <w:rFonts w:ascii="Times New Roman" w:hAnsi="Times New Roman"/>
                <w:sz w:val="24"/>
                <w:szCs w:val="24"/>
              </w:rPr>
              <w:t>Copanlisib</w:t>
            </w:r>
            <w:proofErr w:type="spellEnd"/>
            <w:r w:rsidRPr="000146C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93E8E" w:rsidRPr="000146CC">
              <w:rPr>
                <w:rFonts w:ascii="Times New Roman" w:hAnsi="Times New Roman"/>
                <w:sz w:val="24"/>
                <w:szCs w:val="24"/>
              </w:rPr>
              <w:t>Arm B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0BE26B27" w14:textId="1C2B6F05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</w:rPr>
            </w:pPr>
            <w:r w:rsidRPr="000146CC">
              <w:rPr>
                <w:rFonts w:ascii="Times New Roman" w:hAnsi="Times New Roman"/>
                <w:sz w:val="24"/>
                <w:szCs w:val="24"/>
              </w:rPr>
              <w:t xml:space="preserve">Cycle 1: </w:t>
            </w:r>
            <w:r w:rsidR="00130CA7" w:rsidRPr="000146CC">
              <w:rPr>
                <w:rFonts w:ascii="Times New Roman" w:hAnsi="Times New Roman"/>
                <w:sz w:val="24"/>
                <w:szCs w:val="24"/>
              </w:rPr>
              <w:t>s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>ingle 60</w:t>
            </w:r>
            <w:r w:rsidR="00410A41" w:rsidRPr="000146CC">
              <w:rPr>
                <w:rFonts w:ascii="Times New Roman" w:hAnsi="Times New Roman"/>
                <w:sz w:val="24"/>
                <w:szCs w:val="24"/>
              </w:rPr>
              <w:t> 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>mg doses on</w:t>
            </w:r>
            <w:r w:rsidR="00410A41" w:rsidRPr="000146CC">
              <w:rPr>
                <w:rFonts w:ascii="Times New Roman" w:hAnsi="Times New Roman"/>
                <w:sz w:val="24"/>
                <w:szCs w:val="24"/>
              </w:rPr>
              <w:t> 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>days</w:t>
            </w:r>
            <w:r w:rsidR="009B3B00" w:rsidRPr="000146CC">
              <w:rPr>
                <w:rFonts w:ascii="Times New Roman" w:hAnsi="Times New Roman"/>
                <w:sz w:val="24"/>
                <w:szCs w:val="24"/>
              </w:rPr>
              <w:t> 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>1 and 15</w:t>
            </w:r>
          </w:p>
          <w:p w14:paraId="08358001" w14:textId="6D67C4EF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</w:rPr>
            </w:pPr>
            <w:r w:rsidRPr="000146CC">
              <w:rPr>
                <w:rFonts w:ascii="Times New Roman" w:hAnsi="Times New Roman"/>
                <w:sz w:val="24"/>
                <w:szCs w:val="24"/>
              </w:rPr>
              <w:t>Cycle 2 onwards: 60</w:t>
            </w:r>
            <w:r w:rsidR="00410A41" w:rsidRPr="000146CC">
              <w:rPr>
                <w:rFonts w:ascii="Times New Roman" w:hAnsi="Times New Roman"/>
                <w:sz w:val="24"/>
                <w:szCs w:val="24"/>
              </w:rPr>
              <w:t> 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 xml:space="preserve">mg </w:t>
            </w:r>
            <w:r w:rsidR="009B3B00" w:rsidRPr="000146CC">
              <w:rPr>
                <w:rFonts w:ascii="Times New Roman" w:hAnsi="Times New Roman"/>
                <w:sz w:val="24"/>
                <w:szCs w:val="24"/>
              </w:rPr>
              <w:br/>
            </w:r>
            <w:r w:rsidRPr="000146CC">
              <w:rPr>
                <w:rFonts w:ascii="Times New Roman" w:hAnsi="Times New Roman"/>
                <w:sz w:val="24"/>
                <w:szCs w:val="24"/>
              </w:rPr>
              <w:t>(3 weeks on/1 week off)</w:t>
            </w:r>
          </w:p>
          <w:p w14:paraId="077C48C2" w14:textId="77777777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</w:rPr>
            </w:pPr>
            <w:r w:rsidRPr="000146CC">
              <w:rPr>
                <w:rFonts w:ascii="Times New Roman" w:hAnsi="Times New Roman"/>
                <w:sz w:val="24"/>
                <w:szCs w:val="24"/>
              </w:rPr>
              <w:t>Itraconazole (in Arm A):</w:t>
            </w:r>
          </w:p>
          <w:p w14:paraId="45FFFC43" w14:textId="6D76FD70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</w:rPr>
            </w:pPr>
            <w:r w:rsidRPr="000146CC">
              <w:rPr>
                <w:rFonts w:ascii="Times New Roman" w:hAnsi="Times New Roman"/>
                <w:sz w:val="24"/>
                <w:szCs w:val="24"/>
              </w:rPr>
              <w:t>Cycle 1, day 12: 200</w:t>
            </w:r>
            <w:r w:rsidR="00410A41" w:rsidRPr="000146CC">
              <w:rPr>
                <w:rFonts w:ascii="Times New Roman" w:hAnsi="Times New Roman"/>
                <w:sz w:val="24"/>
                <w:szCs w:val="24"/>
              </w:rPr>
              <w:t> 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 xml:space="preserve">mg </w:t>
            </w:r>
            <w:r w:rsidR="00410A41" w:rsidRPr="000146CC">
              <w:rPr>
                <w:rFonts w:ascii="Times New Roman" w:hAnsi="Times New Roman"/>
                <w:sz w:val="24"/>
                <w:szCs w:val="24"/>
              </w:rPr>
              <w:br/>
            </w:r>
            <w:r w:rsidR="009B3B00" w:rsidRPr="000146CC">
              <w:rPr>
                <w:rFonts w:ascii="Times New Roman" w:hAnsi="Times New Roman"/>
                <w:sz w:val="24"/>
                <w:szCs w:val="24"/>
              </w:rPr>
              <w:t>twice daily</w:t>
            </w:r>
          </w:p>
          <w:p w14:paraId="087D829D" w14:textId="0A79607B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</w:rPr>
            </w:pPr>
            <w:r w:rsidRPr="000146CC">
              <w:rPr>
                <w:rFonts w:ascii="Times New Roman" w:hAnsi="Times New Roman"/>
                <w:sz w:val="24"/>
                <w:szCs w:val="24"/>
              </w:rPr>
              <w:t>Cycle 1, day</w:t>
            </w:r>
            <w:r w:rsidR="009B3B00" w:rsidRPr="000146CC">
              <w:rPr>
                <w:rFonts w:ascii="Times New Roman" w:hAnsi="Times New Roman"/>
                <w:sz w:val="24"/>
                <w:szCs w:val="24"/>
              </w:rPr>
              <w:t>s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 xml:space="preserve"> 13</w:t>
            </w:r>
            <w:r w:rsidR="009B3B00" w:rsidRPr="000146CC">
              <w:rPr>
                <w:rFonts w:ascii="Times New Roman" w:hAnsi="Times New Roman"/>
                <w:sz w:val="24"/>
                <w:szCs w:val="24"/>
              </w:rPr>
              <w:t>–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>21: 200</w:t>
            </w:r>
            <w:r w:rsidR="00410A41" w:rsidRPr="000146CC">
              <w:rPr>
                <w:rFonts w:ascii="Times New Roman" w:hAnsi="Times New Roman"/>
                <w:sz w:val="24"/>
                <w:szCs w:val="24"/>
              </w:rPr>
              <w:t> 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 xml:space="preserve">mg </w:t>
            </w:r>
            <w:r w:rsidR="009B3B00" w:rsidRPr="000146CC">
              <w:rPr>
                <w:rFonts w:ascii="Times New Roman" w:hAnsi="Times New Roman"/>
                <w:sz w:val="24"/>
                <w:szCs w:val="24"/>
              </w:rPr>
              <w:t>once</w:t>
            </w:r>
            <w:r w:rsidR="00410A41" w:rsidRPr="000146CC">
              <w:rPr>
                <w:rFonts w:ascii="Times New Roman" w:hAnsi="Times New Roman"/>
                <w:sz w:val="24"/>
                <w:szCs w:val="24"/>
              </w:rPr>
              <w:t> </w:t>
            </w:r>
            <w:r w:rsidR="009B3B00" w:rsidRPr="000146CC">
              <w:rPr>
                <w:rFonts w:ascii="Times New Roman" w:hAnsi="Times New Roman"/>
                <w:sz w:val="24"/>
                <w:szCs w:val="24"/>
              </w:rPr>
              <w:t>daily</w:t>
            </w:r>
          </w:p>
          <w:p w14:paraId="52088691" w14:textId="77777777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</w:rPr>
            </w:pPr>
            <w:r w:rsidRPr="000146CC">
              <w:rPr>
                <w:rFonts w:ascii="Times New Roman" w:hAnsi="Times New Roman"/>
                <w:sz w:val="24"/>
                <w:szCs w:val="24"/>
              </w:rPr>
              <w:t>Rifampin (in Arm B):</w:t>
            </w:r>
          </w:p>
          <w:p w14:paraId="2C1F5818" w14:textId="5EACFAF6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/>
                <w:bCs/>
                <w:sz w:val="24"/>
                <w:szCs w:val="24"/>
                <w:highlight w:val="yellow"/>
              </w:rPr>
            </w:pPr>
            <w:r w:rsidRPr="000146CC">
              <w:rPr>
                <w:rFonts w:ascii="Times New Roman" w:hAnsi="Times New Roman"/>
                <w:sz w:val="24"/>
                <w:szCs w:val="24"/>
              </w:rPr>
              <w:t>Cycle 1, day</w:t>
            </w:r>
            <w:r w:rsidR="009B3B00" w:rsidRPr="000146CC">
              <w:rPr>
                <w:rFonts w:ascii="Times New Roman" w:hAnsi="Times New Roman"/>
                <w:sz w:val="24"/>
                <w:szCs w:val="24"/>
              </w:rPr>
              <w:t>s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 xml:space="preserve"> 10</w:t>
            </w:r>
            <w:r w:rsidR="009B3B00" w:rsidRPr="000146CC">
              <w:rPr>
                <w:rFonts w:ascii="Times New Roman" w:hAnsi="Times New Roman"/>
                <w:sz w:val="24"/>
                <w:szCs w:val="24"/>
              </w:rPr>
              <w:t>–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>21: 600</w:t>
            </w:r>
            <w:r w:rsidR="00410A41" w:rsidRPr="000146CC">
              <w:rPr>
                <w:rFonts w:ascii="Times New Roman" w:hAnsi="Times New Roman"/>
                <w:sz w:val="24"/>
                <w:szCs w:val="24"/>
              </w:rPr>
              <w:t> 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 xml:space="preserve">mg </w:t>
            </w:r>
            <w:r w:rsidR="009B3B00" w:rsidRPr="000146CC">
              <w:rPr>
                <w:rFonts w:ascii="Times New Roman" w:hAnsi="Times New Roman"/>
                <w:sz w:val="24"/>
                <w:szCs w:val="24"/>
              </w:rPr>
              <w:t>once</w:t>
            </w:r>
            <w:r w:rsidR="00410A41" w:rsidRPr="000146CC">
              <w:rPr>
                <w:rFonts w:ascii="Times New Roman" w:hAnsi="Times New Roman"/>
                <w:sz w:val="24"/>
                <w:szCs w:val="24"/>
              </w:rPr>
              <w:t> </w:t>
            </w:r>
            <w:r w:rsidR="009B3B00" w:rsidRPr="000146CC">
              <w:rPr>
                <w:rFonts w:ascii="Times New Roman" w:hAnsi="Times New Roman"/>
                <w:sz w:val="24"/>
                <w:szCs w:val="24"/>
              </w:rPr>
              <w:t>daily</w:t>
            </w:r>
          </w:p>
        </w:tc>
        <w:tc>
          <w:tcPr>
            <w:tcW w:w="1550" w:type="pct"/>
          </w:tcPr>
          <w:p w14:paraId="49836E61" w14:textId="56622928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lastRenderedPageBreak/>
              <w:t xml:space="preserve">Cycle 1,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d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ay 1: 0.17, 1, 1.5, 2, 2.5, 3, 5, 8, 24, 48, 72, 96, 120, 168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hours after dosing</w:t>
            </w:r>
          </w:p>
          <w:p w14:paraId="522E5B06" w14:textId="3F20E26E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lastRenderedPageBreak/>
              <w:t xml:space="preserve">Cycle 1,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d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ay 15: 0.17, 1, 1.5, 2, 2.5, 3, 5, 8, 24, 48, 72, 96, 120, 168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hours after dosing</w:t>
            </w:r>
          </w:p>
          <w:p w14:paraId="5766E293" w14:textId="472DC559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/>
                <w:bCs/>
                <w:sz w:val="24"/>
                <w:szCs w:val="24"/>
                <w:highlight w:val="yellow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Cycle 3,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d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ay 1 (Arm B only): 0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hours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(</w:t>
            </w:r>
            <w:r w:rsidR="00553972" w:rsidRPr="000146CC">
              <w:rPr>
                <w:rFonts w:ascii="Times New Roman" w:eastAsiaTheme="minorEastAsia" w:hAnsi="Times New Roman"/>
                <w:sz w:val="24"/>
                <w:szCs w:val="24"/>
              </w:rPr>
              <w:t>before dosing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), 0.17, 1, 3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hours after dosing</w:t>
            </w:r>
          </w:p>
        </w:tc>
        <w:tc>
          <w:tcPr>
            <w:tcW w:w="633" w:type="pct"/>
          </w:tcPr>
          <w:p w14:paraId="210F02BD" w14:textId="77777777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/>
                <w:bCs/>
                <w:sz w:val="24"/>
                <w:szCs w:val="24"/>
                <w:highlight w:val="yellow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lastRenderedPageBreak/>
              <w:t>51</w:t>
            </w:r>
          </w:p>
        </w:tc>
      </w:tr>
      <w:tr w:rsidR="000146CC" w:rsidRPr="000146CC" w14:paraId="32217D67" w14:textId="77777777" w:rsidTr="00FD63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7" w:type="pct"/>
          </w:tcPr>
          <w:p w14:paraId="16D7F39F" w14:textId="7855653F" w:rsidR="00D93E8E" w:rsidRPr="000146CC" w:rsidRDefault="00D93E8E" w:rsidP="008549D5">
            <w:pPr>
              <w:keepNext w:val="0"/>
              <w:spacing w:before="120" w:after="120"/>
              <w:rPr>
                <w:rFonts w:ascii="Times New Roman" w:hAnsi="Times New Roman"/>
                <w:sz w:val="24"/>
                <w:szCs w:val="24"/>
              </w:rPr>
            </w:pPr>
            <w:r w:rsidRPr="000146CC">
              <w:rPr>
                <w:rFonts w:ascii="Times New Roman" w:hAnsi="Times New Roman"/>
                <w:sz w:val="24"/>
                <w:szCs w:val="24"/>
              </w:rPr>
              <w:t xml:space="preserve">Study 16349: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Phase II study of </w:t>
            </w:r>
            <w:proofErr w:type="spellStart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copanlisib</w:t>
            </w:r>
            <w:proofErr w:type="spellEnd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in patients with </w:t>
            </w:r>
            <w:proofErr w:type="spellStart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aNHL</w:t>
            </w:r>
            <w:proofErr w:type="spellEnd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or</w:t>
            </w:r>
            <w:r w:rsidR="00410A41" w:rsidRPr="000146CC">
              <w:rPr>
                <w:rFonts w:ascii="Times New Roman" w:eastAsiaTheme="minorEastAsia" w:hAnsi="Times New Roman"/>
                <w:sz w:val="24"/>
                <w:szCs w:val="24"/>
              </w:rPr>
              <w:t> </w:t>
            </w:r>
            <w:proofErr w:type="spellStart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iNHL</w:t>
            </w:r>
            <w:proofErr w:type="spellEnd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 xml:space="preserve">(NCT01660451; </w:t>
            </w:r>
            <w:r w:rsidR="00410A41" w:rsidRPr="000146CC">
              <w:rPr>
                <w:rFonts w:ascii="Times New Roman" w:hAnsi="Times New Roman"/>
                <w:sz w:val="24"/>
                <w:szCs w:val="24"/>
              </w:rPr>
              <w:br/>
            </w:r>
            <w:r w:rsidRPr="000146CC">
              <w:rPr>
                <w:rFonts w:ascii="Times New Roman" w:hAnsi="Times New Roman"/>
                <w:sz w:val="24"/>
                <w:szCs w:val="24"/>
              </w:rPr>
              <w:t>CHRONOS-1)</w:t>
            </w:r>
            <w:r w:rsidR="00125FCB" w:rsidRPr="000146CC">
              <w:rPr>
                <w:rFonts w:ascii="Times New Roman" w:hAnsi="Times New Roman"/>
                <w:noProof/>
                <w:sz w:val="24"/>
                <w:szCs w:val="24"/>
                <w:vertAlign w:val="superscript"/>
              </w:rPr>
              <w:t>4,5</w:t>
            </w:r>
          </w:p>
        </w:tc>
        <w:tc>
          <w:tcPr>
            <w:tcW w:w="1370" w:type="pct"/>
          </w:tcPr>
          <w:p w14:paraId="75A9E816" w14:textId="2ACA9B7B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</w:rPr>
            </w:pPr>
            <w:r w:rsidRPr="000146CC">
              <w:rPr>
                <w:rFonts w:ascii="Times New Roman" w:hAnsi="Times New Roman"/>
                <w:sz w:val="24"/>
                <w:szCs w:val="24"/>
              </w:rPr>
              <w:t xml:space="preserve">Part A: </w:t>
            </w:r>
            <w:proofErr w:type="spellStart"/>
            <w:r w:rsidRPr="000146CC">
              <w:rPr>
                <w:rFonts w:ascii="Times New Roman" w:hAnsi="Times New Roman"/>
                <w:sz w:val="24"/>
                <w:szCs w:val="24"/>
              </w:rPr>
              <w:t>copanlisib</w:t>
            </w:r>
            <w:proofErr w:type="spellEnd"/>
            <w:r w:rsidRPr="000146CC">
              <w:rPr>
                <w:rFonts w:ascii="Times New Roman" w:hAnsi="Times New Roman"/>
                <w:sz w:val="24"/>
                <w:szCs w:val="24"/>
              </w:rPr>
              <w:t xml:space="preserve"> 0.8</w:t>
            </w:r>
            <w:r w:rsidR="00410A41" w:rsidRPr="000146CC">
              <w:rPr>
                <w:rFonts w:ascii="Times New Roman" w:hAnsi="Times New Roman"/>
                <w:sz w:val="24"/>
                <w:szCs w:val="24"/>
              </w:rPr>
              <w:t> 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>mg/kg (3weeks on/1 week off)</w:t>
            </w:r>
          </w:p>
          <w:p w14:paraId="12397F38" w14:textId="6CB0C159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</w:rPr>
            </w:pPr>
            <w:r w:rsidRPr="000146CC">
              <w:rPr>
                <w:rFonts w:ascii="Times New Roman" w:hAnsi="Times New Roman"/>
                <w:sz w:val="24"/>
                <w:szCs w:val="24"/>
              </w:rPr>
              <w:t xml:space="preserve">Part B: </w:t>
            </w:r>
            <w:proofErr w:type="spellStart"/>
            <w:r w:rsidRPr="000146CC">
              <w:rPr>
                <w:rFonts w:ascii="Times New Roman" w:hAnsi="Times New Roman"/>
                <w:sz w:val="24"/>
                <w:szCs w:val="24"/>
              </w:rPr>
              <w:t>copanlisib</w:t>
            </w:r>
            <w:proofErr w:type="spellEnd"/>
            <w:r w:rsidRPr="000146CC">
              <w:rPr>
                <w:rFonts w:ascii="Times New Roman" w:hAnsi="Times New Roman"/>
                <w:sz w:val="24"/>
                <w:szCs w:val="24"/>
              </w:rPr>
              <w:t xml:space="preserve"> 60</w:t>
            </w:r>
            <w:r w:rsidR="00410A41" w:rsidRPr="000146CC">
              <w:rPr>
                <w:rFonts w:ascii="Times New Roman" w:hAnsi="Times New Roman"/>
                <w:sz w:val="24"/>
                <w:szCs w:val="24"/>
              </w:rPr>
              <w:t> 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 xml:space="preserve">mg </w:t>
            </w:r>
            <w:r w:rsidR="009B3B00" w:rsidRPr="000146CC">
              <w:rPr>
                <w:rFonts w:ascii="Times New Roman" w:hAnsi="Times New Roman"/>
                <w:sz w:val="24"/>
                <w:szCs w:val="24"/>
              </w:rPr>
              <w:br/>
            </w:r>
            <w:r w:rsidRPr="000146CC">
              <w:rPr>
                <w:rFonts w:ascii="Times New Roman" w:hAnsi="Times New Roman"/>
                <w:sz w:val="24"/>
                <w:szCs w:val="24"/>
              </w:rPr>
              <w:t>(3 weeks on/1 week off)</w:t>
            </w:r>
          </w:p>
        </w:tc>
        <w:tc>
          <w:tcPr>
            <w:tcW w:w="1550" w:type="pct"/>
          </w:tcPr>
          <w:p w14:paraId="42D2381F" w14:textId="23DDAE42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Cycle 1, </w:t>
            </w:r>
            <w:r w:rsidR="00FD63E1" w:rsidRPr="000146CC">
              <w:rPr>
                <w:rFonts w:ascii="Times New Roman" w:eastAsiaTheme="minorEastAsia" w:hAnsi="Times New Roman"/>
                <w:sz w:val="24"/>
                <w:szCs w:val="24"/>
              </w:rPr>
              <w:t>d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ay 8: 0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hours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(</w:t>
            </w:r>
            <w:r w:rsidR="00553972" w:rsidRPr="000146CC">
              <w:rPr>
                <w:rFonts w:ascii="Times New Roman" w:eastAsiaTheme="minorEastAsia" w:hAnsi="Times New Roman"/>
                <w:sz w:val="24"/>
                <w:szCs w:val="24"/>
              </w:rPr>
              <w:t>before dosing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), 1,</w:t>
            </w:r>
            <w:r w:rsidR="00FD63E1" w:rsidRPr="000146CC">
              <w:rPr>
                <w:rFonts w:ascii="Times New Roman" w:eastAsiaTheme="minorEastAsia" w:hAnsi="Times New Roman"/>
                <w:sz w:val="24"/>
                <w:szCs w:val="24"/>
              </w:rPr>
              <w:t> 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3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hours after dosing</w:t>
            </w:r>
          </w:p>
          <w:p w14:paraId="15BFE09F" w14:textId="20A5686B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E</w:t>
            </w:r>
            <w:r w:rsidR="00410A41" w:rsidRPr="000146CC">
              <w:rPr>
                <w:rFonts w:ascii="Times New Roman" w:eastAsiaTheme="minorEastAsia" w:hAnsi="Times New Roman"/>
                <w:sz w:val="24"/>
                <w:szCs w:val="24"/>
              </w:rPr>
              <w:t>lectrocardiogram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sub-study</w:t>
            </w:r>
          </w:p>
          <w:p w14:paraId="7D18E1B0" w14:textId="6424D3B2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Cycle 1, </w:t>
            </w:r>
            <w:r w:rsidR="00FD63E1" w:rsidRPr="000146CC">
              <w:rPr>
                <w:rFonts w:ascii="Times New Roman" w:eastAsiaTheme="minorEastAsia" w:hAnsi="Times New Roman"/>
                <w:sz w:val="24"/>
                <w:szCs w:val="24"/>
              </w:rPr>
              <w:t>d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ay 1: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0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hours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(</w:t>
            </w:r>
            <w:r w:rsidR="00553972" w:rsidRPr="000146CC">
              <w:rPr>
                <w:rFonts w:ascii="Times New Roman" w:eastAsiaTheme="minorEastAsia" w:hAnsi="Times New Roman"/>
                <w:sz w:val="24"/>
                <w:szCs w:val="24"/>
              </w:rPr>
              <w:t>before dosing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), 1,</w:t>
            </w:r>
            <w:r w:rsidR="00FD63E1" w:rsidRPr="000146CC">
              <w:rPr>
                <w:rFonts w:ascii="Times New Roman" w:eastAsiaTheme="minorEastAsia" w:hAnsi="Times New Roman"/>
                <w:sz w:val="24"/>
                <w:szCs w:val="24"/>
              </w:rPr>
              <w:t> 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1.33, 2.5, 5, 8, 24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hours after dosing</w:t>
            </w:r>
          </w:p>
          <w:p w14:paraId="484288DC" w14:textId="169D022E" w:rsidR="00D93E8E" w:rsidRPr="000146CC" w:rsidRDefault="00D93E8E" w:rsidP="004D73DD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Cycle 3, </w:t>
            </w:r>
            <w:r w:rsidR="00FD63E1" w:rsidRPr="000146CC">
              <w:rPr>
                <w:rFonts w:ascii="Times New Roman" w:eastAsiaTheme="minorEastAsia" w:hAnsi="Times New Roman"/>
                <w:sz w:val="24"/>
                <w:szCs w:val="24"/>
              </w:rPr>
              <w:t>d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ay 1: 0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hours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(</w:t>
            </w:r>
            <w:r w:rsidR="00553972" w:rsidRPr="000146CC">
              <w:rPr>
                <w:rFonts w:ascii="Times New Roman" w:eastAsiaTheme="minorEastAsia" w:hAnsi="Times New Roman"/>
                <w:sz w:val="24"/>
                <w:szCs w:val="24"/>
              </w:rPr>
              <w:t>before dosing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), 1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 hour after dosing</w:t>
            </w:r>
          </w:p>
        </w:tc>
        <w:tc>
          <w:tcPr>
            <w:tcW w:w="633" w:type="pct"/>
          </w:tcPr>
          <w:p w14:paraId="3B8938CA" w14:textId="77777777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Part A: 55</w:t>
            </w:r>
          </w:p>
          <w:p w14:paraId="1A546132" w14:textId="77777777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Part B: 122</w:t>
            </w:r>
          </w:p>
        </w:tc>
      </w:tr>
      <w:tr w:rsidR="000146CC" w:rsidRPr="000146CC" w14:paraId="242F3EEA" w14:textId="77777777" w:rsidTr="00FD63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7" w:type="pct"/>
          </w:tcPr>
          <w:p w14:paraId="49D4A1C6" w14:textId="2913122A" w:rsidR="00D93E8E" w:rsidRPr="000146CC" w:rsidRDefault="00D93E8E" w:rsidP="008549D5">
            <w:pPr>
              <w:keepNext w:val="0"/>
              <w:spacing w:before="120" w:after="120"/>
              <w:rPr>
                <w:rFonts w:ascii="Times New Roman" w:hAnsi="Times New Roman"/>
                <w:sz w:val="24"/>
                <w:szCs w:val="24"/>
              </w:rPr>
            </w:pPr>
            <w:r w:rsidRPr="000146CC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Study 16790: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Phase I pharmacodynamic study of </w:t>
            </w:r>
            <w:proofErr w:type="spellStart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copanlisib</w:t>
            </w:r>
            <w:proofErr w:type="spellEnd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in patients with </w:t>
            </w:r>
            <w:proofErr w:type="spellStart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iNHL</w:t>
            </w:r>
            <w:proofErr w:type="spellEnd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or solid tumors 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>(NCT03711058)</w:t>
            </w:r>
            <w:r w:rsidR="00125FCB" w:rsidRPr="000146CC">
              <w:rPr>
                <w:rFonts w:ascii="Times New Roman" w:hAnsi="Times New Roman"/>
                <w:noProof/>
                <w:sz w:val="24"/>
                <w:szCs w:val="24"/>
                <w:vertAlign w:val="superscript"/>
              </w:rPr>
              <w:t>6</w:t>
            </w:r>
          </w:p>
        </w:tc>
        <w:tc>
          <w:tcPr>
            <w:tcW w:w="1370" w:type="pct"/>
          </w:tcPr>
          <w:p w14:paraId="7D4EFC19" w14:textId="1315B99B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0146CC">
              <w:rPr>
                <w:rFonts w:ascii="Times New Roman" w:hAnsi="Times New Roman"/>
                <w:sz w:val="24"/>
                <w:szCs w:val="24"/>
              </w:rPr>
              <w:t>Copanlisib</w:t>
            </w:r>
            <w:proofErr w:type="spellEnd"/>
            <w:r w:rsidRPr="000146CC">
              <w:rPr>
                <w:rFonts w:ascii="Times New Roman" w:hAnsi="Times New Roman"/>
                <w:sz w:val="24"/>
                <w:szCs w:val="24"/>
              </w:rPr>
              <w:t xml:space="preserve"> 0.4 or 0.8</w:t>
            </w:r>
            <w:r w:rsidR="00410A41" w:rsidRPr="000146CC">
              <w:rPr>
                <w:rFonts w:ascii="Times New Roman" w:hAnsi="Times New Roman"/>
                <w:sz w:val="24"/>
                <w:szCs w:val="24"/>
              </w:rPr>
              <w:t> 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 xml:space="preserve">mg/kg </w:t>
            </w:r>
            <w:r w:rsidR="00FD63E1" w:rsidRPr="000146CC">
              <w:rPr>
                <w:rFonts w:ascii="Times New Roman" w:hAnsi="Times New Roman"/>
                <w:sz w:val="24"/>
                <w:szCs w:val="24"/>
              </w:rPr>
              <w:br/>
            </w:r>
            <w:r w:rsidRPr="000146CC">
              <w:rPr>
                <w:rFonts w:ascii="Times New Roman" w:hAnsi="Times New Roman"/>
                <w:sz w:val="24"/>
                <w:szCs w:val="24"/>
              </w:rPr>
              <w:t>(3 weeks on/1 week off)</w:t>
            </w:r>
          </w:p>
        </w:tc>
        <w:tc>
          <w:tcPr>
            <w:tcW w:w="1550" w:type="pct"/>
          </w:tcPr>
          <w:p w14:paraId="5A2A3CBF" w14:textId="0D1FEE07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Cycle 1</w:t>
            </w:r>
            <w:r w:rsidR="00FD63E1" w:rsidRPr="000146CC">
              <w:rPr>
                <w:rFonts w:ascii="Times New Roman" w:eastAsiaTheme="minorEastAsia" w:hAnsi="Times New Roman"/>
                <w:sz w:val="24"/>
                <w:szCs w:val="24"/>
              </w:rPr>
              <w:t>, d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ay 1: 0.17, 1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hour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(before end of</w:t>
            </w:r>
            <w:r w:rsidR="00410A41" w:rsidRPr="000146CC">
              <w:rPr>
                <w:rFonts w:ascii="Times New Roman" w:eastAsiaTheme="minorEastAsia" w:hAnsi="Times New Roman"/>
                <w:sz w:val="24"/>
                <w:szCs w:val="24"/>
              </w:rPr>
              <w:t> 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infusion), 1.5, 2.5, 5, 8, 24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hours after dosing</w:t>
            </w:r>
          </w:p>
          <w:p w14:paraId="21695A5C" w14:textId="0888B427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Cycle 1</w:t>
            </w:r>
            <w:r w:rsidR="00FD63E1" w:rsidRPr="000146CC">
              <w:rPr>
                <w:rFonts w:ascii="Times New Roman" w:eastAsiaTheme="minorEastAsia" w:hAnsi="Times New Roman"/>
                <w:sz w:val="24"/>
                <w:szCs w:val="24"/>
              </w:rPr>
              <w:t>,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</w:t>
            </w:r>
            <w:r w:rsidR="00FD63E1" w:rsidRPr="000146CC">
              <w:rPr>
                <w:rFonts w:ascii="Times New Roman" w:eastAsiaTheme="minorEastAsia" w:hAnsi="Times New Roman"/>
                <w:sz w:val="24"/>
                <w:szCs w:val="24"/>
              </w:rPr>
              <w:t>d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ay 8: 0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hours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(</w:t>
            </w:r>
            <w:r w:rsidR="00553972" w:rsidRPr="000146CC">
              <w:rPr>
                <w:rFonts w:ascii="Times New Roman" w:eastAsiaTheme="minorEastAsia" w:hAnsi="Times New Roman"/>
                <w:sz w:val="24"/>
                <w:szCs w:val="24"/>
              </w:rPr>
              <w:t>before dosing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)</w:t>
            </w:r>
          </w:p>
          <w:p w14:paraId="61BC2F45" w14:textId="47BEEA86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Cycle 2</w:t>
            </w:r>
            <w:r w:rsidR="00FD63E1" w:rsidRPr="000146CC">
              <w:rPr>
                <w:rFonts w:ascii="Times New Roman" w:eastAsiaTheme="minorEastAsia" w:hAnsi="Times New Roman"/>
                <w:sz w:val="24"/>
                <w:szCs w:val="24"/>
              </w:rPr>
              <w:t>, d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ay 1: 1.5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hours after dosing</w:t>
            </w:r>
          </w:p>
        </w:tc>
        <w:tc>
          <w:tcPr>
            <w:tcW w:w="633" w:type="pct"/>
          </w:tcPr>
          <w:p w14:paraId="0B6E5E95" w14:textId="77777777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62</w:t>
            </w:r>
          </w:p>
        </w:tc>
      </w:tr>
      <w:tr w:rsidR="000146CC" w:rsidRPr="000146CC" w14:paraId="4EBCD010" w14:textId="77777777" w:rsidTr="00FD63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7" w:type="pct"/>
          </w:tcPr>
          <w:p w14:paraId="438D671B" w14:textId="3558F0D3" w:rsidR="00D93E8E" w:rsidRPr="000146CC" w:rsidRDefault="00D93E8E" w:rsidP="008549D5">
            <w:pPr>
              <w:keepNext w:val="0"/>
              <w:spacing w:before="120" w:after="120"/>
              <w:rPr>
                <w:rFonts w:ascii="Times New Roman" w:hAnsi="Times New Roman"/>
                <w:sz w:val="24"/>
                <w:szCs w:val="24"/>
              </w:rPr>
            </w:pPr>
            <w:r w:rsidRPr="000146CC">
              <w:rPr>
                <w:rFonts w:ascii="Times New Roman" w:hAnsi="Times New Roman"/>
                <w:sz w:val="24"/>
                <w:szCs w:val="24"/>
              </w:rPr>
              <w:t>Study 16866: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Phase I study of </w:t>
            </w:r>
            <w:proofErr w:type="spellStart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copanlisib</w:t>
            </w:r>
            <w:proofErr w:type="spellEnd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in Chinese patients with relapsed </w:t>
            </w:r>
            <w:proofErr w:type="spellStart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iNHL</w:t>
            </w:r>
            <w:proofErr w:type="spellEnd"/>
            <w:r w:rsidRPr="000146CC">
              <w:rPr>
                <w:rFonts w:ascii="Times New Roman" w:hAnsi="Times New Roman"/>
                <w:sz w:val="24"/>
                <w:szCs w:val="24"/>
              </w:rPr>
              <w:t xml:space="preserve"> (NCT03498430)</w:t>
            </w:r>
            <w:r w:rsidR="00125FCB" w:rsidRPr="000146CC">
              <w:rPr>
                <w:rFonts w:ascii="Times New Roman" w:hAnsi="Times New Roman"/>
                <w:noProof/>
                <w:sz w:val="24"/>
                <w:szCs w:val="24"/>
                <w:vertAlign w:val="superscript"/>
              </w:rPr>
              <w:t>7</w:t>
            </w:r>
          </w:p>
        </w:tc>
        <w:tc>
          <w:tcPr>
            <w:tcW w:w="1370" w:type="pct"/>
          </w:tcPr>
          <w:p w14:paraId="22B95751" w14:textId="5B6AAF46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0146CC">
              <w:rPr>
                <w:rFonts w:ascii="Times New Roman" w:hAnsi="Times New Roman"/>
                <w:sz w:val="24"/>
                <w:szCs w:val="24"/>
              </w:rPr>
              <w:t>Copanlisib</w:t>
            </w:r>
            <w:proofErr w:type="spellEnd"/>
            <w:r w:rsidRPr="000146CC">
              <w:rPr>
                <w:rFonts w:ascii="Times New Roman" w:hAnsi="Times New Roman"/>
                <w:sz w:val="24"/>
                <w:szCs w:val="24"/>
              </w:rPr>
              <w:t xml:space="preserve"> 60</w:t>
            </w:r>
            <w:r w:rsidR="00410A41" w:rsidRPr="000146CC">
              <w:rPr>
                <w:rFonts w:ascii="Times New Roman" w:hAnsi="Times New Roman"/>
                <w:sz w:val="24"/>
                <w:szCs w:val="24"/>
              </w:rPr>
              <w:t> 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 xml:space="preserve">mg </w:t>
            </w:r>
            <w:r w:rsidR="00FD63E1" w:rsidRPr="000146CC">
              <w:rPr>
                <w:rFonts w:ascii="Times New Roman" w:hAnsi="Times New Roman"/>
                <w:sz w:val="24"/>
                <w:szCs w:val="24"/>
              </w:rPr>
              <w:br/>
            </w:r>
            <w:r w:rsidRPr="000146CC">
              <w:rPr>
                <w:rFonts w:ascii="Times New Roman" w:hAnsi="Times New Roman"/>
                <w:sz w:val="24"/>
                <w:szCs w:val="24"/>
              </w:rPr>
              <w:t>(3 weeks on/1</w:t>
            </w:r>
            <w:r w:rsidR="005B30D1" w:rsidRPr="000146CC">
              <w:rPr>
                <w:rFonts w:ascii="Times New Roman" w:hAnsi="Times New Roman"/>
                <w:sz w:val="24"/>
                <w:szCs w:val="24"/>
              </w:rPr>
              <w:t> 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>week off)</w:t>
            </w:r>
          </w:p>
        </w:tc>
        <w:tc>
          <w:tcPr>
            <w:tcW w:w="1550" w:type="pct"/>
          </w:tcPr>
          <w:p w14:paraId="3B579678" w14:textId="379A09E9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Cycle 1, </w:t>
            </w:r>
            <w:r w:rsidR="00FD63E1" w:rsidRPr="000146CC">
              <w:rPr>
                <w:rFonts w:ascii="Times New Roman" w:eastAsiaTheme="minorEastAsia" w:hAnsi="Times New Roman"/>
                <w:sz w:val="24"/>
                <w:szCs w:val="24"/>
              </w:rPr>
              <w:t>d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ay 8: 0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hours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(</w:t>
            </w:r>
            <w:r w:rsidR="00553972" w:rsidRPr="000146CC">
              <w:rPr>
                <w:rFonts w:ascii="Times New Roman" w:eastAsiaTheme="minorEastAsia" w:hAnsi="Times New Roman"/>
                <w:sz w:val="24"/>
                <w:szCs w:val="24"/>
              </w:rPr>
              <w:t>before dosing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), 0.17, 1, 1.5, 2, 3, 5, 8, 11, 24, 48, 72, 120, 168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hours after dosing</w:t>
            </w:r>
          </w:p>
          <w:p w14:paraId="2A343D7B" w14:textId="29CEA6BC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Cycle 1, </w:t>
            </w:r>
            <w:r w:rsidR="00FD63E1" w:rsidRPr="000146CC">
              <w:rPr>
                <w:rFonts w:ascii="Times New Roman" w:eastAsiaTheme="minorEastAsia" w:hAnsi="Times New Roman"/>
                <w:sz w:val="24"/>
                <w:szCs w:val="24"/>
              </w:rPr>
              <w:t>d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ay 15: 0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hours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(</w:t>
            </w:r>
            <w:r w:rsidR="00553972" w:rsidRPr="000146CC">
              <w:rPr>
                <w:rFonts w:ascii="Times New Roman" w:eastAsiaTheme="minorEastAsia" w:hAnsi="Times New Roman"/>
                <w:sz w:val="24"/>
                <w:szCs w:val="24"/>
              </w:rPr>
              <w:t>before dosing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), 0.17, 1, 1.5, 2, 3, 5, 8, 11, 24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hours after dosing</w:t>
            </w:r>
          </w:p>
        </w:tc>
        <w:tc>
          <w:tcPr>
            <w:tcW w:w="633" w:type="pct"/>
          </w:tcPr>
          <w:p w14:paraId="312760E4" w14:textId="77777777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12</w:t>
            </w:r>
          </w:p>
        </w:tc>
      </w:tr>
      <w:tr w:rsidR="000146CC" w:rsidRPr="000146CC" w14:paraId="46D01CD6" w14:textId="77777777" w:rsidTr="00FD63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7" w:type="pct"/>
          </w:tcPr>
          <w:p w14:paraId="647A232D" w14:textId="080CD62D" w:rsidR="00D93E8E" w:rsidRPr="000146CC" w:rsidRDefault="00D93E8E" w:rsidP="00FD63E1">
            <w:pPr>
              <w:keepNext w:val="0"/>
              <w:spacing w:before="120" w:after="120"/>
              <w:rPr>
                <w:rFonts w:ascii="Times New Roman" w:hAnsi="Times New Roman"/>
                <w:sz w:val="24"/>
                <w:szCs w:val="24"/>
              </w:rPr>
            </w:pPr>
            <w:r w:rsidRPr="000146CC">
              <w:rPr>
                <w:rFonts w:ascii="Times New Roman" w:hAnsi="Times New Roman"/>
                <w:sz w:val="24"/>
                <w:szCs w:val="24"/>
              </w:rPr>
              <w:t>Study 17067: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 xml:space="preserve">Phase III study evaluating the efficacy and safety of </w:t>
            </w:r>
            <w:proofErr w:type="spellStart"/>
            <w:r w:rsidRPr="000146CC">
              <w:rPr>
                <w:rFonts w:ascii="Times New Roman" w:hAnsi="Times New Roman"/>
                <w:sz w:val="24"/>
                <w:szCs w:val="24"/>
              </w:rPr>
              <w:t>copanlisib</w:t>
            </w:r>
            <w:proofErr w:type="spellEnd"/>
            <w:r w:rsidRPr="000146CC">
              <w:rPr>
                <w:rFonts w:ascii="Times New Roman" w:hAnsi="Times New Roman"/>
                <w:sz w:val="24"/>
                <w:szCs w:val="24"/>
              </w:rPr>
              <w:t xml:space="preserve"> in combination with rituximab in patients with relapsed </w:t>
            </w:r>
            <w:proofErr w:type="spellStart"/>
            <w:r w:rsidRPr="000146CC">
              <w:rPr>
                <w:rFonts w:ascii="Times New Roman" w:hAnsi="Times New Roman"/>
                <w:sz w:val="24"/>
                <w:szCs w:val="24"/>
              </w:rPr>
              <w:t>iNHL</w:t>
            </w:r>
            <w:proofErr w:type="spellEnd"/>
            <w:r w:rsidR="00FD63E1" w:rsidRPr="000146C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>(NCT02367040;</w:t>
            </w:r>
            <w:r w:rsidRPr="000146CC" w:rsidDel="00594B2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>CHRONOS-3)</w:t>
            </w:r>
            <w:r w:rsidR="00125FCB" w:rsidRPr="000146CC">
              <w:rPr>
                <w:rFonts w:ascii="Times New Roman" w:hAnsi="Times New Roman"/>
                <w:noProof/>
                <w:sz w:val="24"/>
                <w:szCs w:val="24"/>
                <w:vertAlign w:val="superscript"/>
              </w:rPr>
              <w:t>8</w:t>
            </w:r>
          </w:p>
        </w:tc>
        <w:tc>
          <w:tcPr>
            <w:tcW w:w="1370" w:type="pct"/>
          </w:tcPr>
          <w:p w14:paraId="0B895C0C" w14:textId="450AFEEA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0146CC">
              <w:rPr>
                <w:rFonts w:ascii="Times New Roman" w:hAnsi="Times New Roman"/>
                <w:sz w:val="24"/>
                <w:szCs w:val="24"/>
              </w:rPr>
              <w:t>Copanlisib</w:t>
            </w:r>
            <w:proofErr w:type="spellEnd"/>
            <w:r w:rsidR="00661993" w:rsidRPr="000146C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46EF4" w:rsidRPr="000146CC">
              <w:rPr>
                <w:rFonts w:ascii="Times New Roman" w:hAnsi="Times New Roman"/>
                <w:sz w:val="24"/>
                <w:szCs w:val="24"/>
              </w:rPr>
              <w:t>(n</w:t>
            </w:r>
            <w:r w:rsidR="00846EF4" w:rsidRPr="000146CC">
              <w:rPr>
                <w:rFonts w:ascii="Times New Roman" w:hAnsi="Times New Roman"/>
                <w:i/>
                <w:iCs/>
                <w:sz w:val="24"/>
                <w:szCs w:val="24"/>
              </w:rPr>
              <w:t>=</w:t>
            </w:r>
            <w:r w:rsidR="00846EF4" w:rsidRPr="000146CC">
              <w:rPr>
                <w:rFonts w:ascii="Times New Roman" w:hAnsi="Times New Roman"/>
                <w:sz w:val="24"/>
                <w:szCs w:val="24"/>
              </w:rPr>
              <w:t xml:space="preserve">307) </w:t>
            </w:r>
            <w:r w:rsidR="000D6877" w:rsidRPr="000146CC">
              <w:rPr>
                <w:rFonts w:ascii="Times New Roman" w:hAnsi="Times New Roman"/>
                <w:sz w:val="24"/>
                <w:szCs w:val="24"/>
              </w:rPr>
              <w:t>60 mg (3 weeks on/1 week off)</w:t>
            </w:r>
            <w:r w:rsidR="00CC7CDF" w:rsidRPr="000146C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61993" w:rsidRPr="000146CC">
              <w:rPr>
                <w:rFonts w:ascii="Times New Roman" w:hAnsi="Times New Roman"/>
                <w:sz w:val="24"/>
                <w:szCs w:val="24"/>
              </w:rPr>
              <w:t>or placebo</w:t>
            </w:r>
            <w:r w:rsidR="00846EF4" w:rsidRPr="000146CC">
              <w:rPr>
                <w:rFonts w:ascii="Times New Roman" w:hAnsi="Times New Roman"/>
                <w:sz w:val="24"/>
                <w:szCs w:val="24"/>
              </w:rPr>
              <w:t xml:space="preserve"> (n=151) via</w:t>
            </w:r>
            <w:r w:rsidR="00661993" w:rsidRPr="000146CC">
              <w:rPr>
                <w:rFonts w:ascii="Times New Roman" w:hAnsi="Times New Roman"/>
                <w:sz w:val="24"/>
                <w:szCs w:val="24"/>
              </w:rPr>
              <w:t xml:space="preserve"> 2:1</w:t>
            </w:r>
            <w:r w:rsidR="00846EF4" w:rsidRPr="000146CC">
              <w:rPr>
                <w:rFonts w:ascii="Times New Roman" w:hAnsi="Times New Roman"/>
                <w:sz w:val="24"/>
                <w:szCs w:val="24"/>
              </w:rPr>
              <w:t xml:space="preserve"> randomization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30A8F295" w14:textId="6AAFE693" w:rsidR="00D93E8E" w:rsidRPr="000146CC" w:rsidRDefault="00D93E8E" w:rsidP="00CE33A0">
            <w:pPr>
              <w:pStyle w:val="BayerBodyTextFull"/>
              <w:keepNext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4"/>
              </w:rPr>
            </w:pPr>
            <w:r w:rsidRPr="000146CC">
              <w:rPr>
                <w:rFonts w:eastAsiaTheme="minorEastAsia"/>
                <w:szCs w:val="24"/>
              </w:rPr>
              <w:t>Rituximab:</w:t>
            </w:r>
            <w:r w:rsidR="00CE33A0" w:rsidRPr="000146CC">
              <w:rPr>
                <w:rFonts w:eastAsiaTheme="minorEastAsia"/>
                <w:szCs w:val="24"/>
              </w:rPr>
              <w:t xml:space="preserve"> </w:t>
            </w:r>
            <w:r w:rsidRPr="000146CC">
              <w:rPr>
                <w:rFonts w:eastAsiaTheme="minorEastAsia"/>
                <w:szCs w:val="24"/>
              </w:rPr>
              <w:t>375</w:t>
            </w:r>
            <w:r w:rsidR="00410A41" w:rsidRPr="000146CC">
              <w:rPr>
                <w:rFonts w:eastAsiaTheme="minorEastAsia"/>
                <w:szCs w:val="24"/>
              </w:rPr>
              <w:t> </w:t>
            </w:r>
            <w:r w:rsidRPr="000146CC">
              <w:rPr>
                <w:rFonts w:eastAsiaTheme="minorEastAsia"/>
                <w:szCs w:val="24"/>
              </w:rPr>
              <w:t>mg/m</w:t>
            </w:r>
            <w:r w:rsidRPr="000146CC">
              <w:rPr>
                <w:rFonts w:eastAsiaTheme="minorEastAsia"/>
                <w:szCs w:val="24"/>
                <w:vertAlign w:val="superscript"/>
              </w:rPr>
              <w:t>2</w:t>
            </w:r>
            <w:r w:rsidRPr="000146CC">
              <w:rPr>
                <w:rFonts w:eastAsiaTheme="minorEastAsia"/>
                <w:szCs w:val="24"/>
              </w:rPr>
              <w:t xml:space="preserve"> given as an infusion </w:t>
            </w:r>
            <w:r w:rsidR="00410A41" w:rsidRPr="000146CC">
              <w:rPr>
                <w:rFonts w:eastAsiaTheme="minorEastAsia"/>
                <w:szCs w:val="24"/>
              </w:rPr>
              <w:t>for</w:t>
            </w:r>
            <w:r w:rsidRPr="000146CC">
              <w:rPr>
                <w:rFonts w:eastAsiaTheme="minorEastAsia"/>
                <w:szCs w:val="24"/>
              </w:rPr>
              <w:t xml:space="preserve"> a</w:t>
            </w:r>
            <w:r w:rsidR="00410A41" w:rsidRPr="000146CC">
              <w:rPr>
                <w:rFonts w:eastAsiaTheme="minorEastAsia"/>
                <w:szCs w:val="24"/>
              </w:rPr>
              <w:t> </w:t>
            </w:r>
            <w:r w:rsidRPr="000146CC">
              <w:rPr>
                <w:rFonts w:eastAsiaTheme="minorEastAsia"/>
                <w:szCs w:val="24"/>
              </w:rPr>
              <w:t>duration influenced by precautions described in the drug label. Infusions were given on days</w:t>
            </w:r>
            <w:r w:rsidR="00CC7CDF" w:rsidRPr="000146CC">
              <w:rPr>
                <w:rFonts w:eastAsiaTheme="minorEastAsia"/>
                <w:szCs w:val="24"/>
              </w:rPr>
              <w:t> </w:t>
            </w:r>
            <w:r w:rsidRPr="000146CC">
              <w:rPr>
                <w:rFonts w:eastAsiaTheme="minorEastAsia"/>
                <w:szCs w:val="24"/>
              </w:rPr>
              <w:t xml:space="preserve">1, 8, 15, and 22 </w:t>
            </w:r>
            <w:r w:rsidR="00410A41" w:rsidRPr="000146CC">
              <w:rPr>
                <w:rFonts w:eastAsiaTheme="minorEastAsia"/>
                <w:szCs w:val="24"/>
              </w:rPr>
              <w:t xml:space="preserve">of cycle 1 </w:t>
            </w:r>
            <w:r w:rsidRPr="000146CC">
              <w:rPr>
                <w:rFonts w:eastAsiaTheme="minorEastAsia"/>
                <w:szCs w:val="24"/>
              </w:rPr>
              <w:t>and on day 1 of cycles 3, 5, 7, and 9</w:t>
            </w:r>
          </w:p>
        </w:tc>
        <w:tc>
          <w:tcPr>
            <w:tcW w:w="1550" w:type="pct"/>
          </w:tcPr>
          <w:p w14:paraId="5C6F0190" w14:textId="4864912B" w:rsidR="00D93E8E" w:rsidRPr="000146CC" w:rsidRDefault="00D93E8E" w:rsidP="008549D5">
            <w:pPr>
              <w:pStyle w:val="BayerBodyTextFull"/>
              <w:keepNext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/>
                <w:szCs w:val="24"/>
              </w:rPr>
            </w:pPr>
            <w:r w:rsidRPr="000146CC">
              <w:rPr>
                <w:rFonts w:eastAsiaTheme="minorEastAsia"/>
                <w:szCs w:val="24"/>
              </w:rPr>
              <w:t xml:space="preserve">Cycle 1, </w:t>
            </w:r>
            <w:r w:rsidR="00FD63E1" w:rsidRPr="000146CC">
              <w:rPr>
                <w:rFonts w:eastAsiaTheme="minorEastAsia"/>
                <w:szCs w:val="24"/>
              </w:rPr>
              <w:t>d</w:t>
            </w:r>
            <w:r w:rsidRPr="000146CC">
              <w:rPr>
                <w:rFonts w:eastAsiaTheme="minorEastAsia"/>
                <w:szCs w:val="24"/>
              </w:rPr>
              <w:t xml:space="preserve">ay 8: 0 </w:t>
            </w:r>
            <w:r w:rsidR="009B3B00" w:rsidRPr="000146CC">
              <w:rPr>
                <w:rFonts w:eastAsiaTheme="minorEastAsia"/>
                <w:szCs w:val="24"/>
              </w:rPr>
              <w:t xml:space="preserve">hours </w:t>
            </w:r>
            <w:r w:rsidRPr="000146CC">
              <w:rPr>
                <w:rFonts w:eastAsiaTheme="minorEastAsia"/>
                <w:szCs w:val="24"/>
              </w:rPr>
              <w:t>(</w:t>
            </w:r>
            <w:r w:rsidR="00553972" w:rsidRPr="000146CC">
              <w:rPr>
                <w:rFonts w:eastAsiaTheme="minorEastAsia"/>
                <w:szCs w:val="24"/>
              </w:rPr>
              <w:t>before dosing</w:t>
            </w:r>
            <w:r w:rsidRPr="000146CC">
              <w:rPr>
                <w:rFonts w:eastAsiaTheme="minorEastAsia"/>
                <w:szCs w:val="24"/>
              </w:rPr>
              <w:t>), 0.25, 0.92</w:t>
            </w:r>
            <w:r w:rsidR="009B3B00" w:rsidRPr="000146CC">
              <w:rPr>
                <w:rFonts w:eastAsiaTheme="minorEastAsia"/>
                <w:szCs w:val="24"/>
              </w:rPr>
              <w:t xml:space="preserve"> hours after dosing</w:t>
            </w:r>
          </w:p>
          <w:p w14:paraId="5B8AC948" w14:textId="5F98C1E2" w:rsidR="00D93E8E" w:rsidRPr="000146CC" w:rsidRDefault="00D93E8E" w:rsidP="004D73DD">
            <w:pPr>
              <w:pStyle w:val="BayerBodyTextFull"/>
              <w:keepNext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/>
                <w:szCs w:val="24"/>
              </w:rPr>
            </w:pPr>
            <w:r w:rsidRPr="000146CC">
              <w:rPr>
                <w:rFonts w:eastAsiaTheme="minorEastAsia"/>
                <w:szCs w:val="24"/>
              </w:rPr>
              <w:t xml:space="preserve">Cycle 1, </w:t>
            </w:r>
            <w:r w:rsidR="00FD63E1" w:rsidRPr="000146CC">
              <w:rPr>
                <w:rFonts w:eastAsiaTheme="minorEastAsia"/>
                <w:szCs w:val="24"/>
              </w:rPr>
              <w:t>d</w:t>
            </w:r>
            <w:r w:rsidRPr="000146CC">
              <w:rPr>
                <w:rFonts w:eastAsiaTheme="minorEastAsia"/>
                <w:szCs w:val="24"/>
              </w:rPr>
              <w:t xml:space="preserve">ay 15: 0 </w:t>
            </w:r>
            <w:r w:rsidR="00410A41" w:rsidRPr="000146CC">
              <w:rPr>
                <w:rFonts w:eastAsiaTheme="minorEastAsia"/>
                <w:szCs w:val="24"/>
              </w:rPr>
              <w:t xml:space="preserve">hours </w:t>
            </w:r>
            <w:r w:rsidRPr="000146CC">
              <w:rPr>
                <w:rFonts w:eastAsiaTheme="minorEastAsia"/>
                <w:szCs w:val="24"/>
              </w:rPr>
              <w:t>(</w:t>
            </w:r>
            <w:r w:rsidR="00553972" w:rsidRPr="000146CC">
              <w:rPr>
                <w:rFonts w:eastAsiaTheme="minorEastAsia"/>
                <w:szCs w:val="24"/>
              </w:rPr>
              <w:t>before dosing</w:t>
            </w:r>
            <w:r w:rsidRPr="000146CC">
              <w:rPr>
                <w:rFonts w:eastAsiaTheme="minorEastAsia"/>
                <w:szCs w:val="24"/>
              </w:rPr>
              <w:t>), 5</w:t>
            </w:r>
            <w:r w:rsidR="00FD63E1" w:rsidRPr="000146CC">
              <w:rPr>
                <w:rFonts w:eastAsiaTheme="minorEastAsia"/>
                <w:szCs w:val="24"/>
              </w:rPr>
              <w:t> </w:t>
            </w:r>
            <w:r w:rsidRPr="000146CC">
              <w:rPr>
                <w:rFonts w:eastAsiaTheme="minorEastAsia"/>
                <w:szCs w:val="24"/>
              </w:rPr>
              <w:t>min</w:t>
            </w:r>
            <w:r w:rsidR="00FD63E1" w:rsidRPr="000146CC">
              <w:rPr>
                <w:rFonts w:eastAsiaTheme="minorEastAsia"/>
                <w:szCs w:val="24"/>
              </w:rPr>
              <w:t>utes</w:t>
            </w:r>
            <w:r w:rsidRPr="000146CC">
              <w:rPr>
                <w:rFonts w:eastAsiaTheme="minorEastAsia"/>
                <w:szCs w:val="24"/>
              </w:rPr>
              <w:t xml:space="preserve"> before end of rituximab infusion</w:t>
            </w:r>
          </w:p>
        </w:tc>
        <w:tc>
          <w:tcPr>
            <w:tcW w:w="633" w:type="pct"/>
          </w:tcPr>
          <w:p w14:paraId="7658C6D0" w14:textId="77777777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289</w:t>
            </w:r>
          </w:p>
        </w:tc>
      </w:tr>
      <w:tr w:rsidR="000146CC" w:rsidRPr="000146CC" w14:paraId="2C787855" w14:textId="77777777" w:rsidTr="00FD63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7" w:type="pct"/>
          </w:tcPr>
          <w:p w14:paraId="38EF2093" w14:textId="27642537" w:rsidR="00D93E8E" w:rsidRPr="000146CC" w:rsidRDefault="00D93E8E" w:rsidP="008549D5">
            <w:pPr>
              <w:keepNext w:val="0"/>
              <w:spacing w:before="120" w:after="120"/>
              <w:rPr>
                <w:rFonts w:ascii="Times New Roman" w:hAnsi="Times New Roman"/>
                <w:sz w:val="24"/>
                <w:szCs w:val="24"/>
              </w:rPr>
            </w:pPr>
            <w:r w:rsidRPr="000146CC">
              <w:rPr>
                <w:rFonts w:ascii="Times New Roman" w:hAnsi="Times New Roman"/>
                <w:sz w:val="24"/>
                <w:szCs w:val="24"/>
              </w:rPr>
              <w:t xml:space="preserve">Study 17792: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Phase </w:t>
            </w:r>
            <w:proofErr w:type="spellStart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Ib</w:t>
            </w:r>
            <w:proofErr w:type="spellEnd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study in Japanese patients with </w:t>
            </w:r>
            <w:proofErr w:type="spellStart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iNHL</w:t>
            </w:r>
            <w:proofErr w:type="spellEnd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relapsed after or refractory to standard therapy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 xml:space="preserve"> (NCT02342665)</w:t>
            </w:r>
            <w:r w:rsidR="00125FCB" w:rsidRPr="000146CC">
              <w:rPr>
                <w:rFonts w:ascii="Times New Roman" w:hAnsi="Times New Roman"/>
                <w:noProof/>
                <w:sz w:val="24"/>
                <w:szCs w:val="24"/>
                <w:vertAlign w:val="superscript"/>
              </w:rPr>
              <w:t>9</w:t>
            </w:r>
          </w:p>
        </w:tc>
        <w:tc>
          <w:tcPr>
            <w:tcW w:w="1370" w:type="pct"/>
          </w:tcPr>
          <w:p w14:paraId="48C17148" w14:textId="3FA02923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Copanlisib</w:t>
            </w:r>
            <w:proofErr w:type="spellEnd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45 or 60</w:t>
            </w:r>
            <w:r w:rsidR="00410A41" w:rsidRPr="000146CC">
              <w:rPr>
                <w:rFonts w:ascii="Times New Roman" w:eastAsiaTheme="minorEastAsia" w:hAnsi="Times New Roman"/>
                <w:sz w:val="24"/>
                <w:szCs w:val="24"/>
              </w:rPr>
              <w:t> 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mg </w:t>
            </w:r>
            <w:r w:rsidR="00FD63E1" w:rsidRPr="000146CC">
              <w:rPr>
                <w:rFonts w:ascii="Times New Roman" w:eastAsiaTheme="minorEastAsia" w:hAnsi="Times New Roman"/>
                <w:sz w:val="24"/>
                <w:szCs w:val="24"/>
              </w:rPr>
              <w:br/>
            </w:r>
            <w:r w:rsidRPr="000146CC">
              <w:rPr>
                <w:rFonts w:ascii="Times New Roman" w:hAnsi="Times New Roman"/>
                <w:sz w:val="24"/>
                <w:szCs w:val="24"/>
              </w:rPr>
              <w:t>(3 weeks on/1 week off)</w:t>
            </w:r>
          </w:p>
        </w:tc>
        <w:tc>
          <w:tcPr>
            <w:tcW w:w="1550" w:type="pct"/>
          </w:tcPr>
          <w:p w14:paraId="4023B4BE" w14:textId="16955C25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Cycle 1, </w:t>
            </w:r>
            <w:r w:rsidR="00FD63E1" w:rsidRPr="000146CC">
              <w:rPr>
                <w:rFonts w:ascii="Times New Roman" w:eastAsiaTheme="minorEastAsia" w:hAnsi="Times New Roman"/>
                <w:sz w:val="24"/>
                <w:szCs w:val="24"/>
              </w:rPr>
              <w:t>d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ay 1: 0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hours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(</w:t>
            </w:r>
            <w:r w:rsidR="00553972" w:rsidRPr="000146CC">
              <w:rPr>
                <w:rFonts w:ascii="Times New Roman" w:eastAsiaTheme="minorEastAsia" w:hAnsi="Times New Roman"/>
                <w:sz w:val="24"/>
                <w:szCs w:val="24"/>
              </w:rPr>
              <w:t>before dosing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), 0.083, 1, 1.5, 2.5, 5, 8, 24, 48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hours after dosing</w:t>
            </w:r>
          </w:p>
          <w:p w14:paraId="34D9B1D8" w14:textId="4CD66CC8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Cycle 1, </w:t>
            </w:r>
            <w:r w:rsidR="00FD63E1" w:rsidRPr="000146CC">
              <w:rPr>
                <w:rFonts w:ascii="Times New Roman" w:eastAsiaTheme="minorEastAsia" w:hAnsi="Times New Roman"/>
                <w:sz w:val="24"/>
                <w:szCs w:val="24"/>
              </w:rPr>
              <w:t>d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ay 8: 0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hours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(</w:t>
            </w:r>
            <w:r w:rsidR="00553972" w:rsidRPr="000146CC">
              <w:rPr>
                <w:rFonts w:ascii="Times New Roman" w:eastAsiaTheme="minorEastAsia" w:hAnsi="Times New Roman"/>
                <w:sz w:val="24"/>
                <w:szCs w:val="24"/>
              </w:rPr>
              <w:t>before dosing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)</w:t>
            </w:r>
          </w:p>
          <w:p w14:paraId="1E8876A0" w14:textId="0A1679A4" w:rsidR="00D93E8E" w:rsidRPr="000146CC" w:rsidRDefault="00D93E8E" w:rsidP="008549D5">
            <w:pPr>
              <w:pStyle w:val="BayerBodyTextFull"/>
              <w:keepNext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EastAsia"/>
                <w:szCs w:val="24"/>
              </w:rPr>
            </w:pPr>
            <w:r w:rsidRPr="000146CC">
              <w:rPr>
                <w:rFonts w:eastAsiaTheme="minorEastAsia"/>
                <w:szCs w:val="24"/>
              </w:rPr>
              <w:t xml:space="preserve">Cycle 1, </w:t>
            </w:r>
            <w:r w:rsidR="00FD63E1" w:rsidRPr="000146CC">
              <w:rPr>
                <w:rFonts w:eastAsiaTheme="minorEastAsia"/>
                <w:szCs w:val="24"/>
              </w:rPr>
              <w:t>d</w:t>
            </w:r>
            <w:r w:rsidRPr="000146CC">
              <w:rPr>
                <w:rFonts w:eastAsiaTheme="minorEastAsia"/>
                <w:szCs w:val="24"/>
              </w:rPr>
              <w:t>ay 15: 0</w:t>
            </w:r>
            <w:r w:rsidR="009B3B00" w:rsidRPr="000146CC">
              <w:rPr>
                <w:rFonts w:eastAsiaTheme="minorEastAsia"/>
                <w:szCs w:val="24"/>
              </w:rPr>
              <w:t xml:space="preserve"> hours</w:t>
            </w:r>
            <w:r w:rsidRPr="000146CC">
              <w:rPr>
                <w:rFonts w:eastAsiaTheme="minorEastAsia"/>
                <w:szCs w:val="24"/>
              </w:rPr>
              <w:t xml:space="preserve"> (</w:t>
            </w:r>
            <w:r w:rsidR="00553972" w:rsidRPr="000146CC">
              <w:rPr>
                <w:rFonts w:eastAsiaTheme="minorEastAsia"/>
                <w:szCs w:val="24"/>
              </w:rPr>
              <w:t>before dosing</w:t>
            </w:r>
            <w:r w:rsidRPr="000146CC">
              <w:rPr>
                <w:rFonts w:eastAsiaTheme="minorEastAsia"/>
                <w:szCs w:val="24"/>
              </w:rPr>
              <w:t xml:space="preserve">), 0.083, 1, 1.5 </w:t>
            </w:r>
            <w:r w:rsidR="009B3B00" w:rsidRPr="000146CC">
              <w:rPr>
                <w:rFonts w:eastAsiaTheme="minorEastAsia"/>
                <w:szCs w:val="24"/>
              </w:rPr>
              <w:t>hours after dosing</w:t>
            </w:r>
          </w:p>
        </w:tc>
        <w:tc>
          <w:tcPr>
            <w:tcW w:w="633" w:type="pct"/>
          </w:tcPr>
          <w:p w14:paraId="743B92B7" w14:textId="77777777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25</w:t>
            </w:r>
          </w:p>
        </w:tc>
      </w:tr>
      <w:tr w:rsidR="000146CC" w:rsidRPr="000146CC" w14:paraId="60D37CF5" w14:textId="77777777" w:rsidTr="00FD63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7" w:type="pct"/>
            <w:tcBorders>
              <w:bottom w:val="single" w:sz="2" w:space="0" w:color="auto"/>
            </w:tcBorders>
          </w:tcPr>
          <w:p w14:paraId="24AD267A" w14:textId="1E892264" w:rsidR="00D93E8E" w:rsidRPr="000146CC" w:rsidRDefault="00D93E8E" w:rsidP="008549D5">
            <w:pPr>
              <w:keepNext w:val="0"/>
              <w:spacing w:before="120" w:after="120"/>
              <w:rPr>
                <w:rFonts w:ascii="Times New Roman" w:hAnsi="Times New Roman"/>
                <w:sz w:val="24"/>
                <w:szCs w:val="24"/>
              </w:rPr>
            </w:pPr>
            <w:r w:rsidRPr="000146CC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Study 18041: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Phase I</w:t>
            </w:r>
            <w:r w:rsidR="00410A41"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study of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</w:t>
            </w:r>
            <w:r w:rsidR="00410A41"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a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single intravenous dose of </w:t>
            </w:r>
            <w:proofErr w:type="spellStart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copanlisib</w:t>
            </w:r>
            <w:proofErr w:type="spellEnd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in patients with impaired hepatic or renal function compar</w:t>
            </w:r>
            <w:r w:rsidR="00553972"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ed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with healthy </w:t>
            </w:r>
            <w:r w:rsidR="00553972" w:rsidRPr="000146CC">
              <w:rPr>
                <w:rFonts w:ascii="Times New Roman" w:eastAsiaTheme="minorEastAsia" w:hAnsi="Times New Roman"/>
                <w:sz w:val="24"/>
                <w:szCs w:val="24"/>
              </w:rPr>
              <w:t>participants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</w:t>
            </w:r>
            <w:r w:rsidRPr="000146CC">
              <w:rPr>
                <w:rFonts w:ascii="Times New Roman" w:hAnsi="Times New Roman"/>
                <w:sz w:val="24"/>
                <w:szCs w:val="24"/>
              </w:rPr>
              <w:t>(NCT03172884)</w:t>
            </w:r>
            <w:r w:rsidR="00125FCB" w:rsidRPr="000146CC">
              <w:rPr>
                <w:rFonts w:ascii="Times New Roman" w:hAnsi="Times New Roman"/>
                <w:noProof/>
                <w:sz w:val="24"/>
                <w:szCs w:val="24"/>
                <w:vertAlign w:val="superscript"/>
              </w:rPr>
              <w:t>10</w:t>
            </w:r>
          </w:p>
        </w:tc>
        <w:tc>
          <w:tcPr>
            <w:tcW w:w="1370" w:type="pct"/>
            <w:tcBorders>
              <w:bottom w:val="single" w:sz="2" w:space="0" w:color="auto"/>
            </w:tcBorders>
          </w:tcPr>
          <w:p w14:paraId="21A9E8BE" w14:textId="64A2E2F1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Single dose of </w:t>
            </w:r>
            <w:proofErr w:type="spellStart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copanlisib</w:t>
            </w:r>
            <w:proofErr w:type="spellEnd"/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12</w:t>
            </w:r>
            <w:r w:rsidR="00410A41" w:rsidRPr="000146CC">
              <w:rPr>
                <w:rFonts w:ascii="Times New Roman" w:eastAsiaTheme="minorEastAsia" w:hAnsi="Times New Roman"/>
                <w:sz w:val="24"/>
                <w:szCs w:val="24"/>
              </w:rPr>
              <w:t> 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mg</w:t>
            </w:r>
          </w:p>
        </w:tc>
        <w:tc>
          <w:tcPr>
            <w:tcW w:w="1550" w:type="pct"/>
            <w:tcBorders>
              <w:bottom w:val="single" w:sz="2" w:space="0" w:color="auto"/>
            </w:tcBorders>
          </w:tcPr>
          <w:p w14:paraId="0E52935F" w14:textId="1E3CC7B1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Day 1: 0 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hours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(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before dosing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), 0.17, 1, 1.5, 2, 2.5, 3, 5, 8, 24, 48, 72, 96, 120, 168</w:t>
            </w:r>
            <w:r w:rsidR="00FD63E1" w:rsidRPr="000146CC">
              <w:rPr>
                <w:rFonts w:ascii="Times New Roman" w:eastAsiaTheme="minorEastAsia" w:hAnsi="Times New Roman"/>
                <w:sz w:val="24"/>
                <w:szCs w:val="24"/>
              </w:rPr>
              <w:t> </w:t>
            </w:r>
            <w:r w:rsidR="009B3B00" w:rsidRPr="000146CC">
              <w:rPr>
                <w:rFonts w:ascii="Times New Roman" w:eastAsiaTheme="minorEastAsia" w:hAnsi="Times New Roman"/>
                <w:sz w:val="24"/>
                <w:szCs w:val="24"/>
              </w:rPr>
              <w:t>hours after dosing</w:t>
            </w:r>
          </w:p>
        </w:tc>
        <w:tc>
          <w:tcPr>
            <w:tcW w:w="633" w:type="pct"/>
            <w:tcBorders>
              <w:bottom w:val="single" w:sz="2" w:space="0" w:color="auto"/>
            </w:tcBorders>
          </w:tcPr>
          <w:p w14:paraId="10EC6EE5" w14:textId="77777777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Control group: 8</w:t>
            </w:r>
          </w:p>
          <w:p w14:paraId="5966F053" w14:textId="24BB57D5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Group A: 8 (moderate hepatic impairment)</w:t>
            </w:r>
          </w:p>
          <w:p w14:paraId="5D1E95A3" w14:textId="4AFDECAC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Group B: 8 (severe</w:t>
            </w:r>
            <w:r w:rsidR="00FD63E1" w:rsidRPr="000146CC">
              <w:rPr>
                <w:rFonts w:ascii="Times New Roman" w:eastAsiaTheme="minorEastAsia" w:hAnsi="Times New Roman"/>
                <w:sz w:val="24"/>
                <w:szCs w:val="24"/>
              </w:rPr>
              <w:t xml:space="preserve"> </w:t>
            </w: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renal impairment)</w:t>
            </w:r>
          </w:p>
          <w:p w14:paraId="795F8739" w14:textId="0924C6EE" w:rsidR="00D93E8E" w:rsidRPr="000146CC" w:rsidRDefault="00D93E8E" w:rsidP="008549D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0146CC">
              <w:rPr>
                <w:rFonts w:ascii="Times New Roman" w:eastAsiaTheme="minorEastAsia" w:hAnsi="Times New Roman"/>
                <w:sz w:val="24"/>
                <w:szCs w:val="24"/>
              </w:rPr>
              <w:t>Group C: 6 (severe hepatic impairment)</w:t>
            </w:r>
          </w:p>
        </w:tc>
      </w:tr>
    </w:tbl>
    <w:p w14:paraId="14C0B16A" w14:textId="200D39A5" w:rsidR="00D93E8E" w:rsidRDefault="00553972" w:rsidP="00D16688">
      <w:pPr>
        <w:keepNext w:val="0"/>
        <w:spacing w:after="240" w:line="480" w:lineRule="auto"/>
        <w:rPr>
          <w:rFonts w:ascii="Times New Roman" w:eastAsiaTheme="minorEastAsia" w:hAnsi="Times New Roman" w:cs="Times New Roman"/>
          <w:sz w:val="24"/>
          <w:szCs w:val="24"/>
        </w:rPr>
      </w:pPr>
      <w:r w:rsidRPr="000146CC">
        <w:rPr>
          <w:rFonts w:ascii="Times New Roman" w:eastAsiaTheme="minorEastAsia" w:hAnsi="Times New Roman" w:cs="Times New Roman"/>
          <w:sz w:val="24"/>
          <w:szCs w:val="24"/>
          <w:lang w:eastAsia="de-DE"/>
        </w:rPr>
        <w:t xml:space="preserve">Abbreviations: </w:t>
      </w:r>
      <w:proofErr w:type="spellStart"/>
      <w:r w:rsidRPr="000146CC">
        <w:rPr>
          <w:rFonts w:ascii="Times New Roman" w:eastAsiaTheme="minorEastAsia" w:hAnsi="Times New Roman" w:cs="Times New Roman"/>
          <w:sz w:val="24"/>
          <w:szCs w:val="24"/>
          <w:lang w:eastAsia="de-DE"/>
        </w:rPr>
        <w:t>aNHL</w:t>
      </w:r>
      <w:proofErr w:type="spellEnd"/>
      <w:r w:rsidRPr="000146CC">
        <w:rPr>
          <w:rFonts w:ascii="Times New Roman" w:eastAsiaTheme="minorEastAsia" w:hAnsi="Times New Roman" w:cs="Times New Roman"/>
          <w:sz w:val="24"/>
          <w:szCs w:val="24"/>
          <w:lang w:eastAsia="de-DE"/>
        </w:rPr>
        <w:t xml:space="preserve">, aggressive non-Hodgkin lymphoma; </w:t>
      </w:r>
      <w:proofErr w:type="spellStart"/>
      <w:r w:rsidRPr="000146CC">
        <w:rPr>
          <w:rFonts w:ascii="Times New Roman" w:eastAsiaTheme="minorEastAsia" w:hAnsi="Times New Roman" w:cs="Times New Roman"/>
          <w:sz w:val="24"/>
          <w:szCs w:val="24"/>
          <w:lang w:eastAsia="de-DE"/>
        </w:rPr>
        <w:t>iNHL</w:t>
      </w:r>
      <w:proofErr w:type="spellEnd"/>
      <w:r w:rsidRPr="000146CC">
        <w:rPr>
          <w:rFonts w:ascii="Times New Roman" w:eastAsiaTheme="minorEastAsia" w:hAnsi="Times New Roman" w:cs="Times New Roman"/>
          <w:sz w:val="24"/>
          <w:szCs w:val="24"/>
          <w:lang w:eastAsia="de-DE"/>
        </w:rPr>
        <w:t>, indolent non-Hodgkin lymphoma; PK, pharmacokinetics.</w:t>
      </w:r>
      <w:r w:rsidR="00FA0823" w:rsidRPr="000146CC">
        <w:rPr>
          <w:rFonts w:ascii="Times New Roman" w:eastAsiaTheme="minorEastAsia" w:hAnsi="Times New Roman" w:cs="Times New Roman"/>
          <w:sz w:val="24"/>
          <w:szCs w:val="24"/>
          <w:lang w:eastAsia="de-DE"/>
        </w:rPr>
        <w:br/>
      </w:r>
      <w:proofErr w:type="spellStart"/>
      <w:r w:rsidR="00D93E8E" w:rsidRPr="000146CC">
        <w:rPr>
          <w:rFonts w:ascii="Times New Roman" w:eastAsiaTheme="minorEastAsia" w:hAnsi="Times New Roman" w:cs="Times New Roman"/>
          <w:sz w:val="24"/>
          <w:szCs w:val="24"/>
          <w:vertAlign w:val="superscript"/>
        </w:rPr>
        <w:t>a</w:t>
      </w:r>
      <w:r w:rsidR="00D93E8E" w:rsidRPr="000146CC">
        <w:rPr>
          <w:rFonts w:ascii="Times New Roman" w:eastAsiaTheme="minorEastAsia" w:hAnsi="Times New Roman" w:cs="Times New Roman"/>
          <w:sz w:val="24"/>
          <w:szCs w:val="24"/>
        </w:rPr>
        <w:t>All</w:t>
      </w:r>
      <w:proofErr w:type="spellEnd"/>
      <w:r w:rsidR="00D93E8E" w:rsidRPr="000146CC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spellStart"/>
      <w:r w:rsidR="00D93E8E" w:rsidRPr="000146CC">
        <w:rPr>
          <w:rFonts w:ascii="Times New Roman" w:eastAsiaTheme="minorEastAsia" w:hAnsi="Times New Roman" w:cs="Times New Roman"/>
          <w:sz w:val="24"/>
          <w:szCs w:val="24"/>
        </w:rPr>
        <w:t>copanlisib</w:t>
      </w:r>
      <w:proofErr w:type="spellEnd"/>
      <w:r w:rsidR="00D93E8E" w:rsidRPr="000146CC">
        <w:rPr>
          <w:rFonts w:ascii="Times New Roman" w:eastAsiaTheme="minorEastAsia" w:hAnsi="Times New Roman" w:cs="Times New Roman"/>
          <w:sz w:val="24"/>
          <w:szCs w:val="24"/>
        </w:rPr>
        <w:t xml:space="preserve"> dose administrations were 1-hour intravenous infusion</w:t>
      </w:r>
      <w:r w:rsidRPr="000146CC">
        <w:rPr>
          <w:rFonts w:ascii="Times New Roman" w:eastAsiaTheme="minorEastAsia" w:hAnsi="Times New Roman" w:cs="Times New Roman"/>
          <w:sz w:val="24"/>
          <w:szCs w:val="24"/>
        </w:rPr>
        <w:t>s</w:t>
      </w:r>
      <w:r w:rsidR="00D93E8E" w:rsidRPr="000146CC">
        <w:rPr>
          <w:rFonts w:ascii="Times New Roman" w:eastAsiaTheme="minorEastAsia" w:hAnsi="Times New Roman" w:cs="Times New Roman"/>
          <w:sz w:val="24"/>
          <w:szCs w:val="24"/>
        </w:rPr>
        <w:t>.</w:t>
      </w:r>
      <w:r w:rsidR="00FA0823" w:rsidRPr="000146CC">
        <w:rPr>
          <w:rFonts w:ascii="Times New Roman" w:eastAsiaTheme="minorEastAsia" w:hAnsi="Times New Roman" w:cs="Times New Roman"/>
          <w:sz w:val="24"/>
          <w:szCs w:val="24"/>
        </w:rPr>
        <w:br/>
      </w:r>
      <w:proofErr w:type="spellStart"/>
      <w:r w:rsidR="00D93E8E" w:rsidRPr="000146CC">
        <w:rPr>
          <w:rFonts w:ascii="Times New Roman" w:eastAsiaTheme="minorEastAsia" w:hAnsi="Times New Roman" w:cs="Times New Roman"/>
          <w:sz w:val="24"/>
          <w:szCs w:val="24"/>
          <w:vertAlign w:val="superscript"/>
        </w:rPr>
        <w:t>b</w:t>
      </w:r>
      <w:r w:rsidR="00D93E8E" w:rsidRPr="000146CC">
        <w:rPr>
          <w:rFonts w:ascii="Times New Roman" w:eastAsiaTheme="minorEastAsia" w:hAnsi="Times New Roman" w:cs="Times New Roman"/>
          <w:sz w:val="24"/>
          <w:szCs w:val="24"/>
        </w:rPr>
        <w:t>Number</w:t>
      </w:r>
      <w:proofErr w:type="spellEnd"/>
      <w:r w:rsidR="00D93E8E" w:rsidRPr="000146CC">
        <w:rPr>
          <w:rFonts w:ascii="Times New Roman" w:eastAsiaTheme="minorEastAsia" w:hAnsi="Times New Roman" w:cs="Times New Roman"/>
          <w:sz w:val="24"/>
          <w:szCs w:val="24"/>
        </w:rPr>
        <w:t xml:space="preserve"> of patients with valid </w:t>
      </w:r>
      <w:proofErr w:type="spellStart"/>
      <w:r w:rsidR="00D93E8E" w:rsidRPr="000146CC">
        <w:rPr>
          <w:rFonts w:ascii="Times New Roman" w:eastAsiaTheme="minorEastAsia" w:hAnsi="Times New Roman" w:cs="Times New Roman"/>
          <w:sz w:val="24"/>
          <w:szCs w:val="24"/>
        </w:rPr>
        <w:t>copanlisib</w:t>
      </w:r>
      <w:proofErr w:type="spellEnd"/>
      <w:r w:rsidR="00D93E8E" w:rsidRPr="000146CC">
        <w:rPr>
          <w:rFonts w:ascii="Times New Roman" w:eastAsiaTheme="minorEastAsia" w:hAnsi="Times New Roman" w:cs="Times New Roman"/>
          <w:sz w:val="24"/>
          <w:szCs w:val="24"/>
        </w:rPr>
        <w:t xml:space="preserve"> PK observations.</w:t>
      </w:r>
    </w:p>
    <w:p w14:paraId="2C050C68" w14:textId="77777777" w:rsidR="00A969AC" w:rsidRPr="000146CC" w:rsidRDefault="00A969AC" w:rsidP="00D16688">
      <w:pPr>
        <w:keepNext w:val="0"/>
        <w:spacing w:after="240" w:line="480" w:lineRule="auto"/>
        <w:rPr>
          <w:rFonts w:ascii="Times New Roman" w:eastAsiaTheme="minorEastAsia" w:hAnsi="Times New Roman" w:cs="Times New Roman"/>
          <w:sz w:val="24"/>
          <w:szCs w:val="24"/>
          <w:lang w:eastAsia="de-DE"/>
        </w:rPr>
      </w:pPr>
    </w:p>
    <w:p w14:paraId="6C1D23A8" w14:textId="77777777" w:rsidR="00FD63E1" w:rsidRPr="000146CC" w:rsidRDefault="00FD63E1" w:rsidP="005B30D1">
      <w:pPr>
        <w:keepNext w:val="0"/>
        <w:spacing w:after="240" w:line="480" w:lineRule="auto"/>
        <w:rPr>
          <w:rFonts w:ascii="Times New Roman" w:eastAsiaTheme="minorEastAsia" w:hAnsi="Times New Roman" w:cs="Times New Roman"/>
          <w:b/>
          <w:bCs/>
          <w:sz w:val="24"/>
          <w:szCs w:val="24"/>
          <w:lang w:eastAsia="de-DE"/>
        </w:rPr>
        <w:sectPr w:rsidR="00FD63E1" w:rsidRPr="000146CC" w:rsidSect="005B30D1">
          <w:headerReference w:type="default" r:id="rId11"/>
          <w:footerReference w:type="default" r:id="rId12"/>
          <w:pgSz w:w="16838" w:h="11906" w:orient="landscape" w:code="9"/>
          <w:pgMar w:top="1440" w:right="1440" w:bottom="1440" w:left="1440" w:header="708" w:footer="708" w:gutter="0"/>
          <w:cols w:space="708"/>
          <w:docGrid w:linePitch="360"/>
        </w:sectPr>
      </w:pPr>
    </w:p>
    <w:p w14:paraId="440FC314" w14:textId="5997824D" w:rsidR="005B30D1" w:rsidRPr="000146CC" w:rsidRDefault="001278FF" w:rsidP="005B30D1">
      <w:pPr>
        <w:keepNext w:val="0"/>
        <w:spacing w:after="240" w:line="480" w:lineRule="auto"/>
        <w:rPr>
          <w:rFonts w:ascii="Times New Roman" w:eastAsiaTheme="minorEastAsia" w:hAnsi="Times New Roman" w:cs="Times New Roman"/>
          <w:b/>
          <w:bCs/>
          <w:sz w:val="24"/>
          <w:szCs w:val="24"/>
          <w:lang w:eastAsia="de-DE"/>
        </w:rPr>
      </w:pPr>
      <w:r w:rsidRPr="000146CC">
        <w:rPr>
          <w:rFonts w:ascii="Times New Roman" w:eastAsiaTheme="minorEastAsia" w:hAnsi="Times New Roman" w:cs="Times New Roman"/>
          <w:b/>
          <w:bCs/>
          <w:sz w:val="24"/>
          <w:szCs w:val="24"/>
          <w:lang w:eastAsia="de-DE"/>
        </w:rPr>
        <w:lastRenderedPageBreak/>
        <w:t>REFERENCES</w:t>
      </w:r>
    </w:p>
    <w:p w14:paraId="553404E0" w14:textId="20C3B5B4" w:rsidR="00410A41" w:rsidRPr="000146CC" w:rsidRDefault="00410A41" w:rsidP="00410A41">
      <w:pPr>
        <w:pStyle w:val="EndNoteBibliography"/>
        <w:keepNext w:val="0"/>
        <w:spacing w:after="240" w:line="240" w:lineRule="auto"/>
        <w:ind w:left="720" w:hanging="720"/>
      </w:pPr>
      <w:r w:rsidRPr="000146CC">
        <w:t>1.</w:t>
      </w:r>
      <w:r w:rsidRPr="000146CC">
        <w:tab/>
        <w:t>Patnaik, A.</w:t>
      </w:r>
      <w:r w:rsidRPr="000146CC">
        <w:rPr>
          <w:i/>
        </w:rPr>
        <w:t xml:space="preserve"> et al.</w:t>
      </w:r>
      <w:r w:rsidRPr="000146CC">
        <w:t xml:space="preserve"> First-in-human phase I study of copanlisib (BAY 80-6946), an intravenous pan-class I phosphatidylinositol 3-kinase inhibitor, in patients with advanced solid tumors and non-Hodgkin's lymphomas. </w:t>
      </w:r>
      <w:r w:rsidRPr="000146CC">
        <w:rPr>
          <w:i/>
        </w:rPr>
        <w:t xml:space="preserve">Ann. Oncol. </w:t>
      </w:r>
      <w:r w:rsidRPr="000146CC">
        <w:t>27, 1928–1940 (2016).</w:t>
      </w:r>
    </w:p>
    <w:p w14:paraId="399F3B72" w14:textId="65721018" w:rsidR="00410A41" w:rsidRPr="000146CC" w:rsidRDefault="00410A41" w:rsidP="00410A41">
      <w:pPr>
        <w:pStyle w:val="EndNoteBibliography"/>
        <w:keepNext w:val="0"/>
        <w:spacing w:after="240" w:line="240" w:lineRule="auto"/>
        <w:ind w:left="720" w:hanging="720"/>
      </w:pPr>
      <w:r w:rsidRPr="000146CC">
        <w:t>2.</w:t>
      </w:r>
      <w:r w:rsidRPr="000146CC">
        <w:tab/>
        <w:t>Doi, T.</w:t>
      </w:r>
      <w:r w:rsidRPr="000146CC">
        <w:rPr>
          <w:i/>
        </w:rPr>
        <w:t xml:space="preserve"> et al.</w:t>
      </w:r>
      <w:r w:rsidRPr="000146CC">
        <w:t xml:space="preserve"> A Phase I study of intravenous PI3K inhibitor copanlisib in Japanese patients with advanced or refractory solid tumors. </w:t>
      </w:r>
      <w:r w:rsidRPr="000146CC">
        <w:rPr>
          <w:i/>
        </w:rPr>
        <w:t xml:space="preserve">Cancer Chemother. Pharmacol. </w:t>
      </w:r>
      <w:r w:rsidRPr="000146CC">
        <w:t>79, 89–98 (2017).</w:t>
      </w:r>
    </w:p>
    <w:p w14:paraId="4DA12CBA" w14:textId="354F1E92" w:rsidR="00410A41" w:rsidRPr="000146CC" w:rsidRDefault="00410A41" w:rsidP="00410A41">
      <w:pPr>
        <w:pStyle w:val="EndNoteBibliography"/>
        <w:keepNext w:val="0"/>
        <w:spacing w:after="240" w:line="240" w:lineRule="auto"/>
        <w:ind w:left="720" w:hanging="720"/>
      </w:pPr>
      <w:r w:rsidRPr="000146CC">
        <w:t>3.</w:t>
      </w:r>
      <w:r w:rsidRPr="000146CC">
        <w:tab/>
        <w:t>Schlender, J.F.</w:t>
      </w:r>
      <w:r w:rsidRPr="000146CC">
        <w:rPr>
          <w:i/>
        </w:rPr>
        <w:t xml:space="preserve"> et al.</w:t>
      </w:r>
      <w:r w:rsidRPr="000146CC">
        <w:t xml:space="preserve"> Physiologically-based pharmacokinetic and clinical study to assess effects of CYP3A induction and inhibition on copanlisib PK in cancer patients. </w:t>
      </w:r>
      <w:r w:rsidRPr="000146CC">
        <w:rPr>
          <w:i/>
        </w:rPr>
        <w:t xml:space="preserve">Clin. Pharmacol. Ther. </w:t>
      </w:r>
      <w:r w:rsidRPr="000146CC">
        <w:t>105 (Suppl 1), S5–S121 (2019).</w:t>
      </w:r>
    </w:p>
    <w:p w14:paraId="6E32E567" w14:textId="36707020" w:rsidR="00410A41" w:rsidRPr="000146CC" w:rsidRDefault="00410A41" w:rsidP="00410A41">
      <w:pPr>
        <w:pStyle w:val="EndNoteBibliography"/>
        <w:keepNext w:val="0"/>
        <w:spacing w:after="240" w:line="240" w:lineRule="auto"/>
        <w:ind w:left="720" w:hanging="720"/>
      </w:pPr>
      <w:r w:rsidRPr="000146CC">
        <w:t>4.</w:t>
      </w:r>
      <w:r w:rsidRPr="000146CC">
        <w:tab/>
        <w:t>Dreyling, M.</w:t>
      </w:r>
      <w:r w:rsidRPr="000146CC">
        <w:rPr>
          <w:i/>
        </w:rPr>
        <w:t xml:space="preserve"> et al.</w:t>
      </w:r>
      <w:r w:rsidRPr="000146CC">
        <w:t xml:space="preserve"> Phase II study of copanlisib, a PI3K inhibitor, in relapsed or refractory, indolent or aggressive lymphoma. </w:t>
      </w:r>
      <w:r w:rsidRPr="000146CC">
        <w:rPr>
          <w:i/>
        </w:rPr>
        <w:t xml:space="preserve">Ann. Oncol. </w:t>
      </w:r>
      <w:r w:rsidRPr="000146CC">
        <w:t>28, 2169–2178 (2017).</w:t>
      </w:r>
    </w:p>
    <w:p w14:paraId="20D46744" w14:textId="2D38E716" w:rsidR="00410A41" w:rsidRPr="000146CC" w:rsidRDefault="00410A41" w:rsidP="00410A41">
      <w:pPr>
        <w:pStyle w:val="EndNoteBibliography"/>
        <w:keepNext w:val="0"/>
        <w:spacing w:after="240" w:line="240" w:lineRule="auto"/>
        <w:ind w:left="720" w:hanging="720"/>
      </w:pPr>
      <w:r w:rsidRPr="000146CC">
        <w:t>5.</w:t>
      </w:r>
      <w:r w:rsidRPr="000146CC">
        <w:tab/>
        <w:t>Dreyling, M.</w:t>
      </w:r>
      <w:r w:rsidRPr="000146CC">
        <w:rPr>
          <w:i/>
        </w:rPr>
        <w:t xml:space="preserve"> et al.</w:t>
      </w:r>
      <w:r w:rsidRPr="000146CC">
        <w:t xml:space="preserve"> Phosphatidylinositol 3-kinase inhibition by copanlisib in relapsed or refractory indolent lymphoma. </w:t>
      </w:r>
      <w:r w:rsidRPr="000146CC">
        <w:rPr>
          <w:i/>
        </w:rPr>
        <w:t>J</w:t>
      </w:r>
      <w:r w:rsidR="0089150D" w:rsidRPr="000146CC">
        <w:rPr>
          <w:i/>
        </w:rPr>
        <w:t>.</w:t>
      </w:r>
      <w:r w:rsidRPr="000146CC">
        <w:rPr>
          <w:i/>
        </w:rPr>
        <w:t xml:space="preserve"> Clin</w:t>
      </w:r>
      <w:r w:rsidR="0089150D" w:rsidRPr="000146CC">
        <w:rPr>
          <w:i/>
        </w:rPr>
        <w:t>.</w:t>
      </w:r>
      <w:r w:rsidRPr="000146CC">
        <w:rPr>
          <w:i/>
        </w:rPr>
        <w:t xml:space="preserve"> Oncol</w:t>
      </w:r>
      <w:r w:rsidR="0089150D" w:rsidRPr="000146CC">
        <w:rPr>
          <w:i/>
        </w:rPr>
        <w:t>.</w:t>
      </w:r>
      <w:r w:rsidRPr="000146CC">
        <w:rPr>
          <w:i/>
        </w:rPr>
        <w:t xml:space="preserve"> </w:t>
      </w:r>
      <w:r w:rsidRPr="000146CC">
        <w:t>35, 3898–3905 (2017).</w:t>
      </w:r>
    </w:p>
    <w:p w14:paraId="1A8C1A1E" w14:textId="302B6ACC" w:rsidR="00410A41" w:rsidRPr="000146CC" w:rsidRDefault="00410A41" w:rsidP="00410A41">
      <w:pPr>
        <w:pStyle w:val="EndNoteBibliography"/>
        <w:keepNext w:val="0"/>
        <w:spacing w:after="240" w:line="240" w:lineRule="auto"/>
        <w:ind w:left="720" w:hanging="720"/>
      </w:pPr>
      <w:r w:rsidRPr="000146CC">
        <w:t>6.</w:t>
      </w:r>
      <w:r w:rsidRPr="000146CC">
        <w:tab/>
        <w:t>Morschhauser, F.</w:t>
      </w:r>
      <w:r w:rsidRPr="000146CC">
        <w:rPr>
          <w:i/>
        </w:rPr>
        <w:t xml:space="preserve"> et al.</w:t>
      </w:r>
      <w:r w:rsidRPr="000146CC">
        <w:t xml:space="preserve"> On-target pharmacodynamic activity of the PI3K inhibitor copanlisib in paired biopsies from patients with malignant lymphoma and advanced solid tumors. </w:t>
      </w:r>
      <w:r w:rsidRPr="000146CC">
        <w:rPr>
          <w:i/>
        </w:rPr>
        <w:t>Mol</w:t>
      </w:r>
      <w:r w:rsidR="0089150D" w:rsidRPr="000146CC">
        <w:rPr>
          <w:i/>
        </w:rPr>
        <w:t>.</w:t>
      </w:r>
      <w:r w:rsidRPr="000146CC">
        <w:rPr>
          <w:i/>
        </w:rPr>
        <w:t xml:space="preserve"> Cancer Ther</w:t>
      </w:r>
      <w:r w:rsidR="0089150D" w:rsidRPr="000146CC">
        <w:rPr>
          <w:i/>
        </w:rPr>
        <w:t>.</w:t>
      </w:r>
      <w:r w:rsidRPr="000146CC">
        <w:rPr>
          <w:i/>
        </w:rPr>
        <w:t xml:space="preserve"> </w:t>
      </w:r>
      <w:r w:rsidRPr="000146CC">
        <w:t>19, 468–478 (2020).</w:t>
      </w:r>
    </w:p>
    <w:p w14:paraId="22CF23C2" w14:textId="5F70E91F" w:rsidR="00410A41" w:rsidRPr="000146CC" w:rsidRDefault="00410A41" w:rsidP="00410A41">
      <w:pPr>
        <w:pStyle w:val="EndNoteBibliography"/>
        <w:keepNext w:val="0"/>
        <w:spacing w:after="240" w:line="240" w:lineRule="auto"/>
        <w:ind w:left="720" w:hanging="720"/>
      </w:pPr>
      <w:r w:rsidRPr="000146CC">
        <w:t>7.</w:t>
      </w:r>
      <w:r w:rsidRPr="000146CC">
        <w:tab/>
        <w:t>Liu, W.</w:t>
      </w:r>
      <w:r w:rsidRPr="000146CC">
        <w:rPr>
          <w:i/>
        </w:rPr>
        <w:t xml:space="preserve"> et al.</w:t>
      </w:r>
      <w:r w:rsidRPr="000146CC">
        <w:t xml:space="preserve"> A phase I pharmacokinetic study of copanlisib in Chinese patients with relapsed indolent non-Hodgkin lymphoma. </w:t>
      </w:r>
      <w:r w:rsidRPr="000146CC">
        <w:rPr>
          <w:i/>
        </w:rPr>
        <w:t>Cancer Chemother</w:t>
      </w:r>
      <w:r w:rsidR="0089150D" w:rsidRPr="000146CC">
        <w:rPr>
          <w:i/>
        </w:rPr>
        <w:t>.</w:t>
      </w:r>
      <w:r w:rsidRPr="000146CC">
        <w:rPr>
          <w:i/>
        </w:rPr>
        <w:t xml:space="preserve"> Pharmacol</w:t>
      </w:r>
      <w:r w:rsidR="0089150D" w:rsidRPr="000146CC">
        <w:rPr>
          <w:i/>
        </w:rPr>
        <w:t>.</w:t>
      </w:r>
      <w:r w:rsidRPr="000146CC">
        <w:rPr>
          <w:i/>
        </w:rPr>
        <w:t xml:space="preserve"> </w:t>
      </w:r>
      <w:r w:rsidRPr="000146CC">
        <w:t>89, 825–831 (2022).</w:t>
      </w:r>
    </w:p>
    <w:p w14:paraId="72CF2CFF" w14:textId="09AC40BA" w:rsidR="00410A41" w:rsidRPr="000146CC" w:rsidRDefault="00410A41" w:rsidP="00410A41">
      <w:pPr>
        <w:pStyle w:val="EndNoteBibliography"/>
        <w:keepNext w:val="0"/>
        <w:spacing w:after="240" w:line="240" w:lineRule="auto"/>
        <w:ind w:left="720" w:hanging="720"/>
      </w:pPr>
      <w:r w:rsidRPr="000146CC">
        <w:t>8.</w:t>
      </w:r>
      <w:r w:rsidRPr="000146CC">
        <w:tab/>
        <w:t>Matasar, M.J.</w:t>
      </w:r>
      <w:r w:rsidRPr="000146CC">
        <w:rPr>
          <w:i/>
        </w:rPr>
        <w:t xml:space="preserve"> et al.</w:t>
      </w:r>
      <w:r w:rsidRPr="000146CC">
        <w:t xml:space="preserve"> Copanlisib plus rituximab versus placebo plus rituximab in patients with relapsed indolent non-Hodgkin lymphoma (CHRONOS-3): a double-blind, randomised, placebo-controlled, phase 3 trial. </w:t>
      </w:r>
      <w:r w:rsidRPr="000146CC">
        <w:rPr>
          <w:i/>
        </w:rPr>
        <w:t>Lancet Oncol</w:t>
      </w:r>
      <w:r w:rsidR="0089150D" w:rsidRPr="000146CC">
        <w:rPr>
          <w:i/>
        </w:rPr>
        <w:t>.</w:t>
      </w:r>
      <w:r w:rsidRPr="000146CC">
        <w:rPr>
          <w:i/>
        </w:rPr>
        <w:t xml:space="preserve"> </w:t>
      </w:r>
      <w:r w:rsidRPr="000146CC">
        <w:t>22, 678–689 (2021).</w:t>
      </w:r>
    </w:p>
    <w:p w14:paraId="32304775" w14:textId="77777777" w:rsidR="00410A41" w:rsidRPr="000146CC" w:rsidRDefault="00410A41" w:rsidP="00410A41">
      <w:pPr>
        <w:pStyle w:val="EndNoteBibliography"/>
        <w:keepNext w:val="0"/>
        <w:spacing w:after="240" w:line="240" w:lineRule="auto"/>
        <w:ind w:left="720" w:hanging="720"/>
      </w:pPr>
      <w:r w:rsidRPr="000146CC">
        <w:t>9.</w:t>
      </w:r>
      <w:r w:rsidRPr="000146CC">
        <w:tab/>
        <w:t>Maruyama, D.</w:t>
      </w:r>
      <w:r w:rsidRPr="000146CC">
        <w:rPr>
          <w:i/>
        </w:rPr>
        <w:t xml:space="preserve"> et al.</w:t>
      </w:r>
      <w:r w:rsidRPr="000146CC">
        <w:t xml:space="preserve"> Phase Ib/II study of copanlisib in Japanese patients with relapsed/refractory indolent B-cell NHL. Abstract OS1-7A-3 presented at: </w:t>
      </w:r>
      <w:r w:rsidRPr="000146CC">
        <w:rPr>
          <w:i/>
        </w:rPr>
        <w:t>Japanese Society of Hematology Annual Meeting, Tokyo, Japan</w:t>
      </w:r>
      <w:r w:rsidRPr="000146CC">
        <w:t>, October 11–13 (2019).</w:t>
      </w:r>
    </w:p>
    <w:p w14:paraId="0AEE390A" w14:textId="250792AB" w:rsidR="00D13097" w:rsidRDefault="00410A41" w:rsidP="00410A41">
      <w:pPr>
        <w:pStyle w:val="EndNoteBibliography"/>
        <w:keepNext w:val="0"/>
        <w:spacing w:after="240" w:line="240" w:lineRule="auto"/>
        <w:ind w:left="720" w:hanging="720"/>
      </w:pPr>
      <w:r w:rsidRPr="000146CC">
        <w:t>10.</w:t>
      </w:r>
      <w:r w:rsidRPr="000146CC">
        <w:tab/>
        <w:t>Granvil, C.</w:t>
      </w:r>
      <w:r w:rsidRPr="000146CC">
        <w:rPr>
          <w:i/>
        </w:rPr>
        <w:t xml:space="preserve"> et al.</w:t>
      </w:r>
      <w:r w:rsidRPr="000146CC">
        <w:t xml:space="preserve"> Effect of hepatic and renal impairment on the pharmacokinetics of copanlisib. </w:t>
      </w:r>
      <w:r w:rsidRPr="000146CC">
        <w:rPr>
          <w:i/>
        </w:rPr>
        <w:t>Clin</w:t>
      </w:r>
      <w:r w:rsidR="0089150D" w:rsidRPr="000146CC">
        <w:rPr>
          <w:i/>
        </w:rPr>
        <w:t>.</w:t>
      </w:r>
      <w:r w:rsidRPr="000146CC">
        <w:rPr>
          <w:i/>
        </w:rPr>
        <w:t xml:space="preserve"> Pharmacol</w:t>
      </w:r>
      <w:r w:rsidR="0089150D" w:rsidRPr="000146CC">
        <w:rPr>
          <w:i/>
        </w:rPr>
        <w:t>.</w:t>
      </w:r>
      <w:r w:rsidRPr="000146CC">
        <w:rPr>
          <w:i/>
        </w:rPr>
        <w:t xml:space="preserve"> Ther</w:t>
      </w:r>
      <w:r w:rsidR="0089150D" w:rsidRPr="000146CC">
        <w:rPr>
          <w:i/>
        </w:rPr>
        <w:t>.</w:t>
      </w:r>
      <w:r w:rsidRPr="000146CC">
        <w:rPr>
          <w:i/>
        </w:rPr>
        <w:t xml:space="preserve"> </w:t>
      </w:r>
      <w:r w:rsidRPr="000146CC">
        <w:t>109 (Suppl 1), S5–S88 (2021).</w:t>
      </w:r>
    </w:p>
    <w:p w14:paraId="2E926A69" w14:textId="77777777" w:rsidR="00D13097" w:rsidRDefault="00D13097">
      <w:pPr>
        <w:keepNext w:val="0"/>
        <w:rPr>
          <w:rFonts w:ascii="Times New Roman" w:hAnsi="Times New Roman" w:cs="Times New Roman"/>
          <w:noProof/>
          <w:sz w:val="24"/>
        </w:rPr>
      </w:pPr>
      <w:r>
        <w:br w:type="page"/>
      </w:r>
    </w:p>
    <w:p w14:paraId="1D3D2A44" w14:textId="77777777" w:rsidR="00D13097" w:rsidRPr="00363ABC" w:rsidRDefault="00D13097" w:rsidP="00D13097">
      <w:pPr>
        <w:keepNext w:val="0"/>
        <w:spacing w:after="240" w:line="480" w:lineRule="auto"/>
        <w:rPr>
          <w:rFonts w:ascii="Times New Roman" w:hAnsi="Times New Roman" w:cs="Times New Roman"/>
          <w:noProof/>
          <w:sz w:val="24"/>
          <w:szCs w:val="24"/>
        </w:rPr>
      </w:pPr>
      <w:r w:rsidRPr="00363ABC">
        <w:rPr>
          <w:rFonts w:ascii="Times New Roman" w:hAnsi="Times New Roman" w:cs="Times New Roman"/>
          <w:b/>
          <w:bCs/>
          <w:noProof/>
          <w:sz w:val="24"/>
          <w:szCs w:val="24"/>
        </w:rPr>
        <w:lastRenderedPageBreak/>
        <w:t xml:space="preserve">Table S2.  </w:t>
      </w:r>
      <w:r w:rsidRPr="00363ABC">
        <w:rPr>
          <w:rFonts w:ascii="Times New Roman" w:hAnsi="Times New Roman" w:cs="Times New Roman"/>
          <w:noProof/>
          <w:sz w:val="24"/>
          <w:szCs w:val="24"/>
        </w:rPr>
        <w:t xml:space="preserve">Covariates tested for influence on the </w:t>
      </w:r>
      <w:r>
        <w:rPr>
          <w:rFonts w:ascii="Times New Roman" w:hAnsi="Times New Roman" w:cs="Times New Roman"/>
          <w:noProof/>
          <w:sz w:val="24"/>
          <w:szCs w:val="24"/>
        </w:rPr>
        <w:t xml:space="preserve">population pharmacokinetics </w:t>
      </w:r>
      <w:r w:rsidRPr="00363ABC">
        <w:rPr>
          <w:rFonts w:ascii="Times New Roman" w:hAnsi="Times New Roman" w:cs="Times New Roman"/>
          <w:noProof/>
          <w:sz w:val="24"/>
          <w:szCs w:val="24"/>
        </w:rPr>
        <w:t>base model</w:t>
      </w:r>
    </w:p>
    <w:tbl>
      <w:tblPr>
        <w:tblStyle w:val="BayerTableStyle1"/>
        <w:tblW w:w="5000" w:type="pct"/>
        <w:tblCellMar>
          <w:left w:w="108" w:type="dxa"/>
          <w:right w:w="108" w:type="dxa"/>
        </w:tblCellMar>
        <w:tblLook w:val="04A0" w:firstRow="1" w:lastRow="0" w:firstColumn="1" w:lastColumn="0" w:noHBand="0" w:noVBand="1"/>
      </w:tblPr>
      <w:tblGrid>
        <w:gridCol w:w="2851"/>
        <w:gridCol w:w="1513"/>
        <w:gridCol w:w="2431"/>
        <w:gridCol w:w="7163"/>
      </w:tblGrid>
      <w:tr w:rsidR="00D13097" w:rsidRPr="00363ABC" w14:paraId="14F01073" w14:textId="77777777" w:rsidTr="001F132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top w:val="single" w:sz="2" w:space="0" w:color="auto"/>
              <w:bottom w:val="single" w:sz="2" w:space="0" w:color="auto"/>
            </w:tcBorders>
          </w:tcPr>
          <w:p w14:paraId="4E8B23C8" w14:textId="77777777" w:rsidR="00D13097" w:rsidRPr="00363ABC" w:rsidRDefault="00D13097" w:rsidP="001F1325">
            <w:pPr>
              <w:keepNext w:val="0"/>
              <w:spacing w:before="120" w:after="120"/>
              <w:rPr>
                <w:rFonts w:ascii="Times New Roman" w:hAnsi="Times New Roman"/>
                <w:b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/>
                <w:bCs/>
                <w:noProof/>
                <w:sz w:val="24"/>
                <w:szCs w:val="24"/>
              </w:rPr>
              <w:t>Covariate</w:t>
            </w:r>
          </w:p>
        </w:tc>
        <w:tc>
          <w:tcPr>
            <w:tcW w:w="542" w:type="pct"/>
            <w:tcBorders>
              <w:top w:val="single" w:sz="2" w:space="0" w:color="auto"/>
              <w:bottom w:val="single" w:sz="2" w:space="0" w:color="auto"/>
            </w:tcBorders>
          </w:tcPr>
          <w:p w14:paraId="4AE88885" w14:textId="77777777" w:rsidR="00D13097" w:rsidRPr="00363ABC" w:rsidRDefault="00D13097" w:rsidP="001F1325">
            <w:pPr>
              <w:keepNext w:val="0"/>
              <w:spacing w:before="120" w:after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/>
                <w:bCs/>
                <w:noProof/>
                <w:sz w:val="24"/>
                <w:szCs w:val="24"/>
              </w:rPr>
              <w:t>Unit</w:t>
            </w:r>
          </w:p>
        </w:tc>
        <w:tc>
          <w:tcPr>
            <w:tcW w:w="871" w:type="pct"/>
            <w:tcBorders>
              <w:top w:val="single" w:sz="2" w:space="0" w:color="auto"/>
              <w:bottom w:val="single" w:sz="2" w:space="0" w:color="auto"/>
            </w:tcBorders>
          </w:tcPr>
          <w:p w14:paraId="55CA407D" w14:textId="77777777" w:rsidR="00D13097" w:rsidRPr="00363ABC" w:rsidRDefault="00D13097" w:rsidP="001F1325">
            <w:pPr>
              <w:keepNext w:val="0"/>
              <w:spacing w:before="120" w:after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/>
                <w:bCs/>
                <w:noProof/>
                <w:sz w:val="24"/>
                <w:szCs w:val="24"/>
              </w:rPr>
              <w:t>Type</w:t>
            </w:r>
          </w:p>
        </w:tc>
        <w:tc>
          <w:tcPr>
            <w:tcW w:w="2566" w:type="pct"/>
            <w:tcBorders>
              <w:top w:val="single" w:sz="2" w:space="0" w:color="auto"/>
              <w:bottom w:val="single" w:sz="2" w:space="0" w:color="auto"/>
            </w:tcBorders>
          </w:tcPr>
          <w:p w14:paraId="4B18E402" w14:textId="77777777" w:rsidR="00D13097" w:rsidRPr="00363ABC" w:rsidRDefault="00D13097" w:rsidP="001F1325">
            <w:pPr>
              <w:keepNext w:val="0"/>
              <w:spacing w:before="120" w:after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/>
                <w:bCs/>
                <w:noProof/>
                <w:sz w:val="24"/>
                <w:szCs w:val="24"/>
              </w:rPr>
              <w:t>Description</w:t>
            </w:r>
          </w:p>
        </w:tc>
      </w:tr>
      <w:tr w:rsidR="00D13097" w:rsidRPr="00363ABC" w14:paraId="2FBBD0EE" w14:textId="77777777" w:rsidTr="001F1325">
        <w:trPr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top w:val="single" w:sz="2" w:space="0" w:color="auto"/>
            </w:tcBorders>
          </w:tcPr>
          <w:p w14:paraId="58B3B895" w14:textId="77777777" w:rsidR="00D13097" w:rsidRPr="00363ABC" w:rsidRDefault="00D13097" w:rsidP="001F1325">
            <w:pPr>
              <w:keepNext w:val="0"/>
              <w:spacing w:before="120" w:after="12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>Body</w:t>
            </w:r>
            <w:r>
              <w:rPr>
                <w:rFonts w:ascii="Times New Roman" w:hAnsi="Times New Roman"/>
                <w:noProof/>
                <w:sz w:val="24"/>
                <w:szCs w:val="24"/>
              </w:rPr>
              <w:t xml:space="preserve"> </w:t>
            </w: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>weight</w:t>
            </w:r>
          </w:p>
        </w:tc>
        <w:tc>
          <w:tcPr>
            <w:tcW w:w="542" w:type="pct"/>
            <w:tcBorders>
              <w:top w:val="single" w:sz="2" w:space="0" w:color="auto"/>
            </w:tcBorders>
          </w:tcPr>
          <w:p w14:paraId="01BD1DCD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kg</w:t>
            </w:r>
          </w:p>
        </w:tc>
        <w:tc>
          <w:tcPr>
            <w:tcW w:w="871" w:type="pct"/>
            <w:tcBorders>
              <w:top w:val="single" w:sz="2" w:space="0" w:color="auto"/>
            </w:tcBorders>
          </w:tcPr>
          <w:p w14:paraId="4F2CE3A4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Continuous</w:t>
            </w:r>
          </w:p>
        </w:tc>
        <w:tc>
          <w:tcPr>
            <w:tcW w:w="2566" w:type="pct"/>
            <w:tcBorders>
              <w:top w:val="single" w:sz="2" w:space="0" w:color="auto"/>
            </w:tcBorders>
          </w:tcPr>
          <w:p w14:paraId="0825DDD4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Body</w:t>
            </w:r>
            <w:r>
              <w:rPr>
                <w:rFonts w:ascii="Times New Roman" w:hAnsi="Times New Roman"/>
                <w:bCs/>
                <w:noProof/>
                <w:sz w:val="24"/>
                <w:szCs w:val="24"/>
              </w:rPr>
              <w:t xml:space="preserve"> </w:t>
            </w: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weight at baseline</w:t>
            </w:r>
          </w:p>
        </w:tc>
      </w:tr>
      <w:tr w:rsidR="00D13097" w:rsidRPr="00363ABC" w14:paraId="343A3532" w14:textId="77777777" w:rsidTr="001F1325">
        <w:trPr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</w:tcPr>
          <w:p w14:paraId="534AF5CE" w14:textId="77777777" w:rsidR="00D13097" w:rsidRPr="00363ABC" w:rsidRDefault="00D13097" w:rsidP="001F1325">
            <w:pPr>
              <w:keepNext w:val="0"/>
              <w:spacing w:before="120" w:after="12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>Age</w:t>
            </w:r>
          </w:p>
        </w:tc>
        <w:tc>
          <w:tcPr>
            <w:tcW w:w="542" w:type="pct"/>
          </w:tcPr>
          <w:p w14:paraId="7DC4B447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noProof/>
                <w:sz w:val="24"/>
                <w:szCs w:val="24"/>
              </w:rPr>
              <w:t>Y</w:t>
            </w: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ears</w:t>
            </w:r>
          </w:p>
        </w:tc>
        <w:tc>
          <w:tcPr>
            <w:tcW w:w="871" w:type="pct"/>
          </w:tcPr>
          <w:p w14:paraId="7E44FCD4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Continuous</w:t>
            </w:r>
          </w:p>
        </w:tc>
        <w:tc>
          <w:tcPr>
            <w:tcW w:w="2566" w:type="pct"/>
          </w:tcPr>
          <w:p w14:paraId="37A446BB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Age</w:t>
            </w: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 xml:space="preserve"> at baseline</w:t>
            </w:r>
          </w:p>
        </w:tc>
      </w:tr>
      <w:tr w:rsidR="00D13097" w:rsidRPr="00363ABC" w14:paraId="6801A3FF" w14:textId="77777777" w:rsidTr="001F1325">
        <w:trPr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</w:tcPr>
          <w:p w14:paraId="3817A105" w14:textId="77777777" w:rsidR="00D13097" w:rsidRPr="00363ABC" w:rsidRDefault="00D13097" w:rsidP="001F1325">
            <w:pPr>
              <w:keepNext w:val="0"/>
              <w:spacing w:before="120" w:after="12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>Serum albumin</w:t>
            </w:r>
          </w:p>
        </w:tc>
        <w:tc>
          <w:tcPr>
            <w:tcW w:w="542" w:type="pct"/>
          </w:tcPr>
          <w:p w14:paraId="7D891F32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g/dL</w:t>
            </w:r>
          </w:p>
        </w:tc>
        <w:tc>
          <w:tcPr>
            <w:tcW w:w="871" w:type="pct"/>
          </w:tcPr>
          <w:p w14:paraId="107EADF7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Continuous</w:t>
            </w:r>
          </w:p>
        </w:tc>
        <w:tc>
          <w:tcPr>
            <w:tcW w:w="2566" w:type="pct"/>
          </w:tcPr>
          <w:p w14:paraId="66E48650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Serum albumin concentration at baseline</w:t>
            </w:r>
          </w:p>
        </w:tc>
      </w:tr>
      <w:tr w:rsidR="00D13097" w:rsidRPr="00363ABC" w14:paraId="1E261909" w14:textId="77777777" w:rsidTr="001F1325">
        <w:trPr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</w:tcPr>
          <w:p w14:paraId="21FD4DEC" w14:textId="77777777" w:rsidR="00D13097" w:rsidRPr="00363ABC" w:rsidRDefault="00D13097" w:rsidP="001F1325">
            <w:pPr>
              <w:keepNext w:val="0"/>
              <w:spacing w:before="120" w:after="120"/>
              <w:rPr>
                <w:rFonts w:ascii="Times New Roman" w:hAnsi="Times New Roman"/>
                <w:noProof/>
                <w:sz w:val="24"/>
                <w:szCs w:val="24"/>
                <w:vertAlign w:val="superscript"/>
              </w:rPr>
            </w:pP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>eGFR</w:t>
            </w:r>
            <w:r w:rsidRPr="00363ABC">
              <w:rPr>
                <w:rFonts w:ascii="Times New Roman" w:hAnsi="Times New Roman"/>
                <w:noProof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542" w:type="pct"/>
          </w:tcPr>
          <w:p w14:paraId="0DA319E0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mL/min</w:t>
            </w:r>
          </w:p>
        </w:tc>
        <w:tc>
          <w:tcPr>
            <w:tcW w:w="871" w:type="pct"/>
          </w:tcPr>
          <w:p w14:paraId="45245043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Continuous</w:t>
            </w:r>
          </w:p>
        </w:tc>
        <w:tc>
          <w:tcPr>
            <w:tcW w:w="2566" w:type="pct"/>
          </w:tcPr>
          <w:p w14:paraId="1D27E26C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Estimated glomerular filtration rate at baseline</w:t>
            </w:r>
          </w:p>
        </w:tc>
      </w:tr>
      <w:tr w:rsidR="00D13097" w:rsidRPr="00363ABC" w14:paraId="0CD51BE0" w14:textId="77777777" w:rsidTr="001F1325">
        <w:trPr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</w:tcPr>
          <w:p w14:paraId="369B32E8" w14:textId="77777777" w:rsidR="00D13097" w:rsidRPr="00363ABC" w:rsidRDefault="00D13097" w:rsidP="001F1325">
            <w:pPr>
              <w:keepNext w:val="0"/>
              <w:spacing w:before="120" w:after="120"/>
              <w:rPr>
                <w:rFonts w:ascii="Times New Roman" w:hAnsi="Times New Roman"/>
                <w:noProof/>
                <w:sz w:val="24"/>
                <w:szCs w:val="24"/>
                <w:vertAlign w:val="superscript"/>
              </w:rPr>
            </w:pP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>NCI</w:t>
            </w:r>
            <w:r w:rsidRPr="00363ABC">
              <w:rPr>
                <w:rFonts w:ascii="Times New Roman" w:hAnsi="Times New Roman"/>
                <w:noProof/>
                <w:sz w:val="24"/>
                <w:szCs w:val="24"/>
                <w:vertAlign w:val="superscript"/>
              </w:rPr>
              <w:t>b</w:t>
            </w:r>
          </w:p>
        </w:tc>
        <w:tc>
          <w:tcPr>
            <w:tcW w:w="542" w:type="pct"/>
          </w:tcPr>
          <w:p w14:paraId="7AFCB071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-</w:t>
            </w:r>
          </w:p>
        </w:tc>
        <w:tc>
          <w:tcPr>
            <w:tcW w:w="871" w:type="pct"/>
          </w:tcPr>
          <w:p w14:paraId="4B09C7CD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Categorical</w:t>
            </w:r>
          </w:p>
        </w:tc>
        <w:tc>
          <w:tcPr>
            <w:tcW w:w="2566" w:type="pct"/>
          </w:tcPr>
          <w:p w14:paraId="5142DAEA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Category of hepatic impairment at baseline</w:t>
            </w:r>
          </w:p>
        </w:tc>
      </w:tr>
      <w:tr w:rsidR="00D13097" w:rsidRPr="00363ABC" w14:paraId="4723A01E" w14:textId="77777777" w:rsidTr="001F1325">
        <w:trPr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</w:tcPr>
          <w:p w14:paraId="669B242F" w14:textId="77777777" w:rsidR="00D13097" w:rsidRPr="00363ABC" w:rsidRDefault="00D13097" w:rsidP="001F1325">
            <w:pPr>
              <w:keepNext w:val="0"/>
              <w:spacing w:before="120" w:after="12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>Sex</w:t>
            </w:r>
          </w:p>
        </w:tc>
        <w:tc>
          <w:tcPr>
            <w:tcW w:w="542" w:type="pct"/>
          </w:tcPr>
          <w:p w14:paraId="68C807AC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-</w:t>
            </w:r>
          </w:p>
        </w:tc>
        <w:tc>
          <w:tcPr>
            <w:tcW w:w="871" w:type="pct"/>
          </w:tcPr>
          <w:p w14:paraId="5CDB4133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Dichotomous</w:t>
            </w:r>
          </w:p>
        </w:tc>
        <w:tc>
          <w:tcPr>
            <w:tcW w:w="2566" w:type="pct"/>
          </w:tcPr>
          <w:p w14:paraId="62613B0F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Sex of patient as declared in study database</w:t>
            </w:r>
          </w:p>
        </w:tc>
      </w:tr>
      <w:tr w:rsidR="00D13097" w:rsidRPr="00363ABC" w14:paraId="2CAA95C3" w14:textId="77777777" w:rsidTr="001F1325">
        <w:trPr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</w:tcPr>
          <w:p w14:paraId="3CC2676E" w14:textId="77777777" w:rsidR="00D13097" w:rsidRPr="00363ABC" w:rsidRDefault="00D13097" w:rsidP="001F1325">
            <w:pPr>
              <w:keepNext w:val="0"/>
              <w:spacing w:before="120" w:after="12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>Region = Europe</w:t>
            </w:r>
          </w:p>
        </w:tc>
        <w:tc>
          <w:tcPr>
            <w:tcW w:w="542" w:type="pct"/>
          </w:tcPr>
          <w:p w14:paraId="0906BA36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-</w:t>
            </w:r>
          </w:p>
        </w:tc>
        <w:tc>
          <w:tcPr>
            <w:tcW w:w="871" w:type="pct"/>
          </w:tcPr>
          <w:p w14:paraId="62225586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Dichotomous</w:t>
            </w:r>
          </w:p>
        </w:tc>
        <w:tc>
          <w:tcPr>
            <w:tcW w:w="2566" w:type="pct"/>
          </w:tcPr>
          <w:p w14:paraId="5A37E074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Geographic region of study is Europe</w:t>
            </w:r>
          </w:p>
        </w:tc>
      </w:tr>
      <w:tr w:rsidR="00D13097" w:rsidRPr="00363ABC" w14:paraId="484CFF24" w14:textId="77777777" w:rsidTr="001F1325">
        <w:trPr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</w:tcPr>
          <w:p w14:paraId="27402897" w14:textId="77777777" w:rsidR="00D13097" w:rsidRPr="00363ABC" w:rsidRDefault="00D13097" w:rsidP="001F1325">
            <w:pPr>
              <w:keepNext w:val="0"/>
              <w:spacing w:before="120" w:after="12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>Region = North America</w:t>
            </w:r>
          </w:p>
        </w:tc>
        <w:tc>
          <w:tcPr>
            <w:tcW w:w="542" w:type="pct"/>
          </w:tcPr>
          <w:p w14:paraId="6361FF05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-</w:t>
            </w:r>
          </w:p>
        </w:tc>
        <w:tc>
          <w:tcPr>
            <w:tcW w:w="871" w:type="pct"/>
          </w:tcPr>
          <w:p w14:paraId="41815EAC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Dichotomous</w:t>
            </w:r>
          </w:p>
        </w:tc>
        <w:tc>
          <w:tcPr>
            <w:tcW w:w="2566" w:type="pct"/>
          </w:tcPr>
          <w:p w14:paraId="1B19CFFE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Geographic region of study is North America</w:t>
            </w:r>
          </w:p>
        </w:tc>
      </w:tr>
      <w:tr w:rsidR="00D13097" w:rsidRPr="00363ABC" w14:paraId="750EAA46" w14:textId="77777777" w:rsidTr="001F1325">
        <w:trPr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</w:tcPr>
          <w:p w14:paraId="4CE4E6F0" w14:textId="77777777" w:rsidR="00D13097" w:rsidRPr="00363ABC" w:rsidRDefault="00D13097" w:rsidP="001F1325">
            <w:pPr>
              <w:keepNext w:val="0"/>
              <w:spacing w:before="120" w:after="12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>Region = Mainland China</w:t>
            </w:r>
          </w:p>
        </w:tc>
        <w:tc>
          <w:tcPr>
            <w:tcW w:w="542" w:type="pct"/>
          </w:tcPr>
          <w:p w14:paraId="047C5D62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-</w:t>
            </w:r>
          </w:p>
        </w:tc>
        <w:tc>
          <w:tcPr>
            <w:tcW w:w="871" w:type="pct"/>
          </w:tcPr>
          <w:p w14:paraId="32172410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Dichotomous</w:t>
            </w:r>
          </w:p>
        </w:tc>
        <w:tc>
          <w:tcPr>
            <w:tcW w:w="2566" w:type="pct"/>
          </w:tcPr>
          <w:p w14:paraId="3CCF3AC7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 xml:space="preserve">Geographic region of study is </w:t>
            </w:r>
            <w:r>
              <w:rPr>
                <w:rFonts w:ascii="Times New Roman" w:hAnsi="Times New Roman"/>
                <w:bCs/>
                <w:noProof/>
                <w:sz w:val="24"/>
                <w:szCs w:val="24"/>
              </w:rPr>
              <w:t>m</w:t>
            </w: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ainland China</w:t>
            </w:r>
          </w:p>
        </w:tc>
      </w:tr>
      <w:tr w:rsidR="00D13097" w:rsidRPr="00363ABC" w14:paraId="7E300079" w14:textId="77777777" w:rsidTr="001F1325">
        <w:trPr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</w:tcPr>
          <w:p w14:paraId="4EA7324B" w14:textId="77777777" w:rsidR="00D13097" w:rsidRPr="00363ABC" w:rsidRDefault="00D13097" w:rsidP="001F1325">
            <w:pPr>
              <w:keepNext w:val="0"/>
              <w:spacing w:before="120" w:after="12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>Region = Japan</w:t>
            </w:r>
          </w:p>
        </w:tc>
        <w:tc>
          <w:tcPr>
            <w:tcW w:w="542" w:type="pct"/>
          </w:tcPr>
          <w:p w14:paraId="7F41529D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-</w:t>
            </w:r>
          </w:p>
        </w:tc>
        <w:tc>
          <w:tcPr>
            <w:tcW w:w="871" w:type="pct"/>
          </w:tcPr>
          <w:p w14:paraId="080B5C68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Dichotomous</w:t>
            </w:r>
          </w:p>
        </w:tc>
        <w:tc>
          <w:tcPr>
            <w:tcW w:w="2566" w:type="pct"/>
          </w:tcPr>
          <w:p w14:paraId="36E4AF90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Geographic region of study is Japan</w:t>
            </w:r>
          </w:p>
        </w:tc>
      </w:tr>
      <w:tr w:rsidR="00D13097" w:rsidRPr="00363ABC" w14:paraId="17DBA03C" w14:textId="77777777" w:rsidTr="001F1325">
        <w:trPr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</w:tcPr>
          <w:p w14:paraId="128F2802" w14:textId="77777777" w:rsidR="00D13097" w:rsidRPr="00363ABC" w:rsidRDefault="00D13097" w:rsidP="001F1325">
            <w:pPr>
              <w:keepNext w:val="0"/>
              <w:spacing w:before="120" w:after="12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>Region = Others</w:t>
            </w:r>
          </w:p>
        </w:tc>
        <w:tc>
          <w:tcPr>
            <w:tcW w:w="542" w:type="pct"/>
            <w:tcBorders>
              <w:bottom w:val="nil"/>
            </w:tcBorders>
          </w:tcPr>
          <w:p w14:paraId="18FE868E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-</w:t>
            </w:r>
          </w:p>
        </w:tc>
        <w:tc>
          <w:tcPr>
            <w:tcW w:w="871" w:type="pct"/>
            <w:tcBorders>
              <w:bottom w:val="nil"/>
            </w:tcBorders>
          </w:tcPr>
          <w:p w14:paraId="777CC768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Dichotomous</w:t>
            </w:r>
          </w:p>
        </w:tc>
        <w:tc>
          <w:tcPr>
            <w:tcW w:w="2566" w:type="pct"/>
            <w:tcBorders>
              <w:bottom w:val="nil"/>
            </w:tcBorders>
          </w:tcPr>
          <w:p w14:paraId="08FAC81C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 xml:space="preserve">Geographic region of study is other than Europe, North America, </w:t>
            </w:r>
            <w:r>
              <w:rPr>
                <w:rFonts w:ascii="Times New Roman" w:hAnsi="Times New Roman"/>
                <w:bCs/>
                <w:noProof/>
                <w:sz w:val="24"/>
                <w:szCs w:val="24"/>
              </w:rPr>
              <w:t>m</w:t>
            </w: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ainland China, or Japan</w:t>
            </w:r>
          </w:p>
        </w:tc>
      </w:tr>
      <w:tr w:rsidR="00D13097" w:rsidRPr="00363ABC" w14:paraId="3F88D07B" w14:textId="77777777" w:rsidTr="001F1325">
        <w:trPr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top w:val="nil"/>
              <w:bottom w:val="nil"/>
            </w:tcBorders>
          </w:tcPr>
          <w:p w14:paraId="5F9ECAE7" w14:textId="77777777" w:rsidR="00D13097" w:rsidRPr="00363ABC" w:rsidRDefault="00D13097" w:rsidP="001F1325">
            <w:pPr>
              <w:keepNext w:val="0"/>
              <w:spacing w:before="120" w:after="12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>Study group in study</w:t>
            </w:r>
            <w:r>
              <w:rPr>
                <w:rFonts w:ascii="Times New Roman" w:hAnsi="Times New Roman"/>
                <w:noProof/>
                <w:sz w:val="24"/>
                <w:szCs w:val="24"/>
              </w:rPr>
              <w:t> </w:t>
            </w: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>18041</w:t>
            </w:r>
          </w:p>
        </w:tc>
        <w:tc>
          <w:tcPr>
            <w:tcW w:w="542" w:type="pct"/>
            <w:tcBorders>
              <w:top w:val="nil"/>
              <w:bottom w:val="nil"/>
            </w:tcBorders>
          </w:tcPr>
          <w:p w14:paraId="69DAE718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-</w:t>
            </w:r>
          </w:p>
        </w:tc>
        <w:tc>
          <w:tcPr>
            <w:tcW w:w="871" w:type="pct"/>
            <w:tcBorders>
              <w:top w:val="nil"/>
              <w:bottom w:val="nil"/>
            </w:tcBorders>
          </w:tcPr>
          <w:p w14:paraId="0DE06222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Dichotomous</w:t>
            </w:r>
          </w:p>
        </w:tc>
        <w:tc>
          <w:tcPr>
            <w:tcW w:w="2566" w:type="pct"/>
            <w:tcBorders>
              <w:top w:val="nil"/>
              <w:bottom w:val="nil"/>
            </w:tcBorders>
          </w:tcPr>
          <w:p w14:paraId="742160BB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>Patients not from study 18041 or healthy volunteers in study 18041 versus patients with moderate or severe hepatic impairment in study</w:t>
            </w:r>
            <w:r>
              <w:rPr>
                <w:rFonts w:ascii="Times New Roman" w:hAnsi="Times New Roman"/>
                <w:noProof/>
                <w:sz w:val="24"/>
                <w:szCs w:val="24"/>
              </w:rPr>
              <w:t> </w:t>
            </w: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>18041 or patients with severe renal impairment in study 18041</w:t>
            </w:r>
          </w:p>
        </w:tc>
      </w:tr>
      <w:tr w:rsidR="00D13097" w:rsidRPr="00363ABC" w14:paraId="3541B21E" w14:textId="77777777" w:rsidTr="001F1325">
        <w:trPr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top w:val="nil"/>
            </w:tcBorders>
          </w:tcPr>
          <w:p w14:paraId="7EB2E3E9" w14:textId="77777777" w:rsidR="00D13097" w:rsidRPr="00363ABC" w:rsidRDefault="00D13097" w:rsidP="001F1325">
            <w:pPr>
              <w:keepNext w:val="0"/>
              <w:spacing w:before="120" w:after="12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lastRenderedPageBreak/>
              <w:t>Comedication with rifampin in study 16270</w:t>
            </w:r>
          </w:p>
        </w:tc>
        <w:tc>
          <w:tcPr>
            <w:tcW w:w="542" w:type="pct"/>
            <w:tcBorders>
              <w:top w:val="nil"/>
            </w:tcBorders>
          </w:tcPr>
          <w:p w14:paraId="2FDE4AB2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-</w:t>
            </w:r>
          </w:p>
        </w:tc>
        <w:tc>
          <w:tcPr>
            <w:tcW w:w="871" w:type="pct"/>
            <w:tcBorders>
              <w:top w:val="nil"/>
            </w:tcBorders>
          </w:tcPr>
          <w:p w14:paraId="7DE45B9D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Time-varying dichotomous</w:t>
            </w:r>
          </w:p>
        </w:tc>
        <w:tc>
          <w:tcPr>
            <w:tcW w:w="2566" w:type="pct"/>
            <w:tcBorders>
              <w:top w:val="nil"/>
            </w:tcBorders>
          </w:tcPr>
          <w:p w14:paraId="3C9B84C8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>Covariate is set to 1 during periods of rifampin comedication in study</w:t>
            </w:r>
            <w:r>
              <w:rPr>
                <w:rFonts w:ascii="Times New Roman" w:hAnsi="Times New Roman"/>
                <w:noProof/>
                <w:sz w:val="24"/>
                <w:szCs w:val="24"/>
              </w:rPr>
              <w:t> </w:t>
            </w: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 xml:space="preserve">16270 and set to </w:t>
            </w:r>
            <w:r>
              <w:rPr>
                <w:rFonts w:ascii="Times New Roman" w:hAnsi="Times New Roman"/>
                <w:noProof/>
                <w:sz w:val="24"/>
                <w:szCs w:val="24"/>
              </w:rPr>
              <w:t>0</w:t>
            </w: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 xml:space="preserve"> at all other times for patients in study</w:t>
            </w:r>
            <w:r>
              <w:rPr>
                <w:rFonts w:ascii="Times New Roman" w:hAnsi="Times New Roman"/>
                <w:noProof/>
                <w:sz w:val="24"/>
                <w:szCs w:val="24"/>
              </w:rPr>
              <w:t> </w:t>
            </w: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 xml:space="preserve">16270, and set to </w:t>
            </w:r>
            <w:r>
              <w:rPr>
                <w:rFonts w:ascii="Times New Roman" w:hAnsi="Times New Roman"/>
                <w:noProof/>
                <w:sz w:val="24"/>
                <w:szCs w:val="24"/>
              </w:rPr>
              <w:t>0</w:t>
            </w: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 xml:space="preserve"> at all times for patients not in study 16270</w:t>
            </w:r>
          </w:p>
        </w:tc>
      </w:tr>
      <w:tr w:rsidR="00D13097" w:rsidRPr="00363ABC" w14:paraId="35B0E607" w14:textId="77777777" w:rsidTr="001F1325">
        <w:trPr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</w:tcPr>
          <w:p w14:paraId="345AEAFC" w14:textId="77777777" w:rsidR="00D13097" w:rsidRPr="00363ABC" w:rsidRDefault="00D13097" w:rsidP="001F1325">
            <w:pPr>
              <w:keepNext w:val="0"/>
              <w:spacing w:before="120" w:after="12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>Comedication with itraconazole in study</w:t>
            </w:r>
            <w:r>
              <w:rPr>
                <w:rFonts w:ascii="Times New Roman" w:hAnsi="Times New Roman"/>
                <w:noProof/>
                <w:sz w:val="24"/>
                <w:szCs w:val="24"/>
              </w:rPr>
              <w:t> </w:t>
            </w: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>16270</w:t>
            </w:r>
          </w:p>
        </w:tc>
        <w:tc>
          <w:tcPr>
            <w:tcW w:w="542" w:type="pct"/>
          </w:tcPr>
          <w:p w14:paraId="1EF5A755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-</w:t>
            </w:r>
          </w:p>
        </w:tc>
        <w:tc>
          <w:tcPr>
            <w:tcW w:w="871" w:type="pct"/>
          </w:tcPr>
          <w:p w14:paraId="51211CED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Time-varying dichotomous</w:t>
            </w:r>
          </w:p>
        </w:tc>
        <w:tc>
          <w:tcPr>
            <w:tcW w:w="2566" w:type="pct"/>
          </w:tcPr>
          <w:p w14:paraId="7E5FA103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 xml:space="preserve">Covariate is set to 1 during periods of itraconazole comedication in study 16270 and set to </w:t>
            </w:r>
            <w:r>
              <w:rPr>
                <w:rFonts w:ascii="Times New Roman" w:hAnsi="Times New Roman"/>
                <w:noProof/>
                <w:sz w:val="24"/>
                <w:szCs w:val="24"/>
              </w:rPr>
              <w:t>0</w:t>
            </w: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 xml:space="preserve"> at all other times for patients in study</w:t>
            </w:r>
            <w:r>
              <w:rPr>
                <w:rFonts w:ascii="Times New Roman" w:hAnsi="Times New Roman"/>
                <w:noProof/>
                <w:sz w:val="24"/>
                <w:szCs w:val="24"/>
              </w:rPr>
              <w:t> </w:t>
            </w: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 xml:space="preserve">16270, and set to </w:t>
            </w:r>
            <w:r>
              <w:rPr>
                <w:rFonts w:ascii="Times New Roman" w:hAnsi="Times New Roman"/>
                <w:noProof/>
                <w:sz w:val="24"/>
                <w:szCs w:val="24"/>
              </w:rPr>
              <w:t>0</w:t>
            </w: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 xml:space="preserve"> at all times for patients not in study 16270</w:t>
            </w:r>
          </w:p>
        </w:tc>
      </w:tr>
      <w:tr w:rsidR="00D13097" w:rsidRPr="00363ABC" w14:paraId="2F235EFF" w14:textId="77777777" w:rsidTr="001F1325">
        <w:trPr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</w:tcPr>
          <w:p w14:paraId="5E7570C9" w14:textId="77777777" w:rsidR="00D13097" w:rsidRPr="00363ABC" w:rsidRDefault="00D13097" w:rsidP="001F1325">
            <w:pPr>
              <w:keepNext w:val="0"/>
              <w:spacing w:before="120" w:after="12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>Comedication with inhibitors of CYP450 3A sub-types</w:t>
            </w:r>
          </w:p>
        </w:tc>
        <w:tc>
          <w:tcPr>
            <w:tcW w:w="542" w:type="pct"/>
          </w:tcPr>
          <w:p w14:paraId="5A74AB7B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-</w:t>
            </w:r>
          </w:p>
        </w:tc>
        <w:tc>
          <w:tcPr>
            <w:tcW w:w="871" w:type="pct"/>
          </w:tcPr>
          <w:p w14:paraId="48E36D11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Time-varying dichotomous</w:t>
            </w:r>
          </w:p>
        </w:tc>
        <w:tc>
          <w:tcPr>
            <w:tcW w:w="2566" w:type="pct"/>
          </w:tcPr>
          <w:p w14:paraId="57DC07C8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 xml:space="preserve">Covariate is set to 1 during periods of comedication with inhibitors of CYP450 3A, and set to </w:t>
            </w:r>
            <w:r>
              <w:rPr>
                <w:rFonts w:ascii="Times New Roman" w:hAnsi="Times New Roman"/>
                <w:noProof/>
                <w:sz w:val="24"/>
                <w:szCs w:val="24"/>
              </w:rPr>
              <w:t>0</w:t>
            </w: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 xml:space="preserve"> at all other times</w:t>
            </w:r>
          </w:p>
        </w:tc>
      </w:tr>
      <w:tr w:rsidR="00D13097" w:rsidRPr="00363ABC" w14:paraId="5B586B99" w14:textId="77777777" w:rsidTr="001F1325">
        <w:trPr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</w:tcPr>
          <w:p w14:paraId="7B002038" w14:textId="77777777" w:rsidR="00D13097" w:rsidRPr="00363ABC" w:rsidRDefault="00D13097" w:rsidP="001F1325">
            <w:pPr>
              <w:keepNext w:val="0"/>
              <w:spacing w:before="120" w:after="12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>Comedication with inducers of CYP450 3A sub-types</w:t>
            </w:r>
          </w:p>
        </w:tc>
        <w:tc>
          <w:tcPr>
            <w:tcW w:w="542" w:type="pct"/>
          </w:tcPr>
          <w:p w14:paraId="4EE0FE67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-</w:t>
            </w:r>
          </w:p>
        </w:tc>
        <w:tc>
          <w:tcPr>
            <w:tcW w:w="871" w:type="pct"/>
          </w:tcPr>
          <w:p w14:paraId="288C8B36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Time-varying dichotomous</w:t>
            </w:r>
          </w:p>
        </w:tc>
        <w:tc>
          <w:tcPr>
            <w:tcW w:w="2566" w:type="pct"/>
          </w:tcPr>
          <w:p w14:paraId="32C56FA2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 xml:space="preserve">Covariate is set to 1 during periods of comedication with inducers of CYP450 3A, and set to </w:t>
            </w:r>
            <w:r>
              <w:rPr>
                <w:rFonts w:ascii="Times New Roman" w:hAnsi="Times New Roman"/>
                <w:noProof/>
                <w:sz w:val="24"/>
                <w:szCs w:val="24"/>
              </w:rPr>
              <w:t>0</w:t>
            </w: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 xml:space="preserve"> at all other times</w:t>
            </w:r>
          </w:p>
        </w:tc>
      </w:tr>
      <w:tr w:rsidR="00D13097" w:rsidRPr="00363ABC" w14:paraId="6B5ED20C" w14:textId="77777777" w:rsidTr="001F1325">
        <w:trPr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</w:tcPr>
          <w:p w14:paraId="6A24ACF0" w14:textId="77777777" w:rsidR="00D13097" w:rsidRPr="00363ABC" w:rsidRDefault="00D13097" w:rsidP="001F1325">
            <w:pPr>
              <w:keepNext w:val="0"/>
              <w:spacing w:before="120" w:after="12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>Comedication with inhibitors of Pgp</w:t>
            </w:r>
          </w:p>
        </w:tc>
        <w:tc>
          <w:tcPr>
            <w:tcW w:w="542" w:type="pct"/>
          </w:tcPr>
          <w:p w14:paraId="1C0B63A8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-</w:t>
            </w:r>
          </w:p>
        </w:tc>
        <w:tc>
          <w:tcPr>
            <w:tcW w:w="871" w:type="pct"/>
          </w:tcPr>
          <w:p w14:paraId="7BFAF028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Time-varying dichotomous</w:t>
            </w:r>
          </w:p>
        </w:tc>
        <w:tc>
          <w:tcPr>
            <w:tcW w:w="2566" w:type="pct"/>
          </w:tcPr>
          <w:p w14:paraId="64DC1D59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 xml:space="preserve">Covariate is set to 1 during periods of comedication with inhibitors of Pgp, and set to </w:t>
            </w:r>
            <w:r>
              <w:rPr>
                <w:rFonts w:ascii="Times New Roman" w:hAnsi="Times New Roman"/>
                <w:noProof/>
                <w:sz w:val="24"/>
                <w:szCs w:val="24"/>
              </w:rPr>
              <w:t>0</w:t>
            </w: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 xml:space="preserve"> at all other times</w:t>
            </w:r>
          </w:p>
        </w:tc>
      </w:tr>
      <w:tr w:rsidR="00D13097" w:rsidRPr="00363ABC" w14:paraId="47291815" w14:textId="77777777" w:rsidTr="001F1325">
        <w:trPr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bottom w:val="nil"/>
            </w:tcBorders>
          </w:tcPr>
          <w:p w14:paraId="2FACF3B9" w14:textId="77777777" w:rsidR="00D13097" w:rsidRPr="00363ABC" w:rsidRDefault="00D13097" w:rsidP="001F1325">
            <w:pPr>
              <w:keepNext w:val="0"/>
              <w:spacing w:before="120" w:after="12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>Comedication with inducers of Pgp</w:t>
            </w:r>
          </w:p>
        </w:tc>
        <w:tc>
          <w:tcPr>
            <w:tcW w:w="542" w:type="pct"/>
            <w:tcBorders>
              <w:bottom w:val="nil"/>
            </w:tcBorders>
          </w:tcPr>
          <w:p w14:paraId="190EC046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-</w:t>
            </w:r>
          </w:p>
        </w:tc>
        <w:tc>
          <w:tcPr>
            <w:tcW w:w="871" w:type="pct"/>
            <w:tcBorders>
              <w:bottom w:val="nil"/>
            </w:tcBorders>
          </w:tcPr>
          <w:p w14:paraId="65F2FC84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Time-varying dichotomous</w:t>
            </w:r>
          </w:p>
        </w:tc>
        <w:tc>
          <w:tcPr>
            <w:tcW w:w="2566" w:type="pct"/>
            <w:tcBorders>
              <w:bottom w:val="nil"/>
            </w:tcBorders>
          </w:tcPr>
          <w:p w14:paraId="35CE51E9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 xml:space="preserve">Covariate is set to 1 during periods of comedication with inducers of Pgp, and set to </w:t>
            </w:r>
            <w:r>
              <w:rPr>
                <w:rFonts w:ascii="Times New Roman" w:hAnsi="Times New Roman"/>
                <w:noProof/>
                <w:sz w:val="24"/>
                <w:szCs w:val="24"/>
              </w:rPr>
              <w:t>0</w:t>
            </w: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 xml:space="preserve"> at all other times</w:t>
            </w:r>
          </w:p>
        </w:tc>
      </w:tr>
      <w:tr w:rsidR="00D13097" w:rsidRPr="00363ABC" w14:paraId="3DB61B64" w14:textId="77777777" w:rsidTr="001F1325">
        <w:trPr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21" w:type="pct"/>
            <w:tcBorders>
              <w:top w:val="nil"/>
              <w:bottom w:val="single" w:sz="2" w:space="0" w:color="auto"/>
            </w:tcBorders>
          </w:tcPr>
          <w:p w14:paraId="0E8DBF90" w14:textId="77777777" w:rsidR="00D13097" w:rsidRPr="00363ABC" w:rsidRDefault="00D13097" w:rsidP="001F1325">
            <w:pPr>
              <w:keepNext w:val="0"/>
              <w:spacing w:before="120" w:after="12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>Comedication with rituximab</w:t>
            </w:r>
          </w:p>
        </w:tc>
        <w:tc>
          <w:tcPr>
            <w:tcW w:w="542" w:type="pct"/>
            <w:tcBorders>
              <w:top w:val="nil"/>
              <w:bottom w:val="single" w:sz="2" w:space="0" w:color="auto"/>
            </w:tcBorders>
          </w:tcPr>
          <w:p w14:paraId="6EFABA4C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-</w:t>
            </w:r>
          </w:p>
        </w:tc>
        <w:tc>
          <w:tcPr>
            <w:tcW w:w="871" w:type="pct"/>
            <w:tcBorders>
              <w:top w:val="nil"/>
              <w:bottom w:val="single" w:sz="2" w:space="0" w:color="auto"/>
            </w:tcBorders>
          </w:tcPr>
          <w:p w14:paraId="23C9DE49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Cs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bCs/>
                <w:noProof/>
                <w:sz w:val="24"/>
                <w:szCs w:val="24"/>
              </w:rPr>
              <w:t>Dichotomous</w:t>
            </w:r>
          </w:p>
        </w:tc>
        <w:tc>
          <w:tcPr>
            <w:tcW w:w="2566" w:type="pct"/>
            <w:tcBorders>
              <w:top w:val="nil"/>
              <w:bottom w:val="single" w:sz="2" w:space="0" w:color="auto"/>
            </w:tcBorders>
          </w:tcPr>
          <w:p w14:paraId="126166EC" w14:textId="77777777" w:rsidR="00D13097" w:rsidRPr="00363ABC" w:rsidRDefault="00D13097" w:rsidP="001F1325">
            <w:pPr>
              <w:keepNext w:val="0"/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noProof/>
                <w:sz w:val="24"/>
                <w:szCs w:val="24"/>
              </w:rPr>
            </w:pPr>
            <w:r w:rsidRPr="00363ABC">
              <w:rPr>
                <w:rFonts w:ascii="Times New Roman" w:hAnsi="Times New Roman"/>
                <w:noProof/>
                <w:sz w:val="24"/>
                <w:szCs w:val="24"/>
              </w:rPr>
              <w:t>Rituximab was only co-administered in study 17067, so a test of the rituximab covariate is entirely confounded with a test of study 17067 versus all other studies</w:t>
            </w:r>
          </w:p>
        </w:tc>
      </w:tr>
    </w:tbl>
    <w:p w14:paraId="0E4592E3" w14:textId="77777777" w:rsidR="00D13097" w:rsidRPr="00363ABC" w:rsidRDefault="00D13097" w:rsidP="00D13097">
      <w:pPr>
        <w:keepNext w:val="0"/>
        <w:spacing w:after="240" w:line="480" w:lineRule="auto"/>
        <w:rPr>
          <w:rFonts w:ascii="Times New Roman" w:hAnsi="Times New Roman" w:cs="Times New Roman"/>
          <w:noProof/>
          <w:sz w:val="24"/>
          <w:szCs w:val="24"/>
        </w:rPr>
      </w:pPr>
      <w:r w:rsidRPr="00363ABC">
        <w:rPr>
          <w:rFonts w:ascii="Times New Roman" w:hAnsi="Times New Roman" w:cs="Times New Roman"/>
          <w:noProof/>
          <w:sz w:val="24"/>
          <w:szCs w:val="24"/>
        </w:rPr>
        <w:t xml:space="preserve">Abbreviations: CYP450 3A, cytochrome P450 3A; </w:t>
      </w:r>
      <w:r>
        <w:rPr>
          <w:rFonts w:ascii="Times New Roman" w:hAnsi="Times New Roman" w:cs="Times New Roman"/>
          <w:noProof/>
          <w:sz w:val="24"/>
          <w:szCs w:val="24"/>
        </w:rPr>
        <w:t>e</w:t>
      </w:r>
      <w:r w:rsidRPr="00363ABC">
        <w:rPr>
          <w:rFonts w:ascii="Times New Roman" w:hAnsi="Times New Roman" w:cs="Times New Roman"/>
          <w:noProof/>
          <w:sz w:val="24"/>
          <w:szCs w:val="24"/>
        </w:rPr>
        <w:t>GFR, estimated glomerular filtration rate; Pgp, permeability glycoprotein.</w:t>
      </w:r>
      <w:r>
        <w:rPr>
          <w:rFonts w:ascii="Times New Roman" w:hAnsi="Times New Roman" w:cs="Times New Roman"/>
          <w:noProof/>
          <w:sz w:val="24"/>
          <w:szCs w:val="24"/>
        </w:rPr>
        <w:br/>
      </w:r>
      <w:r w:rsidRPr="00363ABC">
        <w:rPr>
          <w:rFonts w:ascii="Times New Roman" w:hAnsi="Times New Roman" w:cs="Times New Roman"/>
          <w:noProof/>
          <w:sz w:val="24"/>
          <w:szCs w:val="24"/>
          <w:vertAlign w:val="superscript"/>
        </w:rPr>
        <w:t>a</w:t>
      </w:r>
      <w:r>
        <w:rPr>
          <w:rFonts w:ascii="Times New Roman" w:hAnsi="Times New Roman" w:cs="Times New Roman"/>
          <w:noProof/>
          <w:sz w:val="24"/>
          <w:szCs w:val="24"/>
        </w:rPr>
        <w:t>e</w:t>
      </w:r>
      <w:r w:rsidRPr="00363ABC">
        <w:rPr>
          <w:rFonts w:ascii="Times New Roman" w:hAnsi="Times New Roman" w:cs="Times New Roman"/>
          <w:noProof/>
          <w:sz w:val="24"/>
          <w:szCs w:val="24"/>
        </w:rPr>
        <w:t>GFR calculated using the equation of the Chronic Kidney Disease Epidemiology Collaboration</w:t>
      </w:r>
      <w:r w:rsidRPr="00363ABC">
        <w:rPr>
          <w:rFonts w:ascii="Times New Roman" w:hAnsi="Times New Roman" w:cs="Times New Roman"/>
          <w:noProof/>
          <w:sz w:val="24"/>
          <w:szCs w:val="24"/>
          <w:vertAlign w:val="superscript"/>
        </w:rPr>
        <w:t>1</w:t>
      </w:r>
      <w:r w:rsidRPr="00363ABC">
        <w:rPr>
          <w:rFonts w:ascii="Times New Roman" w:hAnsi="Times New Roman" w:cs="Times New Roman"/>
          <w:noProof/>
          <w:sz w:val="24"/>
          <w:szCs w:val="24"/>
        </w:rPr>
        <w:t xml:space="preserve"> but with units converted from mL/min/1.73</w:t>
      </w:r>
      <w:r>
        <w:rPr>
          <w:rFonts w:ascii="Times New Roman" w:hAnsi="Times New Roman" w:cs="Times New Roman"/>
          <w:noProof/>
          <w:sz w:val="24"/>
          <w:szCs w:val="24"/>
        </w:rPr>
        <w:t> </w:t>
      </w:r>
      <w:r w:rsidRPr="00363ABC">
        <w:rPr>
          <w:rFonts w:ascii="Times New Roman" w:hAnsi="Times New Roman" w:cs="Times New Roman"/>
          <w:noProof/>
          <w:sz w:val="24"/>
          <w:szCs w:val="24"/>
        </w:rPr>
        <w:t>m</w:t>
      </w:r>
      <w:r w:rsidRPr="00363ABC">
        <w:rPr>
          <w:rFonts w:ascii="Times New Roman" w:hAnsi="Times New Roman" w:cs="Times New Roman"/>
          <w:noProof/>
          <w:sz w:val="24"/>
          <w:szCs w:val="24"/>
          <w:vertAlign w:val="superscript"/>
        </w:rPr>
        <w:t>2</w:t>
      </w:r>
      <w:r w:rsidRPr="00363ABC">
        <w:rPr>
          <w:rFonts w:ascii="Times New Roman" w:hAnsi="Times New Roman" w:cs="Times New Roman"/>
          <w:noProof/>
          <w:sz w:val="24"/>
          <w:szCs w:val="24"/>
        </w:rPr>
        <w:t xml:space="preserve"> to mL/min according to recent US Food and Drug Administration draft guidance.</w:t>
      </w:r>
      <w:r w:rsidRPr="008021A9">
        <w:rPr>
          <w:rFonts w:ascii="Times New Roman" w:hAnsi="Times New Roman" w:cs="Times New Roman"/>
          <w:noProof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noProof/>
          <w:sz w:val="24"/>
          <w:szCs w:val="24"/>
        </w:rPr>
        <w:br/>
      </w:r>
      <w:r w:rsidRPr="00363ABC">
        <w:rPr>
          <w:rFonts w:ascii="Times New Roman" w:hAnsi="Times New Roman" w:cs="Times New Roman"/>
          <w:noProof/>
          <w:sz w:val="24"/>
          <w:szCs w:val="24"/>
          <w:vertAlign w:val="superscript"/>
        </w:rPr>
        <w:t>b</w:t>
      </w:r>
      <w:r w:rsidRPr="00363ABC">
        <w:rPr>
          <w:rFonts w:ascii="Times New Roman" w:hAnsi="Times New Roman" w:cs="Times New Roman"/>
          <w:noProof/>
          <w:sz w:val="24"/>
          <w:szCs w:val="24"/>
        </w:rPr>
        <w:t>Category of hepatic impairment according to criteria of</w:t>
      </w:r>
      <w:r w:rsidRPr="003F6AFE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Pr="00363ABC">
        <w:rPr>
          <w:rFonts w:ascii="Times New Roman" w:hAnsi="Times New Roman" w:cs="Times New Roman"/>
          <w:noProof/>
          <w:sz w:val="24"/>
          <w:szCs w:val="24"/>
        </w:rPr>
        <w:t>National Cancer Institute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Pr="00363ABC">
        <w:rPr>
          <w:rFonts w:ascii="Times New Roman" w:hAnsi="Times New Roman" w:cs="Times New Roman"/>
          <w:noProof/>
          <w:sz w:val="24"/>
          <w:szCs w:val="24"/>
        </w:rPr>
        <w:t>Organ Dysfunction Working Group.</w:t>
      </w:r>
      <w:r w:rsidRPr="00363ABC">
        <w:rPr>
          <w:rFonts w:ascii="Times New Roman" w:hAnsi="Times New Roman" w:cs="Times New Roman"/>
          <w:noProof/>
          <w:sz w:val="24"/>
          <w:szCs w:val="24"/>
          <w:vertAlign w:val="superscript"/>
        </w:rPr>
        <w:t>3</w:t>
      </w:r>
    </w:p>
    <w:p w14:paraId="1E20D3DA" w14:textId="77777777" w:rsidR="00D13097" w:rsidRPr="00363ABC" w:rsidRDefault="00D13097" w:rsidP="00D13097">
      <w:pPr>
        <w:keepNext w:val="0"/>
        <w:spacing w:after="240" w:line="480" w:lineRule="auto"/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363ABC">
        <w:rPr>
          <w:rFonts w:ascii="Times New Roman" w:hAnsi="Times New Roman" w:cs="Times New Roman"/>
          <w:b/>
          <w:bCs/>
          <w:noProof/>
          <w:sz w:val="24"/>
          <w:szCs w:val="24"/>
        </w:rPr>
        <w:lastRenderedPageBreak/>
        <w:t>REFERENCES</w:t>
      </w:r>
    </w:p>
    <w:p w14:paraId="6C6C0D50" w14:textId="77777777" w:rsidR="00D13097" w:rsidRPr="008021A9" w:rsidRDefault="00D13097" w:rsidP="00D13097">
      <w:pPr>
        <w:pStyle w:val="EndNoteBibliography"/>
        <w:keepNext w:val="0"/>
        <w:spacing w:after="240"/>
        <w:ind w:left="720" w:hanging="720"/>
        <w:rPr>
          <w:bCs/>
        </w:rPr>
      </w:pPr>
      <w:r w:rsidRPr="008021A9">
        <w:rPr>
          <w:bCs/>
        </w:rPr>
        <w:t>1.</w:t>
      </w:r>
      <w:r w:rsidRPr="008021A9">
        <w:rPr>
          <w:bCs/>
        </w:rPr>
        <w:tab/>
        <w:t>Levey, A.S.</w:t>
      </w:r>
      <w:r w:rsidRPr="008021A9">
        <w:rPr>
          <w:bCs/>
          <w:i/>
        </w:rPr>
        <w:t xml:space="preserve"> et al.</w:t>
      </w:r>
      <w:r w:rsidRPr="008021A9">
        <w:rPr>
          <w:bCs/>
        </w:rPr>
        <w:t xml:space="preserve"> A new equation to estimate glomerular filtration rate. </w:t>
      </w:r>
      <w:r w:rsidRPr="008021A9">
        <w:rPr>
          <w:bCs/>
          <w:i/>
        </w:rPr>
        <w:t>Ann</w:t>
      </w:r>
      <w:r>
        <w:rPr>
          <w:bCs/>
          <w:i/>
        </w:rPr>
        <w:t>.</w:t>
      </w:r>
      <w:r w:rsidRPr="008021A9">
        <w:rPr>
          <w:bCs/>
          <w:i/>
        </w:rPr>
        <w:t xml:space="preserve"> Intern</w:t>
      </w:r>
      <w:r>
        <w:rPr>
          <w:bCs/>
          <w:i/>
        </w:rPr>
        <w:t>.</w:t>
      </w:r>
      <w:r w:rsidRPr="008021A9">
        <w:rPr>
          <w:bCs/>
          <w:i/>
        </w:rPr>
        <w:t xml:space="preserve"> Med</w:t>
      </w:r>
      <w:r>
        <w:rPr>
          <w:bCs/>
          <w:i/>
        </w:rPr>
        <w:t>.</w:t>
      </w:r>
      <w:r w:rsidRPr="008021A9">
        <w:rPr>
          <w:bCs/>
          <w:i/>
        </w:rPr>
        <w:t xml:space="preserve"> </w:t>
      </w:r>
      <w:r w:rsidRPr="008021A9">
        <w:rPr>
          <w:bCs/>
        </w:rPr>
        <w:t>150, 604–612 (2009).</w:t>
      </w:r>
    </w:p>
    <w:p w14:paraId="08479BF8" w14:textId="77777777" w:rsidR="00D13097" w:rsidRPr="008021A9" w:rsidRDefault="00D13097" w:rsidP="00D13097">
      <w:pPr>
        <w:pStyle w:val="EndNoteBibliography"/>
        <w:keepNext w:val="0"/>
        <w:spacing w:after="240"/>
        <w:ind w:left="720" w:hanging="720"/>
        <w:rPr>
          <w:bCs/>
        </w:rPr>
      </w:pPr>
      <w:r w:rsidRPr="008021A9">
        <w:rPr>
          <w:bCs/>
        </w:rPr>
        <w:t>2.</w:t>
      </w:r>
      <w:r w:rsidRPr="008021A9">
        <w:rPr>
          <w:bCs/>
        </w:rPr>
        <w:tab/>
        <w:t>US Food and Drug Administration &amp; Center for Drug Evaluation and Research. Draft Guidance for Industry. Pharmacokinetics in patients with impaired renal function: study design, data analysis, and impact on dosing and labeling. &lt;</w:t>
      </w:r>
      <w:r w:rsidRPr="00A86917">
        <w:rPr>
          <w:bCs/>
        </w:rPr>
        <w:t>https://www.fda.gov/regulatory-information/search-fda-guidance-documents/pharmacokinetics-patients-impaired-renal-function-study-design-data-analysis-and-impact-dosing-and</w:t>
      </w:r>
      <w:r w:rsidRPr="008021A9">
        <w:rPr>
          <w:bCs/>
        </w:rPr>
        <w:t>&gt; (2020). Accessed January 18, 202</w:t>
      </w:r>
      <w:r>
        <w:rPr>
          <w:bCs/>
        </w:rPr>
        <w:t>3</w:t>
      </w:r>
      <w:r w:rsidRPr="008021A9">
        <w:rPr>
          <w:bCs/>
        </w:rPr>
        <w:t>.</w:t>
      </w:r>
    </w:p>
    <w:p w14:paraId="3E372DC5" w14:textId="77777777" w:rsidR="00D13097" w:rsidRPr="008021A9" w:rsidRDefault="00D13097" w:rsidP="00D13097">
      <w:pPr>
        <w:pStyle w:val="EndNoteBibliography"/>
        <w:keepNext w:val="0"/>
        <w:spacing w:after="240"/>
        <w:ind w:left="720" w:hanging="720"/>
        <w:rPr>
          <w:bCs/>
          <w:szCs w:val="24"/>
        </w:rPr>
      </w:pPr>
      <w:r w:rsidRPr="008021A9">
        <w:rPr>
          <w:bCs/>
        </w:rPr>
        <w:t>3.</w:t>
      </w:r>
      <w:r w:rsidRPr="008021A9">
        <w:rPr>
          <w:bCs/>
        </w:rPr>
        <w:tab/>
        <w:t>Ramalingam, S.S.</w:t>
      </w:r>
      <w:r w:rsidRPr="008021A9">
        <w:rPr>
          <w:bCs/>
          <w:i/>
        </w:rPr>
        <w:t xml:space="preserve"> et al.</w:t>
      </w:r>
      <w:r w:rsidRPr="008021A9">
        <w:rPr>
          <w:bCs/>
        </w:rPr>
        <w:t xml:space="preserve"> Phase I study of vorinostat in patients with advanced solid tumors and hepatic dysfunction: a National Cancer Institute Organ Dysfunction Working Group study. </w:t>
      </w:r>
      <w:r w:rsidRPr="008021A9">
        <w:rPr>
          <w:bCs/>
          <w:i/>
        </w:rPr>
        <w:t>J</w:t>
      </w:r>
      <w:r>
        <w:rPr>
          <w:bCs/>
          <w:i/>
        </w:rPr>
        <w:t>.</w:t>
      </w:r>
      <w:r w:rsidRPr="008021A9">
        <w:rPr>
          <w:bCs/>
          <w:i/>
        </w:rPr>
        <w:t xml:space="preserve"> Clin</w:t>
      </w:r>
      <w:r>
        <w:rPr>
          <w:bCs/>
          <w:i/>
        </w:rPr>
        <w:t>.</w:t>
      </w:r>
      <w:r w:rsidRPr="008021A9">
        <w:rPr>
          <w:bCs/>
          <w:i/>
        </w:rPr>
        <w:t xml:space="preserve"> Oncol</w:t>
      </w:r>
      <w:r>
        <w:rPr>
          <w:bCs/>
          <w:i/>
        </w:rPr>
        <w:t>.</w:t>
      </w:r>
      <w:r w:rsidRPr="008021A9">
        <w:rPr>
          <w:bCs/>
          <w:i/>
        </w:rPr>
        <w:t xml:space="preserve"> </w:t>
      </w:r>
      <w:r w:rsidRPr="008021A9">
        <w:rPr>
          <w:bCs/>
        </w:rPr>
        <w:t>28, 4507–4512 (2010).</w:t>
      </w:r>
    </w:p>
    <w:p w14:paraId="4ED38E51" w14:textId="2CF20017" w:rsidR="00D13097" w:rsidRDefault="00D13097">
      <w:pPr>
        <w:keepNext w:val="0"/>
        <w:rPr>
          <w:rFonts w:ascii="Times New Roman" w:eastAsiaTheme="minorEastAsia" w:hAnsi="Times New Roman" w:cs="Times New Roman"/>
          <w:noProof/>
          <w:sz w:val="24"/>
          <w:szCs w:val="24"/>
          <w:lang w:eastAsia="de-DE"/>
        </w:rPr>
      </w:pPr>
      <w:r>
        <w:rPr>
          <w:rFonts w:eastAsiaTheme="minorEastAsia"/>
          <w:szCs w:val="24"/>
          <w:lang w:eastAsia="de-DE"/>
        </w:rPr>
        <w:br w:type="page"/>
      </w:r>
    </w:p>
    <w:p w14:paraId="3FEC6D8E" w14:textId="77777777" w:rsidR="00D13097" w:rsidRPr="00DC218B" w:rsidRDefault="00D13097" w:rsidP="00D13097">
      <w:pPr>
        <w:keepNext w:val="0"/>
        <w:spacing w:after="240" w:line="480" w:lineRule="auto"/>
        <w:rPr>
          <w:rFonts w:ascii="Times New Roman" w:hAnsi="Times New Roman" w:cs="Times New Roman"/>
          <w:sz w:val="24"/>
          <w:szCs w:val="24"/>
        </w:rPr>
      </w:pPr>
      <w:r w:rsidRPr="00DC218B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Table S3.  </w:t>
      </w:r>
      <w:r w:rsidRPr="00DC218B">
        <w:rPr>
          <w:rFonts w:ascii="Times New Roman" w:hAnsi="Times New Roman" w:cs="Times New Roman"/>
          <w:sz w:val="24"/>
          <w:szCs w:val="24"/>
        </w:rPr>
        <w:t xml:space="preserve">Clinical covariates investigated in the </w:t>
      </w:r>
      <w:bookmarkStart w:id="0" w:name="_Hlk124503478"/>
      <w:r w:rsidRPr="00DC218B">
        <w:rPr>
          <w:rFonts w:ascii="Times New Roman" w:hAnsi="Times New Roman" w:cs="Times New Roman"/>
          <w:sz w:val="24"/>
          <w:szCs w:val="24"/>
        </w:rPr>
        <w:t xml:space="preserve">exposure–response </w:t>
      </w:r>
      <w:proofErr w:type="gramStart"/>
      <w:r w:rsidRPr="00DC218B">
        <w:rPr>
          <w:rFonts w:ascii="Times New Roman" w:hAnsi="Times New Roman" w:cs="Times New Roman"/>
          <w:sz w:val="24"/>
          <w:szCs w:val="24"/>
        </w:rPr>
        <w:t>models</w:t>
      </w:r>
      <w:bookmarkEnd w:id="0"/>
      <w:proofErr w:type="gramEnd"/>
    </w:p>
    <w:tbl>
      <w:tblPr>
        <w:tblStyle w:val="BayerTable"/>
        <w:tblW w:w="13750" w:type="dxa"/>
        <w:tblLayout w:type="fixed"/>
        <w:tblLook w:val="0660" w:firstRow="1" w:lastRow="1" w:firstColumn="0" w:lastColumn="0" w:noHBand="1" w:noVBand="1"/>
      </w:tblPr>
      <w:tblGrid>
        <w:gridCol w:w="2552"/>
        <w:gridCol w:w="3969"/>
        <w:gridCol w:w="2551"/>
        <w:gridCol w:w="4678"/>
      </w:tblGrid>
      <w:tr w:rsidR="00D13097" w:rsidRPr="00DC218B" w14:paraId="1F5DAA29" w14:textId="77777777" w:rsidTr="001F132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4"/>
        </w:trPr>
        <w:tc>
          <w:tcPr>
            <w:tcW w:w="2552" w:type="dxa"/>
            <w:tcBorders>
              <w:top w:val="single" w:sz="2" w:space="0" w:color="auto"/>
            </w:tcBorders>
            <w:noWrap/>
            <w:vAlign w:val="center"/>
          </w:tcPr>
          <w:p w14:paraId="6C33BAF2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DC218B">
              <w:rPr>
                <w:rFonts w:ascii="Times New Roman" w:hAnsi="Times New Roman"/>
                <w:sz w:val="24"/>
                <w:szCs w:val="24"/>
              </w:rPr>
              <w:t>Variable</w:t>
            </w:r>
          </w:p>
        </w:tc>
        <w:tc>
          <w:tcPr>
            <w:tcW w:w="3969" w:type="dxa"/>
            <w:tcBorders>
              <w:top w:val="single" w:sz="2" w:space="0" w:color="auto"/>
            </w:tcBorders>
          </w:tcPr>
          <w:p w14:paraId="1797D85E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DC218B">
              <w:rPr>
                <w:rFonts w:ascii="Times New Roman" w:hAnsi="Times New Roman"/>
                <w:sz w:val="24"/>
                <w:szCs w:val="24"/>
              </w:rPr>
              <w:t xml:space="preserve">Definition or </w:t>
            </w:r>
            <w:proofErr w:type="spellStart"/>
            <w:r w:rsidRPr="00DC218B">
              <w:rPr>
                <w:rFonts w:ascii="Times New Roman" w:hAnsi="Times New Roman"/>
                <w:sz w:val="24"/>
                <w:szCs w:val="24"/>
              </w:rPr>
              <w:t>categories</w:t>
            </w:r>
            <w:r w:rsidRPr="00DC218B">
              <w:rPr>
                <w:rFonts w:ascii="Times New Roman" w:hAnsi="Times New Roman"/>
                <w:sz w:val="24"/>
                <w:szCs w:val="24"/>
                <w:vertAlign w:val="superscript"/>
              </w:rPr>
              <w:t>a</w:t>
            </w:r>
            <w:proofErr w:type="spellEnd"/>
          </w:p>
        </w:tc>
        <w:tc>
          <w:tcPr>
            <w:tcW w:w="2551" w:type="dxa"/>
            <w:tcBorders>
              <w:top w:val="single" w:sz="2" w:space="0" w:color="auto"/>
            </w:tcBorders>
          </w:tcPr>
          <w:p w14:paraId="37544AC4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DC218B">
              <w:rPr>
                <w:rFonts w:ascii="Times New Roman" w:hAnsi="Times New Roman"/>
                <w:sz w:val="24"/>
                <w:szCs w:val="24"/>
              </w:rPr>
              <w:t>ER model</w:t>
            </w:r>
          </w:p>
        </w:tc>
        <w:tc>
          <w:tcPr>
            <w:tcW w:w="4678" w:type="dxa"/>
            <w:tcBorders>
              <w:top w:val="single" w:sz="2" w:space="0" w:color="auto"/>
            </w:tcBorders>
          </w:tcPr>
          <w:p w14:paraId="37C51905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DC218B">
              <w:rPr>
                <w:rFonts w:ascii="Times New Roman" w:hAnsi="Times New Roman"/>
                <w:sz w:val="24"/>
                <w:szCs w:val="24"/>
              </w:rPr>
              <w:t>Rationale</w:t>
            </w:r>
          </w:p>
        </w:tc>
      </w:tr>
      <w:tr w:rsidR="00D13097" w:rsidRPr="00DC218B" w14:paraId="1E4C8D63" w14:textId="77777777" w:rsidTr="001F1325">
        <w:trPr>
          <w:cantSplit w:val="0"/>
          <w:trHeight w:val="264"/>
        </w:trPr>
        <w:tc>
          <w:tcPr>
            <w:tcW w:w="2552" w:type="dxa"/>
            <w:tcBorders>
              <w:top w:val="single" w:sz="6" w:space="0" w:color="auto"/>
            </w:tcBorders>
            <w:noWrap/>
          </w:tcPr>
          <w:p w14:paraId="6755BC76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Treatment arm</w:t>
            </w:r>
          </w:p>
        </w:tc>
        <w:tc>
          <w:tcPr>
            <w:tcW w:w="3969" w:type="dxa"/>
            <w:tcBorders>
              <w:top w:val="single" w:sz="6" w:space="0" w:color="auto"/>
            </w:tcBorders>
          </w:tcPr>
          <w:p w14:paraId="5F2BE557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 xml:space="preserve">1 for the </w:t>
            </w:r>
            <w:proofErr w:type="spellStart"/>
            <w:r w:rsidRPr="00DC218B">
              <w:rPr>
                <w:sz w:val="24"/>
                <w:szCs w:val="24"/>
              </w:rPr>
              <w:t>copanlisib</w:t>
            </w:r>
            <w:proofErr w:type="spellEnd"/>
            <w:r w:rsidRPr="00DC218B">
              <w:rPr>
                <w:sz w:val="24"/>
                <w:szCs w:val="24"/>
              </w:rPr>
              <w:t xml:space="preserve"> plus rituximab treatment arm</w:t>
            </w:r>
          </w:p>
          <w:p w14:paraId="320A18B7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0 for the placebo plus rituximab treatment arm</w:t>
            </w:r>
          </w:p>
        </w:tc>
        <w:tc>
          <w:tcPr>
            <w:tcW w:w="2551" w:type="dxa"/>
            <w:tcBorders>
              <w:top w:val="single" w:sz="6" w:space="0" w:color="auto"/>
            </w:tcBorders>
          </w:tcPr>
          <w:p w14:paraId="486303B7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Exposure–efficacy and exposure–safety</w:t>
            </w:r>
          </w:p>
        </w:tc>
        <w:tc>
          <w:tcPr>
            <w:tcW w:w="4678" w:type="dxa"/>
            <w:tcBorders>
              <w:top w:val="single" w:sz="6" w:space="0" w:color="auto"/>
            </w:tcBorders>
          </w:tcPr>
          <w:p w14:paraId="19925827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Might influence safety and efficacy</w:t>
            </w:r>
          </w:p>
        </w:tc>
      </w:tr>
      <w:tr w:rsidR="00D13097" w:rsidRPr="00DC218B" w14:paraId="30D0D7A4" w14:textId="77777777" w:rsidTr="001F1325">
        <w:trPr>
          <w:cantSplit w:val="0"/>
          <w:trHeight w:val="264"/>
        </w:trPr>
        <w:tc>
          <w:tcPr>
            <w:tcW w:w="2552" w:type="dxa"/>
            <w:noWrap/>
          </w:tcPr>
          <w:p w14:paraId="79D8D1CC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 xml:space="preserve">Hypertension </w:t>
            </w:r>
            <w:r w:rsidRPr="00DC218B">
              <w:rPr>
                <w:sz w:val="24"/>
                <w:szCs w:val="24"/>
              </w:rPr>
              <w:br/>
              <w:t>(first infusion)</w:t>
            </w:r>
          </w:p>
        </w:tc>
        <w:tc>
          <w:tcPr>
            <w:tcW w:w="3969" w:type="dxa"/>
          </w:tcPr>
          <w:p w14:paraId="0DF58037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 xml:space="preserve">1 for hypertension during first </w:t>
            </w:r>
            <w:proofErr w:type="spellStart"/>
            <w:r w:rsidRPr="00DC218B">
              <w:rPr>
                <w:sz w:val="24"/>
                <w:szCs w:val="24"/>
              </w:rPr>
              <w:t>copanlisib</w:t>
            </w:r>
            <w:proofErr w:type="spellEnd"/>
            <w:r w:rsidRPr="00DC218B">
              <w:rPr>
                <w:sz w:val="24"/>
                <w:szCs w:val="24"/>
              </w:rPr>
              <w:t xml:space="preserve"> infusion</w:t>
            </w:r>
          </w:p>
          <w:p w14:paraId="1E447042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 xml:space="preserve">0 for no hypertension during first </w:t>
            </w:r>
            <w:proofErr w:type="spellStart"/>
            <w:r w:rsidRPr="00DC218B">
              <w:rPr>
                <w:sz w:val="24"/>
                <w:szCs w:val="24"/>
              </w:rPr>
              <w:t>copanlisib</w:t>
            </w:r>
            <w:proofErr w:type="spellEnd"/>
            <w:r w:rsidRPr="00DC218B">
              <w:rPr>
                <w:sz w:val="24"/>
                <w:szCs w:val="24"/>
              </w:rPr>
              <w:t xml:space="preserve"> infusion</w:t>
            </w:r>
          </w:p>
        </w:tc>
        <w:tc>
          <w:tcPr>
            <w:tcW w:w="2551" w:type="dxa"/>
          </w:tcPr>
          <w:p w14:paraId="4293693F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Exposure–efficacy</w:t>
            </w:r>
          </w:p>
        </w:tc>
        <w:tc>
          <w:tcPr>
            <w:tcW w:w="4678" w:type="dxa"/>
          </w:tcPr>
          <w:p w14:paraId="2C39647D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Question in ER (efficacy): is early hypertension a necessary intermediate pharmacodynamic effect?</w:t>
            </w:r>
          </w:p>
        </w:tc>
      </w:tr>
      <w:tr w:rsidR="00D13097" w:rsidRPr="00DC218B" w14:paraId="4E37D517" w14:textId="77777777" w:rsidTr="001F1325">
        <w:trPr>
          <w:cantSplit w:val="0"/>
          <w:trHeight w:val="264"/>
        </w:trPr>
        <w:tc>
          <w:tcPr>
            <w:tcW w:w="2552" w:type="dxa"/>
            <w:noWrap/>
          </w:tcPr>
          <w:p w14:paraId="56ED8C50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 xml:space="preserve">Hyperglycemia </w:t>
            </w:r>
            <w:r w:rsidRPr="00DC218B">
              <w:rPr>
                <w:sz w:val="24"/>
                <w:szCs w:val="24"/>
              </w:rPr>
              <w:br/>
              <w:t>(first infusion)</w:t>
            </w:r>
          </w:p>
        </w:tc>
        <w:tc>
          <w:tcPr>
            <w:tcW w:w="3969" w:type="dxa"/>
          </w:tcPr>
          <w:p w14:paraId="722CBBD1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 xml:space="preserve">1 for hyperglycemia during first </w:t>
            </w:r>
            <w:proofErr w:type="spellStart"/>
            <w:r w:rsidRPr="00DC218B">
              <w:rPr>
                <w:sz w:val="24"/>
                <w:szCs w:val="24"/>
              </w:rPr>
              <w:t>copanlisib</w:t>
            </w:r>
            <w:proofErr w:type="spellEnd"/>
            <w:r w:rsidRPr="00DC218B">
              <w:rPr>
                <w:sz w:val="24"/>
                <w:szCs w:val="24"/>
              </w:rPr>
              <w:t xml:space="preserve"> infusion</w:t>
            </w:r>
          </w:p>
          <w:p w14:paraId="392E2A33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 xml:space="preserve">0 for no hyperglycemia during first </w:t>
            </w:r>
            <w:proofErr w:type="spellStart"/>
            <w:r w:rsidRPr="00DC218B">
              <w:rPr>
                <w:sz w:val="24"/>
                <w:szCs w:val="24"/>
              </w:rPr>
              <w:t>copanlisib</w:t>
            </w:r>
            <w:proofErr w:type="spellEnd"/>
            <w:r w:rsidRPr="00DC218B">
              <w:rPr>
                <w:sz w:val="24"/>
                <w:szCs w:val="24"/>
              </w:rPr>
              <w:t xml:space="preserve"> infusion</w:t>
            </w:r>
          </w:p>
        </w:tc>
        <w:tc>
          <w:tcPr>
            <w:tcW w:w="2551" w:type="dxa"/>
          </w:tcPr>
          <w:p w14:paraId="3B15C84F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Exposure–efficacy</w:t>
            </w:r>
          </w:p>
        </w:tc>
        <w:tc>
          <w:tcPr>
            <w:tcW w:w="4678" w:type="dxa"/>
          </w:tcPr>
          <w:p w14:paraId="4DB25A1C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 xml:space="preserve">Question in </w:t>
            </w:r>
            <w:bookmarkStart w:id="1" w:name="_Hlk113287095"/>
            <w:r w:rsidRPr="00DC218B">
              <w:rPr>
                <w:sz w:val="24"/>
                <w:szCs w:val="24"/>
              </w:rPr>
              <w:t>ER</w:t>
            </w:r>
            <w:bookmarkEnd w:id="1"/>
            <w:r w:rsidRPr="00DC218B">
              <w:rPr>
                <w:sz w:val="24"/>
                <w:szCs w:val="24"/>
              </w:rPr>
              <w:t xml:space="preserve"> (efficacy): is early hyperglycemia a necessary intermediate pharmacodynamic effect?</w:t>
            </w:r>
          </w:p>
        </w:tc>
      </w:tr>
      <w:tr w:rsidR="00D13097" w:rsidRPr="00DC218B" w14:paraId="4A2D3643" w14:textId="77777777" w:rsidTr="001F1325">
        <w:trPr>
          <w:cantSplit w:val="0"/>
          <w:trHeight w:val="264"/>
        </w:trPr>
        <w:tc>
          <w:tcPr>
            <w:tcW w:w="2552" w:type="dxa"/>
            <w:noWrap/>
          </w:tcPr>
          <w:p w14:paraId="4EF6A2EE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Rituximab exposure</w:t>
            </w:r>
          </w:p>
        </w:tc>
        <w:tc>
          <w:tcPr>
            <w:tcW w:w="3969" w:type="dxa"/>
          </w:tcPr>
          <w:p w14:paraId="66D55A8D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 xml:space="preserve">Individual rituximab pharmacokinetic samples taken on cycle 1, day </w:t>
            </w:r>
            <w:r w:rsidRPr="00DC218B">
              <w:rPr>
                <w:rFonts w:eastAsia="Calibri"/>
                <w:sz w:val="24"/>
                <w:szCs w:val="24"/>
              </w:rPr>
              <w:t xml:space="preserve">15 (third infusion): before infusion and at end of infusion; cycle 1, day 22 (fourth infusion): before infusion and at end of </w:t>
            </w:r>
            <w:proofErr w:type="gramStart"/>
            <w:r w:rsidRPr="00DC218B">
              <w:rPr>
                <w:rFonts w:eastAsia="Calibri"/>
                <w:sz w:val="24"/>
                <w:szCs w:val="24"/>
              </w:rPr>
              <w:t>infusion</w:t>
            </w:r>
            <w:proofErr w:type="gramEnd"/>
          </w:p>
          <w:p w14:paraId="21FFC81D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Tested as above or below median over all patients</w:t>
            </w:r>
          </w:p>
        </w:tc>
        <w:tc>
          <w:tcPr>
            <w:tcW w:w="2551" w:type="dxa"/>
          </w:tcPr>
          <w:p w14:paraId="6CACC1CC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Exposure–efficacy and exposure–safety</w:t>
            </w:r>
          </w:p>
        </w:tc>
        <w:tc>
          <w:tcPr>
            <w:tcW w:w="4678" w:type="dxa"/>
          </w:tcPr>
          <w:p w14:paraId="3A9390F7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Might influence safety and efficacy</w:t>
            </w:r>
          </w:p>
        </w:tc>
      </w:tr>
      <w:tr w:rsidR="00D13097" w:rsidRPr="00DC218B" w14:paraId="69870D4A" w14:textId="77777777" w:rsidTr="001F1325">
        <w:trPr>
          <w:cantSplit w:val="0"/>
          <w:trHeight w:val="264"/>
        </w:trPr>
        <w:tc>
          <w:tcPr>
            <w:tcW w:w="2552" w:type="dxa"/>
            <w:noWrap/>
          </w:tcPr>
          <w:p w14:paraId="43877CB6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lastRenderedPageBreak/>
              <w:t>HbA</w:t>
            </w:r>
            <w:r w:rsidRPr="00DC218B">
              <w:rPr>
                <w:sz w:val="24"/>
                <w:szCs w:val="24"/>
                <w:vertAlign w:val="subscript"/>
              </w:rPr>
              <w:t>1c</w:t>
            </w:r>
          </w:p>
        </w:tc>
        <w:tc>
          <w:tcPr>
            <w:tcW w:w="3969" w:type="dxa"/>
          </w:tcPr>
          <w:p w14:paraId="3FC819D3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1 for HbA</w:t>
            </w:r>
            <w:r w:rsidRPr="00DC218B">
              <w:rPr>
                <w:sz w:val="24"/>
                <w:szCs w:val="24"/>
                <w:vertAlign w:val="subscript"/>
              </w:rPr>
              <w:t>1c</w:t>
            </w:r>
            <w:r w:rsidRPr="00DC218B">
              <w:rPr>
                <w:sz w:val="24"/>
                <w:szCs w:val="24"/>
              </w:rPr>
              <w:t xml:space="preserve"> ≥5.7%</w:t>
            </w:r>
          </w:p>
          <w:p w14:paraId="7A9386F8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0 for HbA</w:t>
            </w:r>
            <w:r w:rsidRPr="00DC218B">
              <w:rPr>
                <w:sz w:val="24"/>
                <w:szCs w:val="24"/>
                <w:vertAlign w:val="subscript"/>
              </w:rPr>
              <w:t>1c</w:t>
            </w:r>
            <w:r w:rsidRPr="00DC218B">
              <w:rPr>
                <w:sz w:val="24"/>
                <w:szCs w:val="24"/>
              </w:rPr>
              <w:t xml:space="preserve"> &lt;5.7%</w:t>
            </w:r>
          </w:p>
        </w:tc>
        <w:tc>
          <w:tcPr>
            <w:tcW w:w="2551" w:type="dxa"/>
          </w:tcPr>
          <w:p w14:paraId="08ADD7B3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Exposure–efficacy and exposure–safety</w:t>
            </w:r>
          </w:p>
        </w:tc>
        <w:tc>
          <w:tcPr>
            <w:tcW w:w="4678" w:type="dxa"/>
          </w:tcPr>
          <w:p w14:paraId="1038AE65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Patients with borderline diabetes might be more prone to hyperglycemia</w:t>
            </w:r>
          </w:p>
        </w:tc>
      </w:tr>
      <w:tr w:rsidR="00D13097" w:rsidRPr="00DC218B" w14:paraId="00746AC4" w14:textId="77777777" w:rsidTr="001F1325">
        <w:trPr>
          <w:cantSplit w:val="0"/>
          <w:trHeight w:val="264"/>
        </w:trPr>
        <w:tc>
          <w:tcPr>
            <w:tcW w:w="2552" w:type="dxa"/>
            <w:noWrap/>
          </w:tcPr>
          <w:p w14:paraId="7D15BD5A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Bulky disease</w:t>
            </w:r>
          </w:p>
        </w:tc>
        <w:tc>
          <w:tcPr>
            <w:tcW w:w="3969" w:type="dxa"/>
          </w:tcPr>
          <w:p w14:paraId="460E0DFF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1 for bulky disease ≥7cm</w:t>
            </w:r>
          </w:p>
          <w:p w14:paraId="243BC37C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0 for bulky disease &lt;7 cm</w:t>
            </w:r>
          </w:p>
        </w:tc>
        <w:tc>
          <w:tcPr>
            <w:tcW w:w="2551" w:type="dxa"/>
          </w:tcPr>
          <w:p w14:paraId="23C72957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Exposure–efficacy and exposure–safety</w:t>
            </w:r>
          </w:p>
        </w:tc>
        <w:tc>
          <w:tcPr>
            <w:tcW w:w="4678" w:type="dxa"/>
          </w:tcPr>
          <w:p w14:paraId="2A89B869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Tumors with additional development might be less likely to respond to treatment</w:t>
            </w:r>
          </w:p>
        </w:tc>
      </w:tr>
      <w:tr w:rsidR="00D13097" w:rsidRPr="00DC218B" w14:paraId="523EE667" w14:textId="77777777" w:rsidTr="001F1325">
        <w:trPr>
          <w:cantSplit w:val="0"/>
          <w:trHeight w:val="264"/>
        </w:trPr>
        <w:tc>
          <w:tcPr>
            <w:tcW w:w="2552" w:type="dxa"/>
            <w:noWrap/>
          </w:tcPr>
          <w:p w14:paraId="0D3093C8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Neutrophil count</w:t>
            </w:r>
          </w:p>
        </w:tc>
        <w:tc>
          <w:tcPr>
            <w:tcW w:w="3969" w:type="dxa"/>
          </w:tcPr>
          <w:p w14:paraId="1BA22A70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1 for absolute neutrophil count ≥3500/mm</w:t>
            </w:r>
            <w:r w:rsidRPr="00DC218B">
              <w:rPr>
                <w:sz w:val="24"/>
                <w:szCs w:val="24"/>
                <w:vertAlign w:val="superscript"/>
              </w:rPr>
              <w:t>3</w:t>
            </w:r>
          </w:p>
          <w:p w14:paraId="3742D44E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0 for absolute neutrophil count &lt;3500/mm</w:t>
            </w:r>
            <w:r w:rsidRPr="00DC218B">
              <w:rPr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2551" w:type="dxa"/>
          </w:tcPr>
          <w:p w14:paraId="19D78CB7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Exposure–efficacy and exposure–safety</w:t>
            </w:r>
          </w:p>
        </w:tc>
        <w:tc>
          <w:tcPr>
            <w:tcW w:w="4678" w:type="dxa"/>
          </w:tcPr>
          <w:p w14:paraId="7D3E1880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Possible influence on neutropenia and infections</w:t>
            </w:r>
          </w:p>
        </w:tc>
      </w:tr>
      <w:tr w:rsidR="00D13097" w:rsidRPr="00DC218B" w14:paraId="7701121C" w14:textId="77777777" w:rsidTr="001F1325">
        <w:trPr>
          <w:cantSplit w:val="0"/>
          <w:trHeight w:val="264"/>
        </w:trPr>
        <w:tc>
          <w:tcPr>
            <w:tcW w:w="2552" w:type="dxa"/>
            <w:noWrap/>
          </w:tcPr>
          <w:p w14:paraId="5219D9A7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Region = North America</w:t>
            </w:r>
          </w:p>
        </w:tc>
        <w:tc>
          <w:tcPr>
            <w:tcW w:w="3969" w:type="dxa"/>
          </w:tcPr>
          <w:p w14:paraId="44BFCC83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1 for North America</w:t>
            </w:r>
          </w:p>
          <w:p w14:paraId="0D158633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0 for rest of the world</w:t>
            </w:r>
          </w:p>
        </w:tc>
        <w:tc>
          <w:tcPr>
            <w:tcW w:w="2551" w:type="dxa"/>
          </w:tcPr>
          <w:p w14:paraId="0DCA0662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Exposure–efficacy and exposure–safety</w:t>
            </w:r>
          </w:p>
        </w:tc>
        <w:tc>
          <w:tcPr>
            <w:tcW w:w="4678" w:type="dxa"/>
          </w:tcPr>
          <w:p w14:paraId="1A638564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Regulatory interest</w:t>
            </w:r>
          </w:p>
        </w:tc>
      </w:tr>
      <w:tr w:rsidR="00D13097" w:rsidRPr="00DC218B" w14:paraId="4840079D" w14:textId="77777777" w:rsidTr="001F1325">
        <w:trPr>
          <w:cantSplit w:val="0"/>
          <w:trHeight w:val="264"/>
        </w:trPr>
        <w:tc>
          <w:tcPr>
            <w:tcW w:w="2552" w:type="dxa"/>
            <w:noWrap/>
          </w:tcPr>
          <w:p w14:paraId="7F20B2A1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Region = Asia/Pacific: China</w:t>
            </w:r>
          </w:p>
        </w:tc>
        <w:tc>
          <w:tcPr>
            <w:tcW w:w="3969" w:type="dxa"/>
          </w:tcPr>
          <w:p w14:paraId="2471D170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1 for China</w:t>
            </w:r>
          </w:p>
          <w:p w14:paraId="3D7C6E69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0 for rest of the world</w:t>
            </w:r>
          </w:p>
        </w:tc>
        <w:tc>
          <w:tcPr>
            <w:tcW w:w="2551" w:type="dxa"/>
          </w:tcPr>
          <w:p w14:paraId="69A478E0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Exposure–efficacy and exposure–safety</w:t>
            </w:r>
          </w:p>
        </w:tc>
        <w:tc>
          <w:tcPr>
            <w:tcW w:w="4678" w:type="dxa"/>
          </w:tcPr>
          <w:p w14:paraId="65BE1532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Regulatory interest</w:t>
            </w:r>
          </w:p>
        </w:tc>
      </w:tr>
      <w:tr w:rsidR="00D13097" w:rsidRPr="00DC218B" w14:paraId="1EB68777" w14:textId="77777777" w:rsidTr="001F1325">
        <w:trPr>
          <w:cantSplit w:val="0"/>
          <w:trHeight w:val="264"/>
        </w:trPr>
        <w:tc>
          <w:tcPr>
            <w:tcW w:w="2552" w:type="dxa"/>
            <w:noWrap/>
          </w:tcPr>
          <w:p w14:paraId="5B70F3D1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Region = Asia/Pacific: Japan</w:t>
            </w:r>
          </w:p>
        </w:tc>
        <w:tc>
          <w:tcPr>
            <w:tcW w:w="3969" w:type="dxa"/>
          </w:tcPr>
          <w:p w14:paraId="17467457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1 for Japan</w:t>
            </w:r>
          </w:p>
          <w:p w14:paraId="04E9F82A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0 for rest of the world</w:t>
            </w:r>
          </w:p>
        </w:tc>
        <w:tc>
          <w:tcPr>
            <w:tcW w:w="2551" w:type="dxa"/>
          </w:tcPr>
          <w:p w14:paraId="1EE20C79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Exposure–efficacy and exposure–safety</w:t>
            </w:r>
          </w:p>
        </w:tc>
        <w:tc>
          <w:tcPr>
            <w:tcW w:w="4678" w:type="dxa"/>
          </w:tcPr>
          <w:p w14:paraId="61052DAF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Regulatory interest</w:t>
            </w:r>
          </w:p>
        </w:tc>
      </w:tr>
      <w:tr w:rsidR="00D13097" w:rsidRPr="00DC218B" w14:paraId="3F0EB65B" w14:textId="77777777" w:rsidTr="001F1325">
        <w:trPr>
          <w:cantSplit w:val="0"/>
          <w:trHeight w:val="264"/>
        </w:trPr>
        <w:tc>
          <w:tcPr>
            <w:tcW w:w="2552" w:type="dxa"/>
            <w:noWrap/>
          </w:tcPr>
          <w:p w14:paraId="5B77A17E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Region = Asia/Pacific: Other</w:t>
            </w:r>
          </w:p>
        </w:tc>
        <w:tc>
          <w:tcPr>
            <w:tcW w:w="3969" w:type="dxa"/>
          </w:tcPr>
          <w:p w14:paraId="177B40A2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1 for Asia/Pacific (not China, Japan, or Australia)</w:t>
            </w:r>
          </w:p>
          <w:p w14:paraId="6E6B42DE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0 for rest of the world</w:t>
            </w:r>
          </w:p>
        </w:tc>
        <w:tc>
          <w:tcPr>
            <w:tcW w:w="2551" w:type="dxa"/>
          </w:tcPr>
          <w:p w14:paraId="23F12B72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Exposure–efficacy and exposure–safety</w:t>
            </w:r>
          </w:p>
        </w:tc>
        <w:tc>
          <w:tcPr>
            <w:tcW w:w="4678" w:type="dxa"/>
          </w:tcPr>
          <w:p w14:paraId="761C845C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Regulatory interest</w:t>
            </w:r>
          </w:p>
        </w:tc>
      </w:tr>
      <w:tr w:rsidR="00D13097" w:rsidRPr="00DC218B" w14:paraId="406543B4" w14:textId="77777777" w:rsidTr="001F1325">
        <w:trPr>
          <w:cantSplit w:val="0"/>
          <w:trHeight w:val="264"/>
        </w:trPr>
        <w:tc>
          <w:tcPr>
            <w:tcW w:w="2552" w:type="dxa"/>
            <w:noWrap/>
          </w:tcPr>
          <w:p w14:paraId="3276A17E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Age</w:t>
            </w:r>
          </w:p>
        </w:tc>
        <w:tc>
          <w:tcPr>
            <w:tcW w:w="3969" w:type="dxa"/>
          </w:tcPr>
          <w:p w14:paraId="0C1E2FD9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1 for ≥65 years</w:t>
            </w:r>
          </w:p>
          <w:p w14:paraId="7D1E5FD6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0 for &lt;65 years</w:t>
            </w:r>
          </w:p>
        </w:tc>
        <w:tc>
          <w:tcPr>
            <w:tcW w:w="2551" w:type="dxa"/>
          </w:tcPr>
          <w:p w14:paraId="114F83F0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Exposure–efficacy and exposure–safety</w:t>
            </w:r>
          </w:p>
        </w:tc>
        <w:tc>
          <w:tcPr>
            <w:tcW w:w="4678" w:type="dxa"/>
          </w:tcPr>
          <w:p w14:paraId="328556F2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Age might influence response</w:t>
            </w:r>
          </w:p>
        </w:tc>
      </w:tr>
      <w:tr w:rsidR="00D13097" w:rsidRPr="00DC218B" w14:paraId="7285DC82" w14:textId="77777777" w:rsidTr="001F1325">
        <w:trPr>
          <w:cantSplit w:val="0"/>
          <w:trHeight w:val="264"/>
        </w:trPr>
        <w:tc>
          <w:tcPr>
            <w:tcW w:w="2552" w:type="dxa"/>
            <w:noWrap/>
          </w:tcPr>
          <w:p w14:paraId="07E3164D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Recent chemotherapy treatment</w:t>
            </w:r>
          </w:p>
        </w:tc>
        <w:tc>
          <w:tcPr>
            <w:tcW w:w="3969" w:type="dxa"/>
          </w:tcPr>
          <w:p w14:paraId="2DDB4D82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 xml:space="preserve">1 for any recent treatment that included </w:t>
            </w:r>
            <w:proofErr w:type="gramStart"/>
            <w:r w:rsidRPr="00DC218B">
              <w:rPr>
                <w:sz w:val="24"/>
                <w:szCs w:val="24"/>
              </w:rPr>
              <w:t>chemotherapy</w:t>
            </w:r>
            <w:proofErr w:type="gramEnd"/>
          </w:p>
          <w:p w14:paraId="51393D48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lastRenderedPageBreak/>
              <w:t>0 for any recent treatment that did not include chemotherapy</w:t>
            </w:r>
          </w:p>
        </w:tc>
        <w:tc>
          <w:tcPr>
            <w:tcW w:w="2551" w:type="dxa"/>
          </w:tcPr>
          <w:p w14:paraId="1BF0D0D2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lastRenderedPageBreak/>
              <w:t>Exposure–efficacy and exposure–safety</w:t>
            </w:r>
          </w:p>
        </w:tc>
        <w:tc>
          <w:tcPr>
            <w:tcW w:w="4678" w:type="dxa"/>
          </w:tcPr>
          <w:p w14:paraId="0087BDB8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Increased tolerance of the tumor</w:t>
            </w:r>
          </w:p>
        </w:tc>
      </w:tr>
      <w:tr w:rsidR="00D13097" w:rsidRPr="00DC218B" w14:paraId="30FE06AE" w14:textId="77777777" w:rsidTr="001F1325">
        <w:trPr>
          <w:cantSplit w:val="0"/>
          <w:trHeight w:val="264"/>
        </w:trPr>
        <w:tc>
          <w:tcPr>
            <w:tcW w:w="2552" w:type="dxa"/>
            <w:noWrap/>
          </w:tcPr>
          <w:p w14:paraId="14696EED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bCs/>
                <w:sz w:val="24"/>
                <w:szCs w:val="24"/>
              </w:rPr>
              <w:t>Recent rituximab treatment</w:t>
            </w:r>
          </w:p>
        </w:tc>
        <w:tc>
          <w:tcPr>
            <w:tcW w:w="3969" w:type="dxa"/>
          </w:tcPr>
          <w:p w14:paraId="2BD13751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bCs/>
                <w:sz w:val="24"/>
                <w:szCs w:val="24"/>
              </w:rPr>
              <w:t xml:space="preserve">1 for most recent treatment that included </w:t>
            </w:r>
            <w:proofErr w:type="gramStart"/>
            <w:r w:rsidRPr="00DC218B">
              <w:rPr>
                <w:bCs/>
                <w:sz w:val="24"/>
                <w:szCs w:val="24"/>
              </w:rPr>
              <w:t>rituximab</w:t>
            </w:r>
            <w:proofErr w:type="gramEnd"/>
          </w:p>
          <w:p w14:paraId="1443E144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bCs/>
                <w:sz w:val="24"/>
                <w:szCs w:val="24"/>
              </w:rPr>
              <w:t>0 for most recent treatment that did not include rituximab</w:t>
            </w:r>
          </w:p>
        </w:tc>
        <w:tc>
          <w:tcPr>
            <w:tcW w:w="2551" w:type="dxa"/>
          </w:tcPr>
          <w:p w14:paraId="0B25A215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bCs/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Exposure–efficacy and exposure–safety</w:t>
            </w:r>
          </w:p>
        </w:tc>
        <w:tc>
          <w:tcPr>
            <w:tcW w:w="4678" w:type="dxa"/>
          </w:tcPr>
          <w:p w14:paraId="3DC7B1D5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bCs/>
                <w:sz w:val="24"/>
                <w:szCs w:val="24"/>
              </w:rPr>
              <w:t>Increased tolerance of the tumor</w:t>
            </w:r>
          </w:p>
        </w:tc>
      </w:tr>
      <w:tr w:rsidR="00D13097" w:rsidRPr="00DC218B" w14:paraId="700F97DF" w14:textId="77777777" w:rsidTr="001F1325">
        <w:trPr>
          <w:cantSplit w:val="0"/>
          <w:trHeight w:val="264"/>
        </w:trPr>
        <w:tc>
          <w:tcPr>
            <w:tcW w:w="2552" w:type="dxa"/>
            <w:noWrap/>
          </w:tcPr>
          <w:p w14:paraId="1C5313EF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Refractory disease</w:t>
            </w:r>
          </w:p>
        </w:tc>
        <w:tc>
          <w:tcPr>
            <w:tcW w:w="3969" w:type="dxa"/>
          </w:tcPr>
          <w:p w14:paraId="3A307FAE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1 for refractory to previous treatment</w:t>
            </w:r>
          </w:p>
          <w:p w14:paraId="719F1777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0 for not refractory to previous treatment</w:t>
            </w:r>
          </w:p>
        </w:tc>
        <w:tc>
          <w:tcPr>
            <w:tcW w:w="2551" w:type="dxa"/>
          </w:tcPr>
          <w:p w14:paraId="7F542796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Exposure–efficacy and exposure–safety</w:t>
            </w:r>
          </w:p>
        </w:tc>
        <w:tc>
          <w:tcPr>
            <w:tcW w:w="4678" w:type="dxa"/>
          </w:tcPr>
          <w:p w14:paraId="5A7FB355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Refractory tumors might be less likely to respond to treatment</w:t>
            </w:r>
          </w:p>
        </w:tc>
      </w:tr>
      <w:tr w:rsidR="00D13097" w:rsidRPr="00DC218B" w14:paraId="5DC4632A" w14:textId="77777777" w:rsidTr="001F1325">
        <w:trPr>
          <w:cantSplit w:val="0"/>
          <w:trHeight w:val="264"/>
        </w:trPr>
        <w:tc>
          <w:tcPr>
            <w:tcW w:w="2552" w:type="dxa"/>
            <w:noWrap/>
          </w:tcPr>
          <w:p w14:paraId="2142379B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Systemic cancer treatments</w:t>
            </w:r>
          </w:p>
        </w:tc>
        <w:tc>
          <w:tcPr>
            <w:tcW w:w="3969" w:type="dxa"/>
          </w:tcPr>
          <w:p w14:paraId="045BF6E0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1 for ≥4 previous systemic cancer treatments</w:t>
            </w:r>
          </w:p>
          <w:p w14:paraId="571AA061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0 for &lt;4 previous systemic cancer treatments</w:t>
            </w:r>
          </w:p>
        </w:tc>
        <w:tc>
          <w:tcPr>
            <w:tcW w:w="2551" w:type="dxa"/>
          </w:tcPr>
          <w:p w14:paraId="33877B23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Exposure–efficacy and exposure–safety</w:t>
            </w:r>
          </w:p>
        </w:tc>
        <w:tc>
          <w:tcPr>
            <w:tcW w:w="4678" w:type="dxa"/>
          </w:tcPr>
          <w:p w14:paraId="6F8BB5A5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The more treatments a patient has received, the more susceptible they might be to adverse events and the more differentiated the tumor might be</w:t>
            </w:r>
          </w:p>
        </w:tc>
      </w:tr>
      <w:tr w:rsidR="00D13097" w:rsidRPr="00DC218B" w14:paraId="5CC03056" w14:textId="77777777" w:rsidTr="001F1325">
        <w:trPr>
          <w:cantSplit w:val="0"/>
          <w:trHeight w:val="264"/>
        </w:trPr>
        <w:tc>
          <w:tcPr>
            <w:tcW w:w="2552" w:type="dxa"/>
            <w:noWrap/>
          </w:tcPr>
          <w:p w14:paraId="521D3592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ECOG score</w:t>
            </w:r>
          </w:p>
        </w:tc>
        <w:tc>
          <w:tcPr>
            <w:tcW w:w="3969" w:type="dxa"/>
          </w:tcPr>
          <w:p w14:paraId="459D10C8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1 for ECOG score &gt;0</w:t>
            </w:r>
          </w:p>
          <w:p w14:paraId="3599B454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0 for ECOG score 0</w:t>
            </w:r>
          </w:p>
        </w:tc>
        <w:tc>
          <w:tcPr>
            <w:tcW w:w="2551" w:type="dxa"/>
          </w:tcPr>
          <w:p w14:paraId="64A7D507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Exposure–efficacy and exposure–safety</w:t>
            </w:r>
          </w:p>
        </w:tc>
        <w:tc>
          <w:tcPr>
            <w:tcW w:w="4678" w:type="dxa"/>
          </w:tcPr>
          <w:p w14:paraId="15A45792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Patients with weaker scores might have a higher tendency to drop out</w:t>
            </w:r>
          </w:p>
        </w:tc>
      </w:tr>
      <w:tr w:rsidR="00D13097" w:rsidRPr="00DC218B" w14:paraId="640A3D63" w14:textId="77777777" w:rsidTr="001F1325">
        <w:trPr>
          <w:cantSplit w:val="0"/>
          <w:trHeight w:val="264"/>
        </w:trPr>
        <w:tc>
          <w:tcPr>
            <w:tcW w:w="2552" w:type="dxa"/>
            <w:noWrap/>
          </w:tcPr>
          <w:p w14:paraId="540B4B34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Hepatic function</w:t>
            </w:r>
            <w:r w:rsidRPr="00DC218B">
              <w:rPr>
                <w:noProof/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3969" w:type="dxa"/>
            <w:vAlign w:val="center"/>
          </w:tcPr>
          <w:p w14:paraId="5050DC50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1 for normal liver function</w:t>
            </w:r>
          </w:p>
          <w:p w14:paraId="4920BB69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2 for mild liver dysfunction</w:t>
            </w:r>
          </w:p>
          <w:p w14:paraId="07C27687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3 for moderate liver dysfunction</w:t>
            </w:r>
          </w:p>
        </w:tc>
        <w:tc>
          <w:tcPr>
            <w:tcW w:w="2551" w:type="dxa"/>
          </w:tcPr>
          <w:p w14:paraId="4A49C22E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Exposure–efficacy and exposure–safety</w:t>
            </w:r>
          </w:p>
        </w:tc>
        <w:tc>
          <w:tcPr>
            <w:tcW w:w="4678" w:type="dxa"/>
          </w:tcPr>
          <w:p w14:paraId="0AAB2DD7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For considering ER in special populations</w:t>
            </w:r>
          </w:p>
        </w:tc>
      </w:tr>
      <w:tr w:rsidR="00D13097" w:rsidRPr="00DC218B" w14:paraId="4231C761" w14:textId="77777777" w:rsidTr="001F1325">
        <w:trPr>
          <w:cantSplit w:val="0"/>
          <w:trHeight w:val="264"/>
        </w:trPr>
        <w:tc>
          <w:tcPr>
            <w:tcW w:w="2552" w:type="dxa"/>
            <w:noWrap/>
          </w:tcPr>
          <w:p w14:paraId="77E1E637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Renal function</w:t>
            </w:r>
            <w:r w:rsidRPr="00DC218B">
              <w:rPr>
                <w:noProof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3969" w:type="dxa"/>
          </w:tcPr>
          <w:p w14:paraId="3049B15C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1 for normal function (eGFR ≥90 mL/min)</w:t>
            </w:r>
          </w:p>
          <w:p w14:paraId="1625E71F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2 for mild impairment (90 mL/min &lt;eGFR ≥60 mL/min)</w:t>
            </w:r>
          </w:p>
          <w:p w14:paraId="47205BCA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lastRenderedPageBreak/>
              <w:t>3 for moderate impairment (60 mL/min &lt;eGFR ≥30 mL/min)</w:t>
            </w:r>
          </w:p>
        </w:tc>
        <w:tc>
          <w:tcPr>
            <w:tcW w:w="2551" w:type="dxa"/>
          </w:tcPr>
          <w:p w14:paraId="3F6E31D2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lastRenderedPageBreak/>
              <w:t>Exposure–efficacy and exposure–safety</w:t>
            </w:r>
          </w:p>
        </w:tc>
        <w:tc>
          <w:tcPr>
            <w:tcW w:w="4678" w:type="dxa"/>
          </w:tcPr>
          <w:p w14:paraId="017A0C2D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For considering ER in special populations</w:t>
            </w:r>
          </w:p>
        </w:tc>
      </w:tr>
      <w:tr w:rsidR="00D13097" w:rsidRPr="00DC218B" w14:paraId="49B87BC4" w14:textId="77777777" w:rsidTr="001F1325">
        <w:trPr>
          <w:cantSplit w:val="0"/>
          <w:trHeight w:val="264"/>
        </w:trPr>
        <w:tc>
          <w:tcPr>
            <w:tcW w:w="2552" w:type="dxa"/>
            <w:noWrap/>
          </w:tcPr>
          <w:p w14:paraId="0ABAB473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Sex</w:t>
            </w:r>
          </w:p>
        </w:tc>
        <w:tc>
          <w:tcPr>
            <w:tcW w:w="3969" w:type="dxa"/>
          </w:tcPr>
          <w:p w14:paraId="37A96769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1 for male</w:t>
            </w:r>
          </w:p>
          <w:p w14:paraId="78F0F37E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0 for female</w:t>
            </w:r>
          </w:p>
        </w:tc>
        <w:tc>
          <w:tcPr>
            <w:tcW w:w="2551" w:type="dxa"/>
          </w:tcPr>
          <w:p w14:paraId="4EBA2C7F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Exposure–efficacy and exposure–safety</w:t>
            </w:r>
          </w:p>
        </w:tc>
        <w:tc>
          <w:tcPr>
            <w:tcW w:w="4678" w:type="dxa"/>
          </w:tcPr>
          <w:p w14:paraId="5749EA90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For considering ER in special populations</w:t>
            </w:r>
          </w:p>
        </w:tc>
      </w:tr>
      <w:tr w:rsidR="00D13097" w:rsidRPr="00DC218B" w14:paraId="17C903FF" w14:textId="77777777" w:rsidTr="001F1325">
        <w:trPr>
          <w:cantSplit w:val="0"/>
          <w:trHeight w:val="264"/>
        </w:trPr>
        <w:tc>
          <w:tcPr>
            <w:tcW w:w="2552" w:type="dxa"/>
            <w:noWrap/>
          </w:tcPr>
          <w:p w14:paraId="4570E5CB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Histology – SLL or LPL/WM</w:t>
            </w:r>
          </w:p>
        </w:tc>
        <w:tc>
          <w:tcPr>
            <w:tcW w:w="3969" w:type="dxa"/>
          </w:tcPr>
          <w:p w14:paraId="172C838D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1 for SLL or LPL/WM</w:t>
            </w:r>
          </w:p>
          <w:p w14:paraId="21BF73CB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0 for other histology</w:t>
            </w:r>
          </w:p>
        </w:tc>
        <w:tc>
          <w:tcPr>
            <w:tcW w:w="2551" w:type="dxa"/>
          </w:tcPr>
          <w:p w14:paraId="48C9F5BB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Exposure–efficacy and exposure–safety</w:t>
            </w:r>
          </w:p>
        </w:tc>
        <w:tc>
          <w:tcPr>
            <w:tcW w:w="4678" w:type="dxa"/>
          </w:tcPr>
          <w:p w14:paraId="06E4EF9D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Might influence safety and efficacy</w:t>
            </w:r>
          </w:p>
        </w:tc>
      </w:tr>
      <w:tr w:rsidR="00D13097" w:rsidRPr="00DC218B" w14:paraId="3333766C" w14:textId="77777777" w:rsidTr="001F1325">
        <w:trPr>
          <w:cantSplit w:val="0"/>
          <w:trHeight w:val="264"/>
        </w:trPr>
        <w:tc>
          <w:tcPr>
            <w:tcW w:w="2552" w:type="dxa"/>
            <w:noWrap/>
          </w:tcPr>
          <w:p w14:paraId="15AB1CB0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Histology – MZL</w:t>
            </w:r>
          </w:p>
        </w:tc>
        <w:tc>
          <w:tcPr>
            <w:tcW w:w="3969" w:type="dxa"/>
          </w:tcPr>
          <w:p w14:paraId="6078579D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1 for MZL</w:t>
            </w:r>
          </w:p>
          <w:p w14:paraId="03C60D69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0 for other histology</w:t>
            </w:r>
          </w:p>
        </w:tc>
        <w:tc>
          <w:tcPr>
            <w:tcW w:w="2551" w:type="dxa"/>
          </w:tcPr>
          <w:p w14:paraId="5FFD33C8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Exposure–efficacy and exposure–safety</w:t>
            </w:r>
          </w:p>
        </w:tc>
        <w:tc>
          <w:tcPr>
            <w:tcW w:w="4678" w:type="dxa"/>
          </w:tcPr>
          <w:p w14:paraId="0FB87A2B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Might influence safety and efficacy</w:t>
            </w:r>
          </w:p>
        </w:tc>
      </w:tr>
      <w:tr w:rsidR="00D13097" w:rsidRPr="00DC218B" w14:paraId="77081F77" w14:textId="77777777" w:rsidTr="001F1325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<w:cantSplit w:val="0"/>
          <w:trHeight w:val="264"/>
        </w:trPr>
        <w:tc>
          <w:tcPr>
            <w:tcW w:w="2552" w:type="dxa"/>
            <w:tcBorders>
              <w:bottom w:val="single" w:sz="4" w:space="0" w:color="auto"/>
            </w:tcBorders>
            <w:noWrap/>
          </w:tcPr>
          <w:p w14:paraId="5852ECEB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Histology – FL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14:paraId="0057CB7E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1 for FL</w:t>
            </w:r>
          </w:p>
          <w:p w14:paraId="43264543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0 for other histology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2E3C06CA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Exposure–efficacy and exposure–safety</w:t>
            </w:r>
          </w:p>
        </w:tc>
        <w:tc>
          <w:tcPr>
            <w:tcW w:w="4678" w:type="dxa"/>
            <w:tcBorders>
              <w:bottom w:val="single" w:sz="4" w:space="0" w:color="auto"/>
            </w:tcBorders>
          </w:tcPr>
          <w:p w14:paraId="4FDD4760" w14:textId="77777777" w:rsidR="00D13097" w:rsidRPr="00DC218B" w:rsidRDefault="00D13097" w:rsidP="001F1325">
            <w:pPr>
              <w:keepNext w:val="0"/>
              <w:spacing w:before="120" w:after="120"/>
              <w:jc w:val="left"/>
              <w:rPr>
                <w:sz w:val="24"/>
                <w:szCs w:val="24"/>
              </w:rPr>
            </w:pPr>
            <w:r w:rsidRPr="00DC218B">
              <w:rPr>
                <w:sz w:val="24"/>
                <w:szCs w:val="24"/>
              </w:rPr>
              <w:t>Might influence safety and efficacy</w:t>
            </w:r>
          </w:p>
        </w:tc>
      </w:tr>
    </w:tbl>
    <w:p w14:paraId="0DAC0029" w14:textId="77777777" w:rsidR="00D13097" w:rsidRPr="00DC218B" w:rsidRDefault="00D13097" w:rsidP="00D13097">
      <w:pPr>
        <w:keepNext w:val="0"/>
        <w:spacing w:after="240" w:line="480" w:lineRule="auto"/>
        <w:rPr>
          <w:rFonts w:ascii="Times New Roman" w:hAnsi="Times New Roman" w:cs="Times New Roman"/>
          <w:sz w:val="24"/>
          <w:szCs w:val="24"/>
        </w:rPr>
      </w:pPr>
      <w:r w:rsidRPr="00DC218B">
        <w:rPr>
          <w:rFonts w:ascii="Times New Roman" w:eastAsiaTheme="minorEastAsia" w:hAnsi="Times New Roman" w:cs="Times New Roman"/>
          <w:sz w:val="24"/>
          <w:szCs w:val="24"/>
          <w:lang w:eastAsia="de-DE"/>
        </w:rPr>
        <w:t>Abbreviations: ER, exposure</w:t>
      </w:r>
      <w:r w:rsidRPr="00DC218B">
        <w:rPr>
          <w:rFonts w:ascii="Times New Roman" w:hAnsi="Times New Roman" w:cs="Times New Roman"/>
          <w:sz w:val="24"/>
          <w:szCs w:val="24"/>
        </w:rPr>
        <w:t>–</w:t>
      </w:r>
      <w:r w:rsidRPr="00DC218B">
        <w:rPr>
          <w:rFonts w:ascii="Times New Roman" w:eastAsiaTheme="minorEastAsia" w:hAnsi="Times New Roman" w:cs="Times New Roman"/>
          <w:sz w:val="24"/>
          <w:szCs w:val="24"/>
          <w:lang w:eastAsia="de-DE"/>
        </w:rPr>
        <w:t>response; FL, follicular lymphoma; HbA</w:t>
      </w:r>
      <w:r w:rsidRPr="00DC218B">
        <w:rPr>
          <w:rFonts w:ascii="Times New Roman" w:eastAsiaTheme="minorEastAsia" w:hAnsi="Times New Roman" w:cs="Times New Roman"/>
          <w:sz w:val="24"/>
          <w:szCs w:val="24"/>
          <w:vertAlign w:val="subscript"/>
          <w:lang w:eastAsia="de-DE"/>
        </w:rPr>
        <w:t>1c</w:t>
      </w:r>
      <w:r w:rsidRPr="00DC218B">
        <w:rPr>
          <w:rFonts w:ascii="Times New Roman" w:eastAsiaTheme="minorEastAsia" w:hAnsi="Times New Roman" w:cs="Times New Roman"/>
          <w:sz w:val="24"/>
          <w:szCs w:val="24"/>
          <w:lang w:eastAsia="de-DE"/>
        </w:rPr>
        <w:t>, glycated hemoglobin; ECOG, Eastern Cooperative Oncology Group; eGFR, estimated glomerular filtration rate; LPL/WM, lymphoplasmacytic lymphoma/</w:t>
      </w:r>
      <w:proofErr w:type="spellStart"/>
      <w:r w:rsidRPr="00DC218B">
        <w:rPr>
          <w:rFonts w:ascii="Times New Roman" w:eastAsiaTheme="minorEastAsia" w:hAnsi="Times New Roman" w:cs="Times New Roman"/>
          <w:sz w:val="24"/>
          <w:szCs w:val="24"/>
          <w:lang w:eastAsia="de-DE"/>
        </w:rPr>
        <w:t>Waldenström</w:t>
      </w:r>
      <w:proofErr w:type="spellEnd"/>
      <w:r w:rsidRPr="00DC218B">
        <w:rPr>
          <w:rFonts w:ascii="Times New Roman" w:eastAsiaTheme="minorEastAsia" w:hAnsi="Times New Roman" w:cs="Times New Roman"/>
          <w:sz w:val="24"/>
          <w:szCs w:val="24"/>
          <w:lang w:eastAsia="de-DE"/>
        </w:rPr>
        <w:t xml:space="preserve"> macroglobulinemia; MZL, marginal zone lymphoma; SLL, small lymphocytic lymphoma.</w:t>
      </w:r>
      <w:r w:rsidRPr="00DC218B">
        <w:rPr>
          <w:rFonts w:ascii="Times New Roman" w:eastAsiaTheme="minorEastAsia" w:hAnsi="Times New Roman" w:cs="Times New Roman"/>
          <w:sz w:val="24"/>
          <w:szCs w:val="24"/>
          <w:lang w:eastAsia="de-DE"/>
        </w:rPr>
        <w:br/>
      </w:r>
      <w:proofErr w:type="spellStart"/>
      <w:r w:rsidRPr="00DC218B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 w:rsidRPr="00DC218B">
        <w:rPr>
          <w:rFonts w:ascii="Times New Roman" w:hAnsi="Times New Roman" w:cs="Times New Roman"/>
          <w:sz w:val="24"/>
          <w:szCs w:val="24"/>
        </w:rPr>
        <w:t>Values</w:t>
      </w:r>
      <w:proofErr w:type="spellEnd"/>
      <w:r w:rsidRPr="00DC218B">
        <w:rPr>
          <w:rFonts w:ascii="Times New Roman" w:hAnsi="Times New Roman" w:cs="Times New Roman"/>
          <w:sz w:val="24"/>
          <w:szCs w:val="24"/>
        </w:rPr>
        <w:t xml:space="preserve"> taken at baseline (treatment day 1) unless otherwise stated.</w:t>
      </w:r>
    </w:p>
    <w:p w14:paraId="1A8ED5FA" w14:textId="77777777" w:rsidR="00D13097" w:rsidRPr="00DC218B" w:rsidRDefault="00D13097" w:rsidP="00D13097">
      <w:pPr>
        <w:spacing w:after="24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DC218B">
        <w:rPr>
          <w:rFonts w:ascii="Times New Roman" w:hAnsi="Times New Roman" w:cs="Times New Roman"/>
          <w:b/>
          <w:bCs/>
          <w:sz w:val="24"/>
          <w:szCs w:val="24"/>
        </w:rPr>
        <w:lastRenderedPageBreak/>
        <w:t>REFERENCES</w:t>
      </w:r>
    </w:p>
    <w:p w14:paraId="74B38A52" w14:textId="77777777" w:rsidR="00D13097" w:rsidRPr="00DC218B" w:rsidRDefault="00D13097" w:rsidP="00D13097">
      <w:pPr>
        <w:pStyle w:val="EndNoteBibliography"/>
        <w:spacing w:after="240"/>
        <w:ind w:left="720" w:hanging="720"/>
      </w:pPr>
      <w:r w:rsidRPr="00DC218B">
        <w:t>1.</w:t>
      </w:r>
      <w:r w:rsidRPr="00DC218B">
        <w:tab/>
        <w:t xml:space="preserve">Reif, S., Ahsman, M., Jentsch, G., Wiegert, E., Grevel, J. &amp; Granvil, C. Use of a population pharmacokinetic approach and time-to-event analysis to support the clinical recommendation of a flat dosing of copanlisib in cancer patients. </w:t>
      </w:r>
      <w:r w:rsidRPr="00DC218B">
        <w:rPr>
          <w:i/>
        </w:rPr>
        <w:t xml:space="preserve">Clin. Pharmacol. Ther. </w:t>
      </w:r>
      <w:r w:rsidRPr="00DC218B">
        <w:t>99 (Suppl 1), S5–S107 (2016).</w:t>
      </w:r>
    </w:p>
    <w:p w14:paraId="5AFA31BE" w14:textId="393C2EE7" w:rsidR="005B30D1" w:rsidRDefault="00D13097" w:rsidP="00D13097">
      <w:pPr>
        <w:pStyle w:val="EndNoteBibliography"/>
        <w:spacing w:after="240"/>
        <w:ind w:left="720" w:hanging="720"/>
      </w:pPr>
      <w:r w:rsidRPr="00DC218B">
        <w:t>2.</w:t>
      </w:r>
      <w:r w:rsidRPr="00DC218B">
        <w:tab/>
        <w:t>Dreyling, M.</w:t>
      </w:r>
      <w:r w:rsidRPr="00DC218B">
        <w:rPr>
          <w:i/>
        </w:rPr>
        <w:t xml:space="preserve"> et al.</w:t>
      </w:r>
      <w:r w:rsidRPr="00DC218B">
        <w:t xml:space="preserve"> Phase II study of copanlisib, a PI3K inhibitor, in relapsed or refractory, indolent or aggressive lymphoma. </w:t>
      </w:r>
      <w:r w:rsidRPr="00DC218B">
        <w:rPr>
          <w:i/>
        </w:rPr>
        <w:t xml:space="preserve">Ann. Oncol. </w:t>
      </w:r>
      <w:r w:rsidRPr="00DC218B">
        <w:t>28, 2169–2178 (2017).</w:t>
      </w:r>
    </w:p>
    <w:p w14:paraId="01469E28" w14:textId="77777777" w:rsidR="00E978D4" w:rsidRDefault="00E978D4" w:rsidP="00D13097">
      <w:pPr>
        <w:pStyle w:val="EndNoteBibliography"/>
        <w:spacing w:after="240"/>
        <w:ind w:left="720" w:hanging="720"/>
        <w:rPr>
          <w:rFonts w:eastAsiaTheme="minorEastAsia"/>
          <w:szCs w:val="24"/>
          <w:lang w:eastAsia="de-DE"/>
        </w:rPr>
        <w:sectPr w:rsidR="00E978D4" w:rsidSect="00A969AC">
          <w:pgSz w:w="16838" w:h="11906" w:orient="landscape" w:code="9"/>
          <w:pgMar w:top="1440" w:right="1440" w:bottom="1440" w:left="1440" w:header="708" w:footer="708" w:gutter="0"/>
          <w:cols w:space="708"/>
          <w:docGrid w:linePitch="360"/>
        </w:sectPr>
      </w:pPr>
    </w:p>
    <w:p w14:paraId="0D2E2353" w14:textId="77777777" w:rsidR="00E978D4" w:rsidRPr="007C0012" w:rsidRDefault="00E978D4" w:rsidP="00E978D4">
      <w:pPr>
        <w:keepNext w:val="0"/>
        <w:spacing w:after="240" w:line="480" w:lineRule="auto"/>
        <w:rPr>
          <w:rFonts w:ascii="Times New Roman" w:hAnsi="Times New Roman" w:cs="Times New Roman"/>
          <w:sz w:val="24"/>
          <w:szCs w:val="24"/>
        </w:rPr>
      </w:pPr>
      <w:r w:rsidRPr="00B81B28">
        <w:rPr>
          <w:rFonts w:ascii="Times New Roman" w:hAnsi="Times New Roman" w:cs="Times New Roman"/>
          <w:b/>
          <w:bCs/>
          <w:sz w:val="24"/>
          <w:szCs w:val="24"/>
        </w:rPr>
        <w:lastRenderedPageBreak/>
        <w:t>Figure S1.</w:t>
      </w:r>
      <w:r w:rsidRPr="00B81B28">
        <w:rPr>
          <w:rFonts w:ascii="Times New Roman" w:hAnsi="Times New Roman" w:cs="Times New Roman"/>
          <w:sz w:val="24"/>
          <w:szCs w:val="24"/>
        </w:rPr>
        <w:t xml:space="preserve">  Structure of the </w:t>
      </w:r>
      <w:proofErr w:type="spellStart"/>
      <w:r w:rsidRPr="00B81B28">
        <w:rPr>
          <w:rFonts w:ascii="Times New Roman" w:hAnsi="Times New Roman" w:cs="Times New Roman"/>
          <w:sz w:val="24"/>
          <w:szCs w:val="24"/>
        </w:rPr>
        <w:t>copanlisib</w:t>
      </w:r>
      <w:proofErr w:type="spellEnd"/>
      <w:r w:rsidRPr="00B81B28">
        <w:rPr>
          <w:rFonts w:ascii="Times New Roman" w:hAnsi="Times New Roman" w:cs="Times New Roman"/>
          <w:sz w:val="24"/>
          <w:szCs w:val="24"/>
        </w:rPr>
        <w:t xml:space="preserve"> population pharmacokinetics covariate model. CL, clearance in an individual patient; </w:t>
      </w:r>
      <w:proofErr w:type="spellStart"/>
      <w:r w:rsidRPr="00B81B28">
        <w:rPr>
          <w:rFonts w:ascii="Times New Roman" w:hAnsi="Times New Roman" w:cs="Times New Roman"/>
          <w:sz w:val="24"/>
          <w:szCs w:val="24"/>
        </w:rPr>
        <w:t>CL</w:t>
      </w:r>
      <w:r w:rsidRPr="00B81B28">
        <w:rPr>
          <w:rFonts w:ascii="Times New Roman" w:hAnsi="Times New Roman" w:cs="Times New Roman"/>
          <w:sz w:val="24"/>
          <w:szCs w:val="24"/>
          <w:vertAlign w:val="subscript"/>
        </w:rPr>
        <w:t>pop</w:t>
      </w:r>
      <w:proofErr w:type="spellEnd"/>
      <w:r w:rsidRPr="00B81B28">
        <w:rPr>
          <w:rFonts w:ascii="Times New Roman" w:hAnsi="Times New Roman" w:cs="Times New Roman"/>
          <w:sz w:val="24"/>
          <w:szCs w:val="24"/>
        </w:rPr>
        <w:t>, clearance in a patient with the following covariate values: male in a non-Japanese Phase I or Phase II study without co-administration of rifampin or itraconazole and NCI −1 (normal liver function per the methodology of the National Cancer Institute Organ Dysfunction Working Group); ITRACON, time-varying covariate with a value of 1 when itraconazole is co-administered, else 0; JAPAN, covariate with a value of 1 for patients with region=4 (Japan), else 0; K</w:t>
      </w:r>
      <w:r w:rsidRPr="00B81B28">
        <w:rPr>
          <w:rFonts w:ascii="Times New Roman" w:hAnsi="Times New Roman" w:cs="Times New Roman"/>
          <w:sz w:val="24"/>
          <w:szCs w:val="24"/>
          <w:vertAlign w:val="subscript"/>
        </w:rPr>
        <w:t>10</w:t>
      </w:r>
      <w:r w:rsidRPr="00B81B28">
        <w:rPr>
          <w:rFonts w:ascii="Times New Roman" w:hAnsi="Times New Roman" w:cs="Times New Roman"/>
          <w:sz w:val="24"/>
          <w:szCs w:val="24"/>
        </w:rPr>
        <w:t>, rate constant for elimination from central compartment; K</w:t>
      </w:r>
      <w:r w:rsidRPr="00B81B28">
        <w:rPr>
          <w:rFonts w:ascii="Times New Roman" w:hAnsi="Times New Roman" w:cs="Times New Roman"/>
          <w:sz w:val="24"/>
          <w:szCs w:val="24"/>
          <w:vertAlign w:val="subscript"/>
        </w:rPr>
        <w:t>12</w:t>
      </w:r>
      <w:r w:rsidRPr="00B81B28">
        <w:rPr>
          <w:rFonts w:ascii="Times New Roman" w:hAnsi="Times New Roman" w:cs="Times New Roman"/>
          <w:sz w:val="24"/>
          <w:szCs w:val="24"/>
        </w:rPr>
        <w:t xml:space="preserve"> and K</w:t>
      </w:r>
      <w:r w:rsidRPr="00B81B28">
        <w:rPr>
          <w:rFonts w:ascii="Times New Roman" w:hAnsi="Times New Roman" w:cs="Times New Roman"/>
          <w:sz w:val="24"/>
          <w:szCs w:val="24"/>
          <w:vertAlign w:val="subscript"/>
        </w:rPr>
        <w:t>21</w:t>
      </w:r>
      <w:r w:rsidRPr="00B81B28">
        <w:rPr>
          <w:rFonts w:ascii="Times New Roman" w:hAnsi="Times New Roman" w:cs="Times New Roman"/>
          <w:sz w:val="24"/>
          <w:szCs w:val="24"/>
        </w:rPr>
        <w:t>, rate constants for distribution between compartments 1 and 2; K</w:t>
      </w:r>
      <w:r w:rsidRPr="00B81B28">
        <w:rPr>
          <w:rFonts w:ascii="Times New Roman" w:hAnsi="Times New Roman" w:cs="Times New Roman"/>
          <w:sz w:val="24"/>
          <w:szCs w:val="24"/>
          <w:vertAlign w:val="subscript"/>
        </w:rPr>
        <w:t>13</w:t>
      </w:r>
      <w:r w:rsidRPr="00B81B28">
        <w:rPr>
          <w:rFonts w:ascii="Times New Roman" w:hAnsi="Times New Roman" w:cs="Times New Roman"/>
          <w:sz w:val="24"/>
          <w:szCs w:val="24"/>
        </w:rPr>
        <w:t xml:space="preserve"> and K</w:t>
      </w:r>
      <w:r w:rsidRPr="00B81B28">
        <w:rPr>
          <w:rFonts w:ascii="Times New Roman" w:hAnsi="Times New Roman" w:cs="Times New Roman"/>
          <w:sz w:val="24"/>
          <w:szCs w:val="24"/>
          <w:vertAlign w:val="subscript"/>
        </w:rPr>
        <w:t>31</w:t>
      </w:r>
      <w:r w:rsidRPr="00B81B28">
        <w:rPr>
          <w:rFonts w:ascii="Times New Roman" w:hAnsi="Times New Roman" w:cs="Times New Roman"/>
          <w:sz w:val="24"/>
          <w:szCs w:val="24"/>
        </w:rPr>
        <w:t>, rate constants for distribution between compartments 2 and 3; NCIGT1, covariate with a value of 1 for patients with NCI &gt;1 (i.e., mild, moderate, or severely impaired liver function per the methodology of the National Cancer Institute Organ Dysfunction Working Group), else 0; Q2, inter-compartmental clearance for compartments 1 and 2; Q3, inter-compartmental clearance for compartments 1 and 3; SEXF, covariate with a value of 1 for female patients, else 0; STUD17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B81B28">
        <w:rPr>
          <w:rFonts w:ascii="Times New Roman" w:hAnsi="Times New Roman" w:cs="Times New Roman"/>
          <w:sz w:val="24"/>
          <w:szCs w:val="24"/>
        </w:rPr>
        <w:t>67, covariate with a value of 1 for patients in study 17</w:t>
      </w:r>
      <w:r>
        <w:rPr>
          <w:rFonts w:ascii="Times New Roman" w:hAnsi="Times New Roman" w:cs="Times New Roman"/>
          <w:sz w:val="24"/>
          <w:szCs w:val="24"/>
        </w:rPr>
        <w:t>067</w:t>
      </w:r>
      <w:r w:rsidRPr="00B81B28">
        <w:rPr>
          <w:rFonts w:ascii="Times New Roman" w:hAnsi="Times New Roman" w:cs="Times New Roman"/>
          <w:sz w:val="24"/>
          <w:szCs w:val="24"/>
        </w:rPr>
        <w:t>, else 0; V1, volume of distribution for compartment 1 (central compartment) in an individual patient; V1</w:t>
      </w:r>
      <w:r w:rsidRPr="00B81B28">
        <w:rPr>
          <w:rFonts w:ascii="Times New Roman" w:hAnsi="Times New Roman" w:cs="Times New Roman"/>
          <w:sz w:val="24"/>
          <w:szCs w:val="24"/>
          <w:vertAlign w:val="subscript"/>
        </w:rPr>
        <w:t>pop</w:t>
      </w:r>
      <w:r w:rsidRPr="00B81B28">
        <w:rPr>
          <w:rFonts w:ascii="Times New Roman" w:hAnsi="Times New Roman" w:cs="Times New Roman"/>
          <w:sz w:val="24"/>
          <w:szCs w:val="24"/>
        </w:rPr>
        <w:t>, volume of distribution for compartment 1 in a patient with the following covariate value: male without co-administration of rifampin; V2, volume of distribution for compartment 2; V3, volume of distribution for compartment 3; θ</w:t>
      </w:r>
      <w:r w:rsidRPr="00B81B28">
        <w:rPr>
          <w:rFonts w:ascii="Times New Roman" w:hAnsi="Times New Roman" w:cs="Times New Roman"/>
          <w:sz w:val="24"/>
          <w:szCs w:val="24"/>
          <w:vertAlign w:val="subscript"/>
        </w:rPr>
        <w:t>17607CL</w:t>
      </w:r>
      <w:r w:rsidRPr="00B81B28">
        <w:rPr>
          <w:rFonts w:ascii="Times New Roman" w:hAnsi="Times New Roman" w:cs="Times New Roman"/>
          <w:sz w:val="24"/>
          <w:szCs w:val="24"/>
        </w:rPr>
        <w:t>, parameter describing the influence of STUD17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B81B28">
        <w:rPr>
          <w:rFonts w:ascii="Times New Roman" w:hAnsi="Times New Roman" w:cs="Times New Roman"/>
          <w:sz w:val="24"/>
          <w:szCs w:val="24"/>
        </w:rPr>
        <w:t xml:space="preserve">67 on CL; </w:t>
      </w:r>
      <w:proofErr w:type="spellStart"/>
      <w:r w:rsidRPr="00B81B28">
        <w:rPr>
          <w:rFonts w:ascii="Times New Roman" w:hAnsi="Times New Roman" w:cs="Times New Roman"/>
          <w:sz w:val="24"/>
          <w:szCs w:val="24"/>
        </w:rPr>
        <w:t>θ</w:t>
      </w:r>
      <w:r w:rsidRPr="00B81B28">
        <w:rPr>
          <w:rFonts w:ascii="Times New Roman" w:hAnsi="Times New Roman" w:cs="Times New Roman"/>
          <w:sz w:val="24"/>
          <w:szCs w:val="24"/>
          <w:vertAlign w:val="subscript"/>
        </w:rPr>
        <w:t>ITRACL</w:t>
      </w:r>
      <w:proofErr w:type="spellEnd"/>
      <w:r w:rsidRPr="00B81B28">
        <w:rPr>
          <w:rFonts w:ascii="Times New Roman" w:hAnsi="Times New Roman" w:cs="Times New Roman"/>
          <w:sz w:val="24"/>
          <w:szCs w:val="24"/>
        </w:rPr>
        <w:t xml:space="preserve">, parameter describing the influence of ITRACON on CL; </w:t>
      </w:r>
      <w:proofErr w:type="spellStart"/>
      <w:r w:rsidRPr="00B81B28">
        <w:rPr>
          <w:rFonts w:ascii="Times New Roman" w:hAnsi="Times New Roman" w:cs="Times New Roman"/>
          <w:sz w:val="24"/>
          <w:szCs w:val="24"/>
        </w:rPr>
        <w:t>θ</w:t>
      </w:r>
      <w:r w:rsidRPr="00B81B28">
        <w:rPr>
          <w:rFonts w:ascii="Times New Roman" w:hAnsi="Times New Roman" w:cs="Times New Roman"/>
          <w:sz w:val="24"/>
          <w:szCs w:val="24"/>
          <w:vertAlign w:val="subscript"/>
        </w:rPr>
        <w:t>JAPCL</w:t>
      </w:r>
      <w:proofErr w:type="spellEnd"/>
      <w:r w:rsidRPr="00B81B28">
        <w:rPr>
          <w:rFonts w:ascii="Times New Roman" w:hAnsi="Times New Roman" w:cs="Times New Roman"/>
          <w:sz w:val="24"/>
          <w:szCs w:val="24"/>
        </w:rPr>
        <w:t xml:space="preserve">, parameter describing the influence of JAPAN on CL; </w:t>
      </w:r>
      <w:proofErr w:type="spellStart"/>
      <w:r w:rsidRPr="00B81B28">
        <w:rPr>
          <w:rFonts w:ascii="Times New Roman" w:hAnsi="Times New Roman" w:cs="Times New Roman"/>
          <w:sz w:val="24"/>
          <w:szCs w:val="24"/>
        </w:rPr>
        <w:t>θ</w:t>
      </w:r>
      <w:r w:rsidRPr="00B81B28">
        <w:rPr>
          <w:rFonts w:ascii="Times New Roman" w:hAnsi="Times New Roman" w:cs="Times New Roman"/>
          <w:sz w:val="24"/>
          <w:szCs w:val="24"/>
          <w:vertAlign w:val="subscript"/>
        </w:rPr>
        <w:t>NCICL</w:t>
      </w:r>
      <w:proofErr w:type="spellEnd"/>
      <w:r w:rsidRPr="00B81B28">
        <w:rPr>
          <w:rFonts w:ascii="Times New Roman" w:hAnsi="Times New Roman" w:cs="Times New Roman"/>
          <w:sz w:val="24"/>
          <w:szCs w:val="24"/>
        </w:rPr>
        <w:t xml:space="preserve">, parameter describing the influence of NCIGT1 on CL; </w:t>
      </w:r>
      <w:proofErr w:type="spellStart"/>
      <w:r w:rsidRPr="00B81B28">
        <w:rPr>
          <w:rFonts w:ascii="Times New Roman" w:hAnsi="Times New Roman" w:cs="Times New Roman"/>
          <w:sz w:val="24"/>
          <w:szCs w:val="24"/>
        </w:rPr>
        <w:t>θ</w:t>
      </w:r>
      <w:r w:rsidRPr="00B81B28">
        <w:rPr>
          <w:rFonts w:ascii="Times New Roman" w:hAnsi="Times New Roman" w:cs="Times New Roman"/>
          <w:sz w:val="24"/>
          <w:szCs w:val="24"/>
          <w:vertAlign w:val="subscript"/>
        </w:rPr>
        <w:t>RIFCL</w:t>
      </w:r>
      <w:proofErr w:type="spellEnd"/>
      <w:r w:rsidRPr="00B81B28">
        <w:rPr>
          <w:rFonts w:ascii="Times New Roman" w:hAnsi="Times New Roman" w:cs="Times New Roman"/>
          <w:sz w:val="24"/>
          <w:szCs w:val="24"/>
        </w:rPr>
        <w:t>, parameter describing the influence of RIFAMPIN on CL; θ</w:t>
      </w:r>
      <w:r w:rsidRPr="00B81B28">
        <w:rPr>
          <w:rFonts w:ascii="Times New Roman" w:hAnsi="Times New Roman" w:cs="Times New Roman"/>
          <w:sz w:val="24"/>
          <w:szCs w:val="24"/>
          <w:vertAlign w:val="subscript"/>
        </w:rPr>
        <w:t>RIFV1</w:t>
      </w:r>
      <w:r w:rsidRPr="00B81B28">
        <w:rPr>
          <w:rFonts w:ascii="Times New Roman" w:hAnsi="Times New Roman" w:cs="Times New Roman"/>
          <w:sz w:val="24"/>
          <w:szCs w:val="24"/>
        </w:rPr>
        <w:t xml:space="preserve">, parameter describing the influence of RIFAMPIN on V1; </w:t>
      </w:r>
      <w:proofErr w:type="spellStart"/>
      <w:r w:rsidRPr="00B81B28">
        <w:rPr>
          <w:rFonts w:ascii="Times New Roman" w:hAnsi="Times New Roman" w:cs="Times New Roman"/>
          <w:sz w:val="24"/>
          <w:szCs w:val="24"/>
        </w:rPr>
        <w:t>θ</w:t>
      </w:r>
      <w:r w:rsidRPr="00B81B28">
        <w:rPr>
          <w:rFonts w:ascii="Times New Roman" w:hAnsi="Times New Roman" w:cs="Times New Roman"/>
          <w:sz w:val="24"/>
          <w:szCs w:val="24"/>
          <w:vertAlign w:val="subscript"/>
        </w:rPr>
        <w:t>SEXCL</w:t>
      </w:r>
      <w:proofErr w:type="spellEnd"/>
      <w:r w:rsidRPr="00B81B28">
        <w:rPr>
          <w:rFonts w:ascii="Times New Roman" w:hAnsi="Times New Roman" w:cs="Times New Roman"/>
          <w:sz w:val="24"/>
          <w:szCs w:val="24"/>
        </w:rPr>
        <w:t>, parameter describing the influence of SEXF on CL; θ</w:t>
      </w:r>
      <w:r w:rsidRPr="00B81B28">
        <w:rPr>
          <w:rFonts w:ascii="Times New Roman" w:hAnsi="Times New Roman" w:cs="Times New Roman"/>
          <w:sz w:val="24"/>
          <w:szCs w:val="24"/>
          <w:vertAlign w:val="subscript"/>
        </w:rPr>
        <w:t>SEXV1</w:t>
      </w:r>
      <w:r w:rsidRPr="00B81B28">
        <w:rPr>
          <w:rFonts w:ascii="Times New Roman" w:hAnsi="Times New Roman" w:cs="Times New Roman"/>
          <w:sz w:val="24"/>
          <w:szCs w:val="24"/>
        </w:rPr>
        <w:t>, parameter describing the influence of SEXF on V1.</w:t>
      </w:r>
      <w:r>
        <w:rPr>
          <w:rFonts w:ascii="Times New Roman" w:hAnsi="Times New Roman" w:cs="Times New Roman"/>
          <w:sz w:val="24"/>
          <w:szCs w:val="24"/>
        </w:rPr>
        <w:t xml:space="preserve"> Figure previously presented in a poster at the Third AACR International Meeting, Advances in Malignant Lymphoma: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Maximizing the Basic-Translational Interface for Clinical Application, June 23-26, 2022, Boston, MA, USA, and reproduced with kind permission from Peter </w:t>
      </w:r>
      <w:proofErr w:type="spellStart"/>
      <w:r>
        <w:rPr>
          <w:rFonts w:ascii="Times New Roman" w:hAnsi="Times New Roman" w:cs="Times New Roman"/>
          <w:sz w:val="24"/>
          <w:szCs w:val="24"/>
        </w:rPr>
        <w:t>Morcos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on behalf of all authors.</w:t>
      </w: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E0DE2DF" wp14:editId="35C56170">
            <wp:extent cx="5612790" cy="4704495"/>
            <wp:effectExtent l="0" t="0" r="6985" b="1270"/>
            <wp:docPr id="1" name="Picture 1" descr="A picture containing screenshot, rectangle, square, desig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screenshot, rectangle, square, design&#10;&#10;Description automatically generated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790" cy="4704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0CB5E3" w14:textId="3AA38179" w:rsidR="00E978D4" w:rsidRDefault="00E978D4" w:rsidP="00D13097">
      <w:pPr>
        <w:pStyle w:val="EndNoteBibliography"/>
        <w:spacing w:after="240"/>
        <w:ind w:left="720" w:hanging="720"/>
        <w:rPr>
          <w:rFonts w:eastAsiaTheme="minorEastAsia"/>
          <w:szCs w:val="24"/>
          <w:lang w:eastAsia="de-DE"/>
        </w:rPr>
      </w:pPr>
      <w:r>
        <w:rPr>
          <w:rFonts w:eastAsiaTheme="minorEastAsia"/>
          <w:szCs w:val="24"/>
          <w:lang w:eastAsia="de-DE"/>
        </w:rPr>
        <w:br w:type="page"/>
      </w:r>
    </w:p>
    <w:p w14:paraId="63CFE75B" w14:textId="77777777" w:rsidR="00E978D4" w:rsidRPr="00D45710" w:rsidRDefault="00E978D4" w:rsidP="00E978D4">
      <w:pPr>
        <w:keepNext w:val="0"/>
        <w:spacing w:after="240" w:line="480" w:lineRule="auto"/>
        <w:rPr>
          <w:rFonts w:ascii="Times New Roman" w:hAnsi="Times New Roman" w:cs="Times New Roman"/>
          <w:sz w:val="24"/>
          <w:szCs w:val="24"/>
        </w:rPr>
      </w:pPr>
      <w:r w:rsidRPr="00D45710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Figure S2.  </w:t>
      </w:r>
      <w:r w:rsidRPr="00D45710">
        <w:rPr>
          <w:rFonts w:ascii="Times New Roman" w:hAnsi="Times New Roman" w:cs="Times New Roman"/>
          <w:sz w:val="24"/>
          <w:szCs w:val="24"/>
        </w:rPr>
        <w:t xml:space="preserve">Goodness-of-fit plots from the final </w:t>
      </w:r>
      <w:proofErr w:type="spellStart"/>
      <w:r w:rsidRPr="00D45710">
        <w:rPr>
          <w:rFonts w:ascii="Times New Roman" w:hAnsi="Times New Roman" w:cs="Times New Roman"/>
          <w:sz w:val="24"/>
          <w:szCs w:val="24"/>
        </w:rPr>
        <w:t>copanlisib</w:t>
      </w:r>
      <w:proofErr w:type="spellEnd"/>
      <w:r w:rsidRPr="00D45710">
        <w:rPr>
          <w:rFonts w:ascii="Times New Roman" w:hAnsi="Times New Roman" w:cs="Times New Roman"/>
          <w:sz w:val="24"/>
          <w:szCs w:val="24"/>
        </w:rPr>
        <w:t xml:space="preserve"> population pharmacokinetics model. Bold horizontal lines show arithmetic mean CWRES within each bin of the independent variables (PRED and TAD). Each bin contains approximately 10% of the data and clearer bin limits are displayed as tick marks along the top of each plot. </w:t>
      </w:r>
      <w:bookmarkStart w:id="2" w:name="_Hlk131415476"/>
      <w:r w:rsidRPr="00D45710">
        <w:rPr>
          <w:rFonts w:ascii="Times New Roman" w:hAnsi="Times New Roman" w:cs="Times New Roman"/>
          <w:sz w:val="24"/>
          <w:szCs w:val="24"/>
        </w:rPr>
        <w:t>CWRES, conditional weighted residuals; DV, dependent variable; IPRED, individual prediction; PRED, prediction; TAD, time after dose.</w:t>
      </w:r>
      <w:bookmarkEnd w:id="2"/>
    </w:p>
    <w:p w14:paraId="39EB6EF1" w14:textId="5EF44D43" w:rsidR="00E978D4" w:rsidRDefault="00E978D4" w:rsidP="00E978D4">
      <w:pPr>
        <w:keepNext w:val="0"/>
        <w:spacing w:after="240" w:line="480" w:lineRule="auto"/>
        <w:rPr>
          <w:rFonts w:ascii="Times New Roman" w:hAnsi="Times New Roman" w:cs="Times New Roman"/>
          <w:sz w:val="24"/>
          <w:szCs w:val="24"/>
        </w:rPr>
      </w:pPr>
      <w:r w:rsidRPr="00D45710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80BE813" wp14:editId="1BD2D02F">
            <wp:extent cx="5544000" cy="6593713"/>
            <wp:effectExtent l="0" t="0" r="0" b="0"/>
            <wp:docPr id="2" name="Picture 2" descr="Chart, 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Chart, diagram&#10;&#10;Description automatically generated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44000" cy="65937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4F69ED62" w14:textId="77777777" w:rsidR="00E978D4" w:rsidRPr="00804874" w:rsidRDefault="00E978D4" w:rsidP="00E978D4">
      <w:pPr>
        <w:keepNext w:val="0"/>
        <w:spacing w:after="240" w:line="480" w:lineRule="auto"/>
        <w:rPr>
          <w:rFonts w:ascii="Times New Roman" w:hAnsi="Times New Roman" w:cs="Times New Roman"/>
          <w:sz w:val="24"/>
          <w:szCs w:val="24"/>
        </w:rPr>
      </w:pPr>
      <w:r w:rsidRPr="00804874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Figure S3.  </w:t>
      </w:r>
      <w:r w:rsidRPr="00804874">
        <w:rPr>
          <w:rFonts w:ascii="Times New Roman" w:hAnsi="Times New Roman" w:cs="Times New Roman"/>
          <w:sz w:val="24"/>
          <w:szCs w:val="24"/>
        </w:rPr>
        <w:t xml:space="preserve">Univariate logistic regression of </w:t>
      </w:r>
      <w:proofErr w:type="spellStart"/>
      <w:r w:rsidRPr="00804874">
        <w:rPr>
          <w:rFonts w:ascii="Times New Roman" w:hAnsi="Times New Roman" w:cs="Times New Roman"/>
          <w:sz w:val="24"/>
          <w:szCs w:val="24"/>
        </w:rPr>
        <w:t>copanlisib</w:t>
      </w:r>
      <w:proofErr w:type="spellEnd"/>
      <w:r w:rsidRPr="0080487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04874">
        <w:rPr>
          <w:rFonts w:ascii="Times New Roman" w:hAnsi="Times New Roman" w:cs="Times New Roman"/>
          <w:sz w:val="24"/>
          <w:szCs w:val="24"/>
        </w:rPr>
        <w:t>AUC(</w:t>
      </w:r>
      <w:proofErr w:type="gramEnd"/>
      <w:r w:rsidRPr="00804874">
        <w:rPr>
          <w:rFonts w:ascii="Times New Roman" w:hAnsi="Times New Roman" w:cs="Times New Roman"/>
          <w:sz w:val="24"/>
          <w:szCs w:val="24"/>
        </w:rPr>
        <w:t>0-168)</w:t>
      </w:r>
      <w:proofErr w:type="spellStart"/>
      <w:r w:rsidRPr="00804874">
        <w:rPr>
          <w:rFonts w:ascii="Times New Roman" w:hAnsi="Times New Roman" w:cs="Times New Roman"/>
          <w:sz w:val="24"/>
          <w:szCs w:val="24"/>
          <w:vertAlign w:val="subscript"/>
        </w:rPr>
        <w:t>nd</w:t>
      </w:r>
      <w:proofErr w:type="spellEnd"/>
      <w:r w:rsidRPr="00804874">
        <w:rPr>
          <w:rFonts w:ascii="Times New Roman" w:hAnsi="Times New Roman" w:cs="Times New Roman"/>
          <w:sz w:val="24"/>
          <w:szCs w:val="24"/>
        </w:rPr>
        <w:t xml:space="preserve"> versus investigated safety endpoints. </w:t>
      </w:r>
      <w:proofErr w:type="spellStart"/>
      <w:r w:rsidRPr="00804874">
        <w:rPr>
          <w:rFonts w:ascii="Times New Roman" w:hAnsi="Times New Roman" w:cs="Times New Roman"/>
          <w:sz w:val="24"/>
          <w:szCs w:val="24"/>
        </w:rPr>
        <w:t>Copanlisib</w:t>
      </w:r>
      <w:proofErr w:type="spellEnd"/>
      <w:r w:rsidRPr="0080487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04874">
        <w:rPr>
          <w:rFonts w:ascii="Times New Roman" w:hAnsi="Times New Roman" w:cs="Times New Roman"/>
          <w:sz w:val="24"/>
          <w:szCs w:val="24"/>
        </w:rPr>
        <w:t>AUC(</w:t>
      </w:r>
      <w:proofErr w:type="gramEnd"/>
      <w:r w:rsidRPr="00804874">
        <w:rPr>
          <w:rFonts w:ascii="Times New Roman" w:hAnsi="Times New Roman" w:cs="Times New Roman"/>
          <w:sz w:val="24"/>
          <w:szCs w:val="24"/>
        </w:rPr>
        <w:t>0-168)</w:t>
      </w:r>
      <w:proofErr w:type="spellStart"/>
      <w:r w:rsidRPr="00804874">
        <w:rPr>
          <w:rFonts w:ascii="Times New Roman" w:hAnsi="Times New Roman" w:cs="Times New Roman"/>
          <w:sz w:val="24"/>
          <w:szCs w:val="24"/>
          <w:vertAlign w:val="subscript"/>
        </w:rPr>
        <w:t>nd</w:t>
      </w:r>
      <w:proofErr w:type="spellEnd"/>
      <w:r w:rsidRPr="00804874">
        <w:rPr>
          <w:rFonts w:ascii="Times New Roman" w:hAnsi="Times New Roman" w:cs="Times New Roman"/>
          <w:sz w:val="24"/>
          <w:szCs w:val="24"/>
        </w:rPr>
        <w:t xml:space="preserve"> is shown on the x-axis. </w:t>
      </w:r>
      <w:proofErr w:type="gramStart"/>
      <w:r w:rsidRPr="00804874">
        <w:rPr>
          <w:rFonts w:ascii="Times New Roman" w:hAnsi="Times New Roman" w:cs="Times New Roman"/>
          <w:sz w:val="24"/>
          <w:szCs w:val="24"/>
        </w:rPr>
        <w:t>Probability</w:t>
      </w:r>
      <w:proofErr w:type="gramEnd"/>
      <w:r w:rsidRPr="00804874">
        <w:rPr>
          <w:rFonts w:ascii="Times New Roman" w:hAnsi="Times New Roman" w:cs="Times New Roman"/>
          <w:sz w:val="24"/>
          <w:szCs w:val="24"/>
        </w:rPr>
        <w:t xml:space="preserve"> of the investigated safety event is shown on the y-axis. The solid lines represent the logistic regression fit with 95% CI. The blue points and vertical lines give the observed incidence rates and 95% CIs for each of the four quartiles of </w:t>
      </w:r>
      <w:proofErr w:type="gramStart"/>
      <w:r w:rsidRPr="00804874">
        <w:rPr>
          <w:rFonts w:ascii="Times New Roman" w:hAnsi="Times New Roman" w:cs="Times New Roman"/>
          <w:sz w:val="24"/>
          <w:szCs w:val="24"/>
        </w:rPr>
        <w:t>AUC(</w:t>
      </w:r>
      <w:proofErr w:type="gramEnd"/>
      <w:r w:rsidRPr="00804874">
        <w:rPr>
          <w:rFonts w:ascii="Times New Roman" w:hAnsi="Times New Roman" w:cs="Times New Roman"/>
          <w:sz w:val="24"/>
          <w:szCs w:val="24"/>
        </w:rPr>
        <w:t>0-168)</w:t>
      </w:r>
      <w:proofErr w:type="spellStart"/>
      <w:r w:rsidRPr="00804874">
        <w:rPr>
          <w:rFonts w:ascii="Times New Roman" w:hAnsi="Times New Roman" w:cs="Times New Roman"/>
          <w:sz w:val="24"/>
          <w:szCs w:val="24"/>
          <w:vertAlign w:val="subscript"/>
        </w:rPr>
        <w:t>nd</w:t>
      </w:r>
      <w:proofErr w:type="spellEnd"/>
      <w:r w:rsidRPr="00804874">
        <w:rPr>
          <w:rFonts w:ascii="Times New Roman" w:hAnsi="Times New Roman" w:cs="Times New Roman"/>
          <w:sz w:val="24"/>
          <w:szCs w:val="24"/>
        </w:rPr>
        <w:t xml:space="preserve"> and are located at the mean value for each quartile. Observed incidences for each quartile of </w:t>
      </w:r>
      <w:proofErr w:type="gramStart"/>
      <w:r w:rsidRPr="00804874">
        <w:rPr>
          <w:rFonts w:ascii="Times New Roman" w:hAnsi="Times New Roman" w:cs="Times New Roman"/>
          <w:sz w:val="24"/>
          <w:szCs w:val="24"/>
        </w:rPr>
        <w:t>AUC(</w:t>
      </w:r>
      <w:proofErr w:type="gramEnd"/>
      <w:r w:rsidRPr="00804874">
        <w:rPr>
          <w:rFonts w:ascii="Times New Roman" w:hAnsi="Times New Roman" w:cs="Times New Roman"/>
          <w:sz w:val="24"/>
          <w:szCs w:val="24"/>
        </w:rPr>
        <w:t>0-168)</w:t>
      </w:r>
      <w:proofErr w:type="spellStart"/>
      <w:r w:rsidRPr="00804874">
        <w:rPr>
          <w:rFonts w:ascii="Times New Roman" w:hAnsi="Times New Roman" w:cs="Times New Roman"/>
          <w:sz w:val="24"/>
          <w:szCs w:val="24"/>
          <w:vertAlign w:val="subscript"/>
        </w:rPr>
        <w:t>nd</w:t>
      </w:r>
      <w:proofErr w:type="spellEnd"/>
      <w:r w:rsidRPr="00804874">
        <w:rPr>
          <w:rFonts w:ascii="Times New Roman" w:hAnsi="Times New Roman" w:cs="Times New Roman"/>
          <w:sz w:val="24"/>
          <w:szCs w:val="24"/>
        </w:rPr>
        <w:t xml:space="preserve"> are given at the top of the plot. </w:t>
      </w:r>
      <w:proofErr w:type="gramStart"/>
      <w:r w:rsidRPr="00804874">
        <w:rPr>
          <w:rFonts w:ascii="Times New Roman" w:hAnsi="Times New Roman" w:cs="Times New Roman"/>
          <w:sz w:val="24"/>
          <w:szCs w:val="24"/>
        </w:rPr>
        <w:t>AUC(</w:t>
      </w:r>
      <w:proofErr w:type="gramEnd"/>
      <w:r w:rsidRPr="00804874">
        <w:rPr>
          <w:rFonts w:ascii="Times New Roman" w:hAnsi="Times New Roman" w:cs="Times New Roman"/>
          <w:sz w:val="24"/>
          <w:szCs w:val="24"/>
        </w:rPr>
        <w:t>0-168)</w:t>
      </w:r>
      <w:proofErr w:type="spellStart"/>
      <w:r w:rsidRPr="00804874">
        <w:rPr>
          <w:rFonts w:ascii="Times New Roman" w:hAnsi="Times New Roman" w:cs="Times New Roman"/>
          <w:sz w:val="24"/>
          <w:szCs w:val="24"/>
          <w:vertAlign w:val="subscript"/>
        </w:rPr>
        <w:t>nd</w:t>
      </w:r>
      <w:proofErr w:type="spellEnd"/>
      <w:r w:rsidRPr="00804874">
        <w:rPr>
          <w:rFonts w:ascii="Times New Roman" w:hAnsi="Times New Roman" w:cs="Times New Roman"/>
          <w:sz w:val="24"/>
          <w:szCs w:val="24"/>
        </w:rPr>
        <w:t>, nominal area under the curve (0-168); CI, confidence interval.</w:t>
      </w:r>
    </w:p>
    <w:p w14:paraId="2DC4A49D" w14:textId="4B4C0A33" w:rsidR="00E978D4" w:rsidRDefault="00E978D4" w:rsidP="00E978D4">
      <w:pPr>
        <w:keepNext w:val="0"/>
        <w:spacing w:after="240" w:line="480" w:lineRule="auto"/>
        <w:rPr>
          <w:rFonts w:ascii="Times New Roman" w:hAnsi="Times New Roman" w:cs="Times New Roman"/>
          <w:sz w:val="24"/>
          <w:szCs w:val="24"/>
        </w:rPr>
      </w:pPr>
      <w:r w:rsidRPr="0080487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BEBF6F8" wp14:editId="566E836D">
            <wp:extent cx="5731510" cy="5420360"/>
            <wp:effectExtent l="0" t="0" r="2540" b="8890"/>
            <wp:docPr id="3" name="Picture 3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iagram&#10;&#10;Description automatically generated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420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79E7AF0C" w14:textId="77777777" w:rsidR="00E978D4" w:rsidRPr="00FC2FC1" w:rsidRDefault="00E978D4" w:rsidP="00E978D4">
      <w:pPr>
        <w:keepNext w:val="0"/>
        <w:spacing w:after="240" w:line="480" w:lineRule="auto"/>
        <w:rPr>
          <w:rFonts w:ascii="Times New Roman" w:hAnsi="Times New Roman" w:cs="Times New Roman"/>
          <w:sz w:val="24"/>
          <w:szCs w:val="24"/>
        </w:rPr>
      </w:pPr>
      <w:r w:rsidRPr="00FC2FC1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Figure S4.  </w:t>
      </w:r>
      <w:r w:rsidRPr="00FC2FC1">
        <w:rPr>
          <w:rFonts w:ascii="Times New Roman" w:hAnsi="Times New Roman" w:cs="Times New Roman"/>
          <w:sz w:val="24"/>
          <w:szCs w:val="24"/>
        </w:rPr>
        <w:t xml:space="preserve">Graphical analysis of </w:t>
      </w:r>
      <w:proofErr w:type="spellStart"/>
      <w:r w:rsidRPr="00FC2FC1">
        <w:rPr>
          <w:rFonts w:ascii="Times New Roman" w:hAnsi="Times New Roman" w:cs="Times New Roman"/>
          <w:sz w:val="24"/>
          <w:szCs w:val="24"/>
        </w:rPr>
        <w:t>copanlisib</w:t>
      </w:r>
      <w:proofErr w:type="spellEnd"/>
      <w:r w:rsidRPr="00FC2FC1">
        <w:rPr>
          <w:rFonts w:ascii="Times New Roman" w:hAnsi="Times New Roman" w:cs="Times New Roman"/>
          <w:sz w:val="24"/>
          <w:szCs w:val="24"/>
        </w:rPr>
        <w:t xml:space="preserve"> relative dose intensity as a function of </w:t>
      </w:r>
      <w:proofErr w:type="spellStart"/>
      <w:r w:rsidRPr="00FC2FC1">
        <w:rPr>
          <w:rFonts w:ascii="Times New Roman" w:hAnsi="Times New Roman" w:cs="Times New Roman"/>
          <w:sz w:val="24"/>
          <w:szCs w:val="24"/>
        </w:rPr>
        <w:t>copanlisib</w:t>
      </w:r>
      <w:proofErr w:type="spellEnd"/>
      <w:r w:rsidRPr="00FC2FC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FC2FC1">
        <w:rPr>
          <w:rFonts w:ascii="Times New Roman" w:hAnsi="Times New Roman" w:cs="Times New Roman"/>
          <w:sz w:val="24"/>
          <w:szCs w:val="24"/>
        </w:rPr>
        <w:t>AUC(</w:t>
      </w:r>
      <w:proofErr w:type="gramEnd"/>
      <w:r w:rsidRPr="00FC2FC1">
        <w:rPr>
          <w:rFonts w:ascii="Times New Roman" w:hAnsi="Times New Roman" w:cs="Times New Roman"/>
          <w:sz w:val="24"/>
          <w:szCs w:val="24"/>
        </w:rPr>
        <w:t>0-168)</w:t>
      </w:r>
      <w:proofErr w:type="spellStart"/>
      <w:r w:rsidRPr="00FC2FC1">
        <w:rPr>
          <w:rFonts w:ascii="Times New Roman" w:hAnsi="Times New Roman" w:cs="Times New Roman"/>
          <w:sz w:val="24"/>
          <w:szCs w:val="24"/>
          <w:vertAlign w:val="subscript"/>
        </w:rPr>
        <w:t>nd</w:t>
      </w:r>
      <w:proofErr w:type="spellEnd"/>
      <w:r w:rsidRPr="00FC2FC1">
        <w:rPr>
          <w:rFonts w:ascii="Times New Roman" w:hAnsi="Times New Roman" w:cs="Times New Roman"/>
          <w:sz w:val="24"/>
          <w:szCs w:val="24"/>
        </w:rPr>
        <w:t xml:space="preserve">. Circles represent individual patient relative dose intensities in CHRONOS-3; </w:t>
      </w:r>
      <w:proofErr w:type="gramStart"/>
      <w:r w:rsidRPr="00FC2FC1">
        <w:rPr>
          <w:rFonts w:ascii="Times New Roman" w:hAnsi="Times New Roman" w:cs="Times New Roman"/>
          <w:sz w:val="24"/>
          <w:szCs w:val="24"/>
        </w:rPr>
        <w:t>AUC(</w:t>
      </w:r>
      <w:proofErr w:type="gramEnd"/>
      <w:r w:rsidRPr="00FC2FC1">
        <w:rPr>
          <w:rFonts w:ascii="Times New Roman" w:hAnsi="Times New Roman" w:cs="Times New Roman"/>
          <w:sz w:val="24"/>
          <w:szCs w:val="24"/>
        </w:rPr>
        <w:t>0-168)</w:t>
      </w:r>
      <w:proofErr w:type="spellStart"/>
      <w:r w:rsidRPr="00FC2FC1">
        <w:rPr>
          <w:rFonts w:ascii="Times New Roman" w:hAnsi="Times New Roman" w:cs="Times New Roman"/>
          <w:sz w:val="24"/>
          <w:szCs w:val="24"/>
          <w:vertAlign w:val="subscript"/>
        </w:rPr>
        <w:t>nd</w:t>
      </w:r>
      <w:proofErr w:type="spellEnd"/>
      <w:r w:rsidRPr="00FC2FC1">
        <w:rPr>
          <w:rFonts w:ascii="Times New Roman" w:hAnsi="Times New Roman" w:cs="Times New Roman"/>
          <w:sz w:val="24"/>
          <w:szCs w:val="24"/>
        </w:rPr>
        <w:t xml:space="preserve"> used as exposure metric for investigation of any relationship; orange line is loess trend line. </w:t>
      </w:r>
      <w:proofErr w:type="gramStart"/>
      <w:r w:rsidRPr="00FC2FC1">
        <w:rPr>
          <w:rFonts w:ascii="Times New Roman" w:hAnsi="Times New Roman" w:cs="Times New Roman"/>
          <w:sz w:val="24"/>
          <w:szCs w:val="24"/>
        </w:rPr>
        <w:t>AUC(</w:t>
      </w:r>
      <w:proofErr w:type="gramEnd"/>
      <w:r w:rsidRPr="00FC2FC1">
        <w:rPr>
          <w:rFonts w:ascii="Times New Roman" w:hAnsi="Times New Roman" w:cs="Times New Roman"/>
          <w:sz w:val="24"/>
          <w:szCs w:val="24"/>
        </w:rPr>
        <w:t>0-168)</w:t>
      </w:r>
      <w:proofErr w:type="spellStart"/>
      <w:r w:rsidRPr="00FC2FC1">
        <w:rPr>
          <w:rFonts w:ascii="Times New Roman" w:hAnsi="Times New Roman" w:cs="Times New Roman"/>
          <w:sz w:val="24"/>
          <w:szCs w:val="24"/>
          <w:vertAlign w:val="subscript"/>
        </w:rPr>
        <w:t>nd</w:t>
      </w:r>
      <w:proofErr w:type="spellEnd"/>
      <w:r w:rsidRPr="00FC2FC1">
        <w:rPr>
          <w:rFonts w:ascii="Times New Roman" w:hAnsi="Times New Roman" w:cs="Times New Roman"/>
          <w:sz w:val="24"/>
          <w:szCs w:val="24"/>
        </w:rPr>
        <w:t>, nominal area under the curve (0-168).</w:t>
      </w:r>
    </w:p>
    <w:p w14:paraId="483361E2" w14:textId="77777777" w:rsidR="00E978D4" w:rsidRPr="00FC2FC1" w:rsidRDefault="00E978D4" w:rsidP="00E978D4">
      <w:pPr>
        <w:keepNext w:val="0"/>
        <w:spacing w:after="240" w:line="480" w:lineRule="auto"/>
        <w:rPr>
          <w:rFonts w:ascii="Times New Roman" w:hAnsi="Times New Roman" w:cs="Times New Roman"/>
          <w:sz w:val="24"/>
          <w:szCs w:val="24"/>
        </w:rPr>
      </w:pPr>
      <w:r w:rsidRPr="00FC2FC1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63F051F" wp14:editId="6AB47749">
            <wp:extent cx="5724000" cy="3714100"/>
            <wp:effectExtent l="0" t="0" r="0" b="1270"/>
            <wp:docPr id="4" name="Picture 4" descr="A picture containing ligh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light&#10;&#10;Description automatically generated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4000" cy="3714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978D4" w:rsidRPr="00FC2FC1" w:rsidSect="00F365C2">
      <w:footerReference w:type="default" r:id="rId17"/>
      <w:pgSz w:w="11906" w:h="16838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4C2061" w14:textId="77777777" w:rsidR="00CA1247" w:rsidRDefault="00CA1247" w:rsidP="003214CD">
      <w:pPr>
        <w:spacing w:after="0" w:line="240" w:lineRule="auto"/>
      </w:pPr>
      <w:r>
        <w:separator/>
      </w:r>
    </w:p>
  </w:endnote>
  <w:endnote w:type="continuationSeparator" w:id="0">
    <w:p w14:paraId="03F58EAF" w14:textId="77777777" w:rsidR="00CA1247" w:rsidRDefault="00CA1247" w:rsidP="003214CD">
      <w:pPr>
        <w:spacing w:after="0" w:line="240" w:lineRule="auto"/>
      </w:pPr>
      <w:r>
        <w:continuationSeparator/>
      </w:r>
    </w:p>
  </w:endnote>
  <w:endnote w:type="continuationNotice" w:id="1">
    <w:p w14:paraId="15908C15" w14:textId="77777777" w:rsidR="00CA1247" w:rsidRDefault="00CA124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MVAT B+ Helvetica Neue LT Pro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elveticaNeueLT Pro 65 M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5019748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  <w:sz w:val="24"/>
        <w:szCs w:val="24"/>
      </w:rPr>
    </w:sdtEndPr>
    <w:sdtContent>
      <w:p w14:paraId="53F18213" w14:textId="28379CEC" w:rsidR="005B30D1" w:rsidRPr="005B30D1" w:rsidRDefault="005B30D1" w:rsidP="00D31800">
        <w:pPr>
          <w:pStyle w:val="Footer"/>
          <w:keepNext w:val="0"/>
          <w:jc w:val="right"/>
          <w:rPr>
            <w:rFonts w:ascii="Times New Roman" w:hAnsi="Times New Roman" w:cs="Times New Roman"/>
            <w:sz w:val="24"/>
            <w:szCs w:val="24"/>
          </w:rPr>
        </w:pPr>
        <w:r w:rsidRPr="005B30D1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5B30D1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5B30D1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5B30D1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5B30D1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0731374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14:paraId="7037CE5E" w14:textId="77777777" w:rsidR="00A236A2" w:rsidRPr="003214CD" w:rsidRDefault="00A236A2" w:rsidP="008549D5">
        <w:pPr>
          <w:pStyle w:val="Footer"/>
          <w:keepNext w:val="0"/>
          <w:jc w:val="right"/>
          <w:rPr>
            <w:rFonts w:ascii="Times New Roman" w:hAnsi="Times New Roman" w:cs="Times New Roman"/>
          </w:rPr>
        </w:pPr>
        <w:r w:rsidRPr="003214CD">
          <w:rPr>
            <w:rFonts w:ascii="Times New Roman" w:hAnsi="Times New Roman" w:cs="Times New Roman"/>
          </w:rPr>
          <w:fldChar w:fldCharType="begin"/>
        </w:r>
        <w:r w:rsidRPr="003214CD">
          <w:rPr>
            <w:rFonts w:ascii="Times New Roman" w:hAnsi="Times New Roman" w:cs="Times New Roman"/>
          </w:rPr>
          <w:instrText xml:space="preserve"> PAGE   \* MERGEFORMAT </w:instrText>
        </w:r>
        <w:r w:rsidRPr="003214CD">
          <w:rPr>
            <w:rFonts w:ascii="Times New Roman" w:hAnsi="Times New Roman" w:cs="Times New Roman"/>
          </w:rPr>
          <w:fldChar w:fldCharType="separate"/>
        </w:r>
        <w:r>
          <w:rPr>
            <w:rFonts w:ascii="Times New Roman" w:hAnsi="Times New Roman" w:cs="Times New Roman"/>
            <w:noProof/>
          </w:rPr>
          <w:t>20</w:t>
        </w:r>
        <w:r w:rsidRPr="003214CD">
          <w:rPr>
            <w:rFonts w:ascii="Times New Roman" w:hAnsi="Times New Roman" w:cs="Times New Roman"/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A5D0A3" w14:textId="77777777" w:rsidR="00CA1247" w:rsidRDefault="00CA1247" w:rsidP="003214CD">
      <w:pPr>
        <w:spacing w:after="0" w:line="240" w:lineRule="auto"/>
      </w:pPr>
      <w:r>
        <w:separator/>
      </w:r>
    </w:p>
  </w:footnote>
  <w:footnote w:type="continuationSeparator" w:id="0">
    <w:p w14:paraId="252BB704" w14:textId="77777777" w:rsidR="00CA1247" w:rsidRDefault="00CA1247" w:rsidP="003214CD">
      <w:pPr>
        <w:spacing w:after="0" w:line="240" w:lineRule="auto"/>
      </w:pPr>
      <w:r>
        <w:continuationSeparator/>
      </w:r>
    </w:p>
  </w:footnote>
  <w:footnote w:type="continuationNotice" w:id="1">
    <w:p w14:paraId="6AFF15FD" w14:textId="77777777" w:rsidR="00CA1247" w:rsidRDefault="00CA124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2A2147" w14:textId="77777777" w:rsidR="00D31800" w:rsidRPr="00D31800" w:rsidRDefault="00D31800" w:rsidP="00D31800">
    <w:pPr>
      <w:pStyle w:val="Header"/>
      <w:keepNext w:val="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B84E315"/>
    <w:multiLevelType w:val="hybridMultilevel"/>
    <w:tmpl w:val="1C6CB7EE"/>
    <w:lvl w:ilvl="0" w:tplc="FFFFFFFF">
      <w:start w:val="1"/>
      <w:numFmt w:val="decimal"/>
      <w:lvlText w:val=""/>
      <w:lvlJc w:val="left"/>
    </w:lvl>
    <w:lvl w:ilvl="1" w:tplc="14090001">
      <w:start w:val="1"/>
      <w:numFmt w:val="bullet"/>
      <w:lvlText w:val=""/>
      <w:lvlJc w:val="left"/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A351AD99"/>
    <w:multiLevelType w:val="hybridMultilevel"/>
    <w:tmpl w:val="C89596F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AE994C7"/>
    <w:multiLevelType w:val="hybridMultilevel"/>
    <w:tmpl w:val="7287B415"/>
    <w:lvl w:ilvl="0" w:tplc="FFFFFFFF">
      <w:start w:val="1"/>
      <w:numFmt w:val="ideographDigital"/>
      <w:lvlText w:val=""/>
      <w:lvlJc w:val="left"/>
    </w:lvl>
    <w:lvl w:ilvl="1" w:tplc="FFFFFFFF">
      <w:start w:val="1"/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DAD21B6E"/>
    <w:multiLevelType w:val="hybridMultilevel"/>
    <w:tmpl w:val="FECFB83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E57AEAC9"/>
    <w:multiLevelType w:val="hybridMultilevel"/>
    <w:tmpl w:val="8FB2183C"/>
    <w:lvl w:ilvl="0" w:tplc="FFFFFFFF">
      <w:start w:val="1"/>
      <w:numFmt w:val="decimal"/>
      <w:lvlText w:val=""/>
      <w:lvlJc w:val="left"/>
    </w:lvl>
    <w:lvl w:ilvl="1" w:tplc="14090001">
      <w:start w:val="1"/>
      <w:numFmt w:val="bullet"/>
      <w:lvlText w:val=""/>
      <w:lvlJc w:val="left"/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0B8A6744"/>
    <w:multiLevelType w:val="hybridMultilevel"/>
    <w:tmpl w:val="C2C817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0B59D1"/>
    <w:multiLevelType w:val="hybridMultilevel"/>
    <w:tmpl w:val="EF30C77A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CC21F9"/>
    <w:multiLevelType w:val="hybridMultilevel"/>
    <w:tmpl w:val="BC1897AC"/>
    <w:lvl w:ilvl="0" w:tplc="EF3C67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F57A11"/>
    <w:multiLevelType w:val="hybridMultilevel"/>
    <w:tmpl w:val="2E4CA44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6A7FA1"/>
    <w:multiLevelType w:val="hybridMultilevel"/>
    <w:tmpl w:val="4AFAAF9A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B5D8C96"/>
    <w:multiLevelType w:val="hybridMultilevel"/>
    <w:tmpl w:val="F7E0555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C2B5CC8"/>
    <w:multiLevelType w:val="hybridMultilevel"/>
    <w:tmpl w:val="85E401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9660C4"/>
    <w:multiLevelType w:val="hybridMultilevel"/>
    <w:tmpl w:val="2312C394"/>
    <w:lvl w:ilvl="0" w:tplc="0936D2D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0741D7"/>
    <w:multiLevelType w:val="hybridMultilevel"/>
    <w:tmpl w:val="97E0EB3C"/>
    <w:lvl w:ilvl="0" w:tplc="1BE8E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25B4395"/>
    <w:multiLevelType w:val="hybridMultilevel"/>
    <w:tmpl w:val="8670170E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4602ED"/>
    <w:multiLevelType w:val="hybridMultilevel"/>
    <w:tmpl w:val="EACEA836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773417"/>
    <w:multiLevelType w:val="hybridMultilevel"/>
    <w:tmpl w:val="D0F622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6A87C9D"/>
    <w:multiLevelType w:val="hybridMultilevel"/>
    <w:tmpl w:val="BAB41B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F77D8F"/>
    <w:multiLevelType w:val="hybridMultilevel"/>
    <w:tmpl w:val="547EBFEE"/>
    <w:lvl w:ilvl="0" w:tplc="FFFFFFFF">
      <w:start w:val="1"/>
      <w:numFmt w:val="decimal"/>
      <w:lvlText w:val=""/>
      <w:lvlJc w:val="left"/>
    </w:lvl>
    <w:lvl w:ilvl="1" w:tplc="14090001">
      <w:start w:val="1"/>
      <w:numFmt w:val="bullet"/>
      <w:lvlText w:val=""/>
      <w:lvlJc w:val="left"/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034563B"/>
    <w:multiLevelType w:val="hybridMultilevel"/>
    <w:tmpl w:val="D88049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0063E9"/>
    <w:multiLevelType w:val="hybridMultilevel"/>
    <w:tmpl w:val="4F3C1636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AD2CFC"/>
    <w:multiLevelType w:val="hybridMultilevel"/>
    <w:tmpl w:val="F71819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506B0B"/>
    <w:multiLevelType w:val="hybridMultilevel"/>
    <w:tmpl w:val="163420E0"/>
    <w:lvl w:ilvl="0" w:tplc="1C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6308DA"/>
    <w:multiLevelType w:val="multilevel"/>
    <w:tmpl w:val="9AE822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FC51071"/>
    <w:multiLevelType w:val="hybridMultilevel"/>
    <w:tmpl w:val="64C41FA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E33C6F"/>
    <w:multiLevelType w:val="hybridMultilevel"/>
    <w:tmpl w:val="3D32F9E8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4CC6354"/>
    <w:multiLevelType w:val="hybridMultilevel"/>
    <w:tmpl w:val="0C183730"/>
    <w:lvl w:ilvl="0" w:tplc="6EEAA1A0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8880FAC"/>
    <w:multiLevelType w:val="hybridMultilevel"/>
    <w:tmpl w:val="C2548C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8C2925"/>
    <w:multiLevelType w:val="hybridMultilevel"/>
    <w:tmpl w:val="E8800C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A7E6787"/>
    <w:multiLevelType w:val="hybridMultilevel"/>
    <w:tmpl w:val="CEFC0F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0654E07"/>
    <w:multiLevelType w:val="hybridMultilevel"/>
    <w:tmpl w:val="B8C018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AB8CCD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21E605D"/>
    <w:multiLevelType w:val="hybridMultilevel"/>
    <w:tmpl w:val="16C603EE"/>
    <w:lvl w:ilvl="0" w:tplc="AFDC29A6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43475AC"/>
    <w:multiLevelType w:val="hybridMultilevel"/>
    <w:tmpl w:val="2458B58A"/>
    <w:lvl w:ilvl="0" w:tplc="E954FC0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A2959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CE2E77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7885BA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FA8424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E32E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A327E6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E3A0E6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D430E78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3" w15:restartNumberingAfterBreak="0">
    <w:nsid w:val="65733961"/>
    <w:multiLevelType w:val="hybridMultilevel"/>
    <w:tmpl w:val="8DBCDA8E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6FE6D36"/>
    <w:multiLevelType w:val="hybridMultilevel"/>
    <w:tmpl w:val="D9B0F8E8"/>
    <w:lvl w:ilvl="0" w:tplc="1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5" w15:restartNumberingAfterBreak="0">
    <w:nsid w:val="6F1B2822"/>
    <w:multiLevelType w:val="hybridMultilevel"/>
    <w:tmpl w:val="98BAAA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5DA7177"/>
    <w:multiLevelType w:val="hybridMultilevel"/>
    <w:tmpl w:val="4D9E0C6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780D57FC"/>
    <w:multiLevelType w:val="hybridMultilevel"/>
    <w:tmpl w:val="3666593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EE8525A"/>
    <w:multiLevelType w:val="hybridMultilevel"/>
    <w:tmpl w:val="1BD074E0"/>
    <w:lvl w:ilvl="0" w:tplc="71F66DF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81606970">
    <w:abstractNumId w:val="30"/>
  </w:num>
  <w:num w:numId="2" w16cid:durableId="719093580">
    <w:abstractNumId w:val="16"/>
  </w:num>
  <w:num w:numId="3" w16cid:durableId="5403008">
    <w:abstractNumId w:val="29"/>
  </w:num>
  <w:num w:numId="4" w16cid:durableId="155461455">
    <w:abstractNumId w:val="35"/>
  </w:num>
  <w:num w:numId="5" w16cid:durableId="1720979411">
    <w:abstractNumId w:val="21"/>
  </w:num>
  <w:num w:numId="6" w16cid:durableId="1214268149">
    <w:abstractNumId w:val="27"/>
  </w:num>
  <w:num w:numId="7" w16cid:durableId="1157185060">
    <w:abstractNumId w:val="36"/>
  </w:num>
  <w:num w:numId="8" w16cid:durableId="196814829">
    <w:abstractNumId w:val="28"/>
  </w:num>
  <w:num w:numId="9" w16cid:durableId="1144857719">
    <w:abstractNumId w:val="11"/>
  </w:num>
  <w:num w:numId="10" w16cid:durableId="1610160988">
    <w:abstractNumId w:val="31"/>
  </w:num>
  <w:num w:numId="11" w16cid:durableId="64766193">
    <w:abstractNumId w:val="17"/>
  </w:num>
  <w:num w:numId="12" w16cid:durableId="615865838">
    <w:abstractNumId w:val="19"/>
  </w:num>
  <w:num w:numId="13" w16cid:durableId="571350709">
    <w:abstractNumId w:val="1"/>
  </w:num>
  <w:num w:numId="14" w16cid:durableId="727651326">
    <w:abstractNumId w:val="20"/>
  </w:num>
  <w:num w:numId="15" w16cid:durableId="1459572356">
    <w:abstractNumId w:val="6"/>
  </w:num>
  <w:num w:numId="16" w16cid:durableId="2112511700">
    <w:abstractNumId w:val="2"/>
  </w:num>
  <w:num w:numId="17" w16cid:durableId="1028680491">
    <w:abstractNumId w:val="25"/>
  </w:num>
  <w:num w:numId="18" w16cid:durableId="482425987">
    <w:abstractNumId w:val="15"/>
  </w:num>
  <w:num w:numId="19" w16cid:durableId="628048098">
    <w:abstractNumId w:val="18"/>
  </w:num>
  <w:num w:numId="20" w16cid:durableId="2010019401">
    <w:abstractNumId w:val="4"/>
  </w:num>
  <w:num w:numId="21" w16cid:durableId="666252500">
    <w:abstractNumId w:val="0"/>
  </w:num>
  <w:num w:numId="22" w16cid:durableId="468404410">
    <w:abstractNumId w:val="10"/>
  </w:num>
  <w:num w:numId="23" w16cid:durableId="750661121">
    <w:abstractNumId w:val="3"/>
  </w:num>
  <w:num w:numId="24" w16cid:durableId="1439985278">
    <w:abstractNumId w:val="34"/>
  </w:num>
  <w:num w:numId="25" w16cid:durableId="914634566">
    <w:abstractNumId w:val="5"/>
  </w:num>
  <w:num w:numId="26" w16cid:durableId="850752568">
    <w:abstractNumId w:val="9"/>
  </w:num>
  <w:num w:numId="27" w16cid:durableId="498693232">
    <w:abstractNumId w:val="13"/>
  </w:num>
  <w:num w:numId="28" w16cid:durableId="550187225">
    <w:abstractNumId w:val="32"/>
  </w:num>
  <w:num w:numId="29" w16cid:durableId="212086009">
    <w:abstractNumId w:val="26"/>
  </w:num>
  <w:num w:numId="30" w16cid:durableId="979189342">
    <w:abstractNumId w:val="8"/>
  </w:num>
  <w:num w:numId="31" w16cid:durableId="912929565">
    <w:abstractNumId w:val="23"/>
  </w:num>
  <w:num w:numId="32" w16cid:durableId="803422648">
    <w:abstractNumId w:val="37"/>
  </w:num>
  <w:num w:numId="33" w16cid:durableId="265505772">
    <w:abstractNumId w:val="24"/>
  </w:num>
  <w:num w:numId="34" w16cid:durableId="1105270248">
    <w:abstractNumId w:val="14"/>
  </w:num>
  <w:num w:numId="35" w16cid:durableId="960457471">
    <w:abstractNumId w:val="7"/>
  </w:num>
  <w:num w:numId="36" w16cid:durableId="335111378">
    <w:abstractNumId w:val="33"/>
  </w:num>
  <w:num w:numId="37" w16cid:durableId="1251044843">
    <w:abstractNumId w:val="38"/>
  </w:num>
  <w:num w:numId="38" w16cid:durableId="931857516">
    <w:abstractNumId w:val="12"/>
  </w:num>
  <w:num w:numId="39" w16cid:durableId="200546937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DateAndTim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Clin Pharma Therapeutics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2&lt;/LineSpacing&gt;&lt;SpaceAfter&gt;1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5zv5awexb0vv0ge90er5wz2utvd2pr2xzf2a&quot;&gt;Bayer.Oncology@complete-hv.com&lt;record-ids&gt;&lt;item&gt;2527&lt;/item&gt;&lt;item&gt;2530&lt;/item&gt;&lt;item&gt;2531&lt;/item&gt;&lt;item&gt;2533&lt;/item&gt;&lt;item&gt;2534&lt;/item&gt;&lt;item&gt;2535&lt;/item&gt;&lt;item&gt;2542&lt;/item&gt;&lt;item&gt;2546&lt;/item&gt;&lt;item&gt;2547&lt;/item&gt;&lt;item&gt;2593&lt;/item&gt;&lt;/record-ids&gt;&lt;/item&gt;&lt;/Libraries&gt;"/>
  </w:docVars>
  <w:rsids>
    <w:rsidRoot w:val="002218BB"/>
    <w:rsid w:val="000002AF"/>
    <w:rsid w:val="000005DB"/>
    <w:rsid w:val="0000064B"/>
    <w:rsid w:val="00000D95"/>
    <w:rsid w:val="00001532"/>
    <w:rsid w:val="00001B54"/>
    <w:rsid w:val="00002EEE"/>
    <w:rsid w:val="000041AD"/>
    <w:rsid w:val="00004503"/>
    <w:rsid w:val="00004830"/>
    <w:rsid w:val="00005676"/>
    <w:rsid w:val="00005894"/>
    <w:rsid w:val="00005F98"/>
    <w:rsid w:val="000064D5"/>
    <w:rsid w:val="00006585"/>
    <w:rsid w:val="000065A4"/>
    <w:rsid w:val="000067ED"/>
    <w:rsid w:val="000068C7"/>
    <w:rsid w:val="000072EC"/>
    <w:rsid w:val="00007F3B"/>
    <w:rsid w:val="00010123"/>
    <w:rsid w:val="00010150"/>
    <w:rsid w:val="000115D2"/>
    <w:rsid w:val="0001167D"/>
    <w:rsid w:val="00011BF1"/>
    <w:rsid w:val="0001354F"/>
    <w:rsid w:val="00014131"/>
    <w:rsid w:val="000144C0"/>
    <w:rsid w:val="000146CC"/>
    <w:rsid w:val="00016E3C"/>
    <w:rsid w:val="000173A4"/>
    <w:rsid w:val="00017ECF"/>
    <w:rsid w:val="000204C3"/>
    <w:rsid w:val="0002070B"/>
    <w:rsid w:val="000207BF"/>
    <w:rsid w:val="00021167"/>
    <w:rsid w:val="000211F4"/>
    <w:rsid w:val="000215AC"/>
    <w:rsid w:val="0002285B"/>
    <w:rsid w:val="00022D11"/>
    <w:rsid w:val="00023155"/>
    <w:rsid w:val="000235A9"/>
    <w:rsid w:val="00023636"/>
    <w:rsid w:val="000239CE"/>
    <w:rsid w:val="00024081"/>
    <w:rsid w:val="000242C8"/>
    <w:rsid w:val="0002482F"/>
    <w:rsid w:val="000248B3"/>
    <w:rsid w:val="00024CD1"/>
    <w:rsid w:val="00025A08"/>
    <w:rsid w:val="00026CBA"/>
    <w:rsid w:val="00027304"/>
    <w:rsid w:val="00027623"/>
    <w:rsid w:val="00027697"/>
    <w:rsid w:val="00027E5A"/>
    <w:rsid w:val="00030DB4"/>
    <w:rsid w:val="000315C0"/>
    <w:rsid w:val="00031965"/>
    <w:rsid w:val="00031CF7"/>
    <w:rsid w:val="00032142"/>
    <w:rsid w:val="00032273"/>
    <w:rsid w:val="000322D0"/>
    <w:rsid w:val="00032840"/>
    <w:rsid w:val="00032BC5"/>
    <w:rsid w:val="0003348E"/>
    <w:rsid w:val="00034035"/>
    <w:rsid w:val="000351F9"/>
    <w:rsid w:val="0003586B"/>
    <w:rsid w:val="00035BE7"/>
    <w:rsid w:val="00037254"/>
    <w:rsid w:val="00037434"/>
    <w:rsid w:val="00037CCE"/>
    <w:rsid w:val="00037F26"/>
    <w:rsid w:val="00040068"/>
    <w:rsid w:val="00040176"/>
    <w:rsid w:val="00040BF7"/>
    <w:rsid w:val="00042109"/>
    <w:rsid w:val="00042888"/>
    <w:rsid w:val="00042983"/>
    <w:rsid w:val="00043629"/>
    <w:rsid w:val="00043715"/>
    <w:rsid w:val="00043788"/>
    <w:rsid w:val="00043ABE"/>
    <w:rsid w:val="00043FAC"/>
    <w:rsid w:val="000452C3"/>
    <w:rsid w:val="0004573A"/>
    <w:rsid w:val="000463C7"/>
    <w:rsid w:val="000464E1"/>
    <w:rsid w:val="00046892"/>
    <w:rsid w:val="00046BDC"/>
    <w:rsid w:val="000470B7"/>
    <w:rsid w:val="0004720A"/>
    <w:rsid w:val="0004757A"/>
    <w:rsid w:val="00050A57"/>
    <w:rsid w:val="00050C94"/>
    <w:rsid w:val="000511FC"/>
    <w:rsid w:val="000517ED"/>
    <w:rsid w:val="00052406"/>
    <w:rsid w:val="00053899"/>
    <w:rsid w:val="00053DA7"/>
    <w:rsid w:val="000542D2"/>
    <w:rsid w:val="0005497D"/>
    <w:rsid w:val="0005531E"/>
    <w:rsid w:val="0005532B"/>
    <w:rsid w:val="00055518"/>
    <w:rsid w:val="000556D6"/>
    <w:rsid w:val="000556EA"/>
    <w:rsid w:val="0005579D"/>
    <w:rsid w:val="00055B96"/>
    <w:rsid w:val="000560A4"/>
    <w:rsid w:val="000564C9"/>
    <w:rsid w:val="0005678C"/>
    <w:rsid w:val="00057B0E"/>
    <w:rsid w:val="0006014B"/>
    <w:rsid w:val="00060357"/>
    <w:rsid w:val="00060A32"/>
    <w:rsid w:val="00060B9F"/>
    <w:rsid w:val="00061012"/>
    <w:rsid w:val="00061F39"/>
    <w:rsid w:val="0006223B"/>
    <w:rsid w:val="00062533"/>
    <w:rsid w:val="000627F9"/>
    <w:rsid w:val="0006282A"/>
    <w:rsid w:val="00062944"/>
    <w:rsid w:val="000629F0"/>
    <w:rsid w:val="00062DA6"/>
    <w:rsid w:val="000632C6"/>
    <w:rsid w:val="00063EA8"/>
    <w:rsid w:val="00064812"/>
    <w:rsid w:val="00064CF7"/>
    <w:rsid w:val="00065675"/>
    <w:rsid w:val="00065E22"/>
    <w:rsid w:val="00067452"/>
    <w:rsid w:val="000677D9"/>
    <w:rsid w:val="00070074"/>
    <w:rsid w:val="0007072D"/>
    <w:rsid w:val="0007072E"/>
    <w:rsid w:val="0007123C"/>
    <w:rsid w:val="000712F6"/>
    <w:rsid w:val="00071373"/>
    <w:rsid w:val="0007161B"/>
    <w:rsid w:val="00072364"/>
    <w:rsid w:val="000731EE"/>
    <w:rsid w:val="00073369"/>
    <w:rsid w:val="0007348B"/>
    <w:rsid w:val="00074E09"/>
    <w:rsid w:val="0007545B"/>
    <w:rsid w:val="00075484"/>
    <w:rsid w:val="00075C35"/>
    <w:rsid w:val="00076271"/>
    <w:rsid w:val="000763AB"/>
    <w:rsid w:val="000765CD"/>
    <w:rsid w:val="00076686"/>
    <w:rsid w:val="00076B89"/>
    <w:rsid w:val="00076BFC"/>
    <w:rsid w:val="00076EBE"/>
    <w:rsid w:val="00076EEA"/>
    <w:rsid w:val="000771E2"/>
    <w:rsid w:val="00077635"/>
    <w:rsid w:val="000779F6"/>
    <w:rsid w:val="00077C1C"/>
    <w:rsid w:val="00077F32"/>
    <w:rsid w:val="0008009D"/>
    <w:rsid w:val="000810E6"/>
    <w:rsid w:val="000814CE"/>
    <w:rsid w:val="0008239E"/>
    <w:rsid w:val="0008270F"/>
    <w:rsid w:val="00083047"/>
    <w:rsid w:val="000836D1"/>
    <w:rsid w:val="000839A6"/>
    <w:rsid w:val="00083A13"/>
    <w:rsid w:val="00084591"/>
    <w:rsid w:val="0008504B"/>
    <w:rsid w:val="00085CDA"/>
    <w:rsid w:val="0008633D"/>
    <w:rsid w:val="0008640F"/>
    <w:rsid w:val="0008746A"/>
    <w:rsid w:val="00087478"/>
    <w:rsid w:val="00090F7E"/>
    <w:rsid w:val="00090FFE"/>
    <w:rsid w:val="00091042"/>
    <w:rsid w:val="00091DD0"/>
    <w:rsid w:val="00093112"/>
    <w:rsid w:val="00093579"/>
    <w:rsid w:val="00093CDE"/>
    <w:rsid w:val="00095FE0"/>
    <w:rsid w:val="00097EA4"/>
    <w:rsid w:val="000A000E"/>
    <w:rsid w:val="000A0225"/>
    <w:rsid w:val="000A0D9C"/>
    <w:rsid w:val="000A18D0"/>
    <w:rsid w:val="000A1BD8"/>
    <w:rsid w:val="000A1BF3"/>
    <w:rsid w:val="000A1D5D"/>
    <w:rsid w:val="000A336C"/>
    <w:rsid w:val="000A3990"/>
    <w:rsid w:val="000A4072"/>
    <w:rsid w:val="000A47BD"/>
    <w:rsid w:val="000A5B95"/>
    <w:rsid w:val="000A6AEE"/>
    <w:rsid w:val="000A6F38"/>
    <w:rsid w:val="000B0D3D"/>
    <w:rsid w:val="000B1438"/>
    <w:rsid w:val="000B1D6D"/>
    <w:rsid w:val="000B1DB4"/>
    <w:rsid w:val="000B1FAB"/>
    <w:rsid w:val="000B2E62"/>
    <w:rsid w:val="000B3132"/>
    <w:rsid w:val="000B383C"/>
    <w:rsid w:val="000B38DC"/>
    <w:rsid w:val="000B3CE6"/>
    <w:rsid w:val="000B3FEE"/>
    <w:rsid w:val="000B4FDC"/>
    <w:rsid w:val="000B5514"/>
    <w:rsid w:val="000B55E6"/>
    <w:rsid w:val="000B7E90"/>
    <w:rsid w:val="000C04EF"/>
    <w:rsid w:val="000C07A6"/>
    <w:rsid w:val="000C0AEB"/>
    <w:rsid w:val="000C0F0E"/>
    <w:rsid w:val="000C27E0"/>
    <w:rsid w:val="000C2A8A"/>
    <w:rsid w:val="000C3498"/>
    <w:rsid w:val="000C366A"/>
    <w:rsid w:val="000C42CE"/>
    <w:rsid w:val="000C5461"/>
    <w:rsid w:val="000C6041"/>
    <w:rsid w:val="000C6D9F"/>
    <w:rsid w:val="000C76CF"/>
    <w:rsid w:val="000C7DF6"/>
    <w:rsid w:val="000D00F4"/>
    <w:rsid w:val="000D0C66"/>
    <w:rsid w:val="000D0E45"/>
    <w:rsid w:val="000D117A"/>
    <w:rsid w:val="000D1461"/>
    <w:rsid w:val="000D15F1"/>
    <w:rsid w:val="000D26C3"/>
    <w:rsid w:val="000D3340"/>
    <w:rsid w:val="000D36C7"/>
    <w:rsid w:val="000D3A56"/>
    <w:rsid w:val="000D41C6"/>
    <w:rsid w:val="000D4A52"/>
    <w:rsid w:val="000D5267"/>
    <w:rsid w:val="000D5723"/>
    <w:rsid w:val="000D6877"/>
    <w:rsid w:val="000D70D3"/>
    <w:rsid w:val="000E04DC"/>
    <w:rsid w:val="000E21A7"/>
    <w:rsid w:val="000E22B2"/>
    <w:rsid w:val="000E26FF"/>
    <w:rsid w:val="000E27AB"/>
    <w:rsid w:val="000E2891"/>
    <w:rsid w:val="000E34E2"/>
    <w:rsid w:val="000E38D4"/>
    <w:rsid w:val="000E3E79"/>
    <w:rsid w:val="000E48D7"/>
    <w:rsid w:val="000E4D9D"/>
    <w:rsid w:val="000E6241"/>
    <w:rsid w:val="000E6F7B"/>
    <w:rsid w:val="000E7839"/>
    <w:rsid w:val="000F14A7"/>
    <w:rsid w:val="000F1EE2"/>
    <w:rsid w:val="000F2063"/>
    <w:rsid w:val="000F2550"/>
    <w:rsid w:val="000F2A1C"/>
    <w:rsid w:val="000F2F51"/>
    <w:rsid w:val="000F331F"/>
    <w:rsid w:val="000F4625"/>
    <w:rsid w:val="000F4930"/>
    <w:rsid w:val="000F4BDC"/>
    <w:rsid w:val="000F58BB"/>
    <w:rsid w:val="000F743C"/>
    <w:rsid w:val="00100A3A"/>
    <w:rsid w:val="00100AB6"/>
    <w:rsid w:val="00100B7A"/>
    <w:rsid w:val="00101675"/>
    <w:rsid w:val="001020A3"/>
    <w:rsid w:val="001035A7"/>
    <w:rsid w:val="001035D5"/>
    <w:rsid w:val="00104694"/>
    <w:rsid w:val="00104EAE"/>
    <w:rsid w:val="00105606"/>
    <w:rsid w:val="00105DCD"/>
    <w:rsid w:val="00106426"/>
    <w:rsid w:val="0010688C"/>
    <w:rsid w:val="00106EE6"/>
    <w:rsid w:val="00107BB4"/>
    <w:rsid w:val="00110FCE"/>
    <w:rsid w:val="0011296A"/>
    <w:rsid w:val="00112B53"/>
    <w:rsid w:val="00112E94"/>
    <w:rsid w:val="0011429A"/>
    <w:rsid w:val="00114935"/>
    <w:rsid w:val="001163D8"/>
    <w:rsid w:val="00116953"/>
    <w:rsid w:val="00116A9E"/>
    <w:rsid w:val="00116DBF"/>
    <w:rsid w:val="0011705B"/>
    <w:rsid w:val="00117164"/>
    <w:rsid w:val="001172E4"/>
    <w:rsid w:val="00117AD6"/>
    <w:rsid w:val="001205BF"/>
    <w:rsid w:val="0012091A"/>
    <w:rsid w:val="00120A85"/>
    <w:rsid w:val="00120D99"/>
    <w:rsid w:val="00121094"/>
    <w:rsid w:val="00121171"/>
    <w:rsid w:val="0012127A"/>
    <w:rsid w:val="0012135C"/>
    <w:rsid w:val="001214EB"/>
    <w:rsid w:val="0012210A"/>
    <w:rsid w:val="00122BE0"/>
    <w:rsid w:val="00122D72"/>
    <w:rsid w:val="00123966"/>
    <w:rsid w:val="00123C9E"/>
    <w:rsid w:val="00123F7C"/>
    <w:rsid w:val="0012508D"/>
    <w:rsid w:val="001256F1"/>
    <w:rsid w:val="00125FCB"/>
    <w:rsid w:val="00126B91"/>
    <w:rsid w:val="00126CC1"/>
    <w:rsid w:val="0012784F"/>
    <w:rsid w:val="001278FF"/>
    <w:rsid w:val="0013040D"/>
    <w:rsid w:val="0013049F"/>
    <w:rsid w:val="00130CA7"/>
    <w:rsid w:val="00131297"/>
    <w:rsid w:val="0013138E"/>
    <w:rsid w:val="00131A03"/>
    <w:rsid w:val="00132BC0"/>
    <w:rsid w:val="001330D0"/>
    <w:rsid w:val="001331FA"/>
    <w:rsid w:val="00133623"/>
    <w:rsid w:val="00133D6E"/>
    <w:rsid w:val="00134AA9"/>
    <w:rsid w:val="00134F21"/>
    <w:rsid w:val="001358BF"/>
    <w:rsid w:val="00135C15"/>
    <w:rsid w:val="00135C72"/>
    <w:rsid w:val="00136758"/>
    <w:rsid w:val="001401DB"/>
    <w:rsid w:val="00140970"/>
    <w:rsid w:val="001416CA"/>
    <w:rsid w:val="0014367D"/>
    <w:rsid w:val="00143A85"/>
    <w:rsid w:val="00143BA5"/>
    <w:rsid w:val="001441DE"/>
    <w:rsid w:val="00144382"/>
    <w:rsid w:val="00144817"/>
    <w:rsid w:val="001458B7"/>
    <w:rsid w:val="00146006"/>
    <w:rsid w:val="0014788E"/>
    <w:rsid w:val="00147BC9"/>
    <w:rsid w:val="00147CB6"/>
    <w:rsid w:val="00147DC5"/>
    <w:rsid w:val="00150286"/>
    <w:rsid w:val="001515A5"/>
    <w:rsid w:val="00151B74"/>
    <w:rsid w:val="00151C04"/>
    <w:rsid w:val="00152F24"/>
    <w:rsid w:val="00153267"/>
    <w:rsid w:val="00153504"/>
    <w:rsid w:val="00154022"/>
    <w:rsid w:val="00154867"/>
    <w:rsid w:val="001548C7"/>
    <w:rsid w:val="00155F05"/>
    <w:rsid w:val="001564D8"/>
    <w:rsid w:val="00156507"/>
    <w:rsid w:val="00156600"/>
    <w:rsid w:val="00156ECA"/>
    <w:rsid w:val="00157EB6"/>
    <w:rsid w:val="00157FC6"/>
    <w:rsid w:val="0016068E"/>
    <w:rsid w:val="00160DAE"/>
    <w:rsid w:val="00161563"/>
    <w:rsid w:val="00161A9C"/>
    <w:rsid w:val="00162306"/>
    <w:rsid w:val="00162BFD"/>
    <w:rsid w:val="00162FAB"/>
    <w:rsid w:val="00163473"/>
    <w:rsid w:val="00163621"/>
    <w:rsid w:val="001637D9"/>
    <w:rsid w:val="00163C59"/>
    <w:rsid w:val="00163FB0"/>
    <w:rsid w:val="00163FCB"/>
    <w:rsid w:val="00164587"/>
    <w:rsid w:val="00165109"/>
    <w:rsid w:val="00165344"/>
    <w:rsid w:val="00167A0E"/>
    <w:rsid w:val="00170247"/>
    <w:rsid w:val="001704D6"/>
    <w:rsid w:val="00170A72"/>
    <w:rsid w:val="0017202A"/>
    <w:rsid w:val="001727E5"/>
    <w:rsid w:val="001734A2"/>
    <w:rsid w:val="00173904"/>
    <w:rsid w:val="00174D6D"/>
    <w:rsid w:val="0017504C"/>
    <w:rsid w:val="001753C9"/>
    <w:rsid w:val="00175C74"/>
    <w:rsid w:val="00176935"/>
    <w:rsid w:val="00176CE5"/>
    <w:rsid w:val="00177214"/>
    <w:rsid w:val="00177375"/>
    <w:rsid w:val="00177444"/>
    <w:rsid w:val="001774FD"/>
    <w:rsid w:val="00180B2D"/>
    <w:rsid w:val="00181182"/>
    <w:rsid w:val="00181208"/>
    <w:rsid w:val="00181C22"/>
    <w:rsid w:val="00181DD5"/>
    <w:rsid w:val="0018210E"/>
    <w:rsid w:val="0018219E"/>
    <w:rsid w:val="00184BA0"/>
    <w:rsid w:val="00184F1F"/>
    <w:rsid w:val="00185CC4"/>
    <w:rsid w:val="001869AD"/>
    <w:rsid w:val="00187815"/>
    <w:rsid w:val="001910E9"/>
    <w:rsid w:val="00191E2A"/>
    <w:rsid w:val="001922C5"/>
    <w:rsid w:val="00193330"/>
    <w:rsid w:val="00194731"/>
    <w:rsid w:val="001947A4"/>
    <w:rsid w:val="0019523A"/>
    <w:rsid w:val="00195E41"/>
    <w:rsid w:val="001964AE"/>
    <w:rsid w:val="00196E4E"/>
    <w:rsid w:val="00197483"/>
    <w:rsid w:val="00197BF0"/>
    <w:rsid w:val="001A056F"/>
    <w:rsid w:val="001A085C"/>
    <w:rsid w:val="001A0A38"/>
    <w:rsid w:val="001A1510"/>
    <w:rsid w:val="001A1C78"/>
    <w:rsid w:val="001A28E5"/>
    <w:rsid w:val="001A2FDE"/>
    <w:rsid w:val="001A3137"/>
    <w:rsid w:val="001A335A"/>
    <w:rsid w:val="001A3776"/>
    <w:rsid w:val="001A4AED"/>
    <w:rsid w:val="001A4BE5"/>
    <w:rsid w:val="001A4E5D"/>
    <w:rsid w:val="001A4ED7"/>
    <w:rsid w:val="001A5094"/>
    <w:rsid w:val="001A548D"/>
    <w:rsid w:val="001A54E5"/>
    <w:rsid w:val="001A589B"/>
    <w:rsid w:val="001A5BAC"/>
    <w:rsid w:val="001A64E6"/>
    <w:rsid w:val="001A72F4"/>
    <w:rsid w:val="001A7699"/>
    <w:rsid w:val="001B014D"/>
    <w:rsid w:val="001B0258"/>
    <w:rsid w:val="001B1113"/>
    <w:rsid w:val="001B19F9"/>
    <w:rsid w:val="001B1B3B"/>
    <w:rsid w:val="001B1C70"/>
    <w:rsid w:val="001B301D"/>
    <w:rsid w:val="001B38BA"/>
    <w:rsid w:val="001B42A7"/>
    <w:rsid w:val="001B44FD"/>
    <w:rsid w:val="001B4C07"/>
    <w:rsid w:val="001B5ED5"/>
    <w:rsid w:val="001B6A05"/>
    <w:rsid w:val="001B7425"/>
    <w:rsid w:val="001B74F0"/>
    <w:rsid w:val="001B783E"/>
    <w:rsid w:val="001B788D"/>
    <w:rsid w:val="001B7AE6"/>
    <w:rsid w:val="001C0738"/>
    <w:rsid w:val="001C0FD1"/>
    <w:rsid w:val="001C10D8"/>
    <w:rsid w:val="001C11BC"/>
    <w:rsid w:val="001C1442"/>
    <w:rsid w:val="001C2446"/>
    <w:rsid w:val="001C310F"/>
    <w:rsid w:val="001C3826"/>
    <w:rsid w:val="001C3B4C"/>
    <w:rsid w:val="001C4F07"/>
    <w:rsid w:val="001C5109"/>
    <w:rsid w:val="001C59D1"/>
    <w:rsid w:val="001C5E7E"/>
    <w:rsid w:val="001C6D78"/>
    <w:rsid w:val="001C7D20"/>
    <w:rsid w:val="001D035B"/>
    <w:rsid w:val="001D2EB1"/>
    <w:rsid w:val="001D3B03"/>
    <w:rsid w:val="001D3CA5"/>
    <w:rsid w:val="001D3CAC"/>
    <w:rsid w:val="001D6002"/>
    <w:rsid w:val="001D7B1C"/>
    <w:rsid w:val="001E0772"/>
    <w:rsid w:val="001E1A0A"/>
    <w:rsid w:val="001E4902"/>
    <w:rsid w:val="001E55D3"/>
    <w:rsid w:val="001E61E7"/>
    <w:rsid w:val="001E637C"/>
    <w:rsid w:val="001E6939"/>
    <w:rsid w:val="001E6F5C"/>
    <w:rsid w:val="001E7228"/>
    <w:rsid w:val="001E7720"/>
    <w:rsid w:val="001E77E9"/>
    <w:rsid w:val="001E7BDC"/>
    <w:rsid w:val="001F08B1"/>
    <w:rsid w:val="001F0B27"/>
    <w:rsid w:val="001F14E7"/>
    <w:rsid w:val="001F170F"/>
    <w:rsid w:val="001F20C4"/>
    <w:rsid w:val="001F2348"/>
    <w:rsid w:val="001F28EB"/>
    <w:rsid w:val="001F2DD0"/>
    <w:rsid w:val="001F43DE"/>
    <w:rsid w:val="001F48AE"/>
    <w:rsid w:val="001F49EE"/>
    <w:rsid w:val="001F50FD"/>
    <w:rsid w:val="001F5183"/>
    <w:rsid w:val="001F52B0"/>
    <w:rsid w:val="001F54BF"/>
    <w:rsid w:val="001F62E7"/>
    <w:rsid w:val="001F6600"/>
    <w:rsid w:val="001F74B5"/>
    <w:rsid w:val="001F782B"/>
    <w:rsid w:val="001F7BD9"/>
    <w:rsid w:val="002009E6"/>
    <w:rsid w:val="00201450"/>
    <w:rsid w:val="0020247B"/>
    <w:rsid w:val="002025B4"/>
    <w:rsid w:val="002033D9"/>
    <w:rsid w:val="002036F1"/>
    <w:rsid w:val="002043CD"/>
    <w:rsid w:val="0020458D"/>
    <w:rsid w:val="00205BCC"/>
    <w:rsid w:val="0020685A"/>
    <w:rsid w:val="00207B13"/>
    <w:rsid w:val="0021010C"/>
    <w:rsid w:val="002108DB"/>
    <w:rsid w:val="00210ED2"/>
    <w:rsid w:val="00211660"/>
    <w:rsid w:val="00211BCF"/>
    <w:rsid w:val="00211CD8"/>
    <w:rsid w:val="00211F8F"/>
    <w:rsid w:val="0021208E"/>
    <w:rsid w:val="00212779"/>
    <w:rsid w:val="0021399C"/>
    <w:rsid w:val="00214188"/>
    <w:rsid w:val="00215B7B"/>
    <w:rsid w:val="00215C22"/>
    <w:rsid w:val="00215C23"/>
    <w:rsid w:val="0021602D"/>
    <w:rsid w:val="0021684C"/>
    <w:rsid w:val="00217140"/>
    <w:rsid w:val="00220548"/>
    <w:rsid w:val="0022082A"/>
    <w:rsid w:val="00220A79"/>
    <w:rsid w:val="00221342"/>
    <w:rsid w:val="002218BB"/>
    <w:rsid w:val="0022229C"/>
    <w:rsid w:val="00222945"/>
    <w:rsid w:val="00222B0D"/>
    <w:rsid w:val="00223F34"/>
    <w:rsid w:val="00223F41"/>
    <w:rsid w:val="002245CE"/>
    <w:rsid w:val="0022500A"/>
    <w:rsid w:val="002250B6"/>
    <w:rsid w:val="0022536D"/>
    <w:rsid w:val="002258D8"/>
    <w:rsid w:val="0022646C"/>
    <w:rsid w:val="002268FB"/>
    <w:rsid w:val="002269BA"/>
    <w:rsid w:val="0022708B"/>
    <w:rsid w:val="0022713C"/>
    <w:rsid w:val="0022750D"/>
    <w:rsid w:val="0022794F"/>
    <w:rsid w:val="00230263"/>
    <w:rsid w:val="002310FB"/>
    <w:rsid w:val="0023133E"/>
    <w:rsid w:val="00231C8F"/>
    <w:rsid w:val="00232669"/>
    <w:rsid w:val="00233688"/>
    <w:rsid w:val="002341AA"/>
    <w:rsid w:val="00234306"/>
    <w:rsid w:val="00234941"/>
    <w:rsid w:val="00234A08"/>
    <w:rsid w:val="002352F8"/>
    <w:rsid w:val="0023544E"/>
    <w:rsid w:val="00236C81"/>
    <w:rsid w:val="00237829"/>
    <w:rsid w:val="00237AE5"/>
    <w:rsid w:val="00237CCD"/>
    <w:rsid w:val="00240DE2"/>
    <w:rsid w:val="002412A7"/>
    <w:rsid w:val="0024225C"/>
    <w:rsid w:val="00242AC1"/>
    <w:rsid w:val="00242ACF"/>
    <w:rsid w:val="002430C0"/>
    <w:rsid w:val="002433CC"/>
    <w:rsid w:val="0024356C"/>
    <w:rsid w:val="00243A78"/>
    <w:rsid w:val="00243E13"/>
    <w:rsid w:val="002440C3"/>
    <w:rsid w:val="00244594"/>
    <w:rsid w:val="002445BF"/>
    <w:rsid w:val="00244D7B"/>
    <w:rsid w:val="00245648"/>
    <w:rsid w:val="00245814"/>
    <w:rsid w:val="0024590D"/>
    <w:rsid w:val="0024656D"/>
    <w:rsid w:val="00246C47"/>
    <w:rsid w:val="00246E15"/>
    <w:rsid w:val="00247685"/>
    <w:rsid w:val="00247E94"/>
    <w:rsid w:val="00250626"/>
    <w:rsid w:val="00250713"/>
    <w:rsid w:val="00250791"/>
    <w:rsid w:val="00250800"/>
    <w:rsid w:val="00250CA5"/>
    <w:rsid w:val="00251113"/>
    <w:rsid w:val="00251969"/>
    <w:rsid w:val="00252020"/>
    <w:rsid w:val="00252343"/>
    <w:rsid w:val="00252456"/>
    <w:rsid w:val="0025347B"/>
    <w:rsid w:val="00253821"/>
    <w:rsid w:val="00253DD5"/>
    <w:rsid w:val="002552E5"/>
    <w:rsid w:val="002560E4"/>
    <w:rsid w:val="00257BF1"/>
    <w:rsid w:val="002602C5"/>
    <w:rsid w:val="00260749"/>
    <w:rsid w:val="002615FE"/>
    <w:rsid w:val="00261702"/>
    <w:rsid w:val="00263A80"/>
    <w:rsid w:val="00265124"/>
    <w:rsid w:val="00266585"/>
    <w:rsid w:val="00266F9E"/>
    <w:rsid w:val="002674AA"/>
    <w:rsid w:val="00270374"/>
    <w:rsid w:val="00270CDC"/>
    <w:rsid w:val="00270D19"/>
    <w:rsid w:val="00270D95"/>
    <w:rsid w:val="00270DA0"/>
    <w:rsid w:val="0027113F"/>
    <w:rsid w:val="002720D6"/>
    <w:rsid w:val="002728D4"/>
    <w:rsid w:val="00273240"/>
    <w:rsid w:val="0027334C"/>
    <w:rsid w:val="00273C91"/>
    <w:rsid w:val="00273F46"/>
    <w:rsid w:val="002744D7"/>
    <w:rsid w:val="00274A7E"/>
    <w:rsid w:val="00274E52"/>
    <w:rsid w:val="00275428"/>
    <w:rsid w:val="0027614E"/>
    <w:rsid w:val="0027622D"/>
    <w:rsid w:val="002762D7"/>
    <w:rsid w:val="0027687E"/>
    <w:rsid w:val="0028012C"/>
    <w:rsid w:val="002818CB"/>
    <w:rsid w:val="00281ED5"/>
    <w:rsid w:val="00284A39"/>
    <w:rsid w:val="00284AC5"/>
    <w:rsid w:val="00285CB7"/>
    <w:rsid w:val="00285EAE"/>
    <w:rsid w:val="002860C8"/>
    <w:rsid w:val="00286357"/>
    <w:rsid w:val="00287A7C"/>
    <w:rsid w:val="00287DE8"/>
    <w:rsid w:val="00287F2C"/>
    <w:rsid w:val="00290929"/>
    <w:rsid w:val="00291ADD"/>
    <w:rsid w:val="00291B76"/>
    <w:rsid w:val="00294120"/>
    <w:rsid w:val="002947B1"/>
    <w:rsid w:val="00294CA5"/>
    <w:rsid w:val="002954D2"/>
    <w:rsid w:val="00296206"/>
    <w:rsid w:val="0029640F"/>
    <w:rsid w:val="002964BF"/>
    <w:rsid w:val="002977CA"/>
    <w:rsid w:val="002977F7"/>
    <w:rsid w:val="002A1994"/>
    <w:rsid w:val="002A297C"/>
    <w:rsid w:val="002A2B5D"/>
    <w:rsid w:val="002A3267"/>
    <w:rsid w:val="002A3D8C"/>
    <w:rsid w:val="002A423E"/>
    <w:rsid w:val="002A47C7"/>
    <w:rsid w:val="002A4F1B"/>
    <w:rsid w:val="002A5247"/>
    <w:rsid w:val="002A57A4"/>
    <w:rsid w:val="002A6A59"/>
    <w:rsid w:val="002A6EE7"/>
    <w:rsid w:val="002A71B8"/>
    <w:rsid w:val="002A7A6B"/>
    <w:rsid w:val="002A7A85"/>
    <w:rsid w:val="002A7A89"/>
    <w:rsid w:val="002A7EF4"/>
    <w:rsid w:val="002B04C6"/>
    <w:rsid w:val="002B088A"/>
    <w:rsid w:val="002B0D5A"/>
    <w:rsid w:val="002B0FFA"/>
    <w:rsid w:val="002B29AB"/>
    <w:rsid w:val="002B33F6"/>
    <w:rsid w:val="002B37E0"/>
    <w:rsid w:val="002B3D27"/>
    <w:rsid w:val="002B55DC"/>
    <w:rsid w:val="002B5813"/>
    <w:rsid w:val="002B5C41"/>
    <w:rsid w:val="002B6020"/>
    <w:rsid w:val="002B659C"/>
    <w:rsid w:val="002B67E3"/>
    <w:rsid w:val="002B7253"/>
    <w:rsid w:val="002B76D2"/>
    <w:rsid w:val="002B7A53"/>
    <w:rsid w:val="002C000B"/>
    <w:rsid w:val="002C0A0C"/>
    <w:rsid w:val="002C0B59"/>
    <w:rsid w:val="002C0E2E"/>
    <w:rsid w:val="002C15ED"/>
    <w:rsid w:val="002C1750"/>
    <w:rsid w:val="002C279A"/>
    <w:rsid w:val="002C2F15"/>
    <w:rsid w:val="002C33E7"/>
    <w:rsid w:val="002C3887"/>
    <w:rsid w:val="002C400A"/>
    <w:rsid w:val="002C41A4"/>
    <w:rsid w:val="002C502D"/>
    <w:rsid w:val="002C50C3"/>
    <w:rsid w:val="002C54DB"/>
    <w:rsid w:val="002C6439"/>
    <w:rsid w:val="002C6961"/>
    <w:rsid w:val="002D06AF"/>
    <w:rsid w:val="002D0A52"/>
    <w:rsid w:val="002D18BB"/>
    <w:rsid w:val="002D1E71"/>
    <w:rsid w:val="002D1F33"/>
    <w:rsid w:val="002D2214"/>
    <w:rsid w:val="002D2322"/>
    <w:rsid w:val="002D2942"/>
    <w:rsid w:val="002D2C61"/>
    <w:rsid w:val="002D2CFB"/>
    <w:rsid w:val="002D3070"/>
    <w:rsid w:val="002D37CD"/>
    <w:rsid w:val="002D3A0E"/>
    <w:rsid w:val="002D426A"/>
    <w:rsid w:val="002D45F5"/>
    <w:rsid w:val="002D5346"/>
    <w:rsid w:val="002D5E4A"/>
    <w:rsid w:val="002D674A"/>
    <w:rsid w:val="002E03EA"/>
    <w:rsid w:val="002E0804"/>
    <w:rsid w:val="002E09EB"/>
    <w:rsid w:val="002E0AD0"/>
    <w:rsid w:val="002E1B67"/>
    <w:rsid w:val="002E4A0C"/>
    <w:rsid w:val="002E511C"/>
    <w:rsid w:val="002E5770"/>
    <w:rsid w:val="002E59E7"/>
    <w:rsid w:val="002E64C6"/>
    <w:rsid w:val="002E66B6"/>
    <w:rsid w:val="002E6AD2"/>
    <w:rsid w:val="002E6F92"/>
    <w:rsid w:val="002E73EC"/>
    <w:rsid w:val="002E7A4E"/>
    <w:rsid w:val="002F0774"/>
    <w:rsid w:val="002F0E66"/>
    <w:rsid w:val="002F15FC"/>
    <w:rsid w:val="002F1A82"/>
    <w:rsid w:val="002F2228"/>
    <w:rsid w:val="002F2385"/>
    <w:rsid w:val="002F2489"/>
    <w:rsid w:val="002F27AA"/>
    <w:rsid w:val="002F2F07"/>
    <w:rsid w:val="002F3948"/>
    <w:rsid w:val="002F3A14"/>
    <w:rsid w:val="002F4931"/>
    <w:rsid w:val="002F523E"/>
    <w:rsid w:val="002F5ABC"/>
    <w:rsid w:val="002F5B0E"/>
    <w:rsid w:val="002F5D22"/>
    <w:rsid w:val="002F6A15"/>
    <w:rsid w:val="002F6AA0"/>
    <w:rsid w:val="002F6B4B"/>
    <w:rsid w:val="002F7101"/>
    <w:rsid w:val="00301AFE"/>
    <w:rsid w:val="00301FCE"/>
    <w:rsid w:val="0030237C"/>
    <w:rsid w:val="00302449"/>
    <w:rsid w:val="00302849"/>
    <w:rsid w:val="0030355F"/>
    <w:rsid w:val="00303A49"/>
    <w:rsid w:val="00304872"/>
    <w:rsid w:val="00305253"/>
    <w:rsid w:val="00305C87"/>
    <w:rsid w:val="003060D6"/>
    <w:rsid w:val="00306A4D"/>
    <w:rsid w:val="00306CC6"/>
    <w:rsid w:val="003127D5"/>
    <w:rsid w:val="003141D9"/>
    <w:rsid w:val="0031430D"/>
    <w:rsid w:val="00314707"/>
    <w:rsid w:val="00314F36"/>
    <w:rsid w:val="00315667"/>
    <w:rsid w:val="00315AF3"/>
    <w:rsid w:val="00316D1D"/>
    <w:rsid w:val="00316F20"/>
    <w:rsid w:val="00317CC3"/>
    <w:rsid w:val="0032049C"/>
    <w:rsid w:val="0032079A"/>
    <w:rsid w:val="003208E5"/>
    <w:rsid w:val="003214CD"/>
    <w:rsid w:val="00322931"/>
    <w:rsid w:val="003233C0"/>
    <w:rsid w:val="003237ED"/>
    <w:rsid w:val="0032449B"/>
    <w:rsid w:val="003250D1"/>
    <w:rsid w:val="0033043A"/>
    <w:rsid w:val="003306FC"/>
    <w:rsid w:val="003314BD"/>
    <w:rsid w:val="00331E37"/>
    <w:rsid w:val="00331F1D"/>
    <w:rsid w:val="00332DBC"/>
    <w:rsid w:val="00334AD0"/>
    <w:rsid w:val="00335164"/>
    <w:rsid w:val="003354CD"/>
    <w:rsid w:val="00336029"/>
    <w:rsid w:val="00336292"/>
    <w:rsid w:val="00337242"/>
    <w:rsid w:val="00337CED"/>
    <w:rsid w:val="003425DA"/>
    <w:rsid w:val="003431CA"/>
    <w:rsid w:val="00344326"/>
    <w:rsid w:val="0034459D"/>
    <w:rsid w:val="00344E66"/>
    <w:rsid w:val="00345CF6"/>
    <w:rsid w:val="00346578"/>
    <w:rsid w:val="00347515"/>
    <w:rsid w:val="0035068A"/>
    <w:rsid w:val="0035069D"/>
    <w:rsid w:val="00350926"/>
    <w:rsid w:val="00350CB5"/>
    <w:rsid w:val="00351D30"/>
    <w:rsid w:val="0035276D"/>
    <w:rsid w:val="00352772"/>
    <w:rsid w:val="00353126"/>
    <w:rsid w:val="0035341F"/>
    <w:rsid w:val="00353BA9"/>
    <w:rsid w:val="00354047"/>
    <w:rsid w:val="003559E8"/>
    <w:rsid w:val="003565FF"/>
    <w:rsid w:val="00356E73"/>
    <w:rsid w:val="0035733A"/>
    <w:rsid w:val="0036150A"/>
    <w:rsid w:val="003615FE"/>
    <w:rsid w:val="003617B0"/>
    <w:rsid w:val="00362528"/>
    <w:rsid w:val="0036331C"/>
    <w:rsid w:val="00363F13"/>
    <w:rsid w:val="00365DBC"/>
    <w:rsid w:val="00366818"/>
    <w:rsid w:val="00366830"/>
    <w:rsid w:val="00366DE8"/>
    <w:rsid w:val="00366F04"/>
    <w:rsid w:val="00367E5D"/>
    <w:rsid w:val="00367E79"/>
    <w:rsid w:val="00371E9B"/>
    <w:rsid w:val="0037222E"/>
    <w:rsid w:val="00372B4A"/>
    <w:rsid w:val="00372C8E"/>
    <w:rsid w:val="00373E2D"/>
    <w:rsid w:val="00373FF0"/>
    <w:rsid w:val="003746BE"/>
    <w:rsid w:val="003748DE"/>
    <w:rsid w:val="00374AF7"/>
    <w:rsid w:val="00375006"/>
    <w:rsid w:val="00375636"/>
    <w:rsid w:val="00375B4D"/>
    <w:rsid w:val="00376589"/>
    <w:rsid w:val="00376E8C"/>
    <w:rsid w:val="00377C89"/>
    <w:rsid w:val="003803BA"/>
    <w:rsid w:val="0038103E"/>
    <w:rsid w:val="00382721"/>
    <w:rsid w:val="003839F2"/>
    <w:rsid w:val="00384A72"/>
    <w:rsid w:val="0038599E"/>
    <w:rsid w:val="00386ABA"/>
    <w:rsid w:val="003900A7"/>
    <w:rsid w:val="00390123"/>
    <w:rsid w:val="0039029D"/>
    <w:rsid w:val="0039054C"/>
    <w:rsid w:val="0039121D"/>
    <w:rsid w:val="00391723"/>
    <w:rsid w:val="003917EA"/>
    <w:rsid w:val="0039209B"/>
    <w:rsid w:val="00392A51"/>
    <w:rsid w:val="00392A55"/>
    <w:rsid w:val="003935A7"/>
    <w:rsid w:val="003963D4"/>
    <w:rsid w:val="00396510"/>
    <w:rsid w:val="00396856"/>
    <w:rsid w:val="003A0C05"/>
    <w:rsid w:val="003A0D2F"/>
    <w:rsid w:val="003A0EE9"/>
    <w:rsid w:val="003A21E1"/>
    <w:rsid w:val="003A34C1"/>
    <w:rsid w:val="003A4E6A"/>
    <w:rsid w:val="003A53C0"/>
    <w:rsid w:val="003A5D18"/>
    <w:rsid w:val="003A5F5B"/>
    <w:rsid w:val="003A715F"/>
    <w:rsid w:val="003A73C0"/>
    <w:rsid w:val="003A762E"/>
    <w:rsid w:val="003A78D3"/>
    <w:rsid w:val="003A7CC7"/>
    <w:rsid w:val="003A7FBA"/>
    <w:rsid w:val="003B00DE"/>
    <w:rsid w:val="003B0D1C"/>
    <w:rsid w:val="003B1187"/>
    <w:rsid w:val="003B1252"/>
    <w:rsid w:val="003B150E"/>
    <w:rsid w:val="003B2841"/>
    <w:rsid w:val="003B2B78"/>
    <w:rsid w:val="003B3FF9"/>
    <w:rsid w:val="003B4067"/>
    <w:rsid w:val="003B414C"/>
    <w:rsid w:val="003B41EE"/>
    <w:rsid w:val="003B506E"/>
    <w:rsid w:val="003B5270"/>
    <w:rsid w:val="003B57A5"/>
    <w:rsid w:val="003B581B"/>
    <w:rsid w:val="003B66E3"/>
    <w:rsid w:val="003B73EC"/>
    <w:rsid w:val="003B7E78"/>
    <w:rsid w:val="003C0D2F"/>
    <w:rsid w:val="003C11CE"/>
    <w:rsid w:val="003C191B"/>
    <w:rsid w:val="003C31CB"/>
    <w:rsid w:val="003C3719"/>
    <w:rsid w:val="003C4A8C"/>
    <w:rsid w:val="003C5157"/>
    <w:rsid w:val="003C5439"/>
    <w:rsid w:val="003C558A"/>
    <w:rsid w:val="003C5A74"/>
    <w:rsid w:val="003C5C3A"/>
    <w:rsid w:val="003C6BB2"/>
    <w:rsid w:val="003C6D21"/>
    <w:rsid w:val="003C78AB"/>
    <w:rsid w:val="003C7F28"/>
    <w:rsid w:val="003D0548"/>
    <w:rsid w:val="003D1307"/>
    <w:rsid w:val="003D133E"/>
    <w:rsid w:val="003D235E"/>
    <w:rsid w:val="003D2FD4"/>
    <w:rsid w:val="003D31E8"/>
    <w:rsid w:val="003D392A"/>
    <w:rsid w:val="003D3F5D"/>
    <w:rsid w:val="003D4123"/>
    <w:rsid w:val="003D4524"/>
    <w:rsid w:val="003D5283"/>
    <w:rsid w:val="003D528E"/>
    <w:rsid w:val="003D6086"/>
    <w:rsid w:val="003D66F4"/>
    <w:rsid w:val="003D71A3"/>
    <w:rsid w:val="003D720C"/>
    <w:rsid w:val="003D7827"/>
    <w:rsid w:val="003E05FE"/>
    <w:rsid w:val="003E173C"/>
    <w:rsid w:val="003E1C65"/>
    <w:rsid w:val="003E1F77"/>
    <w:rsid w:val="003E2B31"/>
    <w:rsid w:val="003E38F7"/>
    <w:rsid w:val="003E39D8"/>
    <w:rsid w:val="003E4231"/>
    <w:rsid w:val="003E4338"/>
    <w:rsid w:val="003E5201"/>
    <w:rsid w:val="003E5BF8"/>
    <w:rsid w:val="003E5C07"/>
    <w:rsid w:val="003E5E0D"/>
    <w:rsid w:val="003E6C20"/>
    <w:rsid w:val="003E6C69"/>
    <w:rsid w:val="003E6D3B"/>
    <w:rsid w:val="003F1050"/>
    <w:rsid w:val="003F1242"/>
    <w:rsid w:val="003F355E"/>
    <w:rsid w:val="003F3951"/>
    <w:rsid w:val="003F423F"/>
    <w:rsid w:val="003F4DB1"/>
    <w:rsid w:val="003F5955"/>
    <w:rsid w:val="003F62CE"/>
    <w:rsid w:val="003F67DD"/>
    <w:rsid w:val="003F7032"/>
    <w:rsid w:val="003F74F4"/>
    <w:rsid w:val="004004A0"/>
    <w:rsid w:val="004007DE"/>
    <w:rsid w:val="004009EE"/>
    <w:rsid w:val="004018ED"/>
    <w:rsid w:val="00401AAC"/>
    <w:rsid w:val="004024B2"/>
    <w:rsid w:val="00402AB4"/>
    <w:rsid w:val="0040346C"/>
    <w:rsid w:val="004037F0"/>
    <w:rsid w:val="00403CAC"/>
    <w:rsid w:val="00403EDC"/>
    <w:rsid w:val="00404890"/>
    <w:rsid w:val="004079ED"/>
    <w:rsid w:val="0041055E"/>
    <w:rsid w:val="00410569"/>
    <w:rsid w:val="004105E5"/>
    <w:rsid w:val="004109CE"/>
    <w:rsid w:val="00410A41"/>
    <w:rsid w:val="00411461"/>
    <w:rsid w:val="00411970"/>
    <w:rsid w:val="004123DA"/>
    <w:rsid w:val="00412C7D"/>
    <w:rsid w:val="00412D3A"/>
    <w:rsid w:val="00413195"/>
    <w:rsid w:val="00413D2B"/>
    <w:rsid w:val="004142FD"/>
    <w:rsid w:val="00414DE0"/>
    <w:rsid w:val="00415C1D"/>
    <w:rsid w:val="00415E82"/>
    <w:rsid w:val="004165C7"/>
    <w:rsid w:val="00416E13"/>
    <w:rsid w:val="00416F38"/>
    <w:rsid w:val="004203BA"/>
    <w:rsid w:val="00421F80"/>
    <w:rsid w:val="00422C9D"/>
    <w:rsid w:val="0042304F"/>
    <w:rsid w:val="0042366D"/>
    <w:rsid w:val="00424BAA"/>
    <w:rsid w:val="0042655A"/>
    <w:rsid w:val="00427809"/>
    <w:rsid w:val="00431F4B"/>
    <w:rsid w:val="004327D5"/>
    <w:rsid w:val="00432CCD"/>
    <w:rsid w:val="004332D9"/>
    <w:rsid w:val="00433C01"/>
    <w:rsid w:val="00433DB3"/>
    <w:rsid w:val="00434A27"/>
    <w:rsid w:val="00435747"/>
    <w:rsid w:val="00436B03"/>
    <w:rsid w:val="00436B6A"/>
    <w:rsid w:val="00436C1E"/>
    <w:rsid w:val="00436E89"/>
    <w:rsid w:val="004373CE"/>
    <w:rsid w:val="004376FE"/>
    <w:rsid w:val="00437CE6"/>
    <w:rsid w:val="00440A06"/>
    <w:rsid w:val="0044170B"/>
    <w:rsid w:val="00441A04"/>
    <w:rsid w:val="00441A36"/>
    <w:rsid w:val="0044241A"/>
    <w:rsid w:val="00442D52"/>
    <w:rsid w:val="00443263"/>
    <w:rsid w:val="00443E4D"/>
    <w:rsid w:val="0044473E"/>
    <w:rsid w:val="00444949"/>
    <w:rsid w:val="004455F0"/>
    <w:rsid w:val="00445784"/>
    <w:rsid w:val="00445988"/>
    <w:rsid w:val="004469E0"/>
    <w:rsid w:val="004479AA"/>
    <w:rsid w:val="00450C47"/>
    <w:rsid w:val="00450C93"/>
    <w:rsid w:val="0045139B"/>
    <w:rsid w:val="004518DB"/>
    <w:rsid w:val="00451CC0"/>
    <w:rsid w:val="00452524"/>
    <w:rsid w:val="00452922"/>
    <w:rsid w:val="004541F3"/>
    <w:rsid w:val="004543E8"/>
    <w:rsid w:val="00454A98"/>
    <w:rsid w:val="004559E0"/>
    <w:rsid w:val="004571D5"/>
    <w:rsid w:val="00457266"/>
    <w:rsid w:val="004572B7"/>
    <w:rsid w:val="0045747F"/>
    <w:rsid w:val="0046031A"/>
    <w:rsid w:val="004608C8"/>
    <w:rsid w:val="00460E2F"/>
    <w:rsid w:val="00461383"/>
    <w:rsid w:val="00461676"/>
    <w:rsid w:val="00462BDF"/>
    <w:rsid w:val="004632A0"/>
    <w:rsid w:val="00463974"/>
    <w:rsid w:val="00464A42"/>
    <w:rsid w:val="00466091"/>
    <w:rsid w:val="004663D8"/>
    <w:rsid w:val="0046677D"/>
    <w:rsid w:val="004673B9"/>
    <w:rsid w:val="00467DFC"/>
    <w:rsid w:val="00467F91"/>
    <w:rsid w:val="00470203"/>
    <w:rsid w:val="004703E6"/>
    <w:rsid w:val="004705C3"/>
    <w:rsid w:val="00471A52"/>
    <w:rsid w:val="00473822"/>
    <w:rsid w:val="00473BD2"/>
    <w:rsid w:val="004748A0"/>
    <w:rsid w:val="0047509D"/>
    <w:rsid w:val="00476EE6"/>
    <w:rsid w:val="00477463"/>
    <w:rsid w:val="00477DF2"/>
    <w:rsid w:val="004800B3"/>
    <w:rsid w:val="00480834"/>
    <w:rsid w:val="004808A3"/>
    <w:rsid w:val="00481592"/>
    <w:rsid w:val="00481707"/>
    <w:rsid w:val="00483064"/>
    <w:rsid w:val="004841A8"/>
    <w:rsid w:val="004844CA"/>
    <w:rsid w:val="00484935"/>
    <w:rsid w:val="00484E00"/>
    <w:rsid w:val="00485A04"/>
    <w:rsid w:val="00485A4D"/>
    <w:rsid w:val="00485DFC"/>
    <w:rsid w:val="004863E9"/>
    <w:rsid w:val="00486B31"/>
    <w:rsid w:val="00487269"/>
    <w:rsid w:val="004903D1"/>
    <w:rsid w:val="004906FA"/>
    <w:rsid w:val="00490925"/>
    <w:rsid w:val="0049162E"/>
    <w:rsid w:val="00491EAA"/>
    <w:rsid w:val="00493C93"/>
    <w:rsid w:val="00494800"/>
    <w:rsid w:val="00494889"/>
    <w:rsid w:val="0049495F"/>
    <w:rsid w:val="00494E2D"/>
    <w:rsid w:val="004950F6"/>
    <w:rsid w:val="004957E6"/>
    <w:rsid w:val="004957F6"/>
    <w:rsid w:val="00495B47"/>
    <w:rsid w:val="00496450"/>
    <w:rsid w:val="004964BB"/>
    <w:rsid w:val="00496CE6"/>
    <w:rsid w:val="00497229"/>
    <w:rsid w:val="00497463"/>
    <w:rsid w:val="004979A4"/>
    <w:rsid w:val="00497D0B"/>
    <w:rsid w:val="004A00C9"/>
    <w:rsid w:val="004A0257"/>
    <w:rsid w:val="004A1889"/>
    <w:rsid w:val="004A1BD4"/>
    <w:rsid w:val="004A1FEC"/>
    <w:rsid w:val="004A2329"/>
    <w:rsid w:val="004A259A"/>
    <w:rsid w:val="004A3F02"/>
    <w:rsid w:val="004A400C"/>
    <w:rsid w:val="004A4821"/>
    <w:rsid w:val="004A4EB9"/>
    <w:rsid w:val="004A56AE"/>
    <w:rsid w:val="004A7137"/>
    <w:rsid w:val="004A7C47"/>
    <w:rsid w:val="004B014B"/>
    <w:rsid w:val="004B0A38"/>
    <w:rsid w:val="004B0ACA"/>
    <w:rsid w:val="004B1391"/>
    <w:rsid w:val="004B17CE"/>
    <w:rsid w:val="004B256E"/>
    <w:rsid w:val="004B2ED4"/>
    <w:rsid w:val="004B310A"/>
    <w:rsid w:val="004B3261"/>
    <w:rsid w:val="004B3B30"/>
    <w:rsid w:val="004B3D85"/>
    <w:rsid w:val="004B40F7"/>
    <w:rsid w:val="004B4A25"/>
    <w:rsid w:val="004B4CBE"/>
    <w:rsid w:val="004B578E"/>
    <w:rsid w:val="004B5B51"/>
    <w:rsid w:val="004B74D9"/>
    <w:rsid w:val="004B7B5C"/>
    <w:rsid w:val="004C0EC0"/>
    <w:rsid w:val="004C11DB"/>
    <w:rsid w:val="004C1ABE"/>
    <w:rsid w:val="004C1B55"/>
    <w:rsid w:val="004C1F63"/>
    <w:rsid w:val="004C33E5"/>
    <w:rsid w:val="004C5383"/>
    <w:rsid w:val="004C6666"/>
    <w:rsid w:val="004C6B9E"/>
    <w:rsid w:val="004C6D14"/>
    <w:rsid w:val="004C70F6"/>
    <w:rsid w:val="004C73AC"/>
    <w:rsid w:val="004C7ADF"/>
    <w:rsid w:val="004D0086"/>
    <w:rsid w:val="004D0CB6"/>
    <w:rsid w:val="004D1B1C"/>
    <w:rsid w:val="004D220A"/>
    <w:rsid w:val="004D25D1"/>
    <w:rsid w:val="004D2AF9"/>
    <w:rsid w:val="004D2FF8"/>
    <w:rsid w:val="004D3E14"/>
    <w:rsid w:val="004D4334"/>
    <w:rsid w:val="004D4731"/>
    <w:rsid w:val="004D4A29"/>
    <w:rsid w:val="004D5531"/>
    <w:rsid w:val="004D618E"/>
    <w:rsid w:val="004D6762"/>
    <w:rsid w:val="004D73DD"/>
    <w:rsid w:val="004D7BE0"/>
    <w:rsid w:val="004E04F5"/>
    <w:rsid w:val="004E1EC2"/>
    <w:rsid w:val="004E25E9"/>
    <w:rsid w:val="004E2C9D"/>
    <w:rsid w:val="004E4D1B"/>
    <w:rsid w:val="004E53E0"/>
    <w:rsid w:val="004E5524"/>
    <w:rsid w:val="004E5F3E"/>
    <w:rsid w:val="004E7251"/>
    <w:rsid w:val="004E73E4"/>
    <w:rsid w:val="004E7A2F"/>
    <w:rsid w:val="004E7E7C"/>
    <w:rsid w:val="004F054D"/>
    <w:rsid w:val="004F058E"/>
    <w:rsid w:val="004F1218"/>
    <w:rsid w:val="004F126E"/>
    <w:rsid w:val="004F153D"/>
    <w:rsid w:val="004F1839"/>
    <w:rsid w:val="004F199D"/>
    <w:rsid w:val="004F22AB"/>
    <w:rsid w:val="004F2CFC"/>
    <w:rsid w:val="004F3041"/>
    <w:rsid w:val="004F32D4"/>
    <w:rsid w:val="004F46DE"/>
    <w:rsid w:val="004F60C8"/>
    <w:rsid w:val="004F6D98"/>
    <w:rsid w:val="004F7241"/>
    <w:rsid w:val="004F7D09"/>
    <w:rsid w:val="00500394"/>
    <w:rsid w:val="0050073C"/>
    <w:rsid w:val="005009CE"/>
    <w:rsid w:val="00500A8F"/>
    <w:rsid w:val="00501610"/>
    <w:rsid w:val="00501FD9"/>
    <w:rsid w:val="00502216"/>
    <w:rsid w:val="00502285"/>
    <w:rsid w:val="005022B0"/>
    <w:rsid w:val="00502303"/>
    <w:rsid w:val="005025E3"/>
    <w:rsid w:val="0050341A"/>
    <w:rsid w:val="0050375B"/>
    <w:rsid w:val="00503EEB"/>
    <w:rsid w:val="00504263"/>
    <w:rsid w:val="00505C18"/>
    <w:rsid w:val="00506BE3"/>
    <w:rsid w:val="005112D5"/>
    <w:rsid w:val="00512619"/>
    <w:rsid w:val="0051267E"/>
    <w:rsid w:val="00514D93"/>
    <w:rsid w:val="00515D6A"/>
    <w:rsid w:val="00515FC0"/>
    <w:rsid w:val="00516039"/>
    <w:rsid w:val="005163BC"/>
    <w:rsid w:val="0051643A"/>
    <w:rsid w:val="00517213"/>
    <w:rsid w:val="0051745A"/>
    <w:rsid w:val="00521281"/>
    <w:rsid w:val="0052128E"/>
    <w:rsid w:val="005217D0"/>
    <w:rsid w:val="00522FC4"/>
    <w:rsid w:val="00523F71"/>
    <w:rsid w:val="00524329"/>
    <w:rsid w:val="00524A93"/>
    <w:rsid w:val="00525487"/>
    <w:rsid w:val="005257DA"/>
    <w:rsid w:val="00526547"/>
    <w:rsid w:val="00526693"/>
    <w:rsid w:val="00526A00"/>
    <w:rsid w:val="00526B05"/>
    <w:rsid w:val="0052730A"/>
    <w:rsid w:val="00527EC6"/>
    <w:rsid w:val="00530CC2"/>
    <w:rsid w:val="00530F49"/>
    <w:rsid w:val="00531262"/>
    <w:rsid w:val="005329C5"/>
    <w:rsid w:val="00532D3D"/>
    <w:rsid w:val="0053329D"/>
    <w:rsid w:val="0053347F"/>
    <w:rsid w:val="005334A4"/>
    <w:rsid w:val="00533B28"/>
    <w:rsid w:val="00533F17"/>
    <w:rsid w:val="00534997"/>
    <w:rsid w:val="00534D03"/>
    <w:rsid w:val="00534EF0"/>
    <w:rsid w:val="005362E6"/>
    <w:rsid w:val="00537148"/>
    <w:rsid w:val="0054060A"/>
    <w:rsid w:val="00541079"/>
    <w:rsid w:val="005413D2"/>
    <w:rsid w:val="005427AF"/>
    <w:rsid w:val="00542BAF"/>
    <w:rsid w:val="00542DA2"/>
    <w:rsid w:val="0054309D"/>
    <w:rsid w:val="005438AE"/>
    <w:rsid w:val="00543EF9"/>
    <w:rsid w:val="00544113"/>
    <w:rsid w:val="005441E9"/>
    <w:rsid w:val="00545313"/>
    <w:rsid w:val="00547191"/>
    <w:rsid w:val="005471C9"/>
    <w:rsid w:val="00547686"/>
    <w:rsid w:val="00547D53"/>
    <w:rsid w:val="005508F5"/>
    <w:rsid w:val="00551D5C"/>
    <w:rsid w:val="00553526"/>
    <w:rsid w:val="00553972"/>
    <w:rsid w:val="0055412D"/>
    <w:rsid w:val="00554FEE"/>
    <w:rsid w:val="0055507C"/>
    <w:rsid w:val="00555318"/>
    <w:rsid w:val="00555AC3"/>
    <w:rsid w:val="00556223"/>
    <w:rsid w:val="00556B48"/>
    <w:rsid w:val="00556EA0"/>
    <w:rsid w:val="005575FB"/>
    <w:rsid w:val="00557AD3"/>
    <w:rsid w:val="00557C07"/>
    <w:rsid w:val="00557D86"/>
    <w:rsid w:val="00560064"/>
    <w:rsid w:val="00560FAB"/>
    <w:rsid w:val="0056145A"/>
    <w:rsid w:val="005619F9"/>
    <w:rsid w:val="005621FC"/>
    <w:rsid w:val="00562E7E"/>
    <w:rsid w:val="00563155"/>
    <w:rsid w:val="00563E83"/>
    <w:rsid w:val="00563ED6"/>
    <w:rsid w:val="005640CB"/>
    <w:rsid w:val="005643F3"/>
    <w:rsid w:val="005654D5"/>
    <w:rsid w:val="0056571B"/>
    <w:rsid w:val="00565E9B"/>
    <w:rsid w:val="00565FB8"/>
    <w:rsid w:val="0056652D"/>
    <w:rsid w:val="00570207"/>
    <w:rsid w:val="00570DDC"/>
    <w:rsid w:val="00572B5E"/>
    <w:rsid w:val="00573DC2"/>
    <w:rsid w:val="00574215"/>
    <w:rsid w:val="00574ABE"/>
    <w:rsid w:val="00574B8E"/>
    <w:rsid w:val="00574FAC"/>
    <w:rsid w:val="005752D6"/>
    <w:rsid w:val="00575928"/>
    <w:rsid w:val="00575DAF"/>
    <w:rsid w:val="00575DD7"/>
    <w:rsid w:val="005773B8"/>
    <w:rsid w:val="00577B70"/>
    <w:rsid w:val="005803F1"/>
    <w:rsid w:val="005812A2"/>
    <w:rsid w:val="00581665"/>
    <w:rsid w:val="0058211B"/>
    <w:rsid w:val="00582624"/>
    <w:rsid w:val="00582B5E"/>
    <w:rsid w:val="00583627"/>
    <w:rsid w:val="005838FB"/>
    <w:rsid w:val="00583B6B"/>
    <w:rsid w:val="0058406E"/>
    <w:rsid w:val="0058420A"/>
    <w:rsid w:val="00584D7F"/>
    <w:rsid w:val="00585E8B"/>
    <w:rsid w:val="005864AC"/>
    <w:rsid w:val="00586966"/>
    <w:rsid w:val="00587118"/>
    <w:rsid w:val="005876C0"/>
    <w:rsid w:val="00587CC2"/>
    <w:rsid w:val="0059099B"/>
    <w:rsid w:val="005922C7"/>
    <w:rsid w:val="00592301"/>
    <w:rsid w:val="0059239C"/>
    <w:rsid w:val="00592561"/>
    <w:rsid w:val="00592B87"/>
    <w:rsid w:val="00592C56"/>
    <w:rsid w:val="00592C87"/>
    <w:rsid w:val="00592DEA"/>
    <w:rsid w:val="00594334"/>
    <w:rsid w:val="005943E2"/>
    <w:rsid w:val="00594B22"/>
    <w:rsid w:val="0059555A"/>
    <w:rsid w:val="00595ED7"/>
    <w:rsid w:val="00596B06"/>
    <w:rsid w:val="00597497"/>
    <w:rsid w:val="005A04DE"/>
    <w:rsid w:val="005A05F0"/>
    <w:rsid w:val="005A0E26"/>
    <w:rsid w:val="005A0F45"/>
    <w:rsid w:val="005A153F"/>
    <w:rsid w:val="005A1651"/>
    <w:rsid w:val="005A1E65"/>
    <w:rsid w:val="005A23DF"/>
    <w:rsid w:val="005A29A2"/>
    <w:rsid w:val="005A2BA7"/>
    <w:rsid w:val="005A2D45"/>
    <w:rsid w:val="005A3880"/>
    <w:rsid w:val="005A4200"/>
    <w:rsid w:val="005A47A3"/>
    <w:rsid w:val="005A56B1"/>
    <w:rsid w:val="005A5E03"/>
    <w:rsid w:val="005A6150"/>
    <w:rsid w:val="005A637D"/>
    <w:rsid w:val="005A7499"/>
    <w:rsid w:val="005A7B26"/>
    <w:rsid w:val="005A7BCA"/>
    <w:rsid w:val="005B05A9"/>
    <w:rsid w:val="005B0E9C"/>
    <w:rsid w:val="005B1700"/>
    <w:rsid w:val="005B1C74"/>
    <w:rsid w:val="005B1D14"/>
    <w:rsid w:val="005B1E9E"/>
    <w:rsid w:val="005B30D1"/>
    <w:rsid w:val="005B30E8"/>
    <w:rsid w:val="005B35D8"/>
    <w:rsid w:val="005B3732"/>
    <w:rsid w:val="005B4486"/>
    <w:rsid w:val="005B44F4"/>
    <w:rsid w:val="005B48C1"/>
    <w:rsid w:val="005B49DE"/>
    <w:rsid w:val="005B5169"/>
    <w:rsid w:val="005B5663"/>
    <w:rsid w:val="005C0EAB"/>
    <w:rsid w:val="005C1CA2"/>
    <w:rsid w:val="005C1E89"/>
    <w:rsid w:val="005C1F12"/>
    <w:rsid w:val="005C307A"/>
    <w:rsid w:val="005C3288"/>
    <w:rsid w:val="005C4448"/>
    <w:rsid w:val="005C47FA"/>
    <w:rsid w:val="005C4E3B"/>
    <w:rsid w:val="005C4E8C"/>
    <w:rsid w:val="005C5AA2"/>
    <w:rsid w:val="005C64A1"/>
    <w:rsid w:val="005C717A"/>
    <w:rsid w:val="005C7532"/>
    <w:rsid w:val="005C7AAA"/>
    <w:rsid w:val="005C7AE1"/>
    <w:rsid w:val="005D038F"/>
    <w:rsid w:val="005D0F04"/>
    <w:rsid w:val="005D0FFA"/>
    <w:rsid w:val="005D1791"/>
    <w:rsid w:val="005D18C5"/>
    <w:rsid w:val="005D1DA8"/>
    <w:rsid w:val="005D2412"/>
    <w:rsid w:val="005D39AB"/>
    <w:rsid w:val="005D49EA"/>
    <w:rsid w:val="005D57C3"/>
    <w:rsid w:val="005D5A52"/>
    <w:rsid w:val="005D5FE8"/>
    <w:rsid w:val="005D6030"/>
    <w:rsid w:val="005D62AF"/>
    <w:rsid w:val="005D668D"/>
    <w:rsid w:val="005D7950"/>
    <w:rsid w:val="005E003C"/>
    <w:rsid w:val="005E0085"/>
    <w:rsid w:val="005E00F9"/>
    <w:rsid w:val="005E06CC"/>
    <w:rsid w:val="005E0E42"/>
    <w:rsid w:val="005E20F9"/>
    <w:rsid w:val="005E282F"/>
    <w:rsid w:val="005E2FBC"/>
    <w:rsid w:val="005E3588"/>
    <w:rsid w:val="005E35A6"/>
    <w:rsid w:val="005E4550"/>
    <w:rsid w:val="005E4713"/>
    <w:rsid w:val="005E5F65"/>
    <w:rsid w:val="005E64CD"/>
    <w:rsid w:val="005E654F"/>
    <w:rsid w:val="005E67A8"/>
    <w:rsid w:val="005F0C6E"/>
    <w:rsid w:val="005F1129"/>
    <w:rsid w:val="005F118F"/>
    <w:rsid w:val="005F1286"/>
    <w:rsid w:val="005F1478"/>
    <w:rsid w:val="005F204B"/>
    <w:rsid w:val="005F240A"/>
    <w:rsid w:val="005F25E4"/>
    <w:rsid w:val="005F27BB"/>
    <w:rsid w:val="005F2844"/>
    <w:rsid w:val="005F2903"/>
    <w:rsid w:val="005F2F27"/>
    <w:rsid w:val="005F3809"/>
    <w:rsid w:val="005F4EA9"/>
    <w:rsid w:val="005F5C6A"/>
    <w:rsid w:val="005F7D87"/>
    <w:rsid w:val="00600F71"/>
    <w:rsid w:val="00601336"/>
    <w:rsid w:val="006021D4"/>
    <w:rsid w:val="00602AE5"/>
    <w:rsid w:val="0060306D"/>
    <w:rsid w:val="0060368E"/>
    <w:rsid w:val="00603E43"/>
    <w:rsid w:val="006042FE"/>
    <w:rsid w:val="00604925"/>
    <w:rsid w:val="00604AE4"/>
    <w:rsid w:val="00604C11"/>
    <w:rsid w:val="0060535B"/>
    <w:rsid w:val="00605E69"/>
    <w:rsid w:val="00606119"/>
    <w:rsid w:val="00606DEC"/>
    <w:rsid w:val="00606F9D"/>
    <w:rsid w:val="00607226"/>
    <w:rsid w:val="0061054A"/>
    <w:rsid w:val="0061070A"/>
    <w:rsid w:val="00610A0B"/>
    <w:rsid w:val="006114E1"/>
    <w:rsid w:val="00612CB9"/>
    <w:rsid w:val="006133A8"/>
    <w:rsid w:val="0061476A"/>
    <w:rsid w:val="00614C32"/>
    <w:rsid w:val="00614E13"/>
    <w:rsid w:val="0061534D"/>
    <w:rsid w:val="006157F5"/>
    <w:rsid w:val="0061592B"/>
    <w:rsid w:val="00616406"/>
    <w:rsid w:val="0062001A"/>
    <w:rsid w:val="00620796"/>
    <w:rsid w:val="00620C31"/>
    <w:rsid w:val="00621E39"/>
    <w:rsid w:val="00622270"/>
    <w:rsid w:val="00622F1B"/>
    <w:rsid w:val="00623BA4"/>
    <w:rsid w:val="00624B13"/>
    <w:rsid w:val="006259D1"/>
    <w:rsid w:val="00625A65"/>
    <w:rsid w:val="00625E6B"/>
    <w:rsid w:val="006261A4"/>
    <w:rsid w:val="00626230"/>
    <w:rsid w:val="0062647C"/>
    <w:rsid w:val="00626920"/>
    <w:rsid w:val="00627120"/>
    <w:rsid w:val="006273AA"/>
    <w:rsid w:val="00627D7E"/>
    <w:rsid w:val="00630250"/>
    <w:rsid w:val="00630349"/>
    <w:rsid w:val="00631269"/>
    <w:rsid w:val="00632435"/>
    <w:rsid w:val="00632CF3"/>
    <w:rsid w:val="00633565"/>
    <w:rsid w:val="00633CF4"/>
    <w:rsid w:val="006346C1"/>
    <w:rsid w:val="00635F66"/>
    <w:rsid w:val="0063690A"/>
    <w:rsid w:val="00637163"/>
    <w:rsid w:val="006404AB"/>
    <w:rsid w:val="006407E0"/>
    <w:rsid w:val="00640822"/>
    <w:rsid w:val="006409FC"/>
    <w:rsid w:val="0064118E"/>
    <w:rsid w:val="00641D17"/>
    <w:rsid w:val="0064475C"/>
    <w:rsid w:val="00646997"/>
    <w:rsid w:val="0064721C"/>
    <w:rsid w:val="00650261"/>
    <w:rsid w:val="00650B82"/>
    <w:rsid w:val="00650F03"/>
    <w:rsid w:val="00650F60"/>
    <w:rsid w:val="00651E78"/>
    <w:rsid w:val="006522C1"/>
    <w:rsid w:val="00652607"/>
    <w:rsid w:val="00653340"/>
    <w:rsid w:val="00654713"/>
    <w:rsid w:val="00655187"/>
    <w:rsid w:val="00655B32"/>
    <w:rsid w:val="00656551"/>
    <w:rsid w:val="00656D0A"/>
    <w:rsid w:val="006607C3"/>
    <w:rsid w:val="00660B6B"/>
    <w:rsid w:val="006611C4"/>
    <w:rsid w:val="00661237"/>
    <w:rsid w:val="006613B7"/>
    <w:rsid w:val="00661819"/>
    <w:rsid w:val="00661993"/>
    <w:rsid w:val="00662250"/>
    <w:rsid w:val="00662286"/>
    <w:rsid w:val="00662967"/>
    <w:rsid w:val="00662C2B"/>
    <w:rsid w:val="006633E5"/>
    <w:rsid w:val="00663B15"/>
    <w:rsid w:val="00663D6A"/>
    <w:rsid w:val="00664BCC"/>
    <w:rsid w:val="006657EF"/>
    <w:rsid w:val="00665D9C"/>
    <w:rsid w:val="00665E2F"/>
    <w:rsid w:val="0066751A"/>
    <w:rsid w:val="00667D32"/>
    <w:rsid w:val="006712CA"/>
    <w:rsid w:val="00671838"/>
    <w:rsid w:val="00671C47"/>
    <w:rsid w:val="00672226"/>
    <w:rsid w:val="00672F12"/>
    <w:rsid w:val="00673026"/>
    <w:rsid w:val="00673D6C"/>
    <w:rsid w:val="00674654"/>
    <w:rsid w:val="00675D3B"/>
    <w:rsid w:val="0067676E"/>
    <w:rsid w:val="00677E0C"/>
    <w:rsid w:val="00677EF7"/>
    <w:rsid w:val="006810B8"/>
    <w:rsid w:val="00681135"/>
    <w:rsid w:val="006819E8"/>
    <w:rsid w:val="00681B87"/>
    <w:rsid w:val="00681CE7"/>
    <w:rsid w:val="006833D3"/>
    <w:rsid w:val="00683B10"/>
    <w:rsid w:val="00684D5E"/>
    <w:rsid w:val="006859BC"/>
    <w:rsid w:val="00685C27"/>
    <w:rsid w:val="00686D1B"/>
    <w:rsid w:val="006903F7"/>
    <w:rsid w:val="00691123"/>
    <w:rsid w:val="0069149C"/>
    <w:rsid w:val="00691DF3"/>
    <w:rsid w:val="00692997"/>
    <w:rsid w:val="006931CA"/>
    <w:rsid w:val="0069381F"/>
    <w:rsid w:val="006940B6"/>
    <w:rsid w:val="006940EA"/>
    <w:rsid w:val="0069437F"/>
    <w:rsid w:val="006948B7"/>
    <w:rsid w:val="00694CE9"/>
    <w:rsid w:val="00695264"/>
    <w:rsid w:val="006952B8"/>
    <w:rsid w:val="00697431"/>
    <w:rsid w:val="00697CCB"/>
    <w:rsid w:val="006A12A5"/>
    <w:rsid w:val="006A14A9"/>
    <w:rsid w:val="006A390E"/>
    <w:rsid w:val="006A3CFC"/>
    <w:rsid w:val="006A40BA"/>
    <w:rsid w:val="006A4540"/>
    <w:rsid w:val="006A45E9"/>
    <w:rsid w:val="006A4959"/>
    <w:rsid w:val="006A4C3E"/>
    <w:rsid w:val="006A4CF1"/>
    <w:rsid w:val="006A50F9"/>
    <w:rsid w:val="006A51CB"/>
    <w:rsid w:val="006A574E"/>
    <w:rsid w:val="006A5846"/>
    <w:rsid w:val="006A628B"/>
    <w:rsid w:val="006A6639"/>
    <w:rsid w:val="006A7B1F"/>
    <w:rsid w:val="006B2204"/>
    <w:rsid w:val="006B2C18"/>
    <w:rsid w:val="006B3304"/>
    <w:rsid w:val="006B3B10"/>
    <w:rsid w:val="006B400D"/>
    <w:rsid w:val="006B46FC"/>
    <w:rsid w:val="006B4711"/>
    <w:rsid w:val="006B591F"/>
    <w:rsid w:val="006B5A77"/>
    <w:rsid w:val="006B6D21"/>
    <w:rsid w:val="006B7172"/>
    <w:rsid w:val="006B71F4"/>
    <w:rsid w:val="006B733E"/>
    <w:rsid w:val="006C1C37"/>
    <w:rsid w:val="006C1D52"/>
    <w:rsid w:val="006C28F1"/>
    <w:rsid w:val="006C3FEE"/>
    <w:rsid w:val="006C48CB"/>
    <w:rsid w:val="006C509B"/>
    <w:rsid w:val="006C5FDC"/>
    <w:rsid w:val="006C6D9F"/>
    <w:rsid w:val="006C7103"/>
    <w:rsid w:val="006C7906"/>
    <w:rsid w:val="006D0231"/>
    <w:rsid w:val="006D0AE6"/>
    <w:rsid w:val="006D17B7"/>
    <w:rsid w:val="006D1DB1"/>
    <w:rsid w:val="006D2BEF"/>
    <w:rsid w:val="006D2E63"/>
    <w:rsid w:val="006D3535"/>
    <w:rsid w:val="006D3809"/>
    <w:rsid w:val="006D3ED5"/>
    <w:rsid w:val="006D41B9"/>
    <w:rsid w:val="006D472E"/>
    <w:rsid w:val="006D4D75"/>
    <w:rsid w:val="006D5B40"/>
    <w:rsid w:val="006D62FC"/>
    <w:rsid w:val="006D693F"/>
    <w:rsid w:val="006D70B0"/>
    <w:rsid w:val="006E028F"/>
    <w:rsid w:val="006E0B7B"/>
    <w:rsid w:val="006E1B0F"/>
    <w:rsid w:val="006E225A"/>
    <w:rsid w:val="006E2B9F"/>
    <w:rsid w:val="006E2BFD"/>
    <w:rsid w:val="006E3F31"/>
    <w:rsid w:val="006E4A00"/>
    <w:rsid w:val="006E59AB"/>
    <w:rsid w:val="006E6DEF"/>
    <w:rsid w:val="006E7078"/>
    <w:rsid w:val="006E7582"/>
    <w:rsid w:val="006E7CE3"/>
    <w:rsid w:val="006F01C8"/>
    <w:rsid w:val="006F0523"/>
    <w:rsid w:val="006F0F80"/>
    <w:rsid w:val="006F1551"/>
    <w:rsid w:val="006F4057"/>
    <w:rsid w:val="006F428B"/>
    <w:rsid w:val="006F44C8"/>
    <w:rsid w:val="006F53A3"/>
    <w:rsid w:val="006F65BD"/>
    <w:rsid w:val="006F6B3F"/>
    <w:rsid w:val="006F6F50"/>
    <w:rsid w:val="006F75DD"/>
    <w:rsid w:val="006F792B"/>
    <w:rsid w:val="006F79EA"/>
    <w:rsid w:val="007019B7"/>
    <w:rsid w:val="00701AD7"/>
    <w:rsid w:val="00701C93"/>
    <w:rsid w:val="00701CD4"/>
    <w:rsid w:val="00702020"/>
    <w:rsid w:val="0070212D"/>
    <w:rsid w:val="00702331"/>
    <w:rsid w:val="00702915"/>
    <w:rsid w:val="00702A07"/>
    <w:rsid w:val="00702CBB"/>
    <w:rsid w:val="0070343B"/>
    <w:rsid w:val="00703523"/>
    <w:rsid w:val="00703587"/>
    <w:rsid w:val="007043F2"/>
    <w:rsid w:val="007045A4"/>
    <w:rsid w:val="00704BAB"/>
    <w:rsid w:val="007050DE"/>
    <w:rsid w:val="0070511D"/>
    <w:rsid w:val="00707089"/>
    <w:rsid w:val="007076A7"/>
    <w:rsid w:val="00710C8F"/>
    <w:rsid w:val="007124F0"/>
    <w:rsid w:val="0071267D"/>
    <w:rsid w:val="00712C4F"/>
    <w:rsid w:val="00713174"/>
    <w:rsid w:val="0071421A"/>
    <w:rsid w:val="0071473F"/>
    <w:rsid w:val="0071521E"/>
    <w:rsid w:val="00715523"/>
    <w:rsid w:val="007175E1"/>
    <w:rsid w:val="00720CBB"/>
    <w:rsid w:val="00720FA1"/>
    <w:rsid w:val="007218F6"/>
    <w:rsid w:val="007219DD"/>
    <w:rsid w:val="00721A7D"/>
    <w:rsid w:val="00721AC8"/>
    <w:rsid w:val="00722563"/>
    <w:rsid w:val="0072282E"/>
    <w:rsid w:val="00722857"/>
    <w:rsid w:val="00722897"/>
    <w:rsid w:val="00722A13"/>
    <w:rsid w:val="00722F1F"/>
    <w:rsid w:val="007231A8"/>
    <w:rsid w:val="00723611"/>
    <w:rsid w:val="007248CF"/>
    <w:rsid w:val="007249B9"/>
    <w:rsid w:val="00726229"/>
    <w:rsid w:val="00727081"/>
    <w:rsid w:val="007276B7"/>
    <w:rsid w:val="00727D6F"/>
    <w:rsid w:val="0073077C"/>
    <w:rsid w:val="00730F7F"/>
    <w:rsid w:val="00731A73"/>
    <w:rsid w:val="007332D7"/>
    <w:rsid w:val="00733643"/>
    <w:rsid w:val="00733E4A"/>
    <w:rsid w:val="00737FDD"/>
    <w:rsid w:val="007409EC"/>
    <w:rsid w:val="00740A90"/>
    <w:rsid w:val="007415AF"/>
    <w:rsid w:val="007419B2"/>
    <w:rsid w:val="007424E3"/>
    <w:rsid w:val="007425A5"/>
    <w:rsid w:val="00742F4B"/>
    <w:rsid w:val="00743F24"/>
    <w:rsid w:val="00743FA5"/>
    <w:rsid w:val="007443A9"/>
    <w:rsid w:val="00745268"/>
    <w:rsid w:val="0074584E"/>
    <w:rsid w:val="0074717F"/>
    <w:rsid w:val="007472F2"/>
    <w:rsid w:val="007478EA"/>
    <w:rsid w:val="00750C46"/>
    <w:rsid w:val="00750E80"/>
    <w:rsid w:val="00751BEE"/>
    <w:rsid w:val="00751CDD"/>
    <w:rsid w:val="00752639"/>
    <w:rsid w:val="00752794"/>
    <w:rsid w:val="007536EF"/>
    <w:rsid w:val="007545F3"/>
    <w:rsid w:val="00756660"/>
    <w:rsid w:val="00756AC5"/>
    <w:rsid w:val="00756D5A"/>
    <w:rsid w:val="00757EE4"/>
    <w:rsid w:val="0076028E"/>
    <w:rsid w:val="00761098"/>
    <w:rsid w:val="007610A6"/>
    <w:rsid w:val="007612F9"/>
    <w:rsid w:val="0076137F"/>
    <w:rsid w:val="007618F2"/>
    <w:rsid w:val="00761FF5"/>
    <w:rsid w:val="00762010"/>
    <w:rsid w:val="0076280F"/>
    <w:rsid w:val="00762BCC"/>
    <w:rsid w:val="00762DCC"/>
    <w:rsid w:val="00764360"/>
    <w:rsid w:val="00764840"/>
    <w:rsid w:val="00764A3A"/>
    <w:rsid w:val="00765821"/>
    <w:rsid w:val="00765FA1"/>
    <w:rsid w:val="007660A5"/>
    <w:rsid w:val="0076669E"/>
    <w:rsid w:val="00766DDD"/>
    <w:rsid w:val="007703DF"/>
    <w:rsid w:val="007707A9"/>
    <w:rsid w:val="007710ED"/>
    <w:rsid w:val="0077121E"/>
    <w:rsid w:val="007716C0"/>
    <w:rsid w:val="007719D7"/>
    <w:rsid w:val="0077231A"/>
    <w:rsid w:val="0077288E"/>
    <w:rsid w:val="00773083"/>
    <w:rsid w:val="0077325D"/>
    <w:rsid w:val="007736FA"/>
    <w:rsid w:val="00773809"/>
    <w:rsid w:val="00773ABE"/>
    <w:rsid w:val="00773D37"/>
    <w:rsid w:val="007749D7"/>
    <w:rsid w:val="00774ACD"/>
    <w:rsid w:val="00775423"/>
    <w:rsid w:val="00775B98"/>
    <w:rsid w:val="00775D28"/>
    <w:rsid w:val="007767C7"/>
    <w:rsid w:val="00776A03"/>
    <w:rsid w:val="0077786F"/>
    <w:rsid w:val="00777B2B"/>
    <w:rsid w:val="00777DAD"/>
    <w:rsid w:val="00780237"/>
    <w:rsid w:val="007802B0"/>
    <w:rsid w:val="00780B44"/>
    <w:rsid w:val="00781353"/>
    <w:rsid w:val="00781653"/>
    <w:rsid w:val="007826A3"/>
    <w:rsid w:val="0078319E"/>
    <w:rsid w:val="00783D45"/>
    <w:rsid w:val="00783D61"/>
    <w:rsid w:val="00783FDC"/>
    <w:rsid w:val="0078412C"/>
    <w:rsid w:val="007844F4"/>
    <w:rsid w:val="00784641"/>
    <w:rsid w:val="0078574B"/>
    <w:rsid w:val="00786399"/>
    <w:rsid w:val="0078654F"/>
    <w:rsid w:val="00786B3D"/>
    <w:rsid w:val="00786EEE"/>
    <w:rsid w:val="00787186"/>
    <w:rsid w:val="007879F3"/>
    <w:rsid w:val="0079053A"/>
    <w:rsid w:val="00790CC6"/>
    <w:rsid w:val="00790DF7"/>
    <w:rsid w:val="007920F8"/>
    <w:rsid w:val="00792B84"/>
    <w:rsid w:val="007947E5"/>
    <w:rsid w:val="00794DE8"/>
    <w:rsid w:val="00795B0D"/>
    <w:rsid w:val="00796134"/>
    <w:rsid w:val="007A009A"/>
    <w:rsid w:val="007A0248"/>
    <w:rsid w:val="007A0B92"/>
    <w:rsid w:val="007A15D9"/>
    <w:rsid w:val="007A1645"/>
    <w:rsid w:val="007A1D7E"/>
    <w:rsid w:val="007A1E7A"/>
    <w:rsid w:val="007A2D33"/>
    <w:rsid w:val="007A41E1"/>
    <w:rsid w:val="007A43D5"/>
    <w:rsid w:val="007A4881"/>
    <w:rsid w:val="007A4C56"/>
    <w:rsid w:val="007A4CFB"/>
    <w:rsid w:val="007A5DDF"/>
    <w:rsid w:val="007A6A06"/>
    <w:rsid w:val="007A6B2B"/>
    <w:rsid w:val="007A75B4"/>
    <w:rsid w:val="007A7A87"/>
    <w:rsid w:val="007B1464"/>
    <w:rsid w:val="007B14DF"/>
    <w:rsid w:val="007B20B6"/>
    <w:rsid w:val="007B2165"/>
    <w:rsid w:val="007B21E7"/>
    <w:rsid w:val="007B2583"/>
    <w:rsid w:val="007B428F"/>
    <w:rsid w:val="007B4B90"/>
    <w:rsid w:val="007B4E28"/>
    <w:rsid w:val="007B5282"/>
    <w:rsid w:val="007B5EC2"/>
    <w:rsid w:val="007B61F7"/>
    <w:rsid w:val="007B6C10"/>
    <w:rsid w:val="007C154A"/>
    <w:rsid w:val="007C1606"/>
    <w:rsid w:val="007C189E"/>
    <w:rsid w:val="007C18BD"/>
    <w:rsid w:val="007C30C9"/>
    <w:rsid w:val="007C349F"/>
    <w:rsid w:val="007C44A1"/>
    <w:rsid w:val="007C484D"/>
    <w:rsid w:val="007C4F85"/>
    <w:rsid w:val="007C5576"/>
    <w:rsid w:val="007C6366"/>
    <w:rsid w:val="007C657B"/>
    <w:rsid w:val="007C6977"/>
    <w:rsid w:val="007C6E4A"/>
    <w:rsid w:val="007C73AE"/>
    <w:rsid w:val="007C76B8"/>
    <w:rsid w:val="007C7731"/>
    <w:rsid w:val="007C7F9A"/>
    <w:rsid w:val="007D1E5C"/>
    <w:rsid w:val="007D1F3D"/>
    <w:rsid w:val="007D32AC"/>
    <w:rsid w:val="007D33DF"/>
    <w:rsid w:val="007D38B7"/>
    <w:rsid w:val="007D4391"/>
    <w:rsid w:val="007D4405"/>
    <w:rsid w:val="007D6701"/>
    <w:rsid w:val="007D6BB0"/>
    <w:rsid w:val="007D790F"/>
    <w:rsid w:val="007E001C"/>
    <w:rsid w:val="007E0102"/>
    <w:rsid w:val="007E1EF3"/>
    <w:rsid w:val="007E2C5E"/>
    <w:rsid w:val="007E3AA1"/>
    <w:rsid w:val="007E7026"/>
    <w:rsid w:val="007E71FF"/>
    <w:rsid w:val="007F0375"/>
    <w:rsid w:val="007F0E3E"/>
    <w:rsid w:val="007F19F2"/>
    <w:rsid w:val="007F20CD"/>
    <w:rsid w:val="007F2800"/>
    <w:rsid w:val="007F31B4"/>
    <w:rsid w:val="007F342F"/>
    <w:rsid w:val="007F761E"/>
    <w:rsid w:val="007F7E2C"/>
    <w:rsid w:val="008001D7"/>
    <w:rsid w:val="00800273"/>
    <w:rsid w:val="0080047B"/>
    <w:rsid w:val="00800482"/>
    <w:rsid w:val="00800CC0"/>
    <w:rsid w:val="008014CE"/>
    <w:rsid w:val="008018A1"/>
    <w:rsid w:val="00801963"/>
    <w:rsid w:val="00801FD7"/>
    <w:rsid w:val="00802B2C"/>
    <w:rsid w:val="008035FD"/>
    <w:rsid w:val="00803676"/>
    <w:rsid w:val="0080396C"/>
    <w:rsid w:val="00803A46"/>
    <w:rsid w:val="00803E4A"/>
    <w:rsid w:val="00803F34"/>
    <w:rsid w:val="00804546"/>
    <w:rsid w:val="00804EAC"/>
    <w:rsid w:val="00805C73"/>
    <w:rsid w:val="00805CF1"/>
    <w:rsid w:val="00806109"/>
    <w:rsid w:val="00806FD0"/>
    <w:rsid w:val="00807148"/>
    <w:rsid w:val="00807353"/>
    <w:rsid w:val="008078C5"/>
    <w:rsid w:val="00810494"/>
    <w:rsid w:val="008113B3"/>
    <w:rsid w:val="00811877"/>
    <w:rsid w:val="00811DA5"/>
    <w:rsid w:val="00812611"/>
    <w:rsid w:val="00812B4B"/>
    <w:rsid w:val="00813248"/>
    <w:rsid w:val="00813C1F"/>
    <w:rsid w:val="00813F96"/>
    <w:rsid w:val="00815447"/>
    <w:rsid w:val="0081545B"/>
    <w:rsid w:val="00815B2D"/>
    <w:rsid w:val="00816298"/>
    <w:rsid w:val="0081638E"/>
    <w:rsid w:val="008164AB"/>
    <w:rsid w:val="008168C0"/>
    <w:rsid w:val="00817F9A"/>
    <w:rsid w:val="0082039F"/>
    <w:rsid w:val="00820D2C"/>
    <w:rsid w:val="00823064"/>
    <w:rsid w:val="008235C3"/>
    <w:rsid w:val="00823739"/>
    <w:rsid w:val="00823FE1"/>
    <w:rsid w:val="00825A6C"/>
    <w:rsid w:val="00826A8E"/>
    <w:rsid w:val="008276F4"/>
    <w:rsid w:val="008279EE"/>
    <w:rsid w:val="00831B16"/>
    <w:rsid w:val="00832395"/>
    <w:rsid w:val="00833380"/>
    <w:rsid w:val="00833402"/>
    <w:rsid w:val="00835123"/>
    <w:rsid w:val="00835C56"/>
    <w:rsid w:val="00836B02"/>
    <w:rsid w:val="0083741C"/>
    <w:rsid w:val="00840B19"/>
    <w:rsid w:val="00841AA4"/>
    <w:rsid w:val="00842017"/>
    <w:rsid w:val="008421D5"/>
    <w:rsid w:val="00843293"/>
    <w:rsid w:val="008436A0"/>
    <w:rsid w:val="00843A47"/>
    <w:rsid w:val="0084429B"/>
    <w:rsid w:val="008446AE"/>
    <w:rsid w:val="008447EA"/>
    <w:rsid w:val="00846BDB"/>
    <w:rsid w:val="00846EF4"/>
    <w:rsid w:val="00846F2A"/>
    <w:rsid w:val="00847AD0"/>
    <w:rsid w:val="00847B43"/>
    <w:rsid w:val="00850304"/>
    <w:rsid w:val="0085048D"/>
    <w:rsid w:val="00850922"/>
    <w:rsid w:val="00850B43"/>
    <w:rsid w:val="0085186B"/>
    <w:rsid w:val="00852039"/>
    <w:rsid w:val="0085384A"/>
    <w:rsid w:val="00853B73"/>
    <w:rsid w:val="008549D5"/>
    <w:rsid w:val="00855236"/>
    <w:rsid w:val="0085558E"/>
    <w:rsid w:val="00855AB9"/>
    <w:rsid w:val="00855F66"/>
    <w:rsid w:val="008567AC"/>
    <w:rsid w:val="008576D2"/>
    <w:rsid w:val="00857701"/>
    <w:rsid w:val="00857EE8"/>
    <w:rsid w:val="00860554"/>
    <w:rsid w:val="00860B25"/>
    <w:rsid w:val="00860C95"/>
    <w:rsid w:val="00860CAA"/>
    <w:rsid w:val="008613D8"/>
    <w:rsid w:val="0086144C"/>
    <w:rsid w:val="008614EA"/>
    <w:rsid w:val="00861D70"/>
    <w:rsid w:val="00861E64"/>
    <w:rsid w:val="0086272E"/>
    <w:rsid w:val="008633B4"/>
    <w:rsid w:val="0086349D"/>
    <w:rsid w:val="00863E5C"/>
    <w:rsid w:val="00864170"/>
    <w:rsid w:val="0086420D"/>
    <w:rsid w:val="0086524F"/>
    <w:rsid w:val="00865DA7"/>
    <w:rsid w:val="00866755"/>
    <w:rsid w:val="008671C2"/>
    <w:rsid w:val="00871258"/>
    <w:rsid w:val="008717F8"/>
    <w:rsid w:val="008724DB"/>
    <w:rsid w:val="00873131"/>
    <w:rsid w:val="00873931"/>
    <w:rsid w:val="00874543"/>
    <w:rsid w:val="008748B0"/>
    <w:rsid w:val="00874C6C"/>
    <w:rsid w:val="0087593E"/>
    <w:rsid w:val="0087598A"/>
    <w:rsid w:val="00875F2A"/>
    <w:rsid w:val="00876A28"/>
    <w:rsid w:val="0087702D"/>
    <w:rsid w:val="00877450"/>
    <w:rsid w:val="00877D1A"/>
    <w:rsid w:val="00877E96"/>
    <w:rsid w:val="00880702"/>
    <w:rsid w:val="00880C98"/>
    <w:rsid w:val="008813AE"/>
    <w:rsid w:val="008822D4"/>
    <w:rsid w:val="008824D6"/>
    <w:rsid w:val="008824DB"/>
    <w:rsid w:val="008827E1"/>
    <w:rsid w:val="00884160"/>
    <w:rsid w:val="00884354"/>
    <w:rsid w:val="0088443D"/>
    <w:rsid w:val="0088462E"/>
    <w:rsid w:val="0088471B"/>
    <w:rsid w:val="0088473D"/>
    <w:rsid w:val="00884ADC"/>
    <w:rsid w:val="008855AC"/>
    <w:rsid w:val="008857A3"/>
    <w:rsid w:val="008858EF"/>
    <w:rsid w:val="00886A27"/>
    <w:rsid w:val="00887151"/>
    <w:rsid w:val="00887C11"/>
    <w:rsid w:val="0089150D"/>
    <w:rsid w:val="00891BF9"/>
    <w:rsid w:val="00891F0D"/>
    <w:rsid w:val="00892096"/>
    <w:rsid w:val="00892123"/>
    <w:rsid w:val="00892282"/>
    <w:rsid w:val="00892864"/>
    <w:rsid w:val="0089314F"/>
    <w:rsid w:val="00893C83"/>
    <w:rsid w:val="00894454"/>
    <w:rsid w:val="00894816"/>
    <w:rsid w:val="00894E5D"/>
    <w:rsid w:val="008959D3"/>
    <w:rsid w:val="00895E77"/>
    <w:rsid w:val="008A0DF5"/>
    <w:rsid w:val="008A1457"/>
    <w:rsid w:val="008A1A94"/>
    <w:rsid w:val="008A2055"/>
    <w:rsid w:val="008A3594"/>
    <w:rsid w:val="008A3E22"/>
    <w:rsid w:val="008A4759"/>
    <w:rsid w:val="008A4DF0"/>
    <w:rsid w:val="008A5138"/>
    <w:rsid w:val="008A5DA7"/>
    <w:rsid w:val="008A6496"/>
    <w:rsid w:val="008A66A9"/>
    <w:rsid w:val="008B04ED"/>
    <w:rsid w:val="008B0629"/>
    <w:rsid w:val="008B0785"/>
    <w:rsid w:val="008B0C89"/>
    <w:rsid w:val="008B0CD2"/>
    <w:rsid w:val="008B2169"/>
    <w:rsid w:val="008B21BC"/>
    <w:rsid w:val="008B3642"/>
    <w:rsid w:val="008B38B6"/>
    <w:rsid w:val="008B3C67"/>
    <w:rsid w:val="008B4059"/>
    <w:rsid w:val="008B5660"/>
    <w:rsid w:val="008B57CD"/>
    <w:rsid w:val="008B5E26"/>
    <w:rsid w:val="008B66F8"/>
    <w:rsid w:val="008B69E6"/>
    <w:rsid w:val="008B6AFA"/>
    <w:rsid w:val="008B6DB3"/>
    <w:rsid w:val="008B786F"/>
    <w:rsid w:val="008C0597"/>
    <w:rsid w:val="008C104E"/>
    <w:rsid w:val="008C20E4"/>
    <w:rsid w:val="008C22FF"/>
    <w:rsid w:val="008C2E54"/>
    <w:rsid w:val="008C3258"/>
    <w:rsid w:val="008C3457"/>
    <w:rsid w:val="008C35E8"/>
    <w:rsid w:val="008C47E5"/>
    <w:rsid w:val="008C4FE9"/>
    <w:rsid w:val="008C5614"/>
    <w:rsid w:val="008C6360"/>
    <w:rsid w:val="008C6C90"/>
    <w:rsid w:val="008C7CAB"/>
    <w:rsid w:val="008C7E38"/>
    <w:rsid w:val="008D04BF"/>
    <w:rsid w:val="008D0E31"/>
    <w:rsid w:val="008D14DE"/>
    <w:rsid w:val="008D2A4C"/>
    <w:rsid w:val="008D341B"/>
    <w:rsid w:val="008D3582"/>
    <w:rsid w:val="008D374E"/>
    <w:rsid w:val="008D37EA"/>
    <w:rsid w:val="008D3E3F"/>
    <w:rsid w:val="008D4773"/>
    <w:rsid w:val="008D49F8"/>
    <w:rsid w:val="008D4E04"/>
    <w:rsid w:val="008D51B5"/>
    <w:rsid w:val="008D54E9"/>
    <w:rsid w:val="008D585A"/>
    <w:rsid w:val="008D6530"/>
    <w:rsid w:val="008D70D0"/>
    <w:rsid w:val="008D71B3"/>
    <w:rsid w:val="008D7A03"/>
    <w:rsid w:val="008E099A"/>
    <w:rsid w:val="008E1356"/>
    <w:rsid w:val="008E13F5"/>
    <w:rsid w:val="008E15E9"/>
    <w:rsid w:val="008E2A4D"/>
    <w:rsid w:val="008E2B66"/>
    <w:rsid w:val="008E2E28"/>
    <w:rsid w:val="008E3983"/>
    <w:rsid w:val="008E447D"/>
    <w:rsid w:val="008E5F3B"/>
    <w:rsid w:val="008E60F6"/>
    <w:rsid w:val="008E65B4"/>
    <w:rsid w:val="008E6AEC"/>
    <w:rsid w:val="008E71BA"/>
    <w:rsid w:val="008E75DC"/>
    <w:rsid w:val="008F03F3"/>
    <w:rsid w:val="008F0B30"/>
    <w:rsid w:val="008F0EB0"/>
    <w:rsid w:val="008F185D"/>
    <w:rsid w:val="008F2249"/>
    <w:rsid w:val="008F2377"/>
    <w:rsid w:val="008F2A91"/>
    <w:rsid w:val="008F3574"/>
    <w:rsid w:val="008F4320"/>
    <w:rsid w:val="008F43AE"/>
    <w:rsid w:val="008F43EE"/>
    <w:rsid w:val="008F4831"/>
    <w:rsid w:val="008F4A87"/>
    <w:rsid w:val="008F5BE0"/>
    <w:rsid w:val="008F5D56"/>
    <w:rsid w:val="008F6088"/>
    <w:rsid w:val="008F6D57"/>
    <w:rsid w:val="008F6FFE"/>
    <w:rsid w:val="008F74C4"/>
    <w:rsid w:val="008F7591"/>
    <w:rsid w:val="008F789D"/>
    <w:rsid w:val="008F78FC"/>
    <w:rsid w:val="008F7B2D"/>
    <w:rsid w:val="008F7B76"/>
    <w:rsid w:val="00900818"/>
    <w:rsid w:val="00901399"/>
    <w:rsid w:val="00901728"/>
    <w:rsid w:val="0090254B"/>
    <w:rsid w:val="00902955"/>
    <w:rsid w:val="009032C1"/>
    <w:rsid w:val="009039D9"/>
    <w:rsid w:val="00903D60"/>
    <w:rsid w:val="009040D2"/>
    <w:rsid w:val="00904293"/>
    <w:rsid w:val="00904701"/>
    <w:rsid w:val="00904D75"/>
    <w:rsid w:val="0090575B"/>
    <w:rsid w:val="0090580B"/>
    <w:rsid w:val="009062DB"/>
    <w:rsid w:val="00906380"/>
    <w:rsid w:val="0090686C"/>
    <w:rsid w:val="0091093C"/>
    <w:rsid w:val="009119C0"/>
    <w:rsid w:val="00911A41"/>
    <w:rsid w:val="00912F96"/>
    <w:rsid w:val="009130B1"/>
    <w:rsid w:val="009144FD"/>
    <w:rsid w:val="00915F66"/>
    <w:rsid w:val="00916C6D"/>
    <w:rsid w:val="009177D3"/>
    <w:rsid w:val="009179B5"/>
    <w:rsid w:val="0092007A"/>
    <w:rsid w:val="009213F2"/>
    <w:rsid w:val="00921BF1"/>
    <w:rsid w:val="00922BB9"/>
    <w:rsid w:val="00923253"/>
    <w:rsid w:val="00923906"/>
    <w:rsid w:val="009244CE"/>
    <w:rsid w:val="00924FD9"/>
    <w:rsid w:val="00925220"/>
    <w:rsid w:val="0092576F"/>
    <w:rsid w:val="00925BA7"/>
    <w:rsid w:val="009260E3"/>
    <w:rsid w:val="0092645F"/>
    <w:rsid w:val="00926C59"/>
    <w:rsid w:val="00927AF9"/>
    <w:rsid w:val="00930728"/>
    <w:rsid w:val="00931E57"/>
    <w:rsid w:val="009338BC"/>
    <w:rsid w:val="00934222"/>
    <w:rsid w:val="009342F1"/>
    <w:rsid w:val="00934588"/>
    <w:rsid w:val="00934987"/>
    <w:rsid w:val="00935745"/>
    <w:rsid w:val="009365F4"/>
    <w:rsid w:val="00936D21"/>
    <w:rsid w:val="009370B3"/>
    <w:rsid w:val="00937E6E"/>
    <w:rsid w:val="009407F2"/>
    <w:rsid w:val="0094154D"/>
    <w:rsid w:val="00941DD9"/>
    <w:rsid w:val="00942C76"/>
    <w:rsid w:val="00943577"/>
    <w:rsid w:val="009442D2"/>
    <w:rsid w:val="009443A2"/>
    <w:rsid w:val="00944986"/>
    <w:rsid w:val="00945A08"/>
    <w:rsid w:val="00945BB9"/>
    <w:rsid w:val="0094632F"/>
    <w:rsid w:val="00946439"/>
    <w:rsid w:val="009469F0"/>
    <w:rsid w:val="00950A8F"/>
    <w:rsid w:val="00950B88"/>
    <w:rsid w:val="00950EF8"/>
    <w:rsid w:val="0095102B"/>
    <w:rsid w:val="00951453"/>
    <w:rsid w:val="00951602"/>
    <w:rsid w:val="00951615"/>
    <w:rsid w:val="00952DFF"/>
    <w:rsid w:val="009536DD"/>
    <w:rsid w:val="00953B5E"/>
    <w:rsid w:val="00953F45"/>
    <w:rsid w:val="0095408A"/>
    <w:rsid w:val="00954B12"/>
    <w:rsid w:val="00954B38"/>
    <w:rsid w:val="00955317"/>
    <w:rsid w:val="009568FB"/>
    <w:rsid w:val="00957061"/>
    <w:rsid w:val="009572AD"/>
    <w:rsid w:val="009574EE"/>
    <w:rsid w:val="009602B3"/>
    <w:rsid w:val="009603E1"/>
    <w:rsid w:val="00960ECF"/>
    <w:rsid w:val="009632B0"/>
    <w:rsid w:val="009633A7"/>
    <w:rsid w:val="00963B59"/>
    <w:rsid w:val="00963C4A"/>
    <w:rsid w:val="00963CAE"/>
    <w:rsid w:val="00963D66"/>
    <w:rsid w:val="00963E30"/>
    <w:rsid w:val="00964216"/>
    <w:rsid w:val="00965E75"/>
    <w:rsid w:val="0096651D"/>
    <w:rsid w:val="00966D2A"/>
    <w:rsid w:val="00966DC5"/>
    <w:rsid w:val="00970419"/>
    <w:rsid w:val="00970548"/>
    <w:rsid w:val="00970776"/>
    <w:rsid w:val="009707DB"/>
    <w:rsid w:val="0097165B"/>
    <w:rsid w:val="00971DDF"/>
    <w:rsid w:val="00973841"/>
    <w:rsid w:val="00973ED5"/>
    <w:rsid w:val="0097454A"/>
    <w:rsid w:val="009746DB"/>
    <w:rsid w:val="00975754"/>
    <w:rsid w:val="00975CB3"/>
    <w:rsid w:val="009768AB"/>
    <w:rsid w:val="00976E94"/>
    <w:rsid w:val="00977F6B"/>
    <w:rsid w:val="0098067A"/>
    <w:rsid w:val="0098128A"/>
    <w:rsid w:val="00981780"/>
    <w:rsid w:val="00981D2F"/>
    <w:rsid w:val="00981F56"/>
    <w:rsid w:val="009830D1"/>
    <w:rsid w:val="009835A2"/>
    <w:rsid w:val="00984B5B"/>
    <w:rsid w:val="00984F49"/>
    <w:rsid w:val="00985911"/>
    <w:rsid w:val="009864DB"/>
    <w:rsid w:val="0098728B"/>
    <w:rsid w:val="00987EBC"/>
    <w:rsid w:val="009900F0"/>
    <w:rsid w:val="009905DB"/>
    <w:rsid w:val="00990843"/>
    <w:rsid w:val="00992F8F"/>
    <w:rsid w:val="00993F61"/>
    <w:rsid w:val="00994809"/>
    <w:rsid w:val="00994E20"/>
    <w:rsid w:val="009963C7"/>
    <w:rsid w:val="00996DFF"/>
    <w:rsid w:val="009A01B4"/>
    <w:rsid w:val="009A0BA8"/>
    <w:rsid w:val="009A0E8F"/>
    <w:rsid w:val="009A118F"/>
    <w:rsid w:val="009A15C8"/>
    <w:rsid w:val="009A1B00"/>
    <w:rsid w:val="009A1ED3"/>
    <w:rsid w:val="009A2905"/>
    <w:rsid w:val="009A2909"/>
    <w:rsid w:val="009A2C7F"/>
    <w:rsid w:val="009A3C71"/>
    <w:rsid w:val="009A4691"/>
    <w:rsid w:val="009A477B"/>
    <w:rsid w:val="009A4784"/>
    <w:rsid w:val="009A4A45"/>
    <w:rsid w:val="009A4AD3"/>
    <w:rsid w:val="009A53F2"/>
    <w:rsid w:val="009A57C3"/>
    <w:rsid w:val="009A5E2A"/>
    <w:rsid w:val="009A6187"/>
    <w:rsid w:val="009A71AA"/>
    <w:rsid w:val="009A7BBD"/>
    <w:rsid w:val="009B0134"/>
    <w:rsid w:val="009B0B7D"/>
    <w:rsid w:val="009B25BA"/>
    <w:rsid w:val="009B297F"/>
    <w:rsid w:val="009B2DE0"/>
    <w:rsid w:val="009B3B00"/>
    <w:rsid w:val="009B3F20"/>
    <w:rsid w:val="009B4B9D"/>
    <w:rsid w:val="009B5D04"/>
    <w:rsid w:val="009B73A2"/>
    <w:rsid w:val="009B76BC"/>
    <w:rsid w:val="009B7B80"/>
    <w:rsid w:val="009B7D59"/>
    <w:rsid w:val="009B7D6E"/>
    <w:rsid w:val="009C138C"/>
    <w:rsid w:val="009C21AD"/>
    <w:rsid w:val="009C293D"/>
    <w:rsid w:val="009C2E88"/>
    <w:rsid w:val="009C311D"/>
    <w:rsid w:val="009C3257"/>
    <w:rsid w:val="009C38FC"/>
    <w:rsid w:val="009C4032"/>
    <w:rsid w:val="009C40C6"/>
    <w:rsid w:val="009C51FB"/>
    <w:rsid w:val="009C5473"/>
    <w:rsid w:val="009C5B40"/>
    <w:rsid w:val="009C5CA8"/>
    <w:rsid w:val="009C650E"/>
    <w:rsid w:val="009C65F5"/>
    <w:rsid w:val="009C70AB"/>
    <w:rsid w:val="009C7699"/>
    <w:rsid w:val="009C78E4"/>
    <w:rsid w:val="009D0AD4"/>
    <w:rsid w:val="009D112B"/>
    <w:rsid w:val="009D19BC"/>
    <w:rsid w:val="009D2178"/>
    <w:rsid w:val="009D2773"/>
    <w:rsid w:val="009D2AE2"/>
    <w:rsid w:val="009D3281"/>
    <w:rsid w:val="009D4A33"/>
    <w:rsid w:val="009D5030"/>
    <w:rsid w:val="009D50C2"/>
    <w:rsid w:val="009D537C"/>
    <w:rsid w:val="009D59DD"/>
    <w:rsid w:val="009D64BD"/>
    <w:rsid w:val="009D6C61"/>
    <w:rsid w:val="009D73ED"/>
    <w:rsid w:val="009D7E04"/>
    <w:rsid w:val="009E02FF"/>
    <w:rsid w:val="009E04E6"/>
    <w:rsid w:val="009E1186"/>
    <w:rsid w:val="009E142B"/>
    <w:rsid w:val="009E1C52"/>
    <w:rsid w:val="009E22ED"/>
    <w:rsid w:val="009E240B"/>
    <w:rsid w:val="009E2B8D"/>
    <w:rsid w:val="009E2D1E"/>
    <w:rsid w:val="009E3013"/>
    <w:rsid w:val="009E318D"/>
    <w:rsid w:val="009E3467"/>
    <w:rsid w:val="009E4299"/>
    <w:rsid w:val="009E47F6"/>
    <w:rsid w:val="009E5145"/>
    <w:rsid w:val="009E56E6"/>
    <w:rsid w:val="009E7859"/>
    <w:rsid w:val="009E7BB8"/>
    <w:rsid w:val="009F18F3"/>
    <w:rsid w:val="009F2478"/>
    <w:rsid w:val="009F3938"/>
    <w:rsid w:val="009F4490"/>
    <w:rsid w:val="009F5100"/>
    <w:rsid w:val="009F53C7"/>
    <w:rsid w:val="009F5499"/>
    <w:rsid w:val="009F59FE"/>
    <w:rsid w:val="009F5EB4"/>
    <w:rsid w:val="009F5F2E"/>
    <w:rsid w:val="009F6991"/>
    <w:rsid w:val="009F72FF"/>
    <w:rsid w:val="009F7BC0"/>
    <w:rsid w:val="00A00527"/>
    <w:rsid w:val="00A009FB"/>
    <w:rsid w:val="00A00AC4"/>
    <w:rsid w:val="00A00F66"/>
    <w:rsid w:val="00A0143E"/>
    <w:rsid w:val="00A01E7B"/>
    <w:rsid w:val="00A021FE"/>
    <w:rsid w:val="00A02467"/>
    <w:rsid w:val="00A0270B"/>
    <w:rsid w:val="00A029D8"/>
    <w:rsid w:val="00A02A01"/>
    <w:rsid w:val="00A02EC5"/>
    <w:rsid w:val="00A040BC"/>
    <w:rsid w:val="00A0414A"/>
    <w:rsid w:val="00A04AA9"/>
    <w:rsid w:val="00A050D0"/>
    <w:rsid w:val="00A05F06"/>
    <w:rsid w:val="00A06D61"/>
    <w:rsid w:val="00A07BD4"/>
    <w:rsid w:val="00A1006A"/>
    <w:rsid w:val="00A10A91"/>
    <w:rsid w:val="00A11312"/>
    <w:rsid w:val="00A1146A"/>
    <w:rsid w:val="00A12083"/>
    <w:rsid w:val="00A12A81"/>
    <w:rsid w:val="00A150B8"/>
    <w:rsid w:val="00A15678"/>
    <w:rsid w:val="00A15C8E"/>
    <w:rsid w:val="00A15E2A"/>
    <w:rsid w:val="00A1669A"/>
    <w:rsid w:val="00A178B9"/>
    <w:rsid w:val="00A1799D"/>
    <w:rsid w:val="00A17C10"/>
    <w:rsid w:val="00A21BB1"/>
    <w:rsid w:val="00A2229C"/>
    <w:rsid w:val="00A2230C"/>
    <w:rsid w:val="00A22CB1"/>
    <w:rsid w:val="00A236A2"/>
    <w:rsid w:val="00A23BB0"/>
    <w:rsid w:val="00A23D60"/>
    <w:rsid w:val="00A23FE6"/>
    <w:rsid w:val="00A24A59"/>
    <w:rsid w:val="00A24AD2"/>
    <w:rsid w:val="00A24BCD"/>
    <w:rsid w:val="00A26505"/>
    <w:rsid w:val="00A27128"/>
    <w:rsid w:val="00A27A08"/>
    <w:rsid w:val="00A27B00"/>
    <w:rsid w:val="00A30278"/>
    <w:rsid w:val="00A30D9A"/>
    <w:rsid w:val="00A3123A"/>
    <w:rsid w:val="00A32219"/>
    <w:rsid w:val="00A3284E"/>
    <w:rsid w:val="00A33274"/>
    <w:rsid w:val="00A34237"/>
    <w:rsid w:val="00A34687"/>
    <w:rsid w:val="00A3659F"/>
    <w:rsid w:val="00A36674"/>
    <w:rsid w:val="00A369C2"/>
    <w:rsid w:val="00A36A7F"/>
    <w:rsid w:val="00A3770D"/>
    <w:rsid w:val="00A377F8"/>
    <w:rsid w:val="00A40398"/>
    <w:rsid w:val="00A428D2"/>
    <w:rsid w:val="00A43797"/>
    <w:rsid w:val="00A446CF"/>
    <w:rsid w:val="00A44BB8"/>
    <w:rsid w:val="00A45204"/>
    <w:rsid w:val="00A462D7"/>
    <w:rsid w:val="00A467FC"/>
    <w:rsid w:val="00A46CB6"/>
    <w:rsid w:val="00A46E2C"/>
    <w:rsid w:val="00A471F0"/>
    <w:rsid w:val="00A47EC9"/>
    <w:rsid w:val="00A47FA8"/>
    <w:rsid w:val="00A51A5B"/>
    <w:rsid w:val="00A5203F"/>
    <w:rsid w:val="00A530D1"/>
    <w:rsid w:val="00A5339C"/>
    <w:rsid w:val="00A53467"/>
    <w:rsid w:val="00A53768"/>
    <w:rsid w:val="00A53B9C"/>
    <w:rsid w:val="00A53E1B"/>
    <w:rsid w:val="00A54306"/>
    <w:rsid w:val="00A5484A"/>
    <w:rsid w:val="00A5495D"/>
    <w:rsid w:val="00A5516E"/>
    <w:rsid w:val="00A55850"/>
    <w:rsid w:val="00A55991"/>
    <w:rsid w:val="00A569C2"/>
    <w:rsid w:val="00A56C7A"/>
    <w:rsid w:val="00A57189"/>
    <w:rsid w:val="00A57946"/>
    <w:rsid w:val="00A57C91"/>
    <w:rsid w:val="00A57D80"/>
    <w:rsid w:val="00A6008D"/>
    <w:rsid w:val="00A60F80"/>
    <w:rsid w:val="00A6118C"/>
    <w:rsid w:val="00A61A99"/>
    <w:rsid w:val="00A62119"/>
    <w:rsid w:val="00A62735"/>
    <w:rsid w:val="00A6275E"/>
    <w:rsid w:val="00A62AC9"/>
    <w:rsid w:val="00A63827"/>
    <w:rsid w:val="00A64D4A"/>
    <w:rsid w:val="00A651FB"/>
    <w:rsid w:val="00A65657"/>
    <w:rsid w:val="00A66A82"/>
    <w:rsid w:val="00A66CC4"/>
    <w:rsid w:val="00A66F4D"/>
    <w:rsid w:val="00A70545"/>
    <w:rsid w:val="00A70BBC"/>
    <w:rsid w:val="00A71237"/>
    <w:rsid w:val="00A71402"/>
    <w:rsid w:val="00A7204A"/>
    <w:rsid w:val="00A720AB"/>
    <w:rsid w:val="00A72C49"/>
    <w:rsid w:val="00A72FC6"/>
    <w:rsid w:val="00A735D0"/>
    <w:rsid w:val="00A74427"/>
    <w:rsid w:val="00A74484"/>
    <w:rsid w:val="00A746F9"/>
    <w:rsid w:val="00A7569A"/>
    <w:rsid w:val="00A757ED"/>
    <w:rsid w:val="00A75E3B"/>
    <w:rsid w:val="00A7603D"/>
    <w:rsid w:val="00A76823"/>
    <w:rsid w:val="00A76A13"/>
    <w:rsid w:val="00A7701F"/>
    <w:rsid w:val="00A77A4F"/>
    <w:rsid w:val="00A807CB"/>
    <w:rsid w:val="00A81223"/>
    <w:rsid w:val="00A81DB2"/>
    <w:rsid w:val="00A81EE7"/>
    <w:rsid w:val="00A826E3"/>
    <w:rsid w:val="00A83068"/>
    <w:rsid w:val="00A83D54"/>
    <w:rsid w:val="00A84320"/>
    <w:rsid w:val="00A84B29"/>
    <w:rsid w:val="00A8507F"/>
    <w:rsid w:val="00A85850"/>
    <w:rsid w:val="00A85D68"/>
    <w:rsid w:val="00A86957"/>
    <w:rsid w:val="00A86D46"/>
    <w:rsid w:val="00A87946"/>
    <w:rsid w:val="00A90158"/>
    <w:rsid w:val="00A90A95"/>
    <w:rsid w:val="00A90E50"/>
    <w:rsid w:val="00A921D6"/>
    <w:rsid w:val="00A93081"/>
    <w:rsid w:val="00A93C04"/>
    <w:rsid w:val="00A93C48"/>
    <w:rsid w:val="00A93EE0"/>
    <w:rsid w:val="00A93FC3"/>
    <w:rsid w:val="00A93FDD"/>
    <w:rsid w:val="00A95EE2"/>
    <w:rsid w:val="00A96217"/>
    <w:rsid w:val="00A969AC"/>
    <w:rsid w:val="00A96BE7"/>
    <w:rsid w:val="00AA12F9"/>
    <w:rsid w:val="00AA17B6"/>
    <w:rsid w:val="00AA2C75"/>
    <w:rsid w:val="00AA31FF"/>
    <w:rsid w:val="00AA3479"/>
    <w:rsid w:val="00AA3AAD"/>
    <w:rsid w:val="00AA3BF4"/>
    <w:rsid w:val="00AA47A8"/>
    <w:rsid w:val="00AA4EC4"/>
    <w:rsid w:val="00AA6A4E"/>
    <w:rsid w:val="00AA6DF9"/>
    <w:rsid w:val="00AA6E88"/>
    <w:rsid w:val="00AA72F2"/>
    <w:rsid w:val="00AB0A99"/>
    <w:rsid w:val="00AB1A61"/>
    <w:rsid w:val="00AB21A1"/>
    <w:rsid w:val="00AB3518"/>
    <w:rsid w:val="00AB3BF4"/>
    <w:rsid w:val="00AB43F2"/>
    <w:rsid w:val="00AB470B"/>
    <w:rsid w:val="00AB4939"/>
    <w:rsid w:val="00AB53FD"/>
    <w:rsid w:val="00AB5B1B"/>
    <w:rsid w:val="00AB6673"/>
    <w:rsid w:val="00AB6E2A"/>
    <w:rsid w:val="00AB7660"/>
    <w:rsid w:val="00AB79B7"/>
    <w:rsid w:val="00AB7D95"/>
    <w:rsid w:val="00AB7F9E"/>
    <w:rsid w:val="00AC099A"/>
    <w:rsid w:val="00AC2356"/>
    <w:rsid w:val="00AC3484"/>
    <w:rsid w:val="00AC49F3"/>
    <w:rsid w:val="00AC5539"/>
    <w:rsid w:val="00AC5DC4"/>
    <w:rsid w:val="00AC60BF"/>
    <w:rsid w:val="00AC7346"/>
    <w:rsid w:val="00AC7A78"/>
    <w:rsid w:val="00AC7C42"/>
    <w:rsid w:val="00AD01BB"/>
    <w:rsid w:val="00AD0466"/>
    <w:rsid w:val="00AD1119"/>
    <w:rsid w:val="00AD1928"/>
    <w:rsid w:val="00AD1ABC"/>
    <w:rsid w:val="00AD1D2F"/>
    <w:rsid w:val="00AD1E0C"/>
    <w:rsid w:val="00AD2600"/>
    <w:rsid w:val="00AD2875"/>
    <w:rsid w:val="00AD460C"/>
    <w:rsid w:val="00AD4CB9"/>
    <w:rsid w:val="00AD56E2"/>
    <w:rsid w:val="00AD59C3"/>
    <w:rsid w:val="00AD690E"/>
    <w:rsid w:val="00AD743F"/>
    <w:rsid w:val="00AE0453"/>
    <w:rsid w:val="00AE0572"/>
    <w:rsid w:val="00AE0C31"/>
    <w:rsid w:val="00AE240D"/>
    <w:rsid w:val="00AE2826"/>
    <w:rsid w:val="00AE292A"/>
    <w:rsid w:val="00AE43B9"/>
    <w:rsid w:val="00AE4B46"/>
    <w:rsid w:val="00AE52E4"/>
    <w:rsid w:val="00AE5551"/>
    <w:rsid w:val="00AE5D50"/>
    <w:rsid w:val="00AE63B1"/>
    <w:rsid w:val="00AE7D16"/>
    <w:rsid w:val="00AF03CA"/>
    <w:rsid w:val="00AF04A9"/>
    <w:rsid w:val="00AF0662"/>
    <w:rsid w:val="00AF13D6"/>
    <w:rsid w:val="00AF14B4"/>
    <w:rsid w:val="00AF2107"/>
    <w:rsid w:val="00AF28BA"/>
    <w:rsid w:val="00AF3048"/>
    <w:rsid w:val="00AF387D"/>
    <w:rsid w:val="00AF4154"/>
    <w:rsid w:val="00AF4E35"/>
    <w:rsid w:val="00AF5091"/>
    <w:rsid w:val="00AF659E"/>
    <w:rsid w:val="00AF66BE"/>
    <w:rsid w:val="00AF6812"/>
    <w:rsid w:val="00B002F0"/>
    <w:rsid w:val="00B00E37"/>
    <w:rsid w:val="00B01331"/>
    <w:rsid w:val="00B01BEB"/>
    <w:rsid w:val="00B02074"/>
    <w:rsid w:val="00B0423A"/>
    <w:rsid w:val="00B044FE"/>
    <w:rsid w:val="00B046F9"/>
    <w:rsid w:val="00B04D62"/>
    <w:rsid w:val="00B05BBC"/>
    <w:rsid w:val="00B06308"/>
    <w:rsid w:val="00B0652F"/>
    <w:rsid w:val="00B06895"/>
    <w:rsid w:val="00B079EA"/>
    <w:rsid w:val="00B10A31"/>
    <w:rsid w:val="00B128E9"/>
    <w:rsid w:val="00B12B7E"/>
    <w:rsid w:val="00B12C70"/>
    <w:rsid w:val="00B1394F"/>
    <w:rsid w:val="00B139A1"/>
    <w:rsid w:val="00B14EAF"/>
    <w:rsid w:val="00B15299"/>
    <w:rsid w:val="00B1642F"/>
    <w:rsid w:val="00B16ADC"/>
    <w:rsid w:val="00B16EF7"/>
    <w:rsid w:val="00B17321"/>
    <w:rsid w:val="00B202F3"/>
    <w:rsid w:val="00B20D1F"/>
    <w:rsid w:val="00B223DF"/>
    <w:rsid w:val="00B2266C"/>
    <w:rsid w:val="00B22B42"/>
    <w:rsid w:val="00B23086"/>
    <w:rsid w:val="00B23424"/>
    <w:rsid w:val="00B23508"/>
    <w:rsid w:val="00B23D05"/>
    <w:rsid w:val="00B23EFD"/>
    <w:rsid w:val="00B244B8"/>
    <w:rsid w:val="00B24F59"/>
    <w:rsid w:val="00B24FC5"/>
    <w:rsid w:val="00B25172"/>
    <w:rsid w:val="00B25990"/>
    <w:rsid w:val="00B25F6D"/>
    <w:rsid w:val="00B26E2F"/>
    <w:rsid w:val="00B26E41"/>
    <w:rsid w:val="00B27779"/>
    <w:rsid w:val="00B27DD3"/>
    <w:rsid w:val="00B3015E"/>
    <w:rsid w:val="00B30296"/>
    <w:rsid w:val="00B30894"/>
    <w:rsid w:val="00B31428"/>
    <w:rsid w:val="00B31758"/>
    <w:rsid w:val="00B3175A"/>
    <w:rsid w:val="00B317C4"/>
    <w:rsid w:val="00B31EF2"/>
    <w:rsid w:val="00B32565"/>
    <w:rsid w:val="00B32CB6"/>
    <w:rsid w:val="00B33199"/>
    <w:rsid w:val="00B33759"/>
    <w:rsid w:val="00B339A0"/>
    <w:rsid w:val="00B33C68"/>
    <w:rsid w:val="00B33F9A"/>
    <w:rsid w:val="00B35BD4"/>
    <w:rsid w:val="00B35FF1"/>
    <w:rsid w:val="00B366D2"/>
    <w:rsid w:val="00B3780C"/>
    <w:rsid w:val="00B409D2"/>
    <w:rsid w:val="00B40B56"/>
    <w:rsid w:val="00B40D41"/>
    <w:rsid w:val="00B40E29"/>
    <w:rsid w:val="00B41E27"/>
    <w:rsid w:val="00B4271E"/>
    <w:rsid w:val="00B42B14"/>
    <w:rsid w:val="00B42D3E"/>
    <w:rsid w:val="00B43396"/>
    <w:rsid w:val="00B437D5"/>
    <w:rsid w:val="00B43A81"/>
    <w:rsid w:val="00B43BC9"/>
    <w:rsid w:val="00B44ACE"/>
    <w:rsid w:val="00B44D3A"/>
    <w:rsid w:val="00B45594"/>
    <w:rsid w:val="00B45A05"/>
    <w:rsid w:val="00B46719"/>
    <w:rsid w:val="00B47647"/>
    <w:rsid w:val="00B47A99"/>
    <w:rsid w:val="00B47FAE"/>
    <w:rsid w:val="00B500A1"/>
    <w:rsid w:val="00B51A60"/>
    <w:rsid w:val="00B51E88"/>
    <w:rsid w:val="00B52CDE"/>
    <w:rsid w:val="00B53266"/>
    <w:rsid w:val="00B53E31"/>
    <w:rsid w:val="00B54276"/>
    <w:rsid w:val="00B55437"/>
    <w:rsid w:val="00B55654"/>
    <w:rsid w:val="00B55D24"/>
    <w:rsid w:val="00B55D48"/>
    <w:rsid w:val="00B55DF4"/>
    <w:rsid w:val="00B5615B"/>
    <w:rsid w:val="00B56349"/>
    <w:rsid w:val="00B566D5"/>
    <w:rsid w:val="00B56857"/>
    <w:rsid w:val="00B6029E"/>
    <w:rsid w:val="00B62255"/>
    <w:rsid w:val="00B623DB"/>
    <w:rsid w:val="00B62D93"/>
    <w:rsid w:val="00B63408"/>
    <w:rsid w:val="00B636ED"/>
    <w:rsid w:val="00B6383F"/>
    <w:rsid w:val="00B6387C"/>
    <w:rsid w:val="00B6455C"/>
    <w:rsid w:val="00B646AE"/>
    <w:rsid w:val="00B65F09"/>
    <w:rsid w:val="00B6663C"/>
    <w:rsid w:val="00B66DA0"/>
    <w:rsid w:val="00B670C4"/>
    <w:rsid w:val="00B670E5"/>
    <w:rsid w:val="00B67239"/>
    <w:rsid w:val="00B70542"/>
    <w:rsid w:val="00B710B0"/>
    <w:rsid w:val="00B713BE"/>
    <w:rsid w:val="00B71821"/>
    <w:rsid w:val="00B718D2"/>
    <w:rsid w:val="00B719ED"/>
    <w:rsid w:val="00B71E36"/>
    <w:rsid w:val="00B71EAB"/>
    <w:rsid w:val="00B73603"/>
    <w:rsid w:val="00B738E2"/>
    <w:rsid w:val="00B74A0E"/>
    <w:rsid w:val="00B751F9"/>
    <w:rsid w:val="00B75227"/>
    <w:rsid w:val="00B75305"/>
    <w:rsid w:val="00B753DF"/>
    <w:rsid w:val="00B75B08"/>
    <w:rsid w:val="00B75B77"/>
    <w:rsid w:val="00B7607A"/>
    <w:rsid w:val="00B764F5"/>
    <w:rsid w:val="00B768EF"/>
    <w:rsid w:val="00B76ED4"/>
    <w:rsid w:val="00B77C6C"/>
    <w:rsid w:val="00B80745"/>
    <w:rsid w:val="00B80C43"/>
    <w:rsid w:val="00B814D1"/>
    <w:rsid w:val="00B81587"/>
    <w:rsid w:val="00B81CD7"/>
    <w:rsid w:val="00B81E44"/>
    <w:rsid w:val="00B82E8A"/>
    <w:rsid w:val="00B83531"/>
    <w:rsid w:val="00B83E20"/>
    <w:rsid w:val="00B85245"/>
    <w:rsid w:val="00B860C0"/>
    <w:rsid w:val="00B868AB"/>
    <w:rsid w:val="00B86986"/>
    <w:rsid w:val="00B8722F"/>
    <w:rsid w:val="00B878ED"/>
    <w:rsid w:val="00B87EBE"/>
    <w:rsid w:val="00B90573"/>
    <w:rsid w:val="00B90B61"/>
    <w:rsid w:val="00B91A88"/>
    <w:rsid w:val="00B922C2"/>
    <w:rsid w:val="00B92D8D"/>
    <w:rsid w:val="00B9397D"/>
    <w:rsid w:val="00B9495E"/>
    <w:rsid w:val="00B96A12"/>
    <w:rsid w:val="00B96CBE"/>
    <w:rsid w:val="00B97C75"/>
    <w:rsid w:val="00B97F56"/>
    <w:rsid w:val="00BA036F"/>
    <w:rsid w:val="00BA05F5"/>
    <w:rsid w:val="00BA16C0"/>
    <w:rsid w:val="00BA23B5"/>
    <w:rsid w:val="00BA262C"/>
    <w:rsid w:val="00BA39D0"/>
    <w:rsid w:val="00BA471D"/>
    <w:rsid w:val="00BA4720"/>
    <w:rsid w:val="00BA52F7"/>
    <w:rsid w:val="00BA5EDD"/>
    <w:rsid w:val="00BA7616"/>
    <w:rsid w:val="00BB0A6C"/>
    <w:rsid w:val="00BB0B6C"/>
    <w:rsid w:val="00BB0DF4"/>
    <w:rsid w:val="00BB1030"/>
    <w:rsid w:val="00BB265D"/>
    <w:rsid w:val="00BB2CAD"/>
    <w:rsid w:val="00BB2D4D"/>
    <w:rsid w:val="00BB46F6"/>
    <w:rsid w:val="00BB4B22"/>
    <w:rsid w:val="00BB5078"/>
    <w:rsid w:val="00BB5D82"/>
    <w:rsid w:val="00BB5D8B"/>
    <w:rsid w:val="00BB6AD4"/>
    <w:rsid w:val="00BB6D51"/>
    <w:rsid w:val="00BB790B"/>
    <w:rsid w:val="00BC01BA"/>
    <w:rsid w:val="00BC081A"/>
    <w:rsid w:val="00BC0E8B"/>
    <w:rsid w:val="00BC0F6A"/>
    <w:rsid w:val="00BC13A5"/>
    <w:rsid w:val="00BC1FB3"/>
    <w:rsid w:val="00BC3483"/>
    <w:rsid w:val="00BC36B2"/>
    <w:rsid w:val="00BC3CC1"/>
    <w:rsid w:val="00BC419D"/>
    <w:rsid w:val="00BC4623"/>
    <w:rsid w:val="00BC4805"/>
    <w:rsid w:val="00BC52CA"/>
    <w:rsid w:val="00BC5376"/>
    <w:rsid w:val="00BC54F7"/>
    <w:rsid w:val="00BC5B68"/>
    <w:rsid w:val="00BC5C91"/>
    <w:rsid w:val="00BC65EB"/>
    <w:rsid w:val="00BC682C"/>
    <w:rsid w:val="00BC6854"/>
    <w:rsid w:val="00BC7197"/>
    <w:rsid w:val="00BC7AA7"/>
    <w:rsid w:val="00BC7F35"/>
    <w:rsid w:val="00BD207E"/>
    <w:rsid w:val="00BD2604"/>
    <w:rsid w:val="00BD3A42"/>
    <w:rsid w:val="00BD411C"/>
    <w:rsid w:val="00BD4223"/>
    <w:rsid w:val="00BD42B5"/>
    <w:rsid w:val="00BD47FA"/>
    <w:rsid w:val="00BD5849"/>
    <w:rsid w:val="00BD5F3C"/>
    <w:rsid w:val="00BD729F"/>
    <w:rsid w:val="00BD784A"/>
    <w:rsid w:val="00BD79D8"/>
    <w:rsid w:val="00BE0105"/>
    <w:rsid w:val="00BE0195"/>
    <w:rsid w:val="00BE1539"/>
    <w:rsid w:val="00BE1E98"/>
    <w:rsid w:val="00BE25C6"/>
    <w:rsid w:val="00BE268C"/>
    <w:rsid w:val="00BE301F"/>
    <w:rsid w:val="00BE35F8"/>
    <w:rsid w:val="00BE38C3"/>
    <w:rsid w:val="00BE3D29"/>
    <w:rsid w:val="00BE492B"/>
    <w:rsid w:val="00BE51F2"/>
    <w:rsid w:val="00BE5272"/>
    <w:rsid w:val="00BE60A7"/>
    <w:rsid w:val="00BE6783"/>
    <w:rsid w:val="00BE6861"/>
    <w:rsid w:val="00BE77A3"/>
    <w:rsid w:val="00BE7F12"/>
    <w:rsid w:val="00BF0534"/>
    <w:rsid w:val="00BF054A"/>
    <w:rsid w:val="00BF056E"/>
    <w:rsid w:val="00BF08DF"/>
    <w:rsid w:val="00BF0C18"/>
    <w:rsid w:val="00BF1543"/>
    <w:rsid w:val="00BF1BF7"/>
    <w:rsid w:val="00BF272A"/>
    <w:rsid w:val="00BF366A"/>
    <w:rsid w:val="00BF3822"/>
    <w:rsid w:val="00BF4133"/>
    <w:rsid w:val="00BF5206"/>
    <w:rsid w:val="00BF520E"/>
    <w:rsid w:val="00BF540A"/>
    <w:rsid w:val="00BF717E"/>
    <w:rsid w:val="00BF7EB6"/>
    <w:rsid w:val="00C00218"/>
    <w:rsid w:val="00C00761"/>
    <w:rsid w:val="00C0077D"/>
    <w:rsid w:val="00C00C26"/>
    <w:rsid w:val="00C02783"/>
    <w:rsid w:val="00C02E8B"/>
    <w:rsid w:val="00C03203"/>
    <w:rsid w:val="00C0365B"/>
    <w:rsid w:val="00C036D1"/>
    <w:rsid w:val="00C036E3"/>
    <w:rsid w:val="00C03865"/>
    <w:rsid w:val="00C03939"/>
    <w:rsid w:val="00C03C71"/>
    <w:rsid w:val="00C04359"/>
    <w:rsid w:val="00C04FA4"/>
    <w:rsid w:val="00C0515D"/>
    <w:rsid w:val="00C05816"/>
    <w:rsid w:val="00C05A9E"/>
    <w:rsid w:val="00C05C9B"/>
    <w:rsid w:val="00C05F15"/>
    <w:rsid w:val="00C06ACE"/>
    <w:rsid w:val="00C070F1"/>
    <w:rsid w:val="00C072E4"/>
    <w:rsid w:val="00C07A79"/>
    <w:rsid w:val="00C1092F"/>
    <w:rsid w:val="00C112ED"/>
    <w:rsid w:val="00C13480"/>
    <w:rsid w:val="00C13FAE"/>
    <w:rsid w:val="00C146FB"/>
    <w:rsid w:val="00C14CA3"/>
    <w:rsid w:val="00C163AC"/>
    <w:rsid w:val="00C16EB2"/>
    <w:rsid w:val="00C179B3"/>
    <w:rsid w:val="00C17C54"/>
    <w:rsid w:val="00C20037"/>
    <w:rsid w:val="00C20284"/>
    <w:rsid w:val="00C205F8"/>
    <w:rsid w:val="00C22440"/>
    <w:rsid w:val="00C225D7"/>
    <w:rsid w:val="00C22840"/>
    <w:rsid w:val="00C261A9"/>
    <w:rsid w:val="00C2670C"/>
    <w:rsid w:val="00C268CD"/>
    <w:rsid w:val="00C271E4"/>
    <w:rsid w:val="00C30BBE"/>
    <w:rsid w:val="00C31465"/>
    <w:rsid w:val="00C31CEB"/>
    <w:rsid w:val="00C32A6A"/>
    <w:rsid w:val="00C330D9"/>
    <w:rsid w:val="00C33A78"/>
    <w:rsid w:val="00C33BF2"/>
    <w:rsid w:val="00C34FD9"/>
    <w:rsid w:val="00C350A0"/>
    <w:rsid w:val="00C356AE"/>
    <w:rsid w:val="00C3579D"/>
    <w:rsid w:val="00C369E6"/>
    <w:rsid w:val="00C37370"/>
    <w:rsid w:val="00C37C35"/>
    <w:rsid w:val="00C40173"/>
    <w:rsid w:val="00C40D29"/>
    <w:rsid w:val="00C40D83"/>
    <w:rsid w:val="00C42709"/>
    <w:rsid w:val="00C42ACC"/>
    <w:rsid w:val="00C42EBB"/>
    <w:rsid w:val="00C43843"/>
    <w:rsid w:val="00C43E09"/>
    <w:rsid w:val="00C44288"/>
    <w:rsid w:val="00C45367"/>
    <w:rsid w:val="00C45D17"/>
    <w:rsid w:val="00C50013"/>
    <w:rsid w:val="00C50CFB"/>
    <w:rsid w:val="00C51AD3"/>
    <w:rsid w:val="00C523FF"/>
    <w:rsid w:val="00C5297B"/>
    <w:rsid w:val="00C52E5F"/>
    <w:rsid w:val="00C5315B"/>
    <w:rsid w:val="00C55400"/>
    <w:rsid w:val="00C554ED"/>
    <w:rsid w:val="00C562CD"/>
    <w:rsid w:val="00C56ADD"/>
    <w:rsid w:val="00C56C76"/>
    <w:rsid w:val="00C56E0E"/>
    <w:rsid w:val="00C60BD5"/>
    <w:rsid w:val="00C60C9F"/>
    <w:rsid w:val="00C61677"/>
    <w:rsid w:val="00C61913"/>
    <w:rsid w:val="00C61DF2"/>
    <w:rsid w:val="00C635A0"/>
    <w:rsid w:val="00C64154"/>
    <w:rsid w:val="00C65BF3"/>
    <w:rsid w:val="00C6739B"/>
    <w:rsid w:val="00C674BA"/>
    <w:rsid w:val="00C675CA"/>
    <w:rsid w:val="00C676A3"/>
    <w:rsid w:val="00C7068D"/>
    <w:rsid w:val="00C70D1A"/>
    <w:rsid w:val="00C70D26"/>
    <w:rsid w:val="00C71107"/>
    <w:rsid w:val="00C711A8"/>
    <w:rsid w:val="00C7125C"/>
    <w:rsid w:val="00C7141E"/>
    <w:rsid w:val="00C715E0"/>
    <w:rsid w:val="00C71E67"/>
    <w:rsid w:val="00C72F4B"/>
    <w:rsid w:val="00C7334F"/>
    <w:rsid w:val="00C73575"/>
    <w:rsid w:val="00C73D70"/>
    <w:rsid w:val="00C7462F"/>
    <w:rsid w:val="00C746DA"/>
    <w:rsid w:val="00C75156"/>
    <w:rsid w:val="00C75DFA"/>
    <w:rsid w:val="00C76582"/>
    <w:rsid w:val="00C774F5"/>
    <w:rsid w:val="00C77E39"/>
    <w:rsid w:val="00C81CA6"/>
    <w:rsid w:val="00C83DC9"/>
    <w:rsid w:val="00C851BB"/>
    <w:rsid w:val="00C85481"/>
    <w:rsid w:val="00C8603B"/>
    <w:rsid w:val="00C864C3"/>
    <w:rsid w:val="00C907C9"/>
    <w:rsid w:val="00C911B0"/>
    <w:rsid w:val="00C912D7"/>
    <w:rsid w:val="00C91324"/>
    <w:rsid w:val="00C91436"/>
    <w:rsid w:val="00C91F76"/>
    <w:rsid w:val="00C9299C"/>
    <w:rsid w:val="00C92A93"/>
    <w:rsid w:val="00C940E5"/>
    <w:rsid w:val="00C941A2"/>
    <w:rsid w:val="00C949EA"/>
    <w:rsid w:val="00C9510F"/>
    <w:rsid w:val="00C9654F"/>
    <w:rsid w:val="00C96CCA"/>
    <w:rsid w:val="00C96F1C"/>
    <w:rsid w:val="00C97053"/>
    <w:rsid w:val="00CA0445"/>
    <w:rsid w:val="00CA0573"/>
    <w:rsid w:val="00CA064C"/>
    <w:rsid w:val="00CA0E54"/>
    <w:rsid w:val="00CA0F5E"/>
    <w:rsid w:val="00CA1247"/>
    <w:rsid w:val="00CA18FC"/>
    <w:rsid w:val="00CA1C24"/>
    <w:rsid w:val="00CA1C45"/>
    <w:rsid w:val="00CA1E01"/>
    <w:rsid w:val="00CA252B"/>
    <w:rsid w:val="00CA267B"/>
    <w:rsid w:val="00CA2D9D"/>
    <w:rsid w:val="00CA360B"/>
    <w:rsid w:val="00CA3A85"/>
    <w:rsid w:val="00CA3F55"/>
    <w:rsid w:val="00CA463C"/>
    <w:rsid w:val="00CA483F"/>
    <w:rsid w:val="00CA5C21"/>
    <w:rsid w:val="00CA5FF1"/>
    <w:rsid w:val="00CA6457"/>
    <w:rsid w:val="00CA7AD8"/>
    <w:rsid w:val="00CB0383"/>
    <w:rsid w:val="00CB0CFC"/>
    <w:rsid w:val="00CB1E35"/>
    <w:rsid w:val="00CB1EAE"/>
    <w:rsid w:val="00CB2D70"/>
    <w:rsid w:val="00CB2E76"/>
    <w:rsid w:val="00CB394E"/>
    <w:rsid w:val="00CB3C53"/>
    <w:rsid w:val="00CB4092"/>
    <w:rsid w:val="00CB4373"/>
    <w:rsid w:val="00CB4413"/>
    <w:rsid w:val="00CB47C4"/>
    <w:rsid w:val="00CB54B3"/>
    <w:rsid w:val="00CB57CE"/>
    <w:rsid w:val="00CB5D4E"/>
    <w:rsid w:val="00CB5D8F"/>
    <w:rsid w:val="00CB70D0"/>
    <w:rsid w:val="00CB7250"/>
    <w:rsid w:val="00CB79D1"/>
    <w:rsid w:val="00CB7A63"/>
    <w:rsid w:val="00CB7D52"/>
    <w:rsid w:val="00CC0E8B"/>
    <w:rsid w:val="00CC2A17"/>
    <w:rsid w:val="00CC331C"/>
    <w:rsid w:val="00CC3E48"/>
    <w:rsid w:val="00CC51BA"/>
    <w:rsid w:val="00CC5261"/>
    <w:rsid w:val="00CC53EB"/>
    <w:rsid w:val="00CC59DA"/>
    <w:rsid w:val="00CC61AB"/>
    <w:rsid w:val="00CC70CD"/>
    <w:rsid w:val="00CC79CC"/>
    <w:rsid w:val="00CC7CDF"/>
    <w:rsid w:val="00CD0423"/>
    <w:rsid w:val="00CD0CCE"/>
    <w:rsid w:val="00CD1668"/>
    <w:rsid w:val="00CD2AD8"/>
    <w:rsid w:val="00CD2B08"/>
    <w:rsid w:val="00CD3B97"/>
    <w:rsid w:val="00CD4547"/>
    <w:rsid w:val="00CD553F"/>
    <w:rsid w:val="00CD5F8B"/>
    <w:rsid w:val="00CD695F"/>
    <w:rsid w:val="00CD6B0E"/>
    <w:rsid w:val="00CD75C5"/>
    <w:rsid w:val="00CD769E"/>
    <w:rsid w:val="00CD7B18"/>
    <w:rsid w:val="00CE0CDB"/>
    <w:rsid w:val="00CE1FAA"/>
    <w:rsid w:val="00CE1FF8"/>
    <w:rsid w:val="00CE215D"/>
    <w:rsid w:val="00CE21EA"/>
    <w:rsid w:val="00CE2267"/>
    <w:rsid w:val="00CE255A"/>
    <w:rsid w:val="00CE28B7"/>
    <w:rsid w:val="00CE2EFE"/>
    <w:rsid w:val="00CE2F27"/>
    <w:rsid w:val="00CE33A0"/>
    <w:rsid w:val="00CE3A95"/>
    <w:rsid w:val="00CE4417"/>
    <w:rsid w:val="00CE48F7"/>
    <w:rsid w:val="00CE51F7"/>
    <w:rsid w:val="00CE564B"/>
    <w:rsid w:val="00CE5898"/>
    <w:rsid w:val="00CE795E"/>
    <w:rsid w:val="00CF0DA5"/>
    <w:rsid w:val="00CF0DB2"/>
    <w:rsid w:val="00CF0ED8"/>
    <w:rsid w:val="00CF16CD"/>
    <w:rsid w:val="00CF195E"/>
    <w:rsid w:val="00CF2461"/>
    <w:rsid w:val="00CF2927"/>
    <w:rsid w:val="00CF3659"/>
    <w:rsid w:val="00CF38C3"/>
    <w:rsid w:val="00CF39EB"/>
    <w:rsid w:val="00CF4318"/>
    <w:rsid w:val="00CF543C"/>
    <w:rsid w:val="00CF59A0"/>
    <w:rsid w:val="00CF59A8"/>
    <w:rsid w:val="00CF67B5"/>
    <w:rsid w:val="00CF694E"/>
    <w:rsid w:val="00CF6E21"/>
    <w:rsid w:val="00CF700A"/>
    <w:rsid w:val="00CF7F72"/>
    <w:rsid w:val="00D001B6"/>
    <w:rsid w:val="00D002F7"/>
    <w:rsid w:val="00D01D72"/>
    <w:rsid w:val="00D01E7C"/>
    <w:rsid w:val="00D0222A"/>
    <w:rsid w:val="00D024DD"/>
    <w:rsid w:val="00D02BED"/>
    <w:rsid w:val="00D03412"/>
    <w:rsid w:val="00D04578"/>
    <w:rsid w:val="00D04A11"/>
    <w:rsid w:val="00D050CE"/>
    <w:rsid w:val="00D05C67"/>
    <w:rsid w:val="00D060FF"/>
    <w:rsid w:val="00D063E6"/>
    <w:rsid w:val="00D06964"/>
    <w:rsid w:val="00D06C9E"/>
    <w:rsid w:val="00D07F34"/>
    <w:rsid w:val="00D1005E"/>
    <w:rsid w:val="00D1045C"/>
    <w:rsid w:val="00D105E5"/>
    <w:rsid w:val="00D111CA"/>
    <w:rsid w:val="00D11F8B"/>
    <w:rsid w:val="00D11F95"/>
    <w:rsid w:val="00D12460"/>
    <w:rsid w:val="00D12908"/>
    <w:rsid w:val="00D13097"/>
    <w:rsid w:val="00D13620"/>
    <w:rsid w:val="00D1415E"/>
    <w:rsid w:val="00D141F6"/>
    <w:rsid w:val="00D1441F"/>
    <w:rsid w:val="00D14E42"/>
    <w:rsid w:val="00D1532E"/>
    <w:rsid w:val="00D161A6"/>
    <w:rsid w:val="00D16688"/>
    <w:rsid w:val="00D207EE"/>
    <w:rsid w:val="00D21009"/>
    <w:rsid w:val="00D211A9"/>
    <w:rsid w:val="00D21655"/>
    <w:rsid w:val="00D2251C"/>
    <w:rsid w:val="00D22F3E"/>
    <w:rsid w:val="00D23D8F"/>
    <w:rsid w:val="00D24377"/>
    <w:rsid w:val="00D25C4D"/>
    <w:rsid w:val="00D274AE"/>
    <w:rsid w:val="00D274AF"/>
    <w:rsid w:val="00D27DD6"/>
    <w:rsid w:val="00D312AF"/>
    <w:rsid w:val="00D31800"/>
    <w:rsid w:val="00D31977"/>
    <w:rsid w:val="00D31D24"/>
    <w:rsid w:val="00D31DAC"/>
    <w:rsid w:val="00D331F4"/>
    <w:rsid w:val="00D33352"/>
    <w:rsid w:val="00D33463"/>
    <w:rsid w:val="00D341EB"/>
    <w:rsid w:val="00D3560B"/>
    <w:rsid w:val="00D365CB"/>
    <w:rsid w:val="00D36835"/>
    <w:rsid w:val="00D36E33"/>
    <w:rsid w:val="00D37E12"/>
    <w:rsid w:val="00D40B2B"/>
    <w:rsid w:val="00D423CD"/>
    <w:rsid w:val="00D431EB"/>
    <w:rsid w:val="00D43D6D"/>
    <w:rsid w:val="00D442A2"/>
    <w:rsid w:val="00D446E4"/>
    <w:rsid w:val="00D44818"/>
    <w:rsid w:val="00D44A42"/>
    <w:rsid w:val="00D46A2E"/>
    <w:rsid w:val="00D46A89"/>
    <w:rsid w:val="00D472E5"/>
    <w:rsid w:val="00D47737"/>
    <w:rsid w:val="00D47E7E"/>
    <w:rsid w:val="00D50F3C"/>
    <w:rsid w:val="00D512A8"/>
    <w:rsid w:val="00D512AA"/>
    <w:rsid w:val="00D5288F"/>
    <w:rsid w:val="00D52E34"/>
    <w:rsid w:val="00D557A9"/>
    <w:rsid w:val="00D565DF"/>
    <w:rsid w:val="00D57B2A"/>
    <w:rsid w:val="00D61E3D"/>
    <w:rsid w:val="00D62121"/>
    <w:rsid w:val="00D621EE"/>
    <w:rsid w:val="00D6270A"/>
    <w:rsid w:val="00D6283E"/>
    <w:rsid w:val="00D62A97"/>
    <w:rsid w:val="00D62ACC"/>
    <w:rsid w:val="00D62DC1"/>
    <w:rsid w:val="00D6358F"/>
    <w:rsid w:val="00D64846"/>
    <w:rsid w:val="00D655B0"/>
    <w:rsid w:val="00D65883"/>
    <w:rsid w:val="00D6608F"/>
    <w:rsid w:val="00D66C01"/>
    <w:rsid w:val="00D6746C"/>
    <w:rsid w:val="00D67583"/>
    <w:rsid w:val="00D6760D"/>
    <w:rsid w:val="00D67C10"/>
    <w:rsid w:val="00D67D38"/>
    <w:rsid w:val="00D701C5"/>
    <w:rsid w:val="00D70A98"/>
    <w:rsid w:val="00D70E27"/>
    <w:rsid w:val="00D7136C"/>
    <w:rsid w:val="00D7175A"/>
    <w:rsid w:val="00D71B94"/>
    <w:rsid w:val="00D72095"/>
    <w:rsid w:val="00D72A64"/>
    <w:rsid w:val="00D73A34"/>
    <w:rsid w:val="00D7417D"/>
    <w:rsid w:val="00D741A6"/>
    <w:rsid w:val="00D74406"/>
    <w:rsid w:val="00D74789"/>
    <w:rsid w:val="00D74D9A"/>
    <w:rsid w:val="00D759BF"/>
    <w:rsid w:val="00D75F22"/>
    <w:rsid w:val="00D7604D"/>
    <w:rsid w:val="00D764B6"/>
    <w:rsid w:val="00D76847"/>
    <w:rsid w:val="00D76BBF"/>
    <w:rsid w:val="00D7734A"/>
    <w:rsid w:val="00D808DA"/>
    <w:rsid w:val="00D80AFD"/>
    <w:rsid w:val="00D80E73"/>
    <w:rsid w:val="00D81649"/>
    <w:rsid w:val="00D818DF"/>
    <w:rsid w:val="00D8208C"/>
    <w:rsid w:val="00D821CC"/>
    <w:rsid w:val="00D82A50"/>
    <w:rsid w:val="00D82F4D"/>
    <w:rsid w:val="00D83BE1"/>
    <w:rsid w:val="00D840A8"/>
    <w:rsid w:val="00D846AD"/>
    <w:rsid w:val="00D84EAC"/>
    <w:rsid w:val="00D85243"/>
    <w:rsid w:val="00D85703"/>
    <w:rsid w:val="00D862D9"/>
    <w:rsid w:val="00D92390"/>
    <w:rsid w:val="00D923AB"/>
    <w:rsid w:val="00D93917"/>
    <w:rsid w:val="00D93E8E"/>
    <w:rsid w:val="00D94B11"/>
    <w:rsid w:val="00D95415"/>
    <w:rsid w:val="00D95F6D"/>
    <w:rsid w:val="00D960B6"/>
    <w:rsid w:val="00D96A02"/>
    <w:rsid w:val="00D96D51"/>
    <w:rsid w:val="00D96D7C"/>
    <w:rsid w:val="00D9706B"/>
    <w:rsid w:val="00D978A3"/>
    <w:rsid w:val="00D97A09"/>
    <w:rsid w:val="00D97C61"/>
    <w:rsid w:val="00DA0737"/>
    <w:rsid w:val="00DA0CD8"/>
    <w:rsid w:val="00DA0DBF"/>
    <w:rsid w:val="00DA0F00"/>
    <w:rsid w:val="00DA108B"/>
    <w:rsid w:val="00DA130E"/>
    <w:rsid w:val="00DA2470"/>
    <w:rsid w:val="00DA26AE"/>
    <w:rsid w:val="00DA29BB"/>
    <w:rsid w:val="00DA5015"/>
    <w:rsid w:val="00DA50C0"/>
    <w:rsid w:val="00DA5B2B"/>
    <w:rsid w:val="00DA60A3"/>
    <w:rsid w:val="00DA64D3"/>
    <w:rsid w:val="00DA6CA2"/>
    <w:rsid w:val="00DA6FEB"/>
    <w:rsid w:val="00DA7BC8"/>
    <w:rsid w:val="00DA7EF7"/>
    <w:rsid w:val="00DB0B2D"/>
    <w:rsid w:val="00DB1D01"/>
    <w:rsid w:val="00DB2073"/>
    <w:rsid w:val="00DB26DE"/>
    <w:rsid w:val="00DB299E"/>
    <w:rsid w:val="00DB29B4"/>
    <w:rsid w:val="00DB321D"/>
    <w:rsid w:val="00DB37CA"/>
    <w:rsid w:val="00DB3CBC"/>
    <w:rsid w:val="00DB4246"/>
    <w:rsid w:val="00DB4591"/>
    <w:rsid w:val="00DB4BB5"/>
    <w:rsid w:val="00DB5333"/>
    <w:rsid w:val="00DB5E1E"/>
    <w:rsid w:val="00DB6167"/>
    <w:rsid w:val="00DC02F5"/>
    <w:rsid w:val="00DC1B96"/>
    <w:rsid w:val="00DC224E"/>
    <w:rsid w:val="00DC29B5"/>
    <w:rsid w:val="00DC2BDA"/>
    <w:rsid w:val="00DC3BB1"/>
    <w:rsid w:val="00DC3CE7"/>
    <w:rsid w:val="00DC3E96"/>
    <w:rsid w:val="00DC45F0"/>
    <w:rsid w:val="00DC4726"/>
    <w:rsid w:val="00DC48A6"/>
    <w:rsid w:val="00DC527A"/>
    <w:rsid w:val="00DC5779"/>
    <w:rsid w:val="00DC5ED8"/>
    <w:rsid w:val="00DC67E8"/>
    <w:rsid w:val="00DC74AB"/>
    <w:rsid w:val="00DC7DDF"/>
    <w:rsid w:val="00DD034D"/>
    <w:rsid w:val="00DD0652"/>
    <w:rsid w:val="00DD073F"/>
    <w:rsid w:val="00DD1F81"/>
    <w:rsid w:val="00DD249A"/>
    <w:rsid w:val="00DD2FF2"/>
    <w:rsid w:val="00DD59C7"/>
    <w:rsid w:val="00DD5D5E"/>
    <w:rsid w:val="00DD6B5F"/>
    <w:rsid w:val="00DD7BDE"/>
    <w:rsid w:val="00DD7DD0"/>
    <w:rsid w:val="00DE067B"/>
    <w:rsid w:val="00DE08AC"/>
    <w:rsid w:val="00DE1FB9"/>
    <w:rsid w:val="00DE2344"/>
    <w:rsid w:val="00DE2536"/>
    <w:rsid w:val="00DE3BC7"/>
    <w:rsid w:val="00DE56C3"/>
    <w:rsid w:val="00DE6CC9"/>
    <w:rsid w:val="00DE7FBD"/>
    <w:rsid w:val="00DF0471"/>
    <w:rsid w:val="00DF0519"/>
    <w:rsid w:val="00DF0581"/>
    <w:rsid w:val="00DF178E"/>
    <w:rsid w:val="00DF36FD"/>
    <w:rsid w:val="00DF38CF"/>
    <w:rsid w:val="00DF3961"/>
    <w:rsid w:val="00DF3C3D"/>
    <w:rsid w:val="00DF3F7B"/>
    <w:rsid w:val="00DF412F"/>
    <w:rsid w:val="00DF415B"/>
    <w:rsid w:val="00DF51AC"/>
    <w:rsid w:val="00DF57AC"/>
    <w:rsid w:val="00DF58D5"/>
    <w:rsid w:val="00DF5B86"/>
    <w:rsid w:val="00DF66F3"/>
    <w:rsid w:val="00DF6AD6"/>
    <w:rsid w:val="00DF7509"/>
    <w:rsid w:val="00E00507"/>
    <w:rsid w:val="00E0110B"/>
    <w:rsid w:val="00E01880"/>
    <w:rsid w:val="00E01A1B"/>
    <w:rsid w:val="00E01D87"/>
    <w:rsid w:val="00E023BB"/>
    <w:rsid w:val="00E02A9B"/>
    <w:rsid w:val="00E0341F"/>
    <w:rsid w:val="00E03614"/>
    <w:rsid w:val="00E03CCE"/>
    <w:rsid w:val="00E04312"/>
    <w:rsid w:val="00E043F7"/>
    <w:rsid w:val="00E043FE"/>
    <w:rsid w:val="00E052A0"/>
    <w:rsid w:val="00E05A1D"/>
    <w:rsid w:val="00E05C7C"/>
    <w:rsid w:val="00E06844"/>
    <w:rsid w:val="00E06994"/>
    <w:rsid w:val="00E07607"/>
    <w:rsid w:val="00E07C60"/>
    <w:rsid w:val="00E10327"/>
    <w:rsid w:val="00E10861"/>
    <w:rsid w:val="00E1233F"/>
    <w:rsid w:val="00E136BE"/>
    <w:rsid w:val="00E136F6"/>
    <w:rsid w:val="00E13863"/>
    <w:rsid w:val="00E138D2"/>
    <w:rsid w:val="00E13A74"/>
    <w:rsid w:val="00E14D8B"/>
    <w:rsid w:val="00E14EBE"/>
    <w:rsid w:val="00E1653D"/>
    <w:rsid w:val="00E174A9"/>
    <w:rsid w:val="00E20F95"/>
    <w:rsid w:val="00E216BE"/>
    <w:rsid w:val="00E223F0"/>
    <w:rsid w:val="00E22852"/>
    <w:rsid w:val="00E23978"/>
    <w:rsid w:val="00E242E0"/>
    <w:rsid w:val="00E2577A"/>
    <w:rsid w:val="00E2582A"/>
    <w:rsid w:val="00E26261"/>
    <w:rsid w:val="00E27A53"/>
    <w:rsid w:val="00E27F08"/>
    <w:rsid w:val="00E30925"/>
    <w:rsid w:val="00E309FC"/>
    <w:rsid w:val="00E3105D"/>
    <w:rsid w:val="00E31BBC"/>
    <w:rsid w:val="00E32C18"/>
    <w:rsid w:val="00E3393B"/>
    <w:rsid w:val="00E3399C"/>
    <w:rsid w:val="00E3468C"/>
    <w:rsid w:val="00E3474D"/>
    <w:rsid w:val="00E34ADD"/>
    <w:rsid w:val="00E34FE6"/>
    <w:rsid w:val="00E35E3E"/>
    <w:rsid w:val="00E35E7A"/>
    <w:rsid w:val="00E36127"/>
    <w:rsid w:val="00E40102"/>
    <w:rsid w:val="00E401C5"/>
    <w:rsid w:val="00E41A98"/>
    <w:rsid w:val="00E423D7"/>
    <w:rsid w:val="00E42B13"/>
    <w:rsid w:val="00E447B8"/>
    <w:rsid w:val="00E46C77"/>
    <w:rsid w:val="00E47150"/>
    <w:rsid w:val="00E471B8"/>
    <w:rsid w:val="00E47F7B"/>
    <w:rsid w:val="00E50420"/>
    <w:rsid w:val="00E50441"/>
    <w:rsid w:val="00E5060A"/>
    <w:rsid w:val="00E51D14"/>
    <w:rsid w:val="00E51DCF"/>
    <w:rsid w:val="00E51E1E"/>
    <w:rsid w:val="00E524A1"/>
    <w:rsid w:val="00E52A2B"/>
    <w:rsid w:val="00E53947"/>
    <w:rsid w:val="00E54923"/>
    <w:rsid w:val="00E56368"/>
    <w:rsid w:val="00E571F0"/>
    <w:rsid w:val="00E61709"/>
    <w:rsid w:val="00E619F2"/>
    <w:rsid w:val="00E61ED9"/>
    <w:rsid w:val="00E628A9"/>
    <w:rsid w:val="00E62B06"/>
    <w:rsid w:val="00E63B96"/>
    <w:rsid w:val="00E642D1"/>
    <w:rsid w:val="00E64578"/>
    <w:rsid w:val="00E64B7B"/>
    <w:rsid w:val="00E65187"/>
    <w:rsid w:val="00E6603A"/>
    <w:rsid w:val="00E66608"/>
    <w:rsid w:val="00E66B90"/>
    <w:rsid w:val="00E70652"/>
    <w:rsid w:val="00E7172C"/>
    <w:rsid w:val="00E7173A"/>
    <w:rsid w:val="00E71D1B"/>
    <w:rsid w:val="00E71EDE"/>
    <w:rsid w:val="00E72476"/>
    <w:rsid w:val="00E72C3C"/>
    <w:rsid w:val="00E72EEB"/>
    <w:rsid w:val="00E7490A"/>
    <w:rsid w:val="00E749A2"/>
    <w:rsid w:val="00E749E4"/>
    <w:rsid w:val="00E74AE1"/>
    <w:rsid w:val="00E74F9B"/>
    <w:rsid w:val="00E751F6"/>
    <w:rsid w:val="00E75395"/>
    <w:rsid w:val="00E75558"/>
    <w:rsid w:val="00E7563D"/>
    <w:rsid w:val="00E75BC0"/>
    <w:rsid w:val="00E76873"/>
    <w:rsid w:val="00E76F54"/>
    <w:rsid w:val="00E77BD4"/>
    <w:rsid w:val="00E77FCD"/>
    <w:rsid w:val="00E819F1"/>
    <w:rsid w:val="00E81BC1"/>
    <w:rsid w:val="00E8471F"/>
    <w:rsid w:val="00E84789"/>
    <w:rsid w:val="00E85A81"/>
    <w:rsid w:val="00E864F7"/>
    <w:rsid w:val="00E86BDD"/>
    <w:rsid w:val="00E86DB4"/>
    <w:rsid w:val="00E8733B"/>
    <w:rsid w:val="00E87D40"/>
    <w:rsid w:val="00E87E85"/>
    <w:rsid w:val="00E90819"/>
    <w:rsid w:val="00E909EB"/>
    <w:rsid w:val="00E91518"/>
    <w:rsid w:val="00E91FB4"/>
    <w:rsid w:val="00E92D09"/>
    <w:rsid w:val="00E956D1"/>
    <w:rsid w:val="00E96832"/>
    <w:rsid w:val="00E97024"/>
    <w:rsid w:val="00E97061"/>
    <w:rsid w:val="00E97874"/>
    <w:rsid w:val="00E978D4"/>
    <w:rsid w:val="00E97F03"/>
    <w:rsid w:val="00EA0567"/>
    <w:rsid w:val="00EA0BAA"/>
    <w:rsid w:val="00EA0E39"/>
    <w:rsid w:val="00EA1269"/>
    <w:rsid w:val="00EA12E8"/>
    <w:rsid w:val="00EA1AD3"/>
    <w:rsid w:val="00EA1AE9"/>
    <w:rsid w:val="00EA1E4C"/>
    <w:rsid w:val="00EA22DA"/>
    <w:rsid w:val="00EA289C"/>
    <w:rsid w:val="00EA2CC6"/>
    <w:rsid w:val="00EA32EB"/>
    <w:rsid w:val="00EA3954"/>
    <w:rsid w:val="00EA413C"/>
    <w:rsid w:val="00EA45DC"/>
    <w:rsid w:val="00EA4985"/>
    <w:rsid w:val="00EA4A35"/>
    <w:rsid w:val="00EA4FEF"/>
    <w:rsid w:val="00EA520A"/>
    <w:rsid w:val="00EA534F"/>
    <w:rsid w:val="00EA5A0E"/>
    <w:rsid w:val="00EA5E81"/>
    <w:rsid w:val="00EA607A"/>
    <w:rsid w:val="00EA611E"/>
    <w:rsid w:val="00EA6965"/>
    <w:rsid w:val="00EA6DB0"/>
    <w:rsid w:val="00EA78D7"/>
    <w:rsid w:val="00EB2255"/>
    <w:rsid w:val="00EB225F"/>
    <w:rsid w:val="00EB26E1"/>
    <w:rsid w:val="00EB2BDC"/>
    <w:rsid w:val="00EB2CD8"/>
    <w:rsid w:val="00EB3795"/>
    <w:rsid w:val="00EB37E5"/>
    <w:rsid w:val="00EB5272"/>
    <w:rsid w:val="00EB5913"/>
    <w:rsid w:val="00EB66C6"/>
    <w:rsid w:val="00EB687F"/>
    <w:rsid w:val="00EB6D87"/>
    <w:rsid w:val="00EB74A7"/>
    <w:rsid w:val="00EC17BB"/>
    <w:rsid w:val="00EC17EB"/>
    <w:rsid w:val="00EC2447"/>
    <w:rsid w:val="00EC269B"/>
    <w:rsid w:val="00EC2CF3"/>
    <w:rsid w:val="00EC333D"/>
    <w:rsid w:val="00EC3ABF"/>
    <w:rsid w:val="00EC4BEA"/>
    <w:rsid w:val="00EC5396"/>
    <w:rsid w:val="00EC6E06"/>
    <w:rsid w:val="00EC6EF9"/>
    <w:rsid w:val="00EC7038"/>
    <w:rsid w:val="00EC7405"/>
    <w:rsid w:val="00EC7E4D"/>
    <w:rsid w:val="00ED0C49"/>
    <w:rsid w:val="00ED1306"/>
    <w:rsid w:val="00ED1549"/>
    <w:rsid w:val="00ED2508"/>
    <w:rsid w:val="00ED2FA1"/>
    <w:rsid w:val="00ED33F7"/>
    <w:rsid w:val="00ED37DC"/>
    <w:rsid w:val="00ED3D57"/>
    <w:rsid w:val="00ED55F9"/>
    <w:rsid w:val="00ED5CB5"/>
    <w:rsid w:val="00ED67AB"/>
    <w:rsid w:val="00ED6981"/>
    <w:rsid w:val="00ED6A47"/>
    <w:rsid w:val="00ED7163"/>
    <w:rsid w:val="00ED72E2"/>
    <w:rsid w:val="00ED795B"/>
    <w:rsid w:val="00ED7E78"/>
    <w:rsid w:val="00ED7FA4"/>
    <w:rsid w:val="00EE02F9"/>
    <w:rsid w:val="00EE03A0"/>
    <w:rsid w:val="00EE056D"/>
    <w:rsid w:val="00EE0CD6"/>
    <w:rsid w:val="00EE114C"/>
    <w:rsid w:val="00EE180B"/>
    <w:rsid w:val="00EE20BE"/>
    <w:rsid w:val="00EE350C"/>
    <w:rsid w:val="00EE41D8"/>
    <w:rsid w:val="00EE43C1"/>
    <w:rsid w:val="00EE4EAD"/>
    <w:rsid w:val="00EE534A"/>
    <w:rsid w:val="00EE62EA"/>
    <w:rsid w:val="00EE63A9"/>
    <w:rsid w:val="00EE6B20"/>
    <w:rsid w:val="00EE7036"/>
    <w:rsid w:val="00EE705C"/>
    <w:rsid w:val="00EE777F"/>
    <w:rsid w:val="00EE7AC4"/>
    <w:rsid w:val="00EF09DB"/>
    <w:rsid w:val="00EF0D74"/>
    <w:rsid w:val="00EF1039"/>
    <w:rsid w:val="00EF1066"/>
    <w:rsid w:val="00EF1878"/>
    <w:rsid w:val="00EF19D6"/>
    <w:rsid w:val="00EF1C17"/>
    <w:rsid w:val="00EF2D10"/>
    <w:rsid w:val="00EF2D59"/>
    <w:rsid w:val="00EF2F7A"/>
    <w:rsid w:val="00EF34DC"/>
    <w:rsid w:val="00EF3A72"/>
    <w:rsid w:val="00EF3D4F"/>
    <w:rsid w:val="00EF3E03"/>
    <w:rsid w:val="00EF4797"/>
    <w:rsid w:val="00EF49C8"/>
    <w:rsid w:val="00EF4AF3"/>
    <w:rsid w:val="00EF4C5D"/>
    <w:rsid w:val="00EF4CC4"/>
    <w:rsid w:val="00EF5A0E"/>
    <w:rsid w:val="00EF5FDB"/>
    <w:rsid w:val="00EF6401"/>
    <w:rsid w:val="00EF6EFA"/>
    <w:rsid w:val="00EF7464"/>
    <w:rsid w:val="00F007BB"/>
    <w:rsid w:val="00F01F58"/>
    <w:rsid w:val="00F024B1"/>
    <w:rsid w:val="00F02F77"/>
    <w:rsid w:val="00F0320C"/>
    <w:rsid w:val="00F03317"/>
    <w:rsid w:val="00F0403A"/>
    <w:rsid w:val="00F046DD"/>
    <w:rsid w:val="00F048D2"/>
    <w:rsid w:val="00F049FE"/>
    <w:rsid w:val="00F04A10"/>
    <w:rsid w:val="00F0576C"/>
    <w:rsid w:val="00F0616D"/>
    <w:rsid w:val="00F06512"/>
    <w:rsid w:val="00F06E53"/>
    <w:rsid w:val="00F071E5"/>
    <w:rsid w:val="00F07C73"/>
    <w:rsid w:val="00F07DCA"/>
    <w:rsid w:val="00F10422"/>
    <w:rsid w:val="00F10662"/>
    <w:rsid w:val="00F1116C"/>
    <w:rsid w:val="00F126AD"/>
    <w:rsid w:val="00F12EC6"/>
    <w:rsid w:val="00F147FE"/>
    <w:rsid w:val="00F15204"/>
    <w:rsid w:val="00F16623"/>
    <w:rsid w:val="00F168DF"/>
    <w:rsid w:val="00F16A1A"/>
    <w:rsid w:val="00F17EBB"/>
    <w:rsid w:val="00F201E2"/>
    <w:rsid w:val="00F2062D"/>
    <w:rsid w:val="00F207AF"/>
    <w:rsid w:val="00F20B26"/>
    <w:rsid w:val="00F21274"/>
    <w:rsid w:val="00F21AD0"/>
    <w:rsid w:val="00F223D2"/>
    <w:rsid w:val="00F22F67"/>
    <w:rsid w:val="00F232EC"/>
    <w:rsid w:val="00F23581"/>
    <w:rsid w:val="00F23ED4"/>
    <w:rsid w:val="00F26964"/>
    <w:rsid w:val="00F26E03"/>
    <w:rsid w:val="00F26E1C"/>
    <w:rsid w:val="00F275B2"/>
    <w:rsid w:val="00F27AC4"/>
    <w:rsid w:val="00F31783"/>
    <w:rsid w:val="00F31E75"/>
    <w:rsid w:val="00F32BAF"/>
    <w:rsid w:val="00F33939"/>
    <w:rsid w:val="00F33C81"/>
    <w:rsid w:val="00F33DA5"/>
    <w:rsid w:val="00F35480"/>
    <w:rsid w:val="00F36068"/>
    <w:rsid w:val="00F363EF"/>
    <w:rsid w:val="00F36522"/>
    <w:rsid w:val="00F365C2"/>
    <w:rsid w:val="00F37245"/>
    <w:rsid w:val="00F4023E"/>
    <w:rsid w:val="00F404C1"/>
    <w:rsid w:val="00F40D93"/>
    <w:rsid w:val="00F4284F"/>
    <w:rsid w:val="00F42B3E"/>
    <w:rsid w:val="00F4303F"/>
    <w:rsid w:val="00F44898"/>
    <w:rsid w:val="00F45134"/>
    <w:rsid w:val="00F45D44"/>
    <w:rsid w:val="00F46777"/>
    <w:rsid w:val="00F46AF0"/>
    <w:rsid w:val="00F46DBA"/>
    <w:rsid w:val="00F473A1"/>
    <w:rsid w:val="00F47FCA"/>
    <w:rsid w:val="00F504FC"/>
    <w:rsid w:val="00F512B8"/>
    <w:rsid w:val="00F51827"/>
    <w:rsid w:val="00F520CF"/>
    <w:rsid w:val="00F5433D"/>
    <w:rsid w:val="00F54F4F"/>
    <w:rsid w:val="00F555D5"/>
    <w:rsid w:val="00F60070"/>
    <w:rsid w:val="00F60454"/>
    <w:rsid w:val="00F60BBA"/>
    <w:rsid w:val="00F61242"/>
    <w:rsid w:val="00F61E32"/>
    <w:rsid w:val="00F623F6"/>
    <w:rsid w:val="00F627D2"/>
    <w:rsid w:val="00F63068"/>
    <w:rsid w:val="00F63947"/>
    <w:rsid w:val="00F64711"/>
    <w:rsid w:val="00F64CB1"/>
    <w:rsid w:val="00F64D01"/>
    <w:rsid w:val="00F65010"/>
    <w:rsid w:val="00F66875"/>
    <w:rsid w:val="00F670A4"/>
    <w:rsid w:val="00F675D0"/>
    <w:rsid w:val="00F7083D"/>
    <w:rsid w:val="00F70A8E"/>
    <w:rsid w:val="00F72E96"/>
    <w:rsid w:val="00F72EA7"/>
    <w:rsid w:val="00F731FD"/>
    <w:rsid w:val="00F73DBB"/>
    <w:rsid w:val="00F73E64"/>
    <w:rsid w:val="00F75289"/>
    <w:rsid w:val="00F75531"/>
    <w:rsid w:val="00F775C7"/>
    <w:rsid w:val="00F77914"/>
    <w:rsid w:val="00F801D6"/>
    <w:rsid w:val="00F80DCA"/>
    <w:rsid w:val="00F81D48"/>
    <w:rsid w:val="00F82199"/>
    <w:rsid w:val="00F826EE"/>
    <w:rsid w:val="00F8286A"/>
    <w:rsid w:val="00F8318D"/>
    <w:rsid w:val="00F83446"/>
    <w:rsid w:val="00F84047"/>
    <w:rsid w:val="00F84547"/>
    <w:rsid w:val="00F846FA"/>
    <w:rsid w:val="00F848DD"/>
    <w:rsid w:val="00F8544D"/>
    <w:rsid w:val="00F8569E"/>
    <w:rsid w:val="00F85BF8"/>
    <w:rsid w:val="00F86482"/>
    <w:rsid w:val="00F86C21"/>
    <w:rsid w:val="00F86D5F"/>
    <w:rsid w:val="00F870B1"/>
    <w:rsid w:val="00F8719A"/>
    <w:rsid w:val="00F871EB"/>
    <w:rsid w:val="00F873B4"/>
    <w:rsid w:val="00F873FC"/>
    <w:rsid w:val="00F87B46"/>
    <w:rsid w:val="00F87E38"/>
    <w:rsid w:val="00F9073B"/>
    <w:rsid w:val="00F912AD"/>
    <w:rsid w:val="00F919DE"/>
    <w:rsid w:val="00F91B46"/>
    <w:rsid w:val="00F92471"/>
    <w:rsid w:val="00F9296C"/>
    <w:rsid w:val="00F93BDF"/>
    <w:rsid w:val="00F9466E"/>
    <w:rsid w:val="00F95045"/>
    <w:rsid w:val="00F952DB"/>
    <w:rsid w:val="00F95307"/>
    <w:rsid w:val="00F95966"/>
    <w:rsid w:val="00F97011"/>
    <w:rsid w:val="00F973E3"/>
    <w:rsid w:val="00F97C5A"/>
    <w:rsid w:val="00FA0823"/>
    <w:rsid w:val="00FA0AF8"/>
    <w:rsid w:val="00FA1329"/>
    <w:rsid w:val="00FA21ED"/>
    <w:rsid w:val="00FA2597"/>
    <w:rsid w:val="00FA39A5"/>
    <w:rsid w:val="00FA476F"/>
    <w:rsid w:val="00FA480F"/>
    <w:rsid w:val="00FA48C4"/>
    <w:rsid w:val="00FA4A00"/>
    <w:rsid w:val="00FA699A"/>
    <w:rsid w:val="00FA7041"/>
    <w:rsid w:val="00FA78F0"/>
    <w:rsid w:val="00FB0415"/>
    <w:rsid w:val="00FB09E3"/>
    <w:rsid w:val="00FB0D3C"/>
    <w:rsid w:val="00FB1DC5"/>
    <w:rsid w:val="00FB2113"/>
    <w:rsid w:val="00FB23F2"/>
    <w:rsid w:val="00FB2AD4"/>
    <w:rsid w:val="00FB31F4"/>
    <w:rsid w:val="00FB3E28"/>
    <w:rsid w:val="00FB3FF6"/>
    <w:rsid w:val="00FB4708"/>
    <w:rsid w:val="00FB4E08"/>
    <w:rsid w:val="00FB4E8F"/>
    <w:rsid w:val="00FB5B11"/>
    <w:rsid w:val="00FB6B68"/>
    <w:rsid w:val="00FB73D5"/>
    <w:rsid w:val="00FB779C"/>
    <w:rsid w:val="00FB7D31"/>
    <w:rsid w:val="00FB7F06"/>
    <w:rsid w:val="00FB7F13"/>
    <w:rsid w:val="00FC14B6"/>
    <w:rsid w:val="00FC18BC"/>
    <w:rsid w:val="00FC29C9"/>
    <w:rsid w:val="00FC29ED"/>
    <w:rsid w:val="00FC30F1"/>
    <w:rsid w:val="00FC376A"/>
    <w:rsid w:val="00FC3CE2"/>
    <w:rsid w:val="00FC57D1"/>
    <w:rsid w:val="00FC6102"/>
    <w:rsid w:val="00FC66A6"/>
    <w:rsid w:val="00FC767A"/>
    <w:rsid w:val="00FC7D48"/>
    <w:rsid w:val="00FD07F3"/>
    <w:rsid w:val="00FD0C7D"/>
    <w:rsid w:val="00FD0CDD"/>
    <w:rsid w:val="00FD1125"/>
    <w:rsid w:val="00FD284C"/>
    <w:rsid w:val="00FD2E0A"/>
    <w:rsid w:val="00FD50B5"/>
    <w:rsid w:val="00FD590A"/>
    <w:rsid w:val="00FD5A47"/>
    <w:rsid w:val="00FD5DCE"/>
    <w:rsid w:val="00FD5F8A"/>
    <w:rsid w:val="00FD63E1"/>
    <w:rsid w:val="00FD69CE"/>
    <w:rsid w:val="00FD6A8E"/>
    <w:rsid w:val="00FD7008"/>
    <w:rsid w:val="00FD7122"/>
    <w:rsid w:val="00FD77DE"/>
    <w:rsid w:val="00FE02A2"/>
    <w:rsid w:val="00FE054A"/>
    <w:rsid w:val="00FE05D8"/>
    <w:rsid w:val="00FE0F5C"/>
    <w:rsid w:val="00FE31BB"/>
    <w:rsid w:val="00FE3221"/>
    <w:rsid w:val="00FE38ED"/>
    <w:rsid w:val="00FE4571"/>
    <w:rsid w:val="00FE4AE0"/>
    <w:rsid w:val="00FE5052"/>
    <w:rsid w:val="00FE5155"/>
    <w:rsid w:val="00FE5597"/>
    <w:rsid w:val="00FE5A7D"/>
    <w:rsid w:val="00FE5EFA"/>
    <w:rsid w:val="00FE699C"/>
    <w:rsid w:val="00FE6C0E"/>
    <w:rsid w:val="00FE6F01"/>
    <w:rsid w:val="00FE6F5A"/>
    <w:rsid w:val="00FE7739"/>
    <w:rsid w:val="00FF021F"/>
    <w:rsid w:val="00FF022B"/>
    <w:rsid w:val="00FF09A1"/>
    <w:rsid w:val="00FF1208"/>
    <w:rsid w:val="00FF14DD"/>
    <w:rsid w:val="00FF1500"/>
    <w:rsid w:val="00FF1E8D"/>
    <w:rsid w:val="00FF257D"/>
    <w:rsid w:val="00FF3137"/>
    <w:rsid w:val="00FF3294"/>
    <w:rsid w:val="00FF3D9D"/>
    <w:rsid w:val="00FF44AE"/>
    <w:rsid w:val="00FF4874"/>
    <w:rsid w:val="00FF4AA7"/>
    <w:rsid w:val="00FF4B9B"/>
    <w:rsid w:val="00FF4D51"/>
    <w:rsid w:val="00FF5706"/>
    <w:rsid w:val="00FF68F2"/>
    <w:rsid w:val="00FF69CF"/>
    <w:rsid w:val="00FF6B11"/>
    <w:rsid w:val="00FF6C4B"/>
    <w:rsid w:val="00FF7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E3DB66C"/>
  <w15:chartTrackingRefBased/>
  <w15:docId w15:val="{042267AE-88A2-4125-A59C-FB6C13FFE4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7E79"/>
    <w:pPr>
      <w:keepNext/>
    </w:pPr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002EEE"/>
    <w:pPr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qFormat/>
    <w:rsid w:val="0038103E"/>
    <w:pPr>
      <w:ind w:left="720"/>
      <w:contextualSpacing/>
    </w:pPr>
  </w:style>
  <w:style w:type="paragraph" w:customStyle="1" w:styleId="EndNoteBibliographyTitle">
    <w:name w:val="EndNote Bibliography Title"/>
    <w:basedOn w:val="Normal"/>
    <w:link w:val="EndNoteBibliographyTitleChar"/>
    <w:rsid w:val="0038103E"/>
    <w:pPr>
      <w:spacing w:after="0"/>
      <w:jc w:val="center"/>
    </w:pPr>
    <w:rPr>
      <w:rFonts w:ascii="Times New Roman" w:hAnsi="Times New Roman" w:cs="Times New Roman"/>
      <w:noProof/>
      <w:sz w:val="24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38103E"/>
  </w:style>
  <w:style w:type="character" w:customStyle="1" w:styleId="EndNoteBibliographyTitleChar">
    <w:name w:val="EndNote Bibliography Title Char"/>
    <w:basedOn w:val="ListParagraphChar"/>
    <w:link w:val="EndNoteBibliographyTitle"/>
    <w:rsid w:val="0038103E"/>
    <w:rPr>
      <w:rFonts w:ascii="Times New Roman" w:hAnsi="Times New Roman" w:cs="Times New Roman"/>
      <w:noProof/>
      <w:sz w:val="24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38103E"/>
    <w:pPr>
      <w:spacing w:line="480" w:lineRule="auto"/>
    </w:pPr>
    <w:rPr>
      <w:rFonts w:ascii="Times New Roman" w:hAnsi="Times New Roman" w:cs="Times New Roman"/>
      <w:noProof/>
      <w:sz w:val="24"/>
    </w:rPr>
  </w:style>
  <w:style w:type="character" w:customStyle="1" w:styleId="EndNoteBibliographyChar">
    <w:name w:val="EndNote Bibliography Char"/>
    <w:basedOn w:val="ListParagraphChar"/>
    <w:link w:val="EndNoteBibliography"/>
    <w:rsid w:val="0038103E"/>
    <w:rPr>
      <w:rFonts w:ascii="Times New Roman" w:hAnsi="Times New Roman" w:cs="Times New Roman"/>
      <w:noProof/>
      <w:sz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3214C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214CD"/>
  </w:style>
  <w:style w:type="paragraph" w:styleId="Footer">
    <w:name w:val="footer"/>
    <w:basedOn w:val="Normal"/>
    <w:link w:val="FooterChar"/>
    <w:uiPriority w:val="99"/>
    <w:unhideWhenUsed/>
    <w:rsid w:val="003214C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214CD"/>
  </w:style>
  <w:style w:type="table" w:styleId="TableGrid">
    <w:name w:val="Table Grid"/>
    <w:basedOn w:val="TableNormal"/>
    <w:uiPriority w:val="59"/>
    <w:rsid w:val="00042983"/>
    <w:pPr>
      <w:spacing w:after="0" w:line="240" w:lineRule="auto"/>
    </w:pPr>
    <w:rPr>
      <w:rFonts w:eastAsiaTheme="minorEastAsia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unhideWhenUsed/>
    <w:rsid w:val="003D3F5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D3F5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D3F5D"/>
    <w:rPr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D3F5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D3F5D"/>
    <w:rPr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3F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3F5D"/>
    <w:rPr>
      <w:rFonts w:ascii="Segoe UI" w:hAnsi="Segoe UI" w:cs="Segoe UI"/>
      <w:sz w:val="18"/>
      <w:szCs w:val="18"/>
      <w:lang w:val="en-US"/>
    </w:rPr>
  </w:style>
  <w:style w:type="character" w:styleId="Hyperlink">
    <w:name w:val="Hyperlink"/>
    <w:basedOn w:val="DefaultParagraphFont"/>
    <w:uiPriority w:val="99"/>
    <w:unhideWhenUsed/>
    <w:rsid w:val="000E48D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67C10"/>
    <w:rPr>
      <w:color w:val="954F72" w:themeColor="followedHyperlink"/>
      <w:u w:val="single"/>
    </w:rPr>
  </w:style>
  <w:style w:type="table" w:customStyle="1" w:styleId="TableGrid1">
    <w:name w:val="Table Grid1"/>
    <w:basedOn w:val="TableNormal"/>
    <w:next w:val="TableGrid"/>
    <w:uiPriority w:val="39"/>
    <w:rsid w:val="003B40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B223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56AC5"/>
    <w:rPr>
      <w:color w:val="808080"/>
      <w:shd w:val="clear" w:color="auto" w:fill="E6E6E6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5A7499"/>
    <w:rPr>
      <w:color w:val="808080"/>
      <w:shd w:val="clear" w:color="auto" w:fill="E6E6E6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7C7F9A"/>
    <w:rPr>
      <w:color w:val="808080"/>
      <w:shd w:val="clear" w:color="auto" w:fill="E6E6E6"/>
    </w:r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F826EE"/>
    <w:rPr>
      <w:color w:val="605E5C"/>
      <w:shd w:val="clear" w:color="auto" w:fill="E1DFDD"/>
    </w:rPr>
  </w:style>
  <w:style w:type="character" w:customStyle="1" w:styleId="UnresolvedMention5">
    <w:name w:val="Unresolved Mention5"/>
    <w:basedOn w:val="DefaultParagraphFont"/>
    <w:uiPriority w:val="99"/>
    <w:semiHidden/>
    <w:unhideWhenUsed/>
    <w:rsid w:val="00DA108B"/>
    <w:rPr>
      <w:color w:val="605E5C"/>
      <w:shd w:val="clear" w:color="auto" w:fill="E1DFDD"/>
    </w:rPr>
  </w:style>
  <w:style w:type="paragraph" w:customStyle="1" w:styleId="Default">
    <w:name w:val="Default"/>
    <w:rsid w:val="00A77A4F"/>
    <w:pPr>
      <w:autoSpaceDE w:val="0"/>
      <w:autoSpaceDN w:val="0"/>
      <w:adjustRightInd w:val="0"/>
      <w:spacing w:after="0" w:line="240" w:lineRule="auto"/>
    </w:pPr>
    <w:rPr>
      <w:rFonts w:ascii="AMVAT B+ Helvetica Neue LT Pro" w:hAnsi="AMVAT B+ Helvetica Neue LT Pro" w:cs="AMVAT B+ Helvetica Neue LT Pro"/>
      <w:color w:val="000000"/>
      <w:sz w:val="24"/>
      <w:szCs w:val="24"/>
      <w:lang w:val="en-NZ"/>
    </w:rPr>
  </w:style>
  <w:style w:type="character" w:customStyle="1" w:styleId="A10">
    <w:name w:val="A10"/>
    <w:uiPriority w:val="99"/>
    <w:rsid w:val="00A77A4F"/>
    <w:rPr>
      <w:rFonts w:cs="AMVAT B+ Helvetica Neue LT Pro"/>
      <w:color w:val="000000"/>
      <w:sz w:val="8"/>
      <w:szCs w:val="8"/>
    </w:rPr>
  </w:style>
  <w:style w:type="character" w:customStyle="1" w:styleId="A8">
    <w:name w:val="A8"/>
    <w:uiPriority w:val="99"/>
    <w:rsid w:val="00A77A4F"/>
    <w:rPr>
      <w:rFonts w:cs="AMVAT B+ Helvetica Neue LT Pro"/>
      <w:color w:val="000000"/>
      <w:sz w:val="14"/>
      <w:szCs w:val="14"/>
    </w:rPr>
  </w:style>
  <w:style w:type="paragraph" w:customStyle="1" w:styleId="Pa11">
    <w:name w:val="Pa11"/>
    <w:basedOn w:val="Default"/>
    <w:next w:val="Default"/>
    <w:uiPriority w:val="99"/>
    <w:rsid w:val="0027113F"/>
    <w:pPr>
      <w:spacing w:line="201" w:lineRule="atLeast"/>
    </w:pPr>
    <w:rPr>
      <w:rFonts w:ascii="HelveticaNeueLT Pro 65 Md" w:hAnsi="HelveticaNeueLT Pro 65 Md" w:cstheme="minorBidi"/>
      <w:color w:val="auto"/>
    </w:rPr>
  </w:style>
  <w:style w:type="paragraph" w:customStyle="1" w:styleId="Pa21">
    <w:name w:val="Pa21"/>
    <w:basedOn w:val="Default"/>
    <w:next w:val="Default"/>
    <w:uiPriority w:val="99"/>
    <w:rsid w:val="00CF4318"/>
    <w:pPr>
      <w:spacing w:line="111" w:lineRule="atLeast"/>
    </w:pPr>
    <w:rPr>
      <w:rFonts w:cstheme="minorBidi"/>
      <w:color w:val="auto"/>
    </w:rPr>
  </w:style>
  <w:style w:type="paragraph" w:customStyle="1" w:styleId="Pa20">
    <w:name w:val="Pa20"/>
    <w:basedOn w:val="Default"/>
    <w:next w:val="Default"/>
    <w:uiPriority w:val="99"/>
    <w:rsid w:val="00CF4318"/>
    <w:pPr>
      <w:spacing w:line="111" w:lineRule="atLeast"/>
    </w:pPr>
    <w:rPr>
      <w:rFonts w:cstheme="minorBidi"/>
      <w:color w:val="auto"/>
    </w:rPr>
  </w:style>
  <w:style w:type="character" w:customStyle="1" w:styleId="A18">
    <w:name w:val="A18"/>
    <w:uiPriority w:val="99"/>
    <w:rsid w:val="00CF4318"/>
    <w:rPr>
      <w:rFonts w:cs="AMVAT B+ Helvetica Neue LT Pro"/>
      <w:color w:val="000000"/>
      <w:sz w:val="6"/>
      <w:szCs w:val="6"/>
    </w:rPr>
  </w:style>
  <w:style w:type="paragraph" w:styleId="Revision">
    <w:name w:val="Revision"/>
    <w:hidden/>
    <w:uiPriority w:val="99"/>
    <w:semiHidden/>
    <w:rsid w:val="005D49EA"/>
    <w:pPr>
      <w:spacing w:after="0" w:line="240" w:lineRule="auto"/>
    </w:pPr>
    <w:rPr>
      <w:lang w:val="en-US"/>
    </w:rPr>
  </w:style>
  <w:style w:type="character" w:styleId="Strong">
    <w:name w:val="Strong"/>
    <w:basedOn w:val="DefaultParagraphFont"/>
    <w:uiPriority w:val="22"/>
    <w:qFormat/>
    <w:rsid w:val="00A07BD4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F92471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F97011"/>
    <w:rPr>
      <w:color w:val="808080"/>
    </w:rPr>
  </w:style>
  <w:style w:type="character" w:customStyle="1" w:styleId="Heading1Char">
    <w:name w:val="Heading 1 Char"/>
    <w:basedOn w:val="DefaultParagraphFont"/>
    <w:link w:val="Heading1"/>
    <w:uiPriority w:val="9"/>
    <w:rsid w:val="00002EEE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/>
    </w:rPr>
  </w:style>
  <w:style w:type="paragraph" w:customStyle="1" w:styleId="Style1">
    <w:name w:val="Style1"/>
    <w:basedOn w:val="Normal"/>
    <w:link w:val="Style1Char"/>
    <w:qFormat/>
    <w:rsid w:val="00002EEE"/>
    <w:pPr>
      <w:widowControl w:val="0"/>
      <w:spacing w:after="240" w:line="480" w:lineRule="auto"/>
    </w:pPr>
    <w:rPr>
      <w:rFonts w:ascii="Times New Roman" w:hAnsi="Times New Roman"/>
      <w:sz w:val="24"/>
    </w:rPr>
  </w:style>
  <w:style w:type="paragraph" w:customStyle="1" w:styleId="BayerBodyTextFull">
    <w:name w:val="Bayer Body Text Full"/>
    <w:basedOn w:val="Normal"/>
    <w:link w:val="BayerBodyTextFullChar"/>
    <w:qFormat/>
    <w:rsid w:val="007D1E5C"/>
    <w:pPr>
      <w:spacing w:before="120" w:after="12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Style1Char">
    <w:name w:val="Style1 Char"/>
    <w:basedOn w:val="DefaultParagraphFont"/>
    <w:link w:val="Style1"/>
    <w:rsid w:val="00002EEE"/>
    <w:rPr>
      <w:rFonts w:ascii="Times New Roman" w:hAnsi="Times New Roman"/>
      <w:sz w:val="24"/>
      <w:lang w:val="en-US"/>
    </w:rPr>
  </w:style>
  <w:style w:type="character" w:customStyle="1" w:styleId="BayerBodyTextFullChar">
    <w:name w:val="Bayer Body Text Full Char"/>
    <w:link w:val="BayerBodyTextFull"/>
    <w:rsid w:val="007D1E5C"/>
    <w:rPr>
      <w:rFonts w:ascii="Times New Roman" w:eastAsia="Times New Roman" w:hAnsi="Times New Roman" w:cs="Times New Roman"/>
      <w:sz w:val="24"/>
      <w:szCs w:val="20"/>
      <w:lang w:val="en-US"/>
    </w:rPr>
  </w:style>
  <w:style w:type="paragraph" w:customStyle="1" w:styleId="BayerTableStyleLeftJustified">
    <w:name w:val="Bayer TableStyle Left Justified"/>
    <w:basedOn w:val="Normal"/>
    <w:qFormat/>
    <w:rsid w:val="003D133E"/>
    <w:pPr>
      <w:widowControl w:val="0"/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table" w:customStyle="1" w:styleId="BayerTableStyle">
    <w:name w:val="Bayer Table Style"/>
    <w:basedOn w:val="TableNormal"/>
    <w:rsid w:val="003D133E"/>
    <w:pPr>
      <w:spacing w:after="0" w:line="240" w:lineRule="auto"/>
    </w:pPr>
    <w:rPr>
      <w:rFonts w:ascii="Arial" w:eastAsia="Times New Roman" w:hAnsi="Arial" w:cs="Times New Roman"/>
      <w:sz w:val="20"/>
      <w:szCs w:val="20"/>
      <w:lang w:val="en-US" w:eastAsia="de-DE"/>
    </w:rPr>
    <w:tblPr>
      <w:tblBorders>
        <w:top w:val="single" w:sz="12" w:space="0" w:color="auto"/>
        <w:bottom w:val="single" w:sz="12" w:space="0" w:color="auto"/>
      </w:tblBorders>
      <w:tblCellMar>
        <w:left w:w="0" w:type="dxa"/>
        <w:right w:w="0" w:type="dxa"/>
      </w:tblCellMar>
    </w:tblPr>
    <w:tblStylePr w:type="firstRow">
      <w:rPr>
        <w:rFonts w:ascii="Arial" w:hAnsi="Arial"/>
        <w:sz w:val="20"/>
      </w:rPr>
      <w:tblPr/>
      <w:tcPr>
        <w:tcBorders>
          <w:top w:val="single" w:sz="12" w:space="0" w:color="auto"/>
          <w:left w:val="nil"/>
          <w:bottom w:val="single" w:sz="6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pPr>
        <w:jc w:val="left"/>
      </w:pPr>
      <w:rPr>
        <w:rFonts w:ascii="Arial" w:hAnsi="Arial"/>
        <w:sz w:val="20"/>
      </w:rPr>
    </w:tblStylePr>
  </w:style>
  <w:style w:type="paragraph" w:styleId="NormalWeb">
    <w:name w:val="Normal (Web)"/>
    <w:basedOn w:val="Normal"/>
    <w:uiPriority w:val="99"/>
    <w:unhideWhenUsed/>
    <w:rsid w:val="000A1D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ZA" w:eastAsia="en-ZA"/>
    </w:rPr>
  </w:style>
  <w:style w:type="paragraph" w:customStyle="1" w:styleId="BayerBibliography">
    <w:name w:val="Bayer Bibliography"/>
    <w:basedOn w:val="Normal"/>
    <w:link w:val="BayerBibliographyZchn"/>
    <w:rsid w:val="00DD7DD0"/>
    <w:pPr>
      <w:spacing w:after="120" w:line="240" w:lineRule="auto"/>
      <w:ind w:left="1627" w:hanging="720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ayerBibliographyZchn">
    <w:name w:val="Bayer Bibliography Zchn"/>
    <w:basedOn w:val="DefaultParagraphFont"/>
    <w:link w:val="BayerBibliography"/>
    <w:rsid w:val="00DD7DD0"/>
    <w:rPr>
      <w:rFonts w:ascii="Times New Roman" w:eastAsia="Times New Roman" w:hAnsi="Times New Roman" w:cs="Times New Roman"/>
      <w:sz w:val="24"/>
      <w:szCs w:val="20"/>
      <w:lang w:val="en-US"/>
    </w:rPr>
  </w:style>
  <w:style w:type="paragraph" w:styleId="Title">
    <w:name w:val="Title"/>
    <w:basedOn w:val="Normal"/>
    <w:next w:val="Normal"/>
    <w:link w:val="TitleChar"/>
    <w:uiPriority w:val="10"/>
    <w:qFormat/>
    <w:rsid w:val="009C38FC"/>
    <w:pPr>
      <w:keepNext w:val="0"/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9C38F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table" w:customStyle="1" w:styleId="BayerTableStyle1">
    <w:name w:val="Bayer Table Style1"/>
    <w:basedOn w:val="TableNormal"/>
    <w:rsid w:val="00D93E8E"/>
    <w:pPr>
      <w:spacing w:after="0" w:line="240" w:lineRule="auto"/>
    </w:pPr>
    <w:rPr>
      <w:rFonts w:ascii="Arial" w:eastAsia="Times New Roman" w:hAnsi="Arial" w:cs="Times New Roman"/>
      <w:sz w:val="20"/>
      <w:szCs w:val="20"/>
      <w:lang w:val="en-US" w:eastAsia="de-DE"/>
    </w:rPr>
    <w:tblPr>
      <w:tblBorders>
        <w:top w:val="single" w:sz="12" w:space="0" w:color="auto"/>
        <w:bottom w:val="single" w:sz="12" w:space="0" w:color="auto"/>
      </w:tblBorders>
      <w:tblCellMar>
        <w:left w:w="0" w:type="dxa"/>
        <w:right w:w="0" w:type="dxa"/>
      </w:tblCellMar>
    </w:tblPr>
    <w:tblStylePr w:type="firstRow">
      <w:rPr>
        <w:rFonts w:ascii="Arial" w:hAnsi="Arial"/>
        <w:sz w:val="20"/>
      </w:rPr>
      <w:tblPr/>
      <w:tcPr>
        <w:tcBorders>
          <w:top w:val="single" w:sz="12" w:space="0" w:color="auto"/>
          <w:left w:val="nil"/>
          <w:bottom w:val="single" w:sz="6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pPr>
        <w:jc w:val="left"/>
      </w:pPr>
      <w:rPr>
        <w:rFonts w:ascii="Arial" w:hAnsi="Arial"/>
        <w:sz w:val="20"/>
      </w:rPr>
    </w:tblStylePr>
  </w:style>
  <w:style w:type="paragraph" w:styleId="Caption">
    <w:name w:val="caption"/>
    <w:aliases w:val="Bayer Caption,Bayer Normal Zchn Zchn,IB Caption,Medical Caption,Caption Char1,Bayer Caption Char1,IB Caption Char,Medical Caption Char Char Char,Medical Caption Char,Medical Caption Char1,NDA,NDA Char,Caption-FUSA,Bayer Normal Char"/>
    <w:basedOn w:val="Normal"/>
    <w:next w:val="Normal"/>
    <w:link w:val="CaptionChar"/>
    <w:qFormat/>
    <w:rsid w:val="00D93E8E"/>
    <w:pPr>
      <w:spacing w:before="120" w:after="120" w:line="240" w:lineRule="auto"/>
      <w:ind w:left="907"/>
    </w:pPr>
    <w:rPr>
      <w:rFonts w:ascii="Arial" w:eastAsia="Times New Roman" w:hAnsi="Arial" w:cs="Times New Roman"/>
      <w:b/>
      <w:szCs w:val="20"/>
    </w:rPr>
  </w:style>
  <w:style w:type="character" w:customStyle="1" w:styleId="CaptionChar">
    <w:name w:val="Caption Char"/>
    <w:aliases w:val="Bayer Caption Char,Bayer Normal Zchn Zchn Char,IB Caption Char1,Medical Caption Char2,Caption Char1 Char,Bayer Caption Char1 Char,IB Caption Char Char,Medical Caption Char Char Char Char,Medical Caption Char Char,Medical Caption Char1 Char"/>
    <w:link w:val="Caption"/>
    <w:locked/>
    <w:rsid w:val="00D93E8E"/>
    <w:rPr>
      <w:rFonts w:ascii="Arial" w:eastAsia="Times New Roman" w:hAnsi="Arial" w:cs="Times New Roman"/>
      <w:b/>
      <w:szCs w:val="20"/>
      <w:lang w:val="en-US"/>
    </w:rPr>
  </w:style>
  <w:style w:type="table" w:customStyle="1" w:styleId="BayerTable">
    <w:name w:val="Bayer Table"/>
    <w:basedOn w:val="TableNormal"/>
    <w:rsid w:val="00D93E8E"/>
    <w:pPr>
      <w:keepNext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de-DE" w:eastAsia="de-DE"/>
    </w:rPr>
    <w:tblPr/>
    <w:trPr>
      <w:cantSplit/>
    </w:trPr>
    <w:tblStylePr w:type="firstRow">
      <w:pPr>
        <w:wordWrap/>
        <w:jc w:val="center"/>
      </w:pPr>
      <w:rPr>
        <w:rFonts w:ascii="Arial" w:hAnsi="Arial"/>
        <w:b/>
        <w:i w:val="0"/>
        <w:sz w:val="20"/>
        <w:szCs w:val="20"/>
      </w:rPr>
      <w:tblPr/>
      <w:trPr>
        <w:cantSplit w:val="0"/>
      </w:trPr>
      <w:tcPr>
        <w:tcBorders>
          <w:top w:val="single" w:sz="12" w:space="0" w:color="auto"/>
          <w:left w:val="nil"/>
          <w:bottom w:val="single" w:sz="6" w:space="0" w:color="auto"/>
          <w:right w:val="nil"/>
          <w:insideH w:val="nil"/>
          <w:insideV w:val="nil"/>
          <w:tl2br w:val="nil"/>
          <w:tr2bl w:val="nil"/>
        </w:tcBorders>
        <w:vAlign w:val="bottom"/>
      </w:tcPr>
    </w:tblStylePr>
    <w:tblStylePr w:type="la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pPr>
        <w:wordWrap/>
        <w:jc w:val="left"/>
      </w:pPr>
      <w:rPr>
        <w:rFonts w:ascii="Arial" w:hAnsi="Arial"/>
        <w:b w:val="0"/>
        <w:i w:val="0"/>
        <w:sz w:val="20"/>
        <w:szCs w:val="20"/>
      </w:rPr>
    </w:tblStylePr>
  </w:style>
  <w:style w:type="character" w:customStyle="1" w:styleId="cf01">
    <w:name w:val="cf01"/>
    <w:basedOn w:val="DefaultParagraphFont"/>
    <w:rsid w:val="00762BCC"/>
    <w:rPr>
      <w:rFonts w:ascii="Segoe UI" w:hAnsi="Segoe UI" w:cs="Segoe UI" w:hint="default"/>
      <w:sz w:val="18"/>
      <w:szCs w:val="18"/>
    </w:rPr>
  </w:style>
  <w:style w:type="character" w:customStyle="1" w:styleId="ui-provider">
    <w:name w:val="ui-provider"/>
    <w:basedOn w:val="DefaultParagraphFont"/>
    <w:rsid w:val="004D7B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4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2376">
          <w:marLeft w:val="1282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272649">
          <w:marLeft w:val="1699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44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2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04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5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849437">
          <w:marLeft w:val="1282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899947">
          <w:marLeft w:val="1282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7008">
          <w:marLeft w:val="1282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609316">
          <w:marLeft w:val="1282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706579">
          <w:marLeft w:val="1282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839244">
          <w:marLeft w:val="1282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49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88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5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image" Target="media/image3.jpeg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71EC375DC01B748A6D2AB6319E39CB9" ma:contentTypeVersion="4" ma:contentTypeDescription="Create a new document." ma:contentTypeScope="" ma:versionID="717bd96efb71985a6f903c89768979c5">
  <xsd:schema xmlns:xsd="http://www.w3.org/2001/XMLSchema" xmlns:xs="http://www.w3.org/2001/XMLSchema" xmlns:p="http://schemas.microsoft.com/office/2006/metadata/properties" xmlns:ns2="fc220b00-ea43-4f34-a869-221fe7d5f966" targetNamespace="http://schemas.microsoft.com/office/2006/metadata/properties" ma:root="true" ma:fieldsID="33cbfcdb16a104383bce0b607dffc39a" ns2:_="">
    <xsd:import namespace="fc220b00-ea43-4f34-a869-221fe7d5f96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220b00-ea43-4f34-a869-221fe7d5f96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DD6CFF-CDFA-458A-B1C2-09422CBFED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c220b00-ea43-4f34-a869-221fe7d5f9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9F7480-1D19-4D1B-B4C1-D8434E9C4E8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7D0CA00-636D-4922-AECE-A14EF4857AB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0884ACC-4937-4D53-AC35-D5967CAD91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549</TotalTime>
  <Pages>18</Pages>
  <Words>2953</Words>
  <Characters>16836</Characters>
  <Application>Microsoft Office Word</Application>
  <DocSecurity>0</DocSecurity>
  <Lines>140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19750</CharactersWithSpaces>
  <SharedDoc>false</SharedDoc>
  <HLinks>
    <vt:vector size="48" baseType="variant">
      <vt:variant>
        <vt:i4>1966160</vt:i4>
      </vt:variant>
      <vt:variant>
        <vt:i4>129</vt:i4>
      </vt:variant>
      <vt:variant>
        <vt:i4>0</vt:i4>
      </vt:variant>
      <vt:variant>
        <vt:i4>5</vt:i4>
      </vt:variant>
      <vt:variant>
        <vt:lpwstr>https://www.fda.gov/regulatory-information/search-fda-guidance-documents/population-pharmacokinetics</vt:lpwstr>
      </vt:variant>
      <vt:variant>
        <vt:lpwstr/>
      </vt:variant>
      <vt:variant>
        <vt:i4>4456574</vt:i4>
      </vt:variant>
      <vt:variant>
        <vt:i4>126</vt:i4>
      </vt:variant>
      <vt:variant>
        <vt:i4>0</vt:i4>
      </vt:variant>
      <vt:variant>
        <vt:i4>5</vt:i4>
      </vt:variant>
      <vt:variant>
        <vt:lpwstr>https://www.accessdata.fda.gov/drugsatfda_docs/label/2020/209936s004lbl.pdf</vt:lpwstr>
      </vt:variant>
      <vt:variant>
        <vt:lpwstr/>
      </vt:variant>
      <vt:variant>
        <vt:i4>1179740</vt:i4>
      </vt:variant>
      <vt:variant>
        <vt:i4>123</vt:i4>
      </vt:variant>
      <vt:variant>
        <vt:i4>0</vt:i4>
      </vt:variant>
      <vt:variant>
        <vt:i4>5</vt:i4>
      </vt:variant>
      <vt:variant>
        <vt:lpwstr>https://israeldrugs.health.gov.il/</vt:lpwstr>
      </vt:variant>
      <vt:variant>
        <vt:lpwstr>!/medDetails/165%2045%2035773%2000</vt:lpwstr>
      </vt:variant>
      <vt:variant>
        <vt:i4>6750320</vt:i4>
      </vt:variant>
      <vt:variant>
        <vt:i4>120</vt:i4>
      </vt:variant>
      <vt:variant>
        <vt:i4>0</vt:i4>
      </vt:variant>
      <vt:variant>
        <vt:i4>5</vt:i4>
      </vt:variant>
      <vt:variant>
        <vt:lpwstr>https://www.fda.gov.tw/tc/includes/GetFile.ashx?id=f637085445784753113</vt:lpwstr>
      </vt:variant>
      <vt:variant>
        <vt:lpwstr/>
      </vt:variant>
      <vt:variant>
        <vt:i4>4587562</vt:i4>
      </vt:variant>
      <vt:variant>
        <vt:i4>117</vt:i4>
      </vt:variant>
      <vt:variant>
        <vt:i4>0</vt:i4>
      </vt:variant>
      <vt:variant>
        <vt:i4>5</vt:i4>
      </vt:variant>
      <vt:variant>
        <vt:lpwstr>https://www.ema.europa.eu/en/documents/scientific-guideline/guideline-reporting-results-population-pharmacokinetic-analyses_en.pdf</vt:lpwstr>
      </vt:variant>
      <vt:variant>
        <vt:lpwstr/>
      </vt:variant>
      <vt:variant>
        <vt:i4>1310813</vt:i4>
      </vt:variant>
      <vt:variant>
        <vt:i4>6</vt:i4>
      </vt:variant>
      <vt:variant>
        <vt:i4>0</vt:i4>
      </vt:variant>
      <vt:variant>
        <vt:i4>5</vt:i4>
      </vt:variant>
      <vt:variant>
        <vt:lpwstr>https://ascpt.onlinelibrary.wiley.com/doi/epdf/10.1002/psp4.12785</vt:lpwstr>
      </vt:variant>
      <vt:variant>
        <vt:lpwstr/>
      </vt:variant>
      <vt:variant>
        <vt:i4>1310813</vt:i4>
      </vt:variant>
      <vt:variant>
        <vt:i4>3</vt:i4>
      </vt:variant>
      <vt:variant>
        <vt:i4>0</vt:i4>
      </vt:variant>
      <vt:variant>
        <vt:i4>5</vt:i4>
      </vt:variant>
      <vt:variant>
        <vt:lpwstr>https://ascpt.onlinelibrary.wiley.com/doi/epdf/10.1002/psp4.12785</vt:lpwstr>
      </vt:variant>
      <vt:variant>
        <vt:lpwstr/>
      </vt:variant>
      <vt:variant>
        <vt:i4>5177423</vt:i4>
      </vt:variant>
      <vt:variant>
        <vt:i4>0</vt:i4>
      </vt:variant>
      <vt:variant>
        <vt:i4>0</vt:i4>
      </vt:variant>
      <vt:variant>
        <vt:i4>5</vt:i4>
      </vt:variant>
      <vt:variant>
        <vt:lpwstr>https://www.fda.gov/media/157762/download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Lenders, Laura (JNB-CHV)</dc:creator>
  <cp:keywords/>
  <dc:description/>
  <cp:lastModifiedBy>Aimee Greene</cp:lastModifiedBy>
  <cp:revision>99</cp:revision>
  <cp:lastPrinted>2019-03-25T08:56:00Z</cp:lastPrinted>
  <dcterms:created xsi:type="dcterms:W3CDTF">2022-12-02T14:49:00Z</dcterms:created>
  <dcterms:modified xsi:type="dcterms:W3CDTF">2023-05-22T13:36:00Z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0x010100271EC375DC01B748A6D2AB6319E39CB9</vt:lpwstr>
  </property>
  <property fmtid="{D5CDD505-2E9C-101B-9397-08002B2CF9AE}" pid="3" name="MSIP_Label_7f850223-87a8-40c3-9eb2-432606efca2a_Enabled">
    <vt:lpwstr>true</vt:lpwstr>
  </property>
  <property fmtid="{D5CDD505-2E9C-101B-9397-08002B2CF9AE}" pid="4" name="MSIP_Label_7f850223-87a8-40c3-9eb2-432606efca2a_SetDate">
    <vt:lpwstr>2022-07-20T15:27:10Z</vt:lpwstr>
  </property>
  <property fmtid="{D5CDD505-2E9C-101B-9397-08002B2CF9AE}" pid="5" name="MSIP_Label_7f850223-87a8-40c3-9eb2-432606efca2a_Method">
    <vt:lpwstr>Privileged</vt:lpwstr>
  </property>
  <property fmtid="{D5CDD505-2E9C-101B-9397-08002B2CF9AE}" pid="6" name="MSIP_Label_7f850223-87a8-40c3-9eb2-432606efca2a_Name">
    <vt:lpwstr>7f850223-87a8-40c3-9eb2-432606efca2a</vt:lpwstr>
  </property>
  <property fmtid="{D5CDD505-2E9C-101B-9397-08002B2CF9AE}" pid="7" name="MSIP_Label_7f850223-87a8-40c3-9eb2-432606efca2a_SiteId">
    <vt:lpwstr>fcb2b37b-5da0-466b-9b83-0014b67a7c78</vt:lpwstr>
  </property>
  <property fmtid="{D5CDD505-2E9C-101B-9397-08002B2CF9AE}" pid="8" name="MSIP_Label_7f850223-87a8-40c3-9eb2-432606efca2a_ActionId">
    <vt:lpwstr>1a457d11-37c1-41f6-891f-e5bfdc1c1da2</vt:lpwstr>
  </property>
  <property fmtid="{D5CDD505-2E9C-101B-9397-08002B2CF9AE}" pid="9" name="MSIP_Label_7f850223-87a8-40c3-9eb2-432606efca2a_ContentBits">
    <vt:lpwstr>0</vt:lpwstr>
  </property>
</Properties>
</file>