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A15B9" w14:textId="40754100" w:rsidR="00044BF0" w:rsidRPr="00044BF0" w:rsidRDefault="00044BF0" w:rsidP="00044BF0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</w:pPr>
      <w:bookmarkStart w:id="0" w:name="_Hlk142057126"/>
      <w:r w:rsidRPr="00044BF0"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>“Heal the sick": health status and caregiving during the</w:t>
      </w:r>
      <w:r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 xml:space="preserve"> </w:t>
      </w:r>
      <w:r w:rsidRPr="00044BF0"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>17th–18th century in Northern Italy</w:t>
      </w:r>
      <w:r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 xml:space="preserve"> </w:t>
      </w:r>
      <w:r w:rsidRPr="00044BF0"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>(St. Biagio cemetery,</w:t>
      </w:r>
      <w:r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 xml:space="preserve"> </w:t>
      </w:r>
      <w:r w:rsidRPr="00044BF0">
        <w:rPr>
          <w:rFonts w:asciiTheme="majorBidi" w:hAnsiTheme="majorBidi" w:cstheme="majorBidi"/>
          <w:b/>
          <w:bCs/>
          <w:color w:val="2B2B2B"/>
          <w:sz w:val="24"/>
          <w:szCs w:val="24"/>
          <w:lang w:val="en-US"/>
        </w:rPr>
        <w:t>Ravenna)</w:t>
      </w:r>
    </w:p>
    <w:p w14:paraId="27BC384C" w14:textId="77777777" w:rsidR="00044BF0" w:rsidRDefault="00044BF0" w:rsidP="00044BF0">
      <w:pPr>
        <w:rPr>
          <w:rFonts w:ascii="Verdana-Bold" w:hAnsi="Verdana-Bold" w:cs="Verdana-Bold"/>
          <w:b/>
          <w:bCs/>
          <w:color w:val="2B2B2B"/>
          <w:lang w:val="en-US"/>
        </w:rPr>
      </w:pPr>
    </w:p>
    <w:p w14:paraId="297C9FD6" w14:textId="53BC1F88" w:rsidR="000C58C2" w:rsidRPr="00E57AE3" w:rsidRDefault="00E9366A" w:rsidP="00044BF0">
      <w:pPr>
        <w:jc w:val="center"/>
        <w:rPr>
          <w:rFonts w:asciiTheme="majorBidi" w:hAnsiTheme="majorBidi" w:cstheme="majorBidi"/>
          <w:b/>
        </w:rPr>
      </w:pPr>
      <w:r w:rsidRPr="00E57AE3">
        <w:rPr>
          <w:rFonts w:asciiTheme="majorBidi" w:hAnsiTheme="majorBidi" w:cstheme="majorBidi"/>
          <w:b/>
        </w:rPr>
        <w:t>Supplementary</w:t>
      </w:r>
      <w:r w:rsidR="000D5BC8" w:rsidRPr="00E57AE3">
        <w:rPr>
          <w:rFonts w:asciiTheme="majorBidi" w:hAnsiTheme="majorBidi" w:cstheme="majorBidi"/>
          <w:b/>
        </w:rPr>
        <w:t xml:space="preserve"> Material</w:t>
      </w:r>
      <w:r w:rsidR="00044BF0">
        <w:rPr>
          <w:rFonts w:asciiTheme="majorBidi" w:hAnsiTheme="majorBidi" w:cstheme="majorBidi"/>
          <w:b/>
        </w:rPr>
        <w:t xml:space="preserve"> 1</w:t>
      </w:r>
    </w:p>
    <w:bookmarkEnd w:id="0"/>
    <w:p w14:paraId="297CA04F" w14:textId="77777777" w:rsidR="000C58C2" w:rsidRPr="00E57AE3" w:rsidRDefault="000C58C2">
      <w:pPr>
        <w:rPr>
          <w:rFonts w:asciiTheme="majorBidi" w:hAnsiTheme="majorBidi" w:cstheme="majorBidi"/>
        </w:rPr>
      </w:pPr>
    </w:p>
    <w:p w14:paraId="026FE201" w14:textId="1785E762" w:rsidR="009C51A3" w:rsidRPr="00E57AE3" w:rsidRDefault="00E9366A" w:rsidP="009C51A3">
      <w:pPr>
        <w:rPr>
          <w:rFonts w:asciiTheme="majorBidi" w:hAnsiTheme="majorBidi" w:cstheme="majorBidi"/>
          <w:b/>
        </w:rPr>
      </w:pPr>
      <w:r w:rsidRPr="00E57AE3">
        <w:rPr>
          <w:rFonts w:asciiTheme="majorBidi" w:hAnsiTheme="majorBidi" w:cstheme="majorBidi"/>
          <w:b/>
        </w:rPr>
        <w:t xml:space="preserve">Tab. </w:t>
      </w:r>
      <w:r w:rsidR="00707C27" w:rsidRPr="00E57AE3">
        <w:rPr>
          <w:rFonts w:asciiTheme="majorBidi" w:hAnsiTheme="majorBidi" w:cstheme="majorBidi"/>
          <w:b/>
        </w:rPr>
        <w:t>1</w:t>
      </w:r>
      <w:r w:rsidR="008A55A4">
        <w:rPr>
          <w:rFonts w:asciiTheme="majorBidi" w:hAnsiTheme="majorBidi" w:cstheme="majorBidi"/>
          <w:b/>
        </w:rPr>
        <w:t xml:space="preserve"> SM</w:t>
      </w:r>
      <w:r w:rsidR="00044BF0">
        <w:rPr>
          <w:rFonts w:asciiTheme="majorBidi" w:hAnsiTheme="majorBidi" w:cstheme="majorBidi"/>
          <w:b/>
        </w:rPr>
        <w:t>1</w:t>
      </w:r>
      <w:r w:rsidRPr="00E57AE3">
        <w:rPr>
          <w:rFonts w:asciiTheme="majorBidi" w:hAnsiTheme="majorBidi" w:cstheme="majorBidi"/>
          <w:b/>
        </w:rPr>
        <w:t xml:space="preserve"> </w:t>
      </w:r>
      <w:r w:rsidRPr="00E57AE3">
        <w:rPr>
          <w:rFonts w:asciiTheme="majorBidi" w:hAnsiTheme="majorBidi" w:cstheme="majorBidi"/>
        </w:rPr>
        <w:t xml:space="preserve">Life table of </w:t>
      </w:r>
      <w:r w:rsidR="000D5BC8" w:rsidRPr="00E57AE3">
        <w:rPr>
          <w:rFonts w:asciiTheme="majorBidi" w:hAnsiTheme="majorBidi" w:cstheme="majorBidi"/>
        </w:rPr>
        <w:t>St. Biagio church of</w:t>
      </w:r>
      <w:r w:rsidRPr="00E57AE3">
        <w:rPr>
          <w:rFonts w:asciiTheme="majorBidi" w:hAnsiTheme="majorBidi" w:cstheme="majorBidi"/>
        </w:rPr>
        <w:t xml:space="preserve"> Ravenna</w:t>
      </w:r>
      <w:r w:rsidRPr="00E57AE3">
        <w:rPr>
          <w:rFonts w:asciiTheme="majorBidi" w:hAnsiTheme="majorBidi" w:cstheme="majorBidi"/>
          <w:b/>
        </w:rPr>
        <w:t xml:space="preserve"> </w:t>
      </w:r>
    </w:p>
    <w:tbl>
      <w:tblPr>
        <w:tblW w:w="9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9C51A3" w:rsidRPr="00E57AE3" w14:paraId="63A6D9D8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1B5C35C2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x</w:t>
            </w:r>
          </w:p>
        </w:tc>
        <w:tc>
          <w:tcPr>
            <w:tcW w:w="960" w:type="dxa"/>
            <w:noWrap/>
            <w:vAlign w:val="bottom"/>
            <w:hideMark/>
          </w:tcPr>
          <w:p w14:paraId="3B870BF9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dx</w:t>
            </w:r>
          </w:p>
        </w:tc>
        <w:tc>
          <w:tcPr>
            <w:tcW w:w="960" w:type="dxa"/>
            <w:noWrap/>
            <w:vAlign w:val="bottom"/>
            <w:hideMark/>
          </w:tcPr>
          <w:p w14:paraId="46E327A6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d'x</w:t>
            </w:r>
          </w:p>
        </w:tc>
        <w:tc>
          <w:tcPr>
            <w:tcW w:w="960" w:type="dxa"/>
            <w:noWrap/>
            <w:vAlign w:val="bottom"/>
            <w:hideMark/>
          </w:tcPr>
          <w:p w14:paraId="1374DD21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Ix</w:t>
            </w:r>
          </w:p>
        </w:tc>
        <w:tc>
          <w:tcPr>
            <w:tcW w:w="960" w:type="dxa"/>
            <w:noWrap/>
            <w:vAlign w:val="bottom"/>
            <w:hideMark/>
          </w:tcPr>
          <w:p w14:paraId="0553FBF4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I'x</w:t>
            </w:r>
          </w:p>
        </w:tc>
        <w:tc>
          <w:tcPr>
            <w:tcW w:w="960" w:type="dxa"/>
            <w:noWrap/>
            <w:vAlign w:val="bottom"/>
            <w:hideMark/>
          </w:tcPr>
          <w:p w14:paraId="01F585A1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qx</w:t>
            </w:r>
          </w:p>
        </w:tc>
        <w:tc>
          <w:tcPr>
            <w:tcW w:w="960" w:type="dxa"/>
            <w:noWrap/>
            <w:vAlign w:val="bottom"/>
            <w:hideMark/>
          </w:tcPr>
          <w:p w14:paraId="431417A0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px</w:t>
            </w:r>
          </w:p>
        </w:tc>
        <w:tc>
          <w:tcPr>
            <w:tcW w:w="960" w:type="dxa"/>
            <w:noWrap/>
            <w:vAlign w:val="bottom"/>
            <w:hideMark/>
          </w:tcPr>
          <w:p w14:paraId="74DB406C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Lx</w:t>
            </w:r>
          </w:p>
        </w:tc>
        <w:tc>
          <w:tcPr>
            <w:tcW w:w="960" w:type="dxa"/>
            <w:noWrap/>
            <w:vAlign w:val="bottom"/>
            <w:hideMark/>
          </w:tcPr>
          <w:p w14:paraId="1A436446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Tx</w:t>
            </w:r>
          </w:p>
        </w:tc>
        <w:tc>
          <w:tcPr>
            <w:tcW w:w="960" w:type="dxa"/>
            <w:noWrap/>
            <w:vAlign w:val="bottom"/>
            <w:hideMark/>
          </w:tcPr>
          <w:p w14:paraId="266AA0C8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ex</w:t>
            </w:r>
          </w:p>
        </w:tc>
      </w:tr>
      <w:tr w:rsidR="009C51A3" w:rsidRPr="00E57AE3" w14:paraId="39019B53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13000E5C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0-2 anni</w:t>
            </w:r>
          </w:p>
        </w:tc>
        <w:tc>
          <w:tcPr>
            <w:tcW w:w="960" w:type="dxa"/>
            <w:noWrap/>
            <w:vAlign w:val="bottom"/>
            <w:hideMark/>
          </w:tcPr>
          <w:p w14:paraId="04339F9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</w:t>
            </w:r>
          </w:p>
        </w:tc>
        <w:tc>
          <w:tcPr>
            <w:tcW w:w="960" w:type="dxa"/>
            <w:noWrap/>
            <w:vAlign w:val="bottom"/>
            <w:hideMark/>
          </w:tcPr>
          <w:p w14:paraId="4B7D1D5F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1.60</w:t>
            </w:r>
          </w:p>
        </w:tc>
        <w:tc>
          <w:tcPr>
            <w:tcW w:w="960" w:type="dxa"/>
            <w:noWrap/>
            <w:vAlign w:val="bottom"/>
            <w:hideMark/>
          </w:tcPr>
          <w:p w14:paraId="19DC98FC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125.00</w:t>
            </w:r>
          </w:p>
        </w:tc>
        <w:tc>
          <w:tcPr>
            <w:tcW w:w="960" w:type="dxa"/>
            <w:noWrap/>
            <w:vAlign w:val="bottom"/>
            <w:hideMark/>
          </w:tcPr>
          <w:p w14:paraId="3EE5BC5C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100.00</w:t>
            </w:r>
          </w:p>
        </w:tc>
        <w:tc>
          <w:tcPr>
            <w:tcW w:w="960" w:type="dxa"/>
            <w:noWrap/>
            <w:vAlign w:val="bottom"/>
            <w:hideMark/>
          </w:tcPr>
          <w:p w14:paraId="0E77F3D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1.60</w:t>
            </w:r>
          </w:p>
        </w:tc>
        <w:tc>
          <w:tcPr>
            <w:tcW w:w="960" w:type="dxa"/>
            <w:noWrap/>
            <w:vAlign w:val="bottom"/>
            <w:hideMark/>
          </w:tcPr>
          <w:p w14:paraId="2AD2072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98.40</w:t>
            </w:r>
          </w:p>
        </w:tc>
        <w:tc>
          <w:tcPr>
            <w:tcW w:w="960" w:type="dxa"/>
            <w:noWrap/>
            <w:vAlign w:val="bottom"/>
            <w:hideMark/>
          </w:tcPr>
          <w:p w14:paraId="56681ACF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198.40</w:t>
            </w:r>
          </w:p>
        </w:tc>
        <w:tc>
          <w:tcPr>
            <w:tcW w:w="960" w:type="dxa"/>
            <w:noWrap/>
            <w:vAlign w:val="bottom"/>
            <w:hideMark/>
          </w:tcPr>
          <w:p w14:paraId="72D95C4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4037.60</w:t>
            </w:r>
          </w:p>
        </w:tc>
        <w:tc>
          <w:tcPr>
            <w:tcW w:w="960" w:type="dxa"/>
            <w:noWrap/>
            <w:vAlign w:val="bottom"/>
            <w:hideMark/>
          </w:tcPr>
          <w:p w14:paraId="17B5EAE9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40.38</w:t>
            </w:r>
          </w:p>
        </w:tc>
      </w:tr>
      <w:tr w:rsidR="009C51A3" w:rsidRPr="00E57AE3" w14:paraId="4064B7C4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0DB09F37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3-11</w:t>
            </w:r>
          </w:p>
        </w:tc>
        <w:tc>
          <w:tcPr>
            <w:tcW w:w="960" w:type="dxa"/>
            <w:noWrap/>
            <w:vAlign w:val="bottom"/>
            <w:hideMark/>
          </w:tcPr>
          <w:p w14:paraId="4BD8AF3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3</w:t>
            </w:r>
          </w:p>
        </w:tc>
        <w:tc>
          <w:tcPr>
            <w:tcW w:w="960" w:type="dxa"/>
            <w:noWrap/>
            <w:vAlign w:val="bottom"/>
            <w:hideMark/>
          </w:tcPr>
          <w:p w14:paraId="52C6873A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2.40</w:t>
            </w:r>
          </w:p>
        </w:tc>
        <w:tc>
          <w:tcPr>
            <w:tcW w:w="960" w:type="dxa"/>
            <w:noWrap/>
            <w:vAlign w:val="bottom"/>
            <w:hideMark/>
          </w:tcPr>
          <w:p w14:paraId="253EA965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123.00</w:t>
            </w:r>
          </w:p>
        </w:tc>
        <w:tc>
          <w:tcPr>
            <w:tcW w:w="960" w:type="dxa"/>
            <w:noWrap/>
            <w:vAlign w:val="bottom"/>
            <w:hideMark/>
          </w:tcPr>
          <w:p w14:paraId="6FF53BB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98.40</w:t>
            </w:r>
          </w:p>
        </w:tc>
        <w:tc>
          <w:tcPr>
            <w:tcW w:w="960" w:type="dxa"/>
            <w:noWrap/>
            <w:vAlign w:val="bottom"/>
            <w:hideMark/>
          </w:tcPr>
          <w:p w14:paraId="2DFFD164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2.44</w:t>
            </w:r>
          </w:p>
        </w:tc>
        <w:tc>
          <w:tcPr>
            <w:tcW w:w="960" w:type="dxa"/>
            <w:noWrap/>
            <w:vAlign w:val="bottom"/>
            <w:hideMark/>
          </w:tcPr>
          <w:p w14:paraId="4A10A5F2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97.56</w:t>
            </w:r>
          </w:p>
        </w:tc>
        <w:tc>
          <w:tcPr>
            <w:tcW w:w="960" w:type="dxa"/>
            <w:noWrap/>
            <w:vAlign w:val="bottom"/>
            <w:hideMark/>
          </w:tcPr>
          <w:p w14:paraId="7BBB0CBA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874.80</w:t>
            </w:r>
          </w:p>
        </w:tc>
        <w:tc>
          <w:tcPr>
            <w:tcW w:w="960" w:type="dxa"/>
            <w:noWrap/>
            <w:vAlign w:val="bottom"/>
            <w:hideMark/>
          </w:tcPr>
          <w:p w14:paraId="51E43747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3162.80</w:t>
            </w:r>
          </w:p>
        </w:tc>
        <w:tc>
          <w:tcPr>
            <w:tcW w:w="960" w:type="dxa"/>
            <w:noWrap/>
            <w:vAlign w:val="bottom"/>
            <w:hideMark/>
          </w:tcPr>
          <w:p w14:paraId="3B29747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32.14</w:t>
            </w:r>
          </w:p>
        </w:tc>
      </w:tr>
      <w:tr w:rsidR="009C51A3" w:rsidRPr="00E57AE3" w14:paraId="59BC465C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72EAB430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12-18</w:t>
            </w:r>
          </w:p>
        </w:tc>
        <w:tc>
          <w:tcPr>
            <w:tcW w:w="960" w:type="dxa"/>
            <w:noWrap/>
            <w:vAlign w:val="bottom"/>
            <w:hideMark/>
          </w:tcPr>
          <w:p w14:paraId="310F9B69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</w:t>
            </w:r>
          </w:p>
        </w:tc>
        <w:tc>
          <w:tcPr>
            <w:tcW w:w="960" w:type="dxa"/>
            <w:noWrap/>
            <w:vAlign w:val="bottom"/>
            <w:hideMark/>
          </w:tcPr>
          <w:p w14:paraId="3EC9DC4B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7.20</w:t>
            </w:r>
          </w:p>
        </w:tc>
        <w:tc>
          <w:tcPr>
            <w:tcW w:w="960" w:type="dxa"/>
            <w:noWrap/>
            <w:vAlign w:val="bottom"/>
            <w:hideMark/>
          </w:tcPr>
          <w:p w14:paraId="6114F838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120.00</w:t>
            </w:r>
          </w:p>
        </w:tc>
        <w:tc>
          <w:tcPr>
            <w:tcW w:w="960" w:type="dxa"/>
            <w:noWrap/>
            <w:vAlign w:val="bottom"/>
            <w:hideMark/>
          </w:tcPr>
          <w:p w14:paraId="7C83676A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96.00</w:t>
            </w:r>
          </w:p>
        </w:tc>
        <w:tc>
          <w:tcPr>
            <w:tcW w:w="960" w:type="dxa"/>
            <w:noWrap/>
            <w:vAlign w:val="bottom"/>
            <w:hideMark/>
          </w:tcPr>
          <w:p w14:paraId="58233D0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7.50</w:t>
            </w:r>
          </w:p>
        </w:tc>
        <w:tc>
          <w:tcPr>
            <w:tcW w:w="960" w:type="dxa"/>
            <w:noWrap/>
            <w:vAlign w:val="bottom"/>
            <w:hideMark/>
          </w:tcPr>
          <w:p w14:paraId="5AE80DA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92.50</w:t>
            </w:r>
          </w:p>
        </w:tc>
        <w:tc>
          <w:tcPr>
            <w:tcW w:w="960" w:type="dxa"/>
            <w:noWrap/>
            <w:vAlign w:val="bottom"/>
            <w:hideMark/>
          </w:tcPr>
          <w:p w14:paraId="135FB128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646.80</w:t>
            </w:r>
          </w:p>
        </w:tc>
        <w:tc>
          <w:tcPr>
            <w:tcW w:w="960" w:type="dxa"/>
            <w:noWrap/>
            <w:vAlign w:val="bottom"/>
            <w:hideMark/>
          </w:tcPr>
          <w:p w14:paraId="591C12F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2516.00</w:t>
            </w:r>
          </w:p>
        </w:tc>
        <w:tc>
          <w:tcPr>
            <w:tcW w:w="960" w:type="dxa"/>
            <w:noWrap/>
            <w:vAlign w:val="bottom"/>
            <w:hideMark/>
          </w:tcPr>
          <w:p w14:paraId="250F5F0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26.21</w:t>
            </w:r>
          </w:p>
        </w:tc>
      </w:tr>
      <w:tr w:rsidR="009C51A3" w:rsidRPr="00E57AE3" w14:paraId="0BB73867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26E41C94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19-29</w:t>
            </w:r>
          </w:p>
        </w:tc>
        <w:tc>
          <w:tcPr>
            <w:tcW w:w="960" w:type="dxa"/>
            <w:noWrap/>
            <w:vAlign w:val="bottom"/>
            <w:hideMark/>
          </w:tcPr>
          <w:p w14:paraId="1829157C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10</w:t>
            </w:r>
          </w:p>
        </w:tc>
        <w:tc>
          <w:tcPr>
            <w:tcW w:w="960" w:type="dxa"/>
            <w:noWrap/>
            <w:vAlign w:val="bottom"/>
            <w:hideMark/>
          </w:tcPr>
          <w:p w14:paraId="7B2A06F7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8.00</w:t>
            </w:r>
          </w:p>
        </w:tc>
        <w:tc>
          <w:tcPr>
            <w:tcW w:w="960" w:type="dxa"/>
            <w:noWrap/>
            <w:vAlign w:val="bottom"/>
            <w:hideMark/>
          </w:tcPr>
          <w:p w14:paraId="165A3888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111.00</w:t>
            </w:r>
          </w:p>
        </w:tc>
        <w:tc>
          <w:tcPr>
            <w:tcW w:w="960" w:type="dxa"/>
            <w:noWrap/>
            <w:vAlign w:val="bottom"/>
            <w:hideMark/>
          </w:tcPr>
          <w:p w14:paraId="1E37643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88.80</w:t>
            </w:r>
          </w:p>
        </w:tc>
        <w:tc>
          <w:tcPr>
            <w:tcW w:w="960" w:type="dxa"/>
            <w:noWrap/>
            <w:vAlign w:val="bottom"/>
            <w:hideMark/>
          </w:tcPr>
          <w:p w14:paraId="4E0B7AC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9.01</w:t>
            </w:r>
          </w:p>
        </w:tc>
        <w:tc>
          <w:tcPr>
            <w:tcW w:w="960" w:type="dxa"/>
            <w:noWrap/>
            <w:vAlign w:val="bottom"/>
            <w:hideMark/>
          </w:tcPr>
          <w:p w14:paraId="2971E90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90.99</w:t>
            </w:r>
          </w:p>
        </w:tc>
        <w:tc>
          <w:tcPr>
            <w:tcW w:w="960" w:type="dxa"/>
            <w:noWrap/>
            <w:vAlign w:val="bottom"/>
            <w:hideMark/>
          </w:tcPr>
          <w:p w14:paraId="1204947F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848.00</w:t>
            </w:r>
          </w:p>
        </w:tc>
        <w:tc>
          <w:tcPr>
            <w:tcW w:w="960" w:type="dxa"/>
            <w:noWrap/>
            <w:vAlign w:val="bottom"/>
            <w:hideMark/>
          </w:tcPr>
          <w:p w14:paraId="54C18A67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1668.00</w:t>
            </w:r>
          </w:p>
        </w:tc>
        <w:tc>
          <w:tcPr>
            <w:tcW w:w="960" w:type="dxa"/>
            <w:noWrap/>
            <w:vAlign w:val="bottom"/>
            <w:hideMark/>
          </w:tcPr>
          <w:p w14:paraId="1FE7691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18.78</w:t>
            </w:r>
          </w:p>
        </w:tc>
      </w:tr>
      <w:tr w:rsidR="009C51A3" w:rsidRPr="00E57AE3" w14:paraId="00097F18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0EFB7EDE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30-39</w:t>
            </w:r>
          </w:p>
        </w:tc>
        <w:tc>
          <w:tcPr>
            <w:tcW w:w="960" w:type="dxa"/>
            <w:noWrap/>
            <w:vAlign w:val="bottom"/>
            <w:hideMark/>
          </w:tcPr>
          <w:p w14:paraId="613ECE02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24</w:t>
            </w:r>
          </w:p>
        </w:tc>
        <w:tc>
          <w:tcPr>
            <w:tcW w:w="960" w:type="dxa"/>
            <w:noWrap/>
            <w:vAlign w:val="bottom"/>
            <w:hideMark/>
          </w:tcPr>
          <w:p w14:paraId="417207E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19.20</w:t>
            </w:r>
          </w:p>
        </w:tc>
        <w:tc>
          <w:tcPr>
            <w:tcW w:w="960" w:type="dxa"/>
            <w:noWrap/>
            <w:vAlign w:val="bottom"/>
            <w:hideMark/>
          </w:tcPr>
          <w:p w14:paraId="4EA524D2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101.00</w:t>
            </w:r>
          </w:p>
        </w:tc>
        <w:tc>
          <w:tcPr>
            <w:tcW w:w="960" w:type="dxa"/>
            <w:noWrap/>
            <w:vAlign w:val="bottom"/>
            <w:hideMark/>
          </w:tcPr>
          <w:p w14:paraId="30825D3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80.80</w:t>
            </w:r>
          </w:p>
        </w:tc>
        <w:tc>
          <w:tcPr>
            <w:tcW w:w="960" w:type="dxa"/>
            <w:noWrap/>
            <w:vAlign w:val="bottom"/>
            <w:hideMark/>
          </w:tcPr>
          <w:p w14:paraId="143EC10E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23.76</w:t>
            </w:r>
          </w:p>
        </w:tc>
        <w:tc>
          <w:tcPr>
            <w:tcW w:w="960" w:type="dxa"/>
            <w:noWrap/>
            <w:vAlign w:val="bottom"/>
            <w:hideMark/>
          </w:tcPr>
          <w:p w14:paraId="4680E0CC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76.24</w:t>
            </w:r>
          </w:p>
        </w:tc>
        <w:tc>
          <w:tcPr>
            <w:tcW w:w="960" w:type="dxa"/>
            <w:noWrap/>
            <w:vAlign w:val="bottom"/>
            <w:hideMark/>
          </w:tcPr>
          <w:p w14:paraId="593CBA1D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712.00</w:t>
            </w:r>
          </w:p>
        </w:tc>
        <w:tc>
          <w:tcPr>
            <w:tcW w:w="960" w:type="dxa"/>
            <w:noWrap/>
            <w:vAlign w:val="bottom"/>
            <w:hideMark/>
          </w:tcPr>
          <w:p w14:paraId="09BCD9BB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956.00</w:t>
            </w:r>
          </w:p>
        </w:tc>
        <w:tc>
          <w:tcPr>
            <w:tcW w:w="960" w:type="dxa"/>
            <w:noWrap/>
            <w:vAlign w:val="bottom"/>
            <w:hideMark/>
          </w:tcPr>
          <w:p w14:paraId="2CF9A3B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11.83</w:t>
            </w:r>
          </w:p>
        </w:tc>
      </w:tr>
      <w:tr w:rsidR="009C51A3" w:rsidRPr="00E57AE3" w14:paraId="3B4E2E29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075D5B44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40-49</w:t>
            </w:r>
          </w:p>
        </w:tc>
        <w:tc>
          <w:tcPr>
            <w:tcW w:w="960" w:type="dxa"/>
            <w:noWrap/>
            <w:vAlign w:val="bottom"/>
            <w:hideMark/>
          </w:tcPr>
          <w:p w14:paraId="2383053D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23</w:t>
            </w:r>
          </w:p>
        </w:tc>
        <w:tc>
          <w:tcPr>
            <w:tcW w:w="960" w:type="dxa"/>
            <w:noWrap/>
            <w:vAlign w:val="bottom"/>
            <w:hideMark/>
          </w:tcPr>
          <w:p w14:paraId="746CCBDE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18.40</w:t>
            </w:r>
          </w:p>
        </w:tc>
        <w:tc>
          <w:tcPr>
            <w:tcW w:w="960" w:type="dxa"/>
            <w:noWrap/>
            <w:vAlign w:val="bottom"/>
            <w:hideMark/>
          </w:tcPr>
          <w:p w14:paraId="0CD6020E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77.00</w:t>
            </w:r>
          </w:p>
        </w:tc>
        <w:tc>
          <w:tcPr>
            <w:tcW w:w="960" w:type="dxa"/>
            <w:noWrap/>
            <w:vAlign w:val="bottom"/>
            <w:hideMark/>
          </w:tcPr>
          <w:p w14:paraId="0919970D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61.60</w:t>
            </w:r>
          </w:p>
        </w:tc>
        <w:tc>
          <w:tcPr>
            <w:tcW w:w="960" w:type="dxa"/>
            <w:noWrap/>
            <w:vAlign w:val="bottom"/>
            <w:hideMark/>
          </w:tcPr>
          <w:p w14:paraId="35C47789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29.87</w:t>
            </w:r>
          </w:p>
        </w:tc>
        <w:tc>
          <w:tcPr>
            <w:tcW w:w="960" w:type="dxa"/>
            <w:noWrap/>
            <w:vAlign w:val="bottom"/>
            <w:hideMark/>
          </w:tcPr>
          <w:p w14:paraId="4D2A83E2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70.13</w:t>
            </w:r>
          </w:p>
        </w:tc>
        <w:tc>
          <w:tcPr>
            <w:tcW w:w="960" w:type="dxa"/>
            <w:noWrap/>
            <w:vAlign w:val="bottom"/>
            <w:hideMark/>
          </w:tcPr>
          <w:p w14:paraId="73124905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524.00</w:t>
            </w:r>
          </w:p>
        </w:tc>
        <w:tc>
          <w:tcPr>
            <w:tcW w:w="960" w:type="dxa"/>
            <w:noWrap/>
            <w:vAlign w:val="bottom"/>
            <w:hideMark/>
          </w:tcPr>
          <w:p w14:paraId="1F882F71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432.00</w:t>
            </w:r>
          </w:p>
        </w:tc>
        <w:tc>
          <w:tcPr>
            <w:tcW w:w="960" w:type="dxa"/>
            <w:noWrap/>
            <w:vAlign w:val="bottom"/>
            <w:hideMark/>
          </w:tcPr>
          <w:p w14:paraId="4690C7CF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7.01</w:t>
            </w:r>
          </w:p>
        </w:tc>
      </w:tr>
      <w:tr w:rsidR="009C51A3" w:rsidRPr="00E57AE3" w14:paraId="26D33D3F" w14:textId="77777777" w:rsidTr="009C51A3">
        <w:trPr>
          <w:trHeight w:val="300"/>
        </w:trPr>
        <w:tc>
          <w:tcPr>
            <w:tcW w:w="960" w:type="dxa"/>
            <w:noWrap/>
            <w:vAlign w:val="bottom"/>
            <w:hideMark/>
          </w:tcPr>
          <w:p w14:paraId="414DAC31" w14:textId="77777777" w:rsidR="009C51A3" w:rsidRPr="00E57AE3" w:rsidRDefault="009C51A3" w:rsidP="009C51A3">
            <w:pPr>
              <w:spacing w:after="0" w:line="240" w:lineRule="auto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&gt;50</w:t>
            </w:r>
          </w:p>
        </w:tc>
        <w:tc>
          <w:tcPr>
            <w:tcW w:w="960" w:type="dxa"/>
            <w:noWrap/>
            <w:vAlign w:val="bottom"/>
            <w:hideMark/>
          </w:tcPr>
          <w:p w14:paraId="5BD3B0B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54</w:t>
            </w:r>
          </w:p>
        </w:tc>
        <w:tc>
          <w:tcPr>
            <w:tcW w:w="960" w:type="dxa"/>
            <w:noWrap/>
            <w:vAlign w:val="bottom"/>
            <w:hideMark/>
          </w:tcPr>
          <w:p w14:paraId="632F18F2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43.20</w:t>
            </w:r>
          </w:p>
        </w:tc>
        <w:tc>
          <w:tcPr>
            <w:tcW w:w="960" w:type="dxa"/>
            <w:noWrap/>
            <w:vAlign w:val="bottom"/>
            <w:hideMark/>
          </w:tcPr>
          <w:p w14:paraId="20DCEC29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54.00</w:t>
            </w:r>
          </w:p>
        </w:tc>
        <w:tc>
          <w:tcPr>
            <w:tcW w:w="960" w:type="dxa"/>
            <w:noWrap/>
            <w:vAlign w:val="bottom"/>
            <w:hideMark/>
          </w:tcPr>
          <w:p w14:paraId="565C981E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43.20</w:t>
            </w:r>
          </w:p>
        </w:tc>
        <w:tc>
          <w:tcPr>
            <w:tcW w:w="960" w:type="dxa"/>
            <w:noWrap/>
            <w:vAlign w:val="bottom"/>
            <w:hideMark/>
          </w:tcPr>
          <w:p w14:paraId="39448BB8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100</w:t>
            </w:r>
          </w:p>
        </w:tc>
        <w:tc>
          <w:tcPr>
            <w:tcW w:w="960" w:type="dxa"/>
            <w:noWrap/>
            <w:vAlign w:val="bottom"/>
            <w:hideMark/>
          </w:tcPr>
          <w:p w14:paraId="15B0DD00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0</w:t>
            </w:r>
          </w:p>
        </w:tc>
        <w:tc>
          <w:tcPr>
            <w:tcW w:w="960" w:type="dxa"/>
            <w:noWrap/>
            <w:vAlign w:val="bottom"/>
            <w:hideMark/>
          </w:tcPr>
          <w:p w14:paraId="3D1B0398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216.00</w:t>
            </w:r>
          </w:p>
        </w:tc>
        <w:tc>
          <w:tcPr>
            <w:tcW w:w="960" w:type="dxa"/>
            <w:noWrap/>
            <w:vAlign w:val="bottom"/>
            <w:hideMark/>
          </w:tcPr>
          <w:p w14:paraId="5065B9B5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216.00</w:t>
            </w:r>
          </w:p>
        </w:tc>
        <w:tc>
          <w:tcPr>
            <w:tcW w:w="960" w:type="dxa"/>
            <w:noWrap/>
            <w:vAlign w:val="bottom"/>
            <w:hideMark/>
          </w:tcPr>
          <w:p w14:paraId="69922646" w14:textId="77777777" w:rsidR="009C51A3" w:rsidRPr="00E57AE3" w:rsidRDefault="009C51A3" w:rsidP="00811BB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color w:val="000000"/>
                <w:lang w:val="it-IT"/>
              </w:rPr>
            </w:pPr>
            <w:r w:rsidRPr="00E57AE3">
              <w:rPr>
                <w:rFonts w:asciiTheme="majorBidi" w:eastAsia="Times New Roman" w:hAnsiTheme="majorBidi" w:cstheme="majorBidi"/>
                <w:color w:val="000000"/>
                <w:lang w:val="it-IT"/>
              </w:rPr>
              <w:t>5.00</w:t>
            </w:r>
          </w:p>
        </w:tc>
      </w:tr>
    </w:tbl>
    <w:p w14:paraId="79196CC4" w14:textId="77777777" w:rsidR="009C51A3" w:rsidRPr="00E57AE3" w:rsidRDefault="009C51A3">
      <w:pPr>
        <w:rPr>
          <w:rFonts w:asciiTheme="majorBidi" w:hAnsiTheme="majorBidi" w:cstheme="majorBidi"/>
        </w:rPr>
      </w:pPr>
    </w:p>
    <w:p w14:paraId="297CA0AA" w14:textId="77777777" w:rsidR="000C58C2" w:rsidRPr="00E57AE3" w:rsidRDefault="000C58C2">
      <w:pPr>
        <w:rPr>
          <w:rFonts w:asciiTheme="majorBidi" w:hAnsiTheme="majorBidi" w:cstheme="majorBidi"/>
        </w:rPr>
      </w:pPr>
    </w:p>
    <w:p w14:paraId="57799D30" w14:textId="736BCFAC" w:rsidR="00E9366A" w:rsidRPr="00E57AE3" w:rsidRDefault="008A55A4" w:rsidP="00E9366A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</w:rPr>
        <w:t>Figure 1 SM</w:t>
      </w:r>
      <w:r w:rsidR="00044BF0">
        <w:rPr>
          <w:rFonts w:asciiTheme="majorBidi" w:hAnsiTheme="majorBidi" w:cstheme="majorBidi"/>
          <w:b/>
        </w:rPr>
        <w:t>1</w:t>
      </w:r>
      <w:r w:rsidR="00E9366A" w:rsidRPr="00E57AE3">
        <w:rPr>
          <w:rFonts w:asciiTheme="majorBidi" w:hAnsiTheme="majorBidi" w:cstheme="majorBidi"/>
        </w:rPr>
        <w:t xml:space="preserve"> </w:t>
      </w:r>
      <w:r w:rsidR="00E56C14">
        <w:rPr>
          <w:rFonts w:asciiTheme="majorBidi" w:hAnsiTheme="majorBidi" w:cstheme="majorBidi"/>
        </w:rPr>
        <w:t>Biomarker</w:t>
      </w:r>
      <w:r w:rsidR="00385FCC">
        <w:rPr>
          <w:rFonts w:asciiTheme="majorBidi" w:hAnsiTheme="majorBidi" w:cstheme="majorBidi"/>
        </w:rPr>
        <w:t>s</w:t>
      </w:r>
      <w:r w:rsidR="00E56C14">
        <w:rPr>
          <w:rFonts w:asciiTheme="majorBidi" w:hAnsiTheme="majorBidi" w:cstheme="majorBidi"/>
        </w:rPr>
        <w:t xml:space="preserve"> f</w:t>
      </w:r>
      <w:r w:rsidR="000E4EC6">
        <w:rPr>
          <w:rFonts w:asciiTheme="majorBidi" w:hAnsiTheme="majorBidi" w:cstheme="majorBidi"/>
        </w:rPr>
        <w:t xml:space="preserve">requencies </w:t>
      </w:r>
      <w:r w:rsidR="00E56C14">
        <w:rPr>
          <w:rFonts w:asciiTheme="majorBidi" w:hAnsiTheme="majorBidi" w:cstheme="majorBidi"/>
        </w:rPr>
        <w:t>in</w:t>
      </w:r>
      <w:r w:rsidR="00E9366A" w:rsidRPr="00E57AE3">
        <w:rPr>
          <w:rFonts w:asciiTheme="majorBidi" w:hAnsiTheme="majorBidi" w:cstheme="majorBidi"/>
        </w:rPr>
        <w:t xml:space="preserve"> individuals </w:t>
      </w:r>
      <w:r w:rsidR="00E56C14">
        <w:rPr>
          <w:rFonts w:asciiTheme="majorBidi" w:hAnsiTheme="majorBidi" w:cstheme="majorBidi"/>
        </w:rPr>
        <w:t>from</w:t>
      </w:r>
      <w:r w:rsidR="00E56C14" w:rsidRPr="00E57AE3">
        <w:rPr>
          <w:rFonts w:asciiTheme="majorBidi" w:hAnsiTheme="majorBidi" w:cstheme="majorBidi"/>
        </w:rPr>
        <w:t xml:space="preserve"> S</w:t>
      </w:r>
      <w:r w:rsidR="00E56C14">
        <w:rPr>
          <w:rFonts w:asciiTheme="majorBidi" w:hAnsiTheme="majorBidi" w:cstheme="majorBidi"/>
        </w:rPr>
        <w:t>t.</w:t>
      </w:r>
      <w:r w:rsidR="00E56C14" w:rsidRPr="00E57AE3">
        <w:rPr>
          <w:rFonts w:asciiTheme="majorBidi" w:hAnsiTheme="majorBidi" w:cstheme="majorBidi"/>
        </w:rPr>
        <w:t xml:space="preserve"> </w:t>
      </w:r>
      <w:r w:rsidR="00E9366A" w:rsidRPr="00E57AE3">
        <w:rPr>
          <w:rFonts w:asciiTheme="majorBidi" w:hAnsiTheme="majorBidi" w:cstheme="majorBidi"/>
        </w:rPr>
        <w:t>Biagio (Ravenna, Italy). Relative frequencies (in percentage</w:t>
      </w:r>
      <w:r w:rsidR="00E56C14">
        <w:rPr>
          <w:rFonts w:asciiTheme="majorBidi" w:hAnsiTheme="majorBidi" w:cstheme="majorBidi"/>
        </w:rPr>
        <w:t>s</w:t>
      </w:r>
      <w:r w:rsidR="00E9366A" w:rsidRPr="00E57AE3">
        <w:rPr>
          <w:rFonts w:asciiTheme="majorBidi" w:hAnsiTheme="majorBidi" w:cstheme="majorBidi"/>
        </w:rPr>
        <w:t>) were calculated on the total number of individuals on which the biomarker</w:t>
      </w:r>
      <w:r w:rsidR="00385FCC">
        <w:rPr>
          <w:rFonts w:asciiTheme="majorBidi" w:hAnsiTheme="majorBidi" w:cstheme="majorBidi"/>
        </w:rPr>
        <w:t>s</w:t>
      </w:r>
      <w:r w:rsidR="00E9366A" w:rsidRPr="00E57AE3">
        <w:rPr>
          <w:rFonts w:asciiTheme="majorBidi" w:hAnsiTheme="majorBidi" w:cstheme="majorBidi"/>
        </w:rPr>
        <w:t xml:space="preserve"> </w:t>
      </w:r>
      <w:r w:rsidR="00385FCC">
        <w:rPr>
          <w:rFonts w:asciiTheme="majorBidi" w:hAnsiTheme="majorBidi" w:cstheme="majorBidi"/>
        </w:rPr>
        <w:t>were</w:t>
      </w:r>
      <w:r w:rsidR="00385FCC" w:rsidRPr="00E57AE3">
        <w:rPr>
          <w:rFonts w:asciiTheme="majorBidi" w:hAnsiTheme="majorBidi" w:cstheme="majorBidi"/>
        </w:rPr>
        <w:t xml:space="preserve"> </w:t>
      </w:r>
      <w:r w:rsidR="00E56C14">
        <w:rPr>
          <w:rFonts w:asciiTheme="majorBidi" w:hAnsiTheme="majorBidi" w:cstheme="majorBidi"/>
        </w:rPr>
        <w:t>detected</w:t>
      </w:r>
      <w:r w:rsidR="00E56C14" w:rsidRPr="00E57AE3">
        <w:rPr>
          <w:rFonts w:asciiTheme="majorBidi" w:hAnsiTheme="majorBidi" w:cstheme="majorBidi"/>
        </w:rPr>
        <w:t xml:space="preserve"> </w:t>
      </w:r>
      <w:r w:rsidR="00E9366A" w:rsidRPr="00E57AE3">
        <w:rPr>
          <w:rFonts w:asciiTheme="majorBidi" w:hAnsiTheme="majorBidi" w:cstheme="majorBidi"/>
        </w:rPr>
        <w:t>(106 individuals).</w:t>
      </w:r>
    </w:p>
    <w:p w14:paraId="2F4DD0A0" w14:textId="47F82CBA" w:rsidR="00E9366A" w:rsidRPr="00E57AE3" w:rsidRDefault="00E57AE3" w:rsidP="00E9366A">
      <w:pPr>
        <w:rPr>
          <w:rFonts w:asciiTheme="majorBidi" w:hAnsiTheme="majorBidi" w:cstheme="majorBidi"/>
        </w:rPr>
      </w:pPr>
      <w:r>
        <w:rPr>
          <w:noProof/>
        </w:rPr>
        <w:drawing>
          <wp:inline distT="0" distB="0" distL="0" distR="0" wp14:anchorId="472EA845" wp14:editId="0EE559C8">
            <wp:extent cx="6120130" cy="4370070"/>
            <wp:effectExtent l="0" t="0" r="0" b="0"/>
            <wp:docPr id="1" name="Immagine 1" descr="Immagine che contiene grafi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grafic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37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7CA0AB" w14:textId="77777777" w:rsidR="000C58C2" w:rsidRPr="00E57AE3" w:rsidRDefault="000C58C2">
      <w:pPr>
        <w:rPr>
          <w:rFonts w:asciiTheme="majorBidi" w:hAnsiTheme="majorBidi" w:cstheme="majorBidi"/>
        </w:rPr>
      </w:pPr>
    </w:p>
    <w:p w14:paraId="297CA0AC" w14:textId="563F5E5C" w:rsidR="000C58C2" w:rsidRDefault="00094159" w:rsidP="00094159">
      <w:pPr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lastRenderedPageBreak/>
        <w:t>Figure 2 SM1. Bar graph representing the distribution of pathologies found in the total sample</w:t>
      </w:r>
      <w:r w:rsidR="00385FCC">
        <w:rPr>
          <w:rFonts w:asciiTheme="majorBidi" w:hAnsiTheme="majorBidi" w:cstheme="majorBidi"/>
          <w:b/>
        </w:rPr>
        <w:t>.</w:t>
      </w:r>
      <w:r>
        <w:rPr>
          <w:rFonts w:asciiTheme="majorBidi" w:hAnsiTheme="majorBidi" w:cstheme="majorBidi"/>
          <w:b/>
        </w:rPr>
        <w:t xml:space="preserve"> </w:t>
      </w:r>
    </w:p>
    <w:p w14:paraId="414143EB" w14:textId="5A8286FA" w:rsidR="00094159" w:rsidRDefault="00094159" w:rsidP="00094159">
      <w:pPr>
        <w:rPr>
          <w:rFonts w:asciiTheme="majorBidi" w:hAnsiTheme="majorBidi" w:cstheme="majorBidi"/>
          <w:b/>
        </w:rPr>
      </w:pPr>
      <w:r>
        <w:rPr>
          <w:noProof/>
        </w:rPr>
        <w:drawing>
          <wp:inline distT="0" distB="0" distL="0" distR="0" wp14:anchorId="5C810FBE" wp14:editId="5E45CD94">
            <wp:extent cx="6064250" cy="3263900"/>
            <wp:effectExtent l="0" t="0" r="12700" b="12700"/>
            <wp:docPr id="693327282" name="Gra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0C161403" w14:textId="59B81FCA" w:rsidR="00094159" w:rsidRDefault="00094159" w:rsidP="00094159">
      <w:pPr>
        <w:rPr>
          <w:rFonts w:asciiTheme="majorBidi" w:hAnsiTheme="majorBidi" w:cstheme="majorBidi"/>
          <w:b/>
        </w:rPr>
      </w:pPr>
    </w:p>
    <w:p w14:paraId="5FF2B973" w14:textId="77777777" w:rsidR="00385FCC" w:rsidRPr="003234C9" w:rsidRDefault="00385FCC" w:rsidP="00385FCC">
      <w:pPr>
        <w:spacing w:line="360" w:lineRule="auto"/>
        <w:rPr>
          <w:rFonts w:ascii="Times New Roman" w:hAnsi="Times New Roman" w:cs="Times New Roman"/>
          <w:lang w:val="en-US"/>
        </w:rPr>
      </w:pPr>
      <w:r w:rsidRPr="003234C9">
        <w:rPr>
          <w:rFonts w:ascii="Times New Roman" w:hAnsi="Times New Roman" w:cs="Times New Roman"/>
          <w:b/>
          <w:bCs/>
          <w:lang w:val="en-US"/>
        </w:rPr>
        <w:t>Figure 3 SM – Craniosynostosis cases at St. Biagio.</w:t>
      </w:r>
      <w:r>
        <w:rPr>
          <w:rFonts w:ascii="Times New Roman" w:hAnsi="Times New Roman" w:cs="Times New Roman"/>
          <w:lang w:val="en-US"/>
        </w:rPr>
        <w:t xml:space="preserve"> A= Sk98a; B=Sk131.</w:t>
      </w:r>
    </w:p>
    <w:p w14:paraId="55D9BA27" w14:textId="38EC79A0" w:rsidR="00094159" w:rsidRPr="00094159" w:rsidRDefault="00385FCC" w:rsidP="00094159">
      <w:pPr>
        <w:rPr>
          <w:lang w:val="it-IT"/>
        </w:rPr>
      </w:pPr>
      <w:r>
        <w:rPr>
          <w:noProof/>
          <w:lang w:val="it-IT"/>
        </w:rPr>
        <w:drawing>
          <wp:inline distT="0" distB="0" distL="0" distR="0" wp14:anchorId="6302C956" wp14:editId="001BDB6D">
            <wp:extent cx="6157377" cy="2697932"/>
            <wp:effectExtent l="0" t="0" r="2540" b="0"/>
            <wp:docPr id="194152066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1520661" name="Immagine 194152066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5112" cy="2718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94159" w:rsidRPr="00094159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-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E0MTI1tzA0MjAyMDFU0lEKTi0uzszPAykwqwUAgVVrAywAAAA="/>
  </w:docVars>
  <w:rsids>
    <w:rsidRoot w:val="000C58C2"/>
    <w:rsid w:val="00023781"/>
    <w:rsid w:val="00044BF0"/>
    <w:rsid w:val="00094159"/>
    <w:rsid w:val="000C58C2"/>
    <w:rsid w:val="000D5BC8"/>
    <w:rsid w:val="000E4EC6"/>
    <w:rsid w:val="002D16D4"/>
    <w:rsid w:val="00385FCC"/>
    <w:rsid w:val="005B1156"/>
    <w:rsid w:val="005D1EE7"/>
    <w:rsid w:val="00707C27"/>
    <w:rsid w:val="00811BB6"/>
    <w:rsid w:val="008A55A4"/>
    <w:rsid w:val="009C51A3"/>
    <w:rsid w:val="00C63514"/>
    <w:rsid w:val="00E56C14"/>
    <w:rsid w:val="00E57AE3"/>
    <w:rsid w:val="00E93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C9FD6"/>
  <w15:docId w15:val="{2A1BFD48-055A-4122-B8C3-1ADA3D846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Grigliatabella">
    <w:name w:val="Table Grid"/>
    <w:basedOn w:val="Tabellanormale"/>
    <w:uiPriority w:val="39"/>
    <w:rsid w:val="008040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F7228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7228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7228D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7228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7228D"/>
    <w:rPr>
      <w:b/>
      <w:bCs/>
      <w:sz w:val="20"/>
      <w:szCs w:val="20"/>
      <w:lang w:val="en-GB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Revisione">
    <w:name w:val="Revision"/>
    <w:hidden/>
    <w:uiPriority w:val="99"/>
    <w:semiHidden/>
    <w:rsid w:val="00E56C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974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ti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Cartel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3.9725934781712498E-2"/>
          <c:y val="3.8910505836575876E-2"/>
          <c:w val="0.92676621181514618"/>
          <c:h val="0.7779245687674254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Foglio1!$A$2</c:f>
              <c:strCache>
                <c:ptCount val="1"/>
                <c:pt idx="0">
                  <c:v>Infections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Foglio1!$B$1</c:f>
              <c:strCache>
                <c:ptCount val="1"/>
                <c:pt idx="0">
                  <c:v>Percentages</c:v>
                </c:pt>
              </c:strCache>
            </c:strRef>
          </c:cat>
          <c:val>
            <c:numRef>
              <c:f>Foglio1!$B$2</c:f>
              <c:numCache>
                <c:formatCode>General</c:formatCode>
                <c:ptCount val="1"/>
                <c:pt idx="0">
                  <c:v>23.3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42D-43E8-9DF6-83A2B251C809}"/>
            </c:ext>
          </c:extLst>
        </c:ser>
        <c:ser>
          <c:idx val="1"/>
          <c:order val="1"/>
          <c:tx>
            <c:strRef>
              <c:f>Foglio1!$A$3</c:f>
              <c:strCache>
                <c:ptCount val="1"/>
                <c:pt idx="0">
                  <c:v>Neoplasms</c:v>
                </c:pt>
              </c:strCache>
            </c:strRef>
          </c:tx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  <a:sp3d/>
          </c:spPr>
          <c:invertIfNegative val="0"/>
          <c:dPt>
            <c:idx val="0"/>
            <c:invertIfNegative val="1"/>
            <c:bubble3D val="0"/>
            <c:extLst>
              <c:ext xmlns:c16="http://schemas.microsoft.com/office/drawing/2014/chart" uri="{C3380CC4-5D6E-409C-BE32-E72D297353CC}">
                <c16:uniqueId val="{00000001-642D-43E8-9DF6-83A2B251C809}"/>
              </c:ext>
            </c:extLst>
          </c:dPt>
          <c:cat>
            <c:strRef>
              <c:f>Foglio1!$B$1</c:f>
              <c:strCache>
                <c:ptCount val="1"/>
                <c:pt idx="0">
                  <c:v>Percentages</c:v>
                </c:pt>
              </c:strCache>
            </c:strRef>
          </c:cat>
          <c:val>
            <c:numRef>
              <c:f>Foglio1!$B$3</c:f>
              <c:numCache>
                <c:formatCode>General</c:formatCode>
                <c:ptCount val="1"/>
                <c:pt idx="0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42D-43E8-9DF6-83A2B251C809}"/>
            </c:ext>
          </c:extLst>
        </c:ser>
        <c:ser>
          <c:idx val="2"/>
          <c:order val="2"/>
          <c:tx>
            <c:strRef>
              <c:f>Foglio1!$A$4</c:f>
              <c:strCache>
                <c:ptCount val="1"/>
                <c:pt idx="0">
                  <c:v>Metabolic disorders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cat>
            <c:strRef>
              <c:f>Foglio1!$B$1</c:f>
              <c:strCache>
                <c:ptCount val="1"/>
                <c:pt idx="0">
                  <c:v>Percentages</c:v>
                </c:pt>
              </c:strCache>
            </c:strRef>
          </c:cat>
          <c:val>
            <c:numRef>
              <c:f>Foglio1!$B$4</c:f>
              <c:numCache>
                <c:formatCode>General</c:formatCode>
                <c:ptCount val="1"/>
                <c:pt idx="0">
                  <c:v>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42D-43E8-9DF6-83A2B251C809}"/>
            </c:ext>
          </c:extLst>
        </c:ser>
        <c:ser>
          <c:idx val="3"/>
          <c:order val="3"/>
          <c:tx>
            <c:strRef>
              <c:f>Foglio1!$A$5</c:f>
              <c:strCache>
                <c:ptCount val="1"/>
                <c:pt idx="0">
                  <c:v>Joint diseases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>
              <a:noFill/>
            </a:ln>
            <a:effectLst/>
            <a:sp3d/>
          </c:spPr>
          <c:invertIfNegative val="0"/>
          <c:cat>
            <c:strRef>
              <c:f>Foglio1!$B$1</c:f>
              <c:strCache>
                <c:ptCount val="1"/>
                <c:pt idx="0">
                  <c:v>Percentages</c:v>
                </c:pt>
              </c:strCache>
            </c:strRef>
          </c:cat>
          <c:val>
            <c:numRef>
              <c:f>Foglio1!$B$5</c:f>
              <c:numCache>
                <c:formatCode>General</c:formatCode>
                <c:ptCount val="1"/>
                <c:pt idx="0">
                  <c:v>63.9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42D-43E8-9DF6-83A2B251C809}"/>
            </c:ext>
          </c:extLst>
        </c:ser>
        <c:ser>
          <c:idx val="4"/>
          <c:order val="4"/>
          <c:tx>
            <c:strRef>
              <c:f>Foglio1!$A$6</c:f>
              <c:strCache>
                <c:ptCount val="1"/>
                <c:pt idx="0">
                  <c:v>Ante-mortem trauma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  <a:sp3d/>
          </c:spPr>
          <c:invertIfNegative val="0"/>
          <c:cat>
            <c:strRef>
              <c:f>Foglio1!$B$1</c:f>
              <c:strCache>
                <c:ptCount val="1"/>
                <c:pt idx="0">
                  <c:v>Percentages</c:v>
                </c:pt>
              </c:strCache>
            </c:strRef>
          </c:cat>
          <c:val>
            <c:numRef>
              <c:f>Foglio1!$B$6</c:f>
              <c:numCache>
                <c:formatCode>General</c:formatCode>
                <c:ptCount val="1"/>
                <c:pt idx="0">
                  <c:v>24.8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642D-43E8-9DF6-83A2B251C809}"/>
            </c:ext>
          </c:extLst>
        </c:ser>
        <c:ser>
          <c:idx val="5"/>
          <c:order val="5"/>
          <c:tx>
            <c:strRef>
              <c:f>Foglio1!$A$7</c:f>
              <c:strCache>
                <c:ptCount val="1"/>
                <c:pt idx="0">
                  <c:v>Congenital diseases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  <a:sp3d/>
          </c:spPr>
          <c:invertIfNegative val="0"/>
          <c:cat>
            <c:strRef>
              <c:f>Foglio1!$B$1</c:f>
              <c:strCache>
                <c:ptCount val="1"/>
                <c:pt idx="0">
                  <c:v>Percentages</c:v>
                </c:pt>
              </c:strCache>
            </c:strRef>
          </c:cat>
          <c:val>
            <c:numRef>
              <c:f>Foglio1!$B$7</c:f>
              <c:numCache>
                <c:formatCode>General</c:formatCode>
                <c:ptCount val="1"/>
                <c:pt idx="0">
                  <c:v>3.8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642D-43E8-9DF6-83A2B251C80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37719727"/>
        <c:axId val="1037720559"/>
        <c:axId val="0"/>
      </c:bar3DChart>
      <c:catAx>
        <c:axId val="1037719727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037720559"/>
        <c:crosses val="autoZero"/>
        <c:auto val="1"/>
        <c:lblAlgn val="ctr"/>
        <c:lblOffset val="100"/>
        <c:noMultiLvlLbl val="0"/>
      </c:catAx>
      <c:valAx>
        <c:axId val="103772055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b="1" i="0" baseline="0"/>
                  <a:t>Percentages</a:t>
                </a:r>
              </a:p>
            </c:rich>
          </c:tx>
          <c:layout>
            <c:manualLayout>
              <c:xMode val="edge"/>
              <c:yMode val="edge"/>
              <c:x val="2.4933009028321724E-4"/>
              <c:y val="0.3533475290296884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103771972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UfJo2g+OhkRAurnkF6xPHSGAgPQ==">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Federica De Luca</dc:creator>
  <cp:lastModifiedBy>Maria Cecilia Pecci</cp:lastModifiedBy>
  <cp:revision>2</cp:revision>
  <dcterms:created xsi:type="dcterms:W3CDTF">2026-03-13T09:21:00Z</dcterms:created>
  <dcterms:modified xsi:type="dcterms:W3CDTF">2026-03-13T09:21:00Z</dcterms:modified>
</cp:coreProperties>
</file>