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0B0" w:rsidRPr="00A55BF0" w:rsidRDefault="00B860B0" w:rsidP="00B860B0">
      <w:pPr>
        <w:pStyle w:val="Kop1"/>
        <w:rPr>
          <w:rFonts w:ascii="Segoe UI" w:hAnsi="Segoe UI" w:cs="Segoe UI"/>
          <w:color w:val="auto"/>
          <w:sz w:val="22"/>
          <w:szCs w:val="22"/>
          <w:lang w:val="en-US"/>
        </w:rPr>
      </w:pPr>
      <w:r w:rsidRPr="00A55BF0">
        <w:rPr>
          <w:rFonts w:ascii="Segoe UI" w:hAnsi="Segoe UI" w:cs="Segoe UI"/>
          <w:color w:val="auto"/>
          <w:sz w:val="22"/>
          <w:szCs w:val="22"/>
          <w:lang w:val="en-US"/>
        </w:rPr>
        <w:t>Supplemental Data</w:t>
      </w:r>
    </w:p>
    <w:tbl>
      <w:tblPr>
        <w:tblW w:w="82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251"/>
        <w:gridCol w:w="1038"/>
        <w:gridCol w:w="1232"/>
        <w:gridCol w:w="992"/>
        <w:gridCol w:w="709"/>
        <w:gridCol w:w="20"/>
      </w:tblGrid>
      <w:tr w:rsidR="00B860B0" w:rsidRPr="00B860B0" w:rsidTr="00604FC9">
        <w:trPr>
          <w:trHeight w:val="622"/>
        </w:trPr>
        <w:tc>
          <w:tcPr>
            <w:tcW w:w="8222" w:type="dxa"/>
            <w:gridSpan w:val="5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b/>
                <w:lang w:val="en-US"/>
              </w:rPr>
            </w:pPr>
            <w:r w:rsidRPr="00A55BF0">
              <w:rPr>
                <w:b/>
                <w:lang w:val="en-US"/>
              </w:rPr>
              <w:t xml:space="preserve">Table S1: </w:t>
            </w:r>
          </w:p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lang w:val="en-US"/>
              </w:rPr>
              <w:t>Regression coefficients from logistic regression: probability of a clinical relevant increase in THL (≥30% ) after switching from SHL to EHL in children</w:t>
            </w:r>
          </w:p>
        </w:tc>
        <w:tc>
          <w:tcPr>
            <w:tcW w:w="20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</w:tcPr>
          <w:p w:rsidR="00B860B0" w:rsidRPr="00A55BF0" w:rsidRDefault="00B860B0" w:rsidP="00604FC9">
            <w:pPr>
              <w:pStyle w:val="Geenafstand"/>
              <w:rPr>
                <w:b/>
                <w:lang w:val="en-US"/>
              </w:rPr>
            </w:pPr>
          </w:p>
        </w:tc>
      </w:tr>
      <w:tr w:rsidR="00B860B0" w:rsidRPr="00A55BF0" w:rsidTr="00604FC9">
        <w:trPr>
          <w:gridAfter w:val="1"/>
          <w:wAfter w:w="20" w:type="dxa"/>
          <w:trHeight w:val="299"/>
        </w:trPr>
        <w:tc>
          <w:tcPr>
            <w:tcW w:w="4251" w:type="dxa"/>
            <w:vMerge w:val="restart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lang w:val="en-US"/>
              </w:rPr>
              <w:t>Children (n=259)</w:t>
            </w:r>
          </w:p>
        </w:tc>
        <w:tc>
          <w:tcPr>
            <w:tcW w:w="103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Odds Ratio</w:t>
            </w:r>
          </w:p>
        </w:tc>
        <w:tc>
          <w:tcPr>
            <w:tcW w:w="2224" w:type="dxa"/>
            <w:gridSpan w:val="2"/>
            <w:tcBorders>
              <w:top w:val="single" w:sz="12" w:space="0" w:color="000000"/>
              <w:left w:val="single" w:sz="2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95% CI for OR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2" w:space="0" w:color="000000"/>
              <w:right w:val="nil"/>
            </w:tcBorders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P</w:t>
            </w:r>
          </w:p>
        </w:tc>
      </w:tr>
      <w:tr w:rsidR="00B860B0" w:rsidRPr="00A55BF0" w:rsidTr="00604FC9">
        <w:trPr>
          <w:gridAfter w:val="1"/>
          <w:wAfter w:w="20" w:type="dxa"/>
          <w:trHeight w:val="299"/>
        </w:trPr>
        <w:tc>
          <w:tcPr>
            <w:tcW w:w="4251" w:type="dxa"/>
            <w:vMerge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</w:p>
        </w:tc>
        <w:tc>
          <w:tcPr>
            <w:tcW w:w="1038" w:type="dxa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</w:p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Lower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Upper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" w:space="0" w:color="000000"/>
              <w:right w:val="nil"/>
            </w:tcBorders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</w:p>
        </w:tc>
      </w:tr>
      <w:tr w:rsidR="00B860B0" w:rsidRPr="00A55BF0" w:rsidTr="00604FC9">
        <w:trPr>
          <w:gridAfter w:val="1"/>
          <w:wAfter w:w="20" w:type="dxa"/>
          <w:trHeight w:val="435"/>
        </w:trPr>
        <w:tc>
          <w:tcPr>
            <w:tcW w:w="4251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 xml:space="preserve">Short THL on SHL FVIII (&lt;8 </w:t>
            </w:r>
            <w:proofErr w:type="spellStart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hrs</w:t>
            </w:r>
            <w:proofErr w:type="spellEnd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)</w:t>
            </w:r>
          </w:p>
        </w:tc>
        <w:tc>
          <w:tcPr>
            <w:tcW w:w="1038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Reference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&lt;0.01</w:t>
            </w:r>
          </w:p>
        </w:tc>
      </w:tr>
      <w:tr w:rsidR="00B860B0" w:rsidRPr="00A55BF0" w:rsidTr="00604FC9">
        <w:trPr>
          <w:gridAfter w:val="1"/>
          <w:wAfter w:w="20" w:type="dxa"/>
          <w:trHeight w:val="435"/>
        </w:trPr>
        <w:tc>
          <w:tcPr>
            <w:tcW w:w="4251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 xml:space="preserve">Medium THL on SHL FVIII (8-10 </w:t>
            </w:r>
            <w:proofErr w:type="spellStart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hrs</w:t>
            </w:r>
            <w:proofErr w:type="spellEnd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)</w:t>
            </w:r>
          </w:p>
        </w:tc>
        <w:tc>
          <w:tcPr>
            <w:tcW w:w="1038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0.17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1.66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0.13</w:t>
            </w:r>
          </w:p>
        </w:tc>
      </w:tr>
      <w:tr w:rsidR="00B860B0" w:rsidRPr="00A55BF0" w:rsidTr="00604FC9">
        <w:trPr>
          <w:gridAfter w:val="1"/>
          <w:wAfter w:w="20" w:type="dxa"/>
          <w:trHeight w:val="435"/>
        </w:trPr>
        <w:tc>
          <w:tcPr>
            <w:tcW w:w="4251" w:type="dxa"/>
            <w:tcBorders>
              <w:top w:val="nil"/>
              <w:left w:val="nil"/>
              <w:right w:val="single" w:sz="2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 xml:space="preserve">Long THL on SHL FVIII (&gt;10 </w:t>
            </w:r>
            <w:proofErr w:type="spellStart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hrs</w:t>
            </w:r>
            <w:proofErr w:type="spellEnd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)</w:t>
            </w:r>
          </w:p>
        </w:tc>
        <w:tc>
          <w:tcPr>
            <w:tcW w:w="1038" w:type="dxa"/>
            <w:tcBorders>
              <w:top w:val="nil"/>
              <w:left w:val="single" w:sz="2" w:space="0" w:color="000000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0.05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0.40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&lt;0.01</w:t>
            </w:r>
          </w:p>
        </w:tc>
      </w:tr>
      <w:tr w:rsidR="00B860B0" w:rsidRPr="00A55BF0" w:rsidTr="00604FC9">
        <w:trPr>
          <w:gridAfter w:val="1"/>
          <w:wAfter w:w="20" w:type="dxa"/>
          <w:trHeight w:val="435"/>
        </w:trPr>
        <w:tc>
          <w:tcPr>
            <w:tcW w:w="4251" w:type="dxa"/>
            <w:tcBorders>
              <w:left w:val="nil"/>
              <w:bottom w:val="single" w:sz="12" w:space="0" w:color="auto"/>
              <w:right w:val="single" w:sz="2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lang w:val="en-US"/>
              </w:rPr>
              <w:t>Blood Group (ref = non-O)</w:t>
            </w:r>
          </w:p>
        </w:tc>
        <w:tc>
          <w:tcPr>
            <w:tcW w:w="1038" w:type="dxa"/>
            <w:tcBorders>
              <w:left w:val="single" w:sz="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0.09</w:t>
            </w:r>
          </w:p>
        </w:tc>
        <w:tc>
          <w:tcPr>
            <w:tcW w:w="123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0.01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0.76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0.03</w:t>
            </w:r>
          </w:p>
        </w:tc>
      </w:tr>
    </w:tbl>
    <w:p w:rsidR="00B860B0" w:rsidRPr="00A55BF0" w:rsidRDefault="00B860B0" w:rsidP="00B860B0">
      <w:pPr>
        <w:spacing w:line="240" w:lineRule="auto"/>
        <w:rPr>
          <w:rFonts w:cs="Segoe UI"/>
          <w:lang w:val="en-US"/>
        </w:rPr>
      </w:pPr>
      <w:r w:rsidRPr="00A55BF0">
        <w:rPr>
          <w:rFonts w:cs="Segoe UI"/>
          <w:lang w:val="en-US"/>
        </w:rPr>
        <w:t>*: outcome: probability of an increase in THL of ≥30%.</w:t>
      </w:r>
    </w:p>
    <w:p w:rsidR="00B860B0" w:rsidRPr="00A55BF0" w:rsidRDefault="00B860B0" w:rsidP="00B860B0">
      <w:pPr>
        <w:spacing w:line="240" w:lineRule="auto"/>
        <w:rPr>
          <w:rFonts w:cs="Segoe UI"/>
          <w:lang w:val="en-US"/>
        </w:rPr>
      </w:pPr>
    </w:p>
    <w:tbl>
      <w:tblPr>
        <w:tblW w:w="832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"/>
        <w:gridCol w:w="4233"/>
        <w:gridCol w:w="992"/>
        <w:gridCol w:w="1372"/>
        <w:gridCol w:w="896"/>
        <w:gridCol w:w="709"/>
        <w:gridCol w:w="103"/>
      </w:tblGrid>
      <w:tr w:rsidR="00B860B0" w:rsidRPr="00B860B0" w:rsidTr="00604FC9">
        <w:trPr>
          <w:trHeight w:val="680"/>
        </w:trPr>
        <w:tc>
          <w:tcPr>
            <w:tcW w:w="20" w:type="dxa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:rsidR="00B860B0" w:rsidRPr="00A55BF0" w:rsidRDefault="00B860B0" w:rsidP="00604FC9">
            <w:pPr>
              <w:pStyle w:val="Geenafstand"/>
              <w:rPr>
                <w:b/>
                <w:lang w:val="en-US"/>
              </w:rPr>
            </w:pPr>
          </w:p>
        </w:tc>
        <w:tc>
          <w:tcPr>
            <w:tcW w:w="8305" w:type="dxa"/>
            <w:gridSpan w:val="6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b/>
                <w:lang w:val="en-US"/>
              </w:rPr>
              <w:t>Table S2:</w:t>
            </w:r>
          </w:p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lang w:val="en-US"/>
              </w:rPr>
              <w:t>Regression coefficients from logistic regression: probability of a clinical relevant increase in THL (≥30% ) after switching from SHL to EHL in adults*</w:t>
            </w:r>
          </w:p>
        </w:tc>
      </w:tr>
      <w:tr w:rsidR="00B860B0" w:rsidRPr="00A55BF0" w:rsidTr="00604FC9">
        <w:trPr>
          <w:gridAfter w:val="1"/>
          <w:wAfter w:w="103" w:type="dxa"/>
          <w:trHeight w:val="255"/>
        </w:trPr>
        <w:tc>
          <w:tcPr>
            <w:tcW w:w="4253" w:type="dxa"/>
            <w:gridSpan w:val="2"/>
            <w:vMerge w:val="restart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lang w:val="en-US"/>
              </w:rPr>
              <w:t>Adults (n=353)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Odds Ratio</w:t>
            </w:r>
          </w:p>
        </w:tc>
        <w:tc>
          <w:tcPr>
            <w:tcW w:w="2268" w:type="dxa"/>
            <w:gridSpan w:val="2"/>
            <w:tcBorders>
              <w:top w:val="single" w:sz="12" w:space="0" w:color="000000"/>
              <w:left w:val="single" w:sz="2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95% CI for OR</w:t>
            </w: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p</w:t>
            </w:r>
          </w:p>
        </w:tc>
      </w:tr>
      <w:tr w:rsidR="00B860B0" w:rsidRPr="00A55BF0" w:rsidTr="00604FC9">
        <w:trPr>
          <w:gridAfter w:val="1"/>
          <w:wAfter w:w="103" w:type="dxa"/>
          <w:trHeight w:val="255"/>
        </w:trPr>
        <w:tc>
          <w:tcPr>
            <w:tcW w:w="4253" w:type="dxa"/>
            <w:gridSpan w:val="2"/>
            <w:vMerge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Lower</w:t>
            </w:r>
          </w:p>
        </w:tc>
        <w:tc>
          <w:tcPr>
            <w:tcW w:w="896" w:type="dxa"/>
            <w:tcBorders>
              <w:top w:val="nil"/>
              <w:left w:val="nil"/>
              <w:bottom w:val="single" w:sz="2" w:space="0" w:color="000000"/>
              <w:right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Upper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</w:p>
        </w:tc>
      </w:tr>
      <w:tr w:rsidR="00B860B0" w:rsidRPr="00A55BF0" w:rsidTr="00604FC9">
        <w:trPr>
          <w:gridAfter w:val="1"/>
          <w:wAfter w:w="103" w:type="dxa"/>
          <w:trHeight w:val="370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 xml:space="preserve">Short THL on SHL FVIII (&lt;10 </w:t>
            </w:r>
            <w:proofErr w:type="spellStart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hrs</w:t>
            </w:r>
            <w:proofErr w:type="spellEnd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Reference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&lt;0.01</w:t>
            </w:r>
          </w:p>
        </w:tc>
      </w:tr>
      <w:tr w:rsidR="00B860B0" w:rsidRPr="00A55BF0" w:rsidTr="00604FC9">
        <w:trPr>
          <w:gridAfter w:val="1"/>
          <w:wAfter w:w="103" w:type="dxa"/>
          <w:trHeight w:val="406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 xml:space="preserve">Medium THL on SHL FVIII (10-13:30 </w:t>
            </w:r>
            <w:proofErr w:type="spellStart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hrs</w:t>
            </w:r>
            <w:proofErr w:type="spellEnd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0.17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0.02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1.29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0.09</w:t>
            </w:r>
          </w:p>
        </w:tc>
      </w:tr>
      <w:tr w:rsidR="00B860B0" w:rsidRPr="00A55BF0" w:rsidTr="00604FC9">
        <w:trPr>
          <w:gridAfter w:val="1"/>
          <w:wAfter w:w="103" w:type="dxa"/>
          <w:trHeight w:val="406"/>
        </w:trPr>
        <w:tc>
          <w:tcPr>
            <w:tcW w:w="4253" w:type="dxa"/>
            <w:gridSpan w:val="2"/>
            <w:tcBorders>
              <w:top w:val="nil"/>
              <w:left w:val="nil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 xml:space="preserve">Long THL on SHL FVIII (&gt;13:30 </w:t>
            </w:r>
            <w:proofErr w:type="spellStart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hrs</w:t>
            </w:r>
            <w:proofErr w:type="spellEnd"/>
            <w:r w:rsidRPr="00A55BF0">
              <w:rPr>
                <w:rFonts w:eastAsia="Times New Roman" w:cs="Segoe UI"/>
                <w:color w:val="000000"/>
                <w:kern w:val="24"/>
                <w:lang w:val="en-US" w:eastAsia="nl-NL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0.01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0.00</w:t>
            </w:r>
          </w:p>
        </w:tc>
        <w:tc>
          <w:tcPr>
            <w:tcW w:w="896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0.16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&lt;0.01</w:t>
            </w:r>
          </w:p>
        </w:tc>
      </w:tr>
      <w:tr w:rsidR="00B860B0" w:rsidRPr="00A55BF0" w:rsidTr="00604FC9">
        <w:trPr>
          <w:gridAfter w:val="1"/>
          <w:wAfter w:w="103" w:type="dxa"/>
          <w:trHeight w:val="454"/>
        </w:trPr>
        <w:tc>
          <w:tcPr>
            <w:tcW w:w="4253" w:type="dxa"/>
            <w:gridSpan w:val="2"/>
            <w:tcBorders>
              <w:left w:val="nil"/>
              <w:bottom w:val="nil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lang w:val="en-US"/>
              </w:rPr>
              <w:t>BMI (ref = BMI&gt;25)</w:t>
            </w:r>
          </w:p>
        </w:tc>
        <w:tc>
          <w:tcPr>
            <w:tcW w:w="992" w:type="dxa"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0.57</w:t>
            </w:r>
          </w:p>
        </w:tc>
        <w:tc>
          <w:tcPr>
            <w:tcW w:w="1372" w:type="dxa"/>
            <w:tcBorders>
              <w:left w:val="single" w:sz="2" w:space="0" w:color="000000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0.31</w:t>
            </w:r>
          </w:p>
        </w:tc>
        <w:tc>
          <w:tcPr>
            <w:tcW w:w="896" w:type="dxa"/>
            <w:tcBorders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1.03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0.06</w:t>
            </w:r>
          </w:p>
        </w:tc>
      </w:tr>
      <w:tr w:rsidR="00B860B0" w:rsidRPr="00A55BF0" w:rsidTr="00604FC9">
        <w:trPr>
          <w:gridAfter w:val="1"/>
          <w:wAfter w:w="103" w:type="dxa"/>
          <w:trHeight w:val="406"/>
        </w:trPr>
        <w:tc>
          <w:tcPr>
            <w:tcW w:w="4253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rPr>
                <w:lang w:val="en-US"/>
              </w:rPr>
            </w:pPr>
            <w:r w:rsidRPr="00A55BF0">
              <w:rPr>
                <w:lang w:val="en-US"/>
              </w:rPr>
              <w:t>Blood group (ref = non-O)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0.27</w:t>
            </w:r>
          </w:p>
        </w:tc>
        <w:tc>
          <w:tcPr>
            <w:tcW w:w="1372" w:type="dxa"/>
            <w:tcBorders>
              <w:top w:val="nil"/>
              <w:left w:val="single" w:sz="2" w:space="0" w:color="000000"/>
              <w:bottom w:val="single" w:sz="12" w:space="0" w:color="auto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B860B0" w:rsidRPr="00A55BF0" w:rsidRDefault="00B860B0" w:rsidP="00604FC9">
            <w:pPr>
              <w:pStyle w:val="Geenafstand"/>
              <w:jc w:val="center"/>
              <w:rPr>
                <w:lang w:val="en-US"/>
              </w:rPr>
            </w:pPr>
            <w:r w:rsidRPr="00A55BF0">
              <w:rPr>
                <w:lang w:val="en-US"/>
              </w:rPr>
              <w:t>0.01</w:t>
            </w:r>
          </w:p>
        </w:tc>
      </w:tr>
    </w:tbl>
    <w:p w:rsidR="00B860B0" w:rsidRPr="00A55BF0" w:rsidRDefault="00B860B0" w:rsidP="00B860B0">
      <w:pPr>
        <w:spacing w:line="240" w:lineRule="auto"/>
        <w:rPr>
          <w:rFonts w:cs="Segoe UI"/>
          <w:lang w:val="en-US"/>
        </w:rPr>
      </w:pPr>
      <w:r w:rsidRPr="00A55BF0">
        <w:rPr>
          <w:rFonts w:cs="Segoe UI"/>
          <w:lang w:val="en-US"/>
        </w:rPr>
        <w:t>*: outcome: probability of an increase in THL of ≥30%.</w:t>
      </w:r>
    </w:p>
    <w:p w:rsidR="00B860B0" w:rsidRPr="00A55BF0" w:rsidRDefault="00B860B0" w:rsidP="00B860B0">
      <w:pPr>
        <w:rPr>
          <w:rFonts w:cs="Segoe UI"/>
          <w:color w:val="FF0000"/>
          <w:lang w:val="en-US"/>
        </w:rPr>
      </w:pPr>
      <w:r w:rsidRPr="00A55BF0">
        <w:rPr>
          <w:rFonts w:cs="Segoe UI"/>
          <w:color w:val="FF0000"/>
          <w:lang w:val="en-US"/>
        </w:rPr>
        <w:br w:type="page"/>
      </w:r>
    </w:p>
    <w:p w:rsidR="00B860B0" w:rsidRPr="00A55BF0" w:rsidRDefault="00B860B0" w:rsidP="00B860B0">
      <w:pPr>
        <w:keepNext/>
        <w:spacing w:line="360" w:lineRule="auto"/>
        <w:rPr>
          <w:rFonts w:cs="Segoe UI"/>
          <w:color w:val="FF0000"/>
          <w:lang w:val="en-US"/>
        </w:rPr>
      </w:pPr>
    </w:p>
    <w:tbl>
      <w:tblPr>
        <w:tblW w:w="58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24"/>
        <w:gridCol w:w="1095"/>
        <w:gridCol w:w="1984"/>
        <w:gridCol w:w="709"/>
      </w:tblGrid>
      <w:tr w:rsidR="00B860B0" w:rsidRPr="00B860B0" w:rsidTr="00604FC9">
        <w:trPr>
          <w:trHeight w:val="510"/>
        </w:trPr>
        <w:tc>
          <w:tcPr>
            <w:tcW w:w="5812" w:type="dxa"/>
            <w:gridSpan w:val="4"/>
            <w:tcBorders>
              <w:top w:val="single" w:sz="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rPr>
                <w:rFonts w:cs="Segoe UI"/>
                <w:lang w:val="en-US"/>
              </w:rPr>
            </w:pPr>
            <w:r w:rsidRPr="00A55BF0">
              <w:rPr>
                <w:rFonts w:cs="Segoe UI"/>
                <w:b/>
                <w:bCs/>
                <w:lang w:val="en-US"/>
              </w:rPr>
              <w:t xml:space="preserve">Table S3: </w:t>
            </w:r>
            <w:r w:rsidRPr="00A55BF0">
              <w:rPr>
                <w:rFonts w:cs="Segoe UI"/>
                <w:b/>
                <w:bCs/>
                <w:lang w:val="en-US"/>
              </w:rPr>
              <w:br/>
            </w:r>
            <w:r w:rsidRPr="00A55BF0">
              <w:rPr>
                <w:rFonts w:cs="Segoe UI"/>
                <w:bCs/>
                <w:lang w:val="en-US"/>
              </w:rPr>
              <w:t>Number of participants with hemophilia A with &gt;30% increase in THL according to number of samples per assessment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Number of samples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N (total)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N (&gt;30% increase)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%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144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93</w:t>
            </w:r>
          </w:p>
        </w:tc>
        <w:tc>
          <w:tcPr>
            <w:tcW w:w="70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65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2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203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61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3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136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58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4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93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62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5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18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61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6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38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7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17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8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100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9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0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0</w:t>
            </w:r>
          </w:p>
        </w:tc>
      </w:tr>
      <w:tr w:rsidR="00B860B0" w:rsidRPr="00A55BF0" w:rsidTr="00604FC9">
        <w:trPr>
          <w:trHeight w:val="227"/>
        </w:trPr>
        <w:tc>
          <w:tcPr>
            <w:tcW w:w="2024" w:type="dxa"/>
            <w:tcBorders>
              <w:top w:val="nil"/>
              <w:left w:val="nil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10</w:t>
            </w:r>
          </w:p>
        </w:tc>
        <w:tc>
          <w:tcPr>
            <w:tcW w:w="1095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860B0" w:rsidRPr="00A55BF0" w:rsidRDefault="00B860B0" w:rsidP="00604FC9">
            <w:pPr>
              <w:spacing w:line="240" w:lineRule="auto"/>
              <w:jc w:val="center"/>
              <w:rPr>
                <w:rFonts w:cs="Segoe UI"/>
                <w:lang w:val="en-US"/>
              </w:rPr>
            </w:pPr>
            <w:r w:rsidRPr="00A55BF0">
              <w:rPr>
                <w:rFonts w:cs="Segoe UI"/>
                <w:lang w:val="en-US"/>
              </w:rPr>
              <w:t>100</w:t>
            </w:r>
          </w:p>
        </w:tc>
      </w:tr>
    </w:tbl>
    <w:p w:rsidR="00B860B0" w:rsidRPr="00A55BF0" w:rsidRDefault="00B860B0" w:rsidP="00B860B0">
      <w:pPr>
        <w:keepNext/>
        <w:spacing w:line="360" w:lineRule="auto"/>
        <w:rPr>
          <w:rFonts w:cs="Segoe UI"/>
          <w:color w:val="FF0000"/>
          <w:lang w:val="en-US"/>
        </w:rPr>
      </w:pPr>
    </w:p>
    <w:p w:rsidR="00B860B0" w:rsidRPr="00A55BF0" w:rsidRDefault="00B860B0" w:rsidP="00B860B0">
      <w:pPr>
        <w:rPr>
          <w:rFonts w:cs="Segoe UI"/>
          <w:color w:val="FF0000"/>
          <w:lang w:val="en-US"/>
        </w:rPr>
      </w:pPr>
      <w:r w:rsidRPr="00A55BF0">
        <w:rPr>
          <w:rFonts w:cs="Segoe UI"/>
          <w:color w:val="FF0000"/>
          <w:lang w:val="en-US"/>
        </w:rPr>
        <w:br w:type="page"/>
      </w:r>
    </w:p>
    <w:tbl>
      <w:tblPr>
        <w:tblW w:w="10662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5"/>
        <w:gridCol w:w="1415"/>
        <w:gridCol w:w="995"/>
        <w:gridCol w:w="1134"/>
        <w:gridCol w:w="160"/>
        <w:gridCol w:w="1260"/>
        <w:gridCol w:w="1276"/>
        <w:gridCol w:w="850"/>
        <w:gridCol w:w="1134"/>
        <w:gridCol w:w="993"/>
      </w:tblGrid>
      <w:tr w:rsidR="00B860B0" w:rsidRPr="00B860B0" w:rsidTr="00604FC9">
        <w:trPr>
          <w:trHeight w:val="290"/>
        </w:trPr>
        <w:tc>
          <w:tcPr>
            <w:tcW w:w="514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lastRenderedPageBreak/>
              <w:t>Supplemental table S4:</w:t>
            </w:r>
          </w:p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eastAsia="Times New Roman" w:cs="Segoe UI"/>
                <w:color w:val="000000"/>
                <w:sz w:val="16"/>
                <w:szCs w:val="16"/>
                <w:lang w:val="en-US" w:eastAsia="nl-NL"/>
              </w:rPr>
              <w:t>frequency distribution of prescribed FVIII clotting factor concentrates (SHL)</w:t>
            </w:r>
          </w:p>
        </w:tc>
        <w:tc>
          <w:tcPr>
            <w:tcW w:w="55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tbl>
            <w:tblPr>
              <w:tblW w:w="616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169"/>
            </w:tblGrid>
            <w:tr w:rsidR="00B860B0" w:rsidRPr="00A55BF0" w:rsidTr="00604FC9">
              <w:trPr>
                <w:trHeight w:val="330"/>
              </w:trPr>
              <w:tc>
                <w:tcPr>
                  <w:tcW w:w="6169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860B0" w:rsidRPr="00A55BF0" w:rsidRDefault="00B860B0" w:rsidP="00604FC9">
                  <w:pPr>
                    <w:spacing w:after="0" w:line="240" w:lineRule="auto"/>
                    <w:rPr>
                      <w:rFonts w:eastAsia="Times New Roman" w:cs="Segoe UI"/>
                      <w:color w:val="000000"/>
                      <w:sz w:val="16"/>
                      <w:szCs w:val="16"/>
                      <w:lang w:val="en-US" w:eastAsia="nl-NL"/>
                    </w:rPr>
                  </w:pPr>
                  <w:r w:rsidRPr="00A55BF0">
                    <w:rPr>
                      <w:rFonts w:eastAsia="Times New Roman" w:cs="Segoe UI"/>
                      <w:color w:val="000000"/>
                      <w:sz w:val="16"/>
                      <w:szCs w:val="16"/>
                      <w:lang w:val="en-US" w:eastAsia="nl-NL"/>
                    </w:rPr>
                    <w:t>Supplemental table S4 (continued):</w:t>
                  </w:r>
                </w:p>
              </w:tc>
            </w:tr>
            <w:tr w:rsidR="00B860B0" w:rsidRPr="00B860B0" w:rsidTr="00604FC9">
              <w:trPr>
                <w:trHeight w:val="90"/>
              </w:trPr>
              <w:tc>
                <w:tcPr>
                  <w:tcW w:w="6169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:rsidR="00B860B0" w:rsidRPr="00A55BF0" w:rsidRDefault="00B860B0" w:rsidP="00604FC9">
                  <w:pPr>
                    <w:spacing w:after="0" w:line="240" w:lineRule="auto"/>
                    <w:rPr>
                      <w:rFonts w:eastAsia="Times New Roman" w:cs="Segoe UI"/>
                      <w:color w:val="000000"/>
                      <w:sz w:val="16"/>
                      <w:szCs w:val="16"/>
                      <w:lang w:val="en-US" w:eastAsia="nl-NL"/>
                    </w:rPr>
                  </w:pPr>
                  <w:r w:rsidRPr="00A55BF0">
                    <w:rPr>
                      <w:rFonts w:eastAsia="Times New Roman" w:cs="Segoe UI"/>
                      <w:color w:val="000000"/>
                      <w:sz w:val="16"/>
                      <w:szCs w:val="16"/>
                      <w:lang w:val="en-US" w:eastAsia="nl-NL"/>
                    </w:rPr>
                    <w:t>frequency distribution of prescribed FVIII clotting factor concentrates (EHL)</w:t>
                  </w:r>
                </w:p>
              </w:tc>
            </w:tr>
          </w:tbl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trHeight w:val="290"/>
        </w:trPr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FVIII concentrates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513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FVIII concentrates</w:t>
            </w:r>
          </w:p>
        </w:tc>
      </w:tr>
      <w:tr w:rsidR="00B860B0" w:rsidRPr="00A55BF0" w:rsidTr="00604FC9">
        <w:trPr>
          <w:trHeight w:val="290"/>
        </w:trPr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Product name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eastAsia="Times New Roman" w:cs="Segoe UI"/>
                <w:color w:val="000000"/>
                <w:sz w:val="16"/>
                <w:szCs w:val="16"/>
                <w:lang w:val="en-US" w:eastAsia="nl-NL"/>
              </w:rPr>
              <w:t>Recombinant (Rec) or Plasma Derived (PD)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Number of participants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Percentage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Product 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eastAsia="Times New Roman" w:cs="Segoe UI"/>
                <w:color w:val="000000"/>
                <w:sz w:val="16"/>
                <w:szCs w:val="16"/>
                <w:lang w:val="en-US" w:eastAsia="nl-NL"/>
              </w:rPr>
              <w:t>Recombinant (Rec) or Plasma Derived (PD)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 xml:space="preserve">EHL </w:t>
            </w:r>
          </w:p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Method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Number of participants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Percentage</w:t>
            </w:r>
          </w:p>
        </w:tc>
      </w:tr>
      <w:tr w:rsidR="00B860B0" w:rsidRPr="00A55BF0" w:rsidTr="00604FC9">
        <w:trPr>
          <w:trHeight w:val="289"/>
        </w:trPr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Advate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26,5%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Elocta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Fc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497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72,2%</w:t>
            </w:r>
          </w:p>
        </w:tc>
      </w:tr>
      <w:tr w:rsidR="00B860B0" w:rsidRPr="00A55BF0" w:rsidTr="00604FC9">
        <w:trPr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Kogenate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15,1%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Adynovate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PEG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12%</w:t>
            </w:r>
          </w:p>
        </w:tc>
      </w:tr>
      <w:tr w:rsidR="00B860B0" w:rsidRPr="00A55BF0" w:rsidTr="00604FC9">
        <w:trPr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Refacto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12,1%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Jivi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PEG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1,9%</w:t>
            </w:r>
          </w:p>
        </w:tc>
      </w:tr>
      <w:tr w:rsidR="00B860B0" w:rsidRPr="00A55BF0" w:rsidTr="00604FC9">
        <w:trPr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Kovaltry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5,5%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Esperoct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PEG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0,4%</w:t>
            </w:r>
          </w:p>
        </w:tc>
      </w:tr>
      <w:tr w:rsidR="00B860B0" w:rsidRPr="00A55BF0" w:rsidTr="00604FC9">
        <w:trPr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Helixate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7.0%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FIX concentrates</w:t>
            </w:r>
          </w:p>
        </w:tc>
      </w:tr>
      <w:tr w:rsidR="00B860B0" w:rsidRPr="00A55BF0" w:rsidTr="00604FC9">
        <w:trPr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Nuwiq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4,4%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Alprolix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Fc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8,3%</w:t>
            </w:r>
          </w:p>
        </w:tc>
      </w:tr>
      <w:tr w:rsidR="00B860B0" w:rsidRPr="00A55BF0" w:rsidTr="00604FC9">
        <w:trPr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Fanhdi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3,2%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Idelvion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850" w:type="dxa"/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Albumin</w:t>
            </w:r>
          </w:p>
        </w:tc>
        <w:tc>
          <w:tcPr>
            <w:tcW w:w="1134" w:type="dxa"/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993" w:type="dxa"/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1,9%</w:t>
            </w:r>
          </w:p>
        </w:tc>
      </w:tr>
      <w:tr w:rsidR="00B860B0" w:rsidRPr="00A55BF0" w:rsidTr="00604FC9">
        <w:trPr>
          <w:trHeight w:val="321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Afstyla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2.8%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Rebinyn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850" w:type="dxa"/>
          </w:tcPr>
          <w:p w:rsidR="00B860B0" w:rsidRPr="00A55BF0" w:rsidRDefault="00B860B0" w:rsidP="00604FC9">
            <w:pPr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PEG</w:t>
            </w:r>
          </w:p>
        </w:tc>
        <w:tc>
          <w:tcPr>
            <w:tcW w:w="1134" w:type="dxa"/>
          </w:tcPr>
          <w:p w:rsidR="00B860B0" w:rsidRPr="00A55BF0" w:rsidRDefault="00B860B0" w:rsidP="00604FC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993" w:type="dxa"/>
          </w:tcPr>
          <w:p w:rsidR="00B860B0" w:rsidRPr="00A55BF0" w:rsidRDefault="00B860B0" w:rsidP="00604FC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0.7%</w:t>
            </w: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yntha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2,2%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181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Kogenate</w:t>
            </w:r>
            <w:proofErr w:type="spellEnd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 xml:space="preserve"> FS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1,9%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Factane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1,2%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Wilate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1,0%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Aafact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0,9%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Immunate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0.7%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Octanate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0,7%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Novoeight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0,6%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Recombinate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0,6%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Alphanate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0,6%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Amofil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0,6%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Iblias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0,6%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Haemoctin</w:t>
            </w:r>
            <w:proofErr w:type="spellEnd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Sdh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0,4%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Beriate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0,4%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Klott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0,4%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Hemophil</w:t>
            </w:r>
            <w:proofErr w:type="spellEnd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 xml:space="preserve"> M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0,3%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Humate</w:t>
            </w:r>
            <w:proofErr w:type="spellEnd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 xml:space="preserve"> P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Emoclot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Haemate</w:t>
            </w:r>
            <w:proofErr w:type="spellEnd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 xml:space="preserve"> P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HemoRAAS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0.1%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49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FIX concentrates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Benefix</w:t>
            </w:r>
            <w:proofErr w:type="spellEnd"/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7,8%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 xml:space="preserve">Factor Ix </w:t>
            </w: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Grifols</w:t>
            </w:r>
            <w:proofErr w:type="spellEnd"/>
          </w:p>
        </w:tc>
        <w:tc>
          <w:tcPr>
            <w:tcW w:w="1415" w:type="dxa"/>
            <w:tcBorders>
              <w:lef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1134" w:type="dxa"/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1,2%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Aimafix</w:t>
            </w:r>
            <w:proofErr w:type="spellEnd"/>
          </w:p>
        </w:tc>
        <w:tc>
          <w:tcPr>
            <w:tcW w:w="1415" w:type="dxa"/>
            <w:tcBorders>
              <w:lef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134" w:type="dxa"/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1,0%</w:t>
            </w:r>
          </w:p>
        </w:tc>
        <w:tc>
          <w:tcPr>
            <w:tcW w:w="160" w:type="dxa"/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Immunine</w:t>
            </w:r>
            <w:proofErr w:type="spellEnd"/>
          </w:p>
        </w:tc>
        <w:tc>
          <w:tcPr>
            <w:tcW w:w="1415" w:type="dxa"/>
            <w:tcBorders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0,7%</w:t>
            </w:r>
          </w:p>
        </w:tc>
        <w:tc>
          <w:tcPr>
            <w:tcW w:w="1420" w:type="dxa"/>
            <w:gridSpan w:val="2"/>
            <w:tcBorders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Octanine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0,4%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Rixubis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Rec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0,3%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Replenine</w:t>
            </w:r>
            <w:proofErr w:type="spellEnd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 xml:space="preserve"> – </w:t>
            </w: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Vf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0,3%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Mononine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0,3%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Alphanine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Nonafact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  <w:tr w:rsidR="00B860B0" w:rsidRPr="00A55BF0" w:rsidTr="00604FC9">
        <w:trPr>
          <w:gridAfter w:val="4"/>
          <w:wAfter w:w="4253" w:type="dxa"/>
          <w:trHeight w:val="289"/>
        </w:trPr>
        <w:tc>
          <w:tcPr>
            <w:tcW w:w="14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proofErr w:type="spellStart"/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lastRenderedPageBreak/>
              <w:t>Betafact</w:t>
            </w:r>
            <w:proofErr w:type="spellEnd"/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PD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Segoe UI"/>
                <w:color w:val="000000"/>
                <w:sz w:val="16"/>
                <w:szCs w:val="16"/>
                <w:lang w:val="en-US"/>
              </w:rPr>
            </w:pPr>
            <w:r w:rsidRPr="00A55BF0">
              <w:rPr>
                <w:rFonts w:cs="Segoe UI"/>
                <w:color w:val="000000"/>
                <w:sz w:val="16"/>
                <w:szCs w:val="16"/>
                <w:lang w:val="en-US"/>
              </w:rPr>
              <w:t>0,1%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B860B0" w:rsidRPr="00A55BF0" w:rsidRDefault="00B860B0" w:rsidP="00604FC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Segoe UI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B860B0" w:rsidRPr="00A55BF0" w:rsidRDefault="00B860B0" w:rsidP="00B860B0">
      <w:pPr>
        <w:keepNext/>
        <w:spacing w:line="360" w:lineRule="auto"/>
        <w:rPr>
          <w:rFonts w:cs="Segoe UI"/>
          <w:color w:val="FF0000"/>
          <w:lang w:val="en-US"/>
        </w:rPr>
      </w:pPr>
    </w:p>
    <w:p w:rsidR="008D6406" w:rsidRPr="003F2CDA" w:rsidRDefault="008D6406" w:rsidP="008D6406">
      <w:pPr>
        <w:pStyle w:val="Geenafstand"/>
        <w:rPr>
          <w:rFonts w:ascii="Segoe UI" w:hAnsi="Segoe UI" w:cs="Segoe UI"/>
        </w:rPr>
      </w:pPr>
      <w:bookmarkStart w:id="0" w:name="_GoBack"/>
      <w:bookmarkEnd w:id="0"/>
    </w:p>
    <w:sectPr w:rsidR="008D6406" w:rsidRPr="003F2CDA" w:rsidSect="004403C8">
      <w:footerReference w:type="default" r:id="rId5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582960"/>
      <w:docPartObj>
        <w:docPartGallery w:val="Page Numbers (Bottom of Page)"/>
        <w:docPartUnique/>
      </w:docPartObj>
    </w:sdtPr>
    <w:sdtEndPr/>
    <w:sdtContent>
      <w:p w:rsidR="006874C0" w:rsidRDefault="00B860B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874C0" w:rsidRDefault="00B860B0">
    <w:pPr>
      <w:pStyle w:val="Voetteks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0B0"/>
    <w:rsid w:val="003F2CDA"/>
    <w:rsid w:val="006F142D"/>
    <w:rsid w:val="008D6406"/>
    <w:rsid w:val="00B8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6F76E-6B4E-4B75-B15E-0BCEE1D8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860B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6406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B860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Voettekst">
    <w:name w:val="footer"/>
    <w:basedOn w:val="Standaard"/>
    <w:link w:val="VoettekstChar"/>
    <w:uiPriority w:val="99"/>
    <w:unhideWhenUsed/>
    <w:rsid w:val="00B860B0"/>
    <w:pPr>
      <w:tabs>
        <w:tab w:val="center" w:pos="4536"/>
        <w:tab w:val="right" w:pos="9072"/>
      </w:tabs>
      <w:spacing w:after="0" w:line="240" w:lineRule="auto"/>
    </w:pPr>
    <w:rPr>
      <w:rFonts w:ascii="Segoe UI" w:hAnsi="Segoe UI"/>
    </w:rPr>
  </w:style>
  <w:style w:type="character" w:customStyle="1" w:styleId="VoettekstChar">
    <w:name w:val="Voettekst Char"/>
    <w:basedOn w:val="Standaardalinea-lettertype"/>
    <w:link w:val="Voettekst"/>
    <w:uiPriority w:val="99"/>
    <w:rsid w:val="00B860B0"/>
    <w:rPr>
      <w:rFonts w:ascii="Segoe UI" w:hAnsi="Segoe UI"/>
    </w:rPr>
  </w:style>
  <w:style w:type="character" w:styleId="Regelnummer">
    <w:name w:val="line number"/>
    <w:basedOn w:val="Standaardalinea-lettertype"/>
    <w:uiPriority w:val="99"/>
    <w:semiHidden/>
    <w:unhideWhenUsed/>
    <w:rsid w:val="00B86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9877C-21C0-4000-8BC0-6804D50F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441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Versloot, O. (Olav)</dc:creator>
  <cp:keywords/>
  <dc:description/>
  <cp:lastModifiedBy>Versloot, O. (Olav)</cp:lastModifiedBy>
  <cp:revision>1</cp:revision>
  <dcterms:created xsi:type="dcterms:W3CDTF">2022-01-28T14:45:00Z</dcterms:created>
  <dcterms:modified xsi:type="dcterms:W3CDTF">2022-01-28T14:46:00Z</dcterms:modified>
</cp:coreProperties>
</file>