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70F99F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sz w:val="32"/>
          <w:szCs w:val="32"/>
          <w:lang w:val="en-US"/>
        </w:rPr>
      </w:pPr>
      <w:r>
        <w:rPr>
          <w:rFonts w:ascii="Arial" w:hAnsi="Arial" w:cs="Arial"/>
          <w:b/>
          <w:sz w:val="32"/>
          <w:szCs w:val="32"/>
          <w:lang w:val="en-US"/>
        </w:rPr>
        <w:t>Supplementary figures and legends</w:t>
      </w:r>
    </w:p>
    <w:p w14:paraId="142501EF" w14:textId="77777777" w:rsidR="0006549F" w:rsidRP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 xml:space="preserve">Figure S1. </w:t>
      </w:r>
      <w:r>
        <w:rPr>
          <w:rFonts w:ascii="Arial" w:hAnsi="Arial" w:cs="Arial"/>
          <w:b/>
          <w:bCs/>
          <w:lang w:val="en-US"/>
        </w:rPr>
        <w:t xml:space="preserve">Academic genomic HRD test and RAD51 are feasible in ovarian cancer samples. </w:t>
      </w:r>
      <w:r>
        <w:rPr>
          <w:rFonts w:ascii="Arial" w:hAnsi="Arial" w:cs="Arial"/>
          <w:lang w:val="en-US"/>
        </w:rPr>
        <w:t>A)</w:t>
      </w:r>
      <w:r>
        <w:rPr>
          <w:rFonts w:ascii="Arial" w:hAnsi="Arial" w:cs="Arial"/>
          <w:bCs/>
          <w:lang w:val="en-US"/>
        </w:rPr>
        <w:t xml:space="preserve"> </w:t>
      </w:r>
      <w:r>
        <w:rPr>
          <w:rFonts w:ascii="Arial" w:hAnsi="Arial" w:cs="Arial"/>
          <w:lang w:val="en-US"/>
        </w:rPr>
        <w:t>Summary of the evaluable cases for genomic HRD test and/or RAD51 test and/or miR-506 expression in MITO16a concordance analyses. B) Causes of failure rate for RAD51 assay in MITO16a concordance analyses.</w:t>
      </w:r>
    </w:p>
    <w:p w14:paraId="6AC7F800" w14:textId="77777777" w:rsidR="0006549F" w:rsidRDefault="0006549F" w:rsidP="0006549F">
      <w:pPr>
        <w:spacing w:line="360" w:lineRule="auto"/>
        <w:jc w:val="both"/>
        <w:rPr>
          <w:lang w:val="en-US"/>
        </w:rPr>
      </w:pPr>
      <w:r w:rsidRPr="0006549F">
        <w:rPr>
          <w:lang w:val="en-US"/>
        </w:rPr>
        <w:t xml:space="preserve"> </w:t>
      </w:r>
      <w:r>
        <w:rPr>
          <w:noProof/>
        </w:rPr>
        <w:drawing>
          <wp:inline distT="0" distB="0" distL="0" distR="0" wp14:anchorId="08C4A6C1" wp14:editId="7B3DE771">
            <wp:extent cx="6332220" cy="2630805"/>
            <wp:effectExtent l="0" t="0" r="0" b="0"/>
            <wp:docPr id="7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1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2630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4821176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5CE4A046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49E5976A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07EE8C43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65879624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1D97DEF0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66505A54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33A62ABF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08C2C040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32560914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29A71617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0A073152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50FBDCC5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6951646E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7286BB41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lastRenderedPageBreak/>
        <w:t xml:space="preserve">Figure S2. High relative expression of miR-506 correlates with HRD status and favorable prognosis. </w:t>
      </w:r>
      <w:r>
        <w:rPr>
          <w:rFonts w:ascii="Arial" w:hAnsi="Arial" w:cs="Arial"/>
          <w:lang w:val="en-US"/>
        </w:rPr>
        <w:t xml:space="preserve">A) Preliminary analysis correlating the relative expression of miR-506 with the HRR status as defined by the academic genomic test (n=72 - Unpaired t test). B) Kaplan–Meier curves for Progression Free Survival (PFS) of 140 OC patients stratified for miR-506 relative expression (upper quartile vs. others). In the inset relative expression of miR-506 n all cases. C and D) Relative expression of miR-506 in MITO16A cases with evaluable HRR status as defined by the academic genomic (C) test and by RAD51 assay (D); only cases with relative miR-506 expression above median expression were considered. HRP: homologous recombination proficient; HRD: homologous recombination deficient.  </w:t>
      </w:r>
    </w:p>
    <w:p w14:paraId="35CAB103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3BF5986E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  <w:r>
        <w:rPr>
          <w:noProof/>
        </w:rPr>
        <w:drawing>
          <wp:inline distT="0" distB="0" distL="0" distR="0" wp14:anchorId="10E4D623" wp14:editId="35F7A866">
            <wp:extent cx="6332220" cy="4458335"/>
            <wp:effectExtent l="0" t="0" r="0" b="0"/>
            <wp:docPr id="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4458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E593B8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1D60D8EE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276EE932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64F4E89F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228D0437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16E76D67" w14:textId="77777777" w:rsidR="0006549F" w:rsidRP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lastRenderedPageBreak/>
        <w:t xml:space="preserve">Figure S3. Genomic and functional HRD, and miR-506 expression in </w:t>
      </w:r>
      <w:r>
        <w:rPr>
          <w:rFonts w:ascii="Arial" w:hAnsi="Arial" w:cs="Arial"/>
          <w:b/>
          <w:i/>
          <w:lang w:val="en-US"/>
        </w:rPr>
        <w:t>BRCA1/2</w:t>
      </w:r>
      <w:r>
        <w:rPr>
          <w:rFonts w:ascii="Arial" w:hAnsi="Arial" w:cs="Arial"/>
          <w:b/>
          <w:lang w:val="en-US"/>
        </w:rPr>
        <w:t xml:space="preserve"> WT population.</w:t>
      </w:r>
      <w:r>
        <w:rPr>
          <w:rFonts w:ascii="Arial" w:hAnsi="Arial" w:cs="Arial"/>
          <w:lang w:val="en-US"/>
        </w:rPr>
        <w:t xml:space="preserve"> A)  HRD status in </w:t>
      </w:r>
      <w:r>
        <w:rPr>
          <w:rFonts w:ascii="Arial" w:hAnsi="Arial" w:cs="Arial"/>
          <w:i/>
          <w:lang w:val="en-US"/>
        </w:rPr>
        <w:t>BRCA1/2</w:t>
      </w:r>
      <w:r>
        <w:rPr>
          <w:rFonts w:ascii="Arial" w:hAnsi="Arial" w:cs="Arial"/>
          <w:lang w:val="en-US"/>
        </w:rPr>
        <w:t xml:space="preserve"> WT population according to genomic and functional testing. B) Percentage of HRD and Neg-HRD tumors by genomic testing among RAD51 assay HRD and HRP samples. C) miR-506 distribution in HRD and Neg-HRD samples by genomic assay. D) miR-506 distribution in HRD and HRP samples by RAD51 assay.</w:t>
      </w:r>
    </w:p>
    <w:p w14:paraId="475CBD78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noProof/>
        </w:rPr>
        <w:drawing>
          <wp:inline distT="0" distB="0" distL="0" distR="0" wp14:anchorId="790426EB" wp14:editId="2F560BB8">
            <wp:extent cx="6816725" cy="3331845"/>
            <wp:effectExtent l="0" t="0" r="0" b="0"/>
            <wp:docPr id="9" name="Immagine 13" descr="Immagine che contiene schermat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 1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6725" cy="3331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DD6F26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</w:p>
    <w:p w14:paraId="08FDD462" w14:textId="77777777" w:rsidR="0006549F" w:rsidRDefault="0006549F" w:rsidP="0006549F">
      <w:pPr>
        <w:rPr>
          <w:lang w:val="en-US"/>
        </w:rPr>
      </w:pPr>
    </w:p>
    <w:p w14:paraId="0CC96356" w14:textId="77777777" w:rsidR="0006549F" w:rsidRDefault="0006549F" w:rsidP="0006549F">
      <w:pPr>
        <w:rPr>
          <w:lang w:val="en-US"/>
        </w:rPr>
      </w:pPr>
    </w:p>
    <w:p w14:paraId="24F48268" w14:textId="77777777" w:rsidR="0006549F" w:rsidRDefault="0006549F" w:rsidP="0006549F">
      <w:pPr>
        <w:rPr>
          <w:lang w:val="en-US"/>
        </w:rPr>
      </w:pPr>
    </w:p>
    <w:p w14:paraId="533B910B" w14:textId="77777777" w:rsidR="0006549F" w:rsidRDefault="0006549F" w:rsidP="0006549F">
      <w:pPr>
        <w:rPr>
          <w:lang w:val="en-US"/>
        </w:rPr>
      </w:pPr>
    </w:p>
    <w:p w14:paraId="2F3834DB" w14:textId="77777777" w:rsidR="0006549F" w:rsidRDefault="0006549F" w:rsidP="0006549F">
      <w:pPr>
        <w:rPr>
          <w:lang w:val="en-US"/>
        </w:rPr>
      </w:pPr>
    </w:p>
    <w:p w14:paraId="1A507194" w14:textId="77777777" w:rsidR="0006549F" w:rsidRDefault="0006549F" w:rsidP="0006549F">
      <w:pPr>
        <w:rPr>
          <w:lang w:val="en-US"/>
        </w:rPr>
      </w:pPr>
    </w:p>
    <w:p w14:paraId="1B220133" w14:textId="77777777" w:rsidR="0006549F" w:rsidRDefault="0006549F" w:rsidP="0006549F">
      <w:pPr>
        <w:rPr>
          <w:lang w:val="en-US"/>
        </w:rPr>
      </w:pPr>
    </w:p>
    <w:p w14:paraId="0294D17B" w14:textId="77777777" w:rsidR="0006549F" w:rsidRDefault="0006549F" w:rsidP="0006549F">
      <w:pPr>
        <w:rPr>
          <w:lang w:val="en-US"/>
        </w:rPr>
      </w:pPr>
    </w:p>
    <w:p w14:paraId="223507E5" w14:textId="77777777" w:rsidR="0006549F" w:rsidRDefault="0006549F" w:rsidP="0006549F">
      <w:pPr>
        <w:rPr>
          <w:lang w:val="en-US"/>
        </w:rPr>
      </w:pPr>
    </w:p>
    <w:p w14:paraId="677C961C" w14:textId="77777777" w:rsidR="0006549F" w:rsidRDefault="0006549F" w:rsidP="0006549F">
      <w:pPr>
        <w:rPr>
          <w:lang w:val="en-US"/>
        </w:rPr>
      </w:pPr>
    </w:p>
    <w:p w14:paraId="3197B0AD" w14:textId="77777777" w:rsidR="0006549F" w:rsidRDefault="0006549F" w:rsidP="0006549F">
      <w:pPr>
        <w:rPr>
          <w:lang w:val="en-US"/>
        </w:rPr>
      </w:pPr>
    </w:p>
    <w:p w14:paraId="2361A408" w14:textId="77777777" w:rsidR="0006549F" w:rsidRDefault="0006549F" w:rsidP="0006549F">
      <w:pPr>
        <w:rPr>
          <w:lang w:val="en-US"/>
        </w:rPr>
      </w:pPr>
    </w:p>
    <w:p w14:paraId="73DE8FCF" w14:textId="77777777" w:rsidR="0006549F" w:rsidRDefault="0006549F" w:rsidP="0006549F">
      <w:pPr>
        <w:rPr>
          <w:lang w:val="en-US"/>
        </w:rPr>
      </w:pPr>
    </w:p>
    <w:p w14:paraId="3C3FEE49" w14:textId="77777777" w:rsidR="0006549F" w:rsidRDefault="0006549F" w:rsidP="0006549F">
      <w:pPr>
        <w:rPr>
          <w:lang w:val="en-US"/>
        </w:rPr>
      </w:pPr>
    </w:p>
    <w:p w14:paraId="7BA54A8C" w14:textId="77777777" w:rsidR="0006549F" w:rsidRDefault="0006549F" w:rsidP="0006549F">
      <w:pPr>
        <w:rPr>
          <w:lang w:val="en-US"/>
        </w:rPr>
      </w:pPr>
    </w:p>
    <w:p w14:paraId="0F29C982" w14:textId="77777777" w:rsidR="0006549F" w:rsidRDefault="0006549F" w:rsidP="0006549F">
      <w:pPr>
        <w:rPr>
          <w:lang w:val="en-US"/>
        </w:rPr>
      </w:pPr>
    </w:p>
    <w:p w14:paraId="51244263" w14:textId="77777777" w:rsidR="0006549F" w:rsidRDefault="0006549F" w:rsidP="0006549F">
      <w:pPr>
        <w:rPr>
          <w:lang w:val="en-US"/>
        </w:rPr>
      </w:pPr>
    </w:p>
    <w:p w14:paraId="7713B8B6" w14:textId="77777777" w:rsidR="0006549F" w:rsidRDefault="0006549F" w:rsidP="0006549F">
      <w:pPr>
        <w:rPr>
          <w:lang w:val="en-US"/>
        </w:rPr>
      </w:pPr>
    </w:p>
    <w:p w14:paraId="4AA21BC6" w14:textId="77777777" w:rsidR="0006549F" w:rsidRDefault="0006549F" w:rsidP="0006549F">
      <w:pPr>
        <w:rPr>
          <w:lang w:val="en-US"/>
        </w:rPr>
      </w:pPr>
    </w:p>
    <w:p w14:paraId="481045EF" w14:textId="77777777" w:rsidR="0006549F" w:rsidRPr="0006549F" w:rsidRDefault="0006549F" w:rsidP="0006549F">
      <w:pPr>
        <w:rPr>
          <w:rFonts w:ascii="Arial" w:hAnsi="Arial" w:cs="Arial"/>
          <w:b/>
          <w:sz w:val="28"/>
          <w:lang w:val="en-US"/>
        </w:rPr>
      </w:pPr>
      <w:r>
        <w:rPr>
          <w:rFonts w:ascii="Arial" w:hAnsi="Arial" w:cs="Arial"/>
          <w:b/>
          <w:sz w:val="32"/>
          <w:szCs w:val="32"/>
          <w:lang w:val="en-US"/>
        </w:rPr>
        <w:lastRenderedPageBreak/>
        <w:t>Supplementary Tables</w:t>
      </w:r>
    </w:p>
    <w:p w14:paraId="3357B4D9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</w:p>
    <w:p w14:paraId="46C1A633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sz w:val="28"/>
          <w:lang w:val="en-US"/>
        </w:rPr>
      </w:pPr>
      <w:r>
        <w:rPr>
          <w:rFonts w:ascii="Arial" w:hAnsi="Arial" w:cs="Arial"/>
          <w:b/>
          <w:lang w:val="en-US"/>
        </w:rPr>
        <w:t>Table S1. Clinical-pathological characteristic of the population in analysis compared to the MITO16A enrolled patients</w:t>
      </w:r>
    </w:p>
    <w:p w14:paraId="0E11C34E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  <w:r>
        <w:rPr>
          <w:noProof/>
        </w:rPr>
        <w:drawing>
          <wp:inline distT="0" distB="0" distL="0" distR="0" wp14:anchorId="130C5F8C" wp14:editId="5CBA3F32">
            <wp:extent cx="6122670" cy="5311775"/>
            <wp:effectExtent l="0" t="0" r="0" b="0"/>
            <wp:docPr id="1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5311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lang w:val="en-US"/>
        </w:rPr>
        <w:br/>
      </w:r>
    </w:p>
    <w:p w14:paraId="5A7E3378" w14:textId="77777777" w:rsidR="0006549F" w:rsidRDefault="0006549F" w:rsidP="0006549F"/>
    <w:p w14:paraId="36895BE9" w14:textId="77777777" w:rsidR="0006549F" w:rsidRDefault="0006549F" w:rsidP="0006549F"/>
    <w:p w14:paraId="4E97C0E7" w14:textId="77777777" w:rsidR="0006549F" w:rsidRDefault="0006549F" w:rsidP="0006549F"/>
    <w:p w14:paraId="2ED02DCB" w14:textId="77777777" w:rsidR="0006549F" w:rsidRDefault="0006549F" w:rsidP="0006549F"/>
    <w:p w14:paraId="0379905A" w14:textId="77777777" w:rsidR="0006549F" w:rsidRDefault="0006549F" w:rsidP="0006549F"/>
    <w:p w14:paraId="69A38ABC" w14:textId="77777777" w:rsidR="0006549F" w:rsidRDefault="0006549F" w:rsidP="0006549F"/>
    <w:p w14:paraId="420E376C" w14:textId="77777777" w:rsidR="0006549F" w:rsidRDefault="0006549F" w:rsidP="0006549F"/>
    <w:p w14:paraId="3670FE01" w14:textId="77777777" w:rsidR="0006549F" w:rsidRDefault="0006549F" w:rsidP="0006549F"/>
    <w:p w14:paraId="27CD490D" w14:textId="77777777" w:rsidR="0006549F" w:rsidRDefault="0006549F" w:rsidP="0006549F"/>
    <w:p w14:paraId="097845A7" w14:textId="77777777" w:rsidR="0006549F" w:rsidRPr="0006549F" w:rsidRDefault="0006549F" w:rsidP="0006549F">
      <w:pPr>
        <w:spacing w:line="360" w:lineRule="auto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lastRenderedPageBreak/>
        <w:t xml:space="preserve">Table S2. </w:t>
      </w:r>
      <w:r>
        <w:rPr>
          <w:rFonts w:ascii="Arial" w:hAnsi="Arial" w:cs="Arial"/>
          <w:b/>
          <w:bCs/>
          <w:lang w:val="en-US"/>
        </w:rPr>
        <w:t xml:space="preserve">Comparison between Genomic and Functional HRD in MITO16A concordance analyses. </w:t>
      </w:r>
    </w:p>
    <w:p w14:paraId="6614C78C" w14:textId="77777777" w:rsidR="0006549F" w:rsidRP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A) Functional HRD by RAD51 and Genomic HRD classified in to two groups (HRD vs Neg-HRD). B) Functional HRD by RAD51 and Genomic HRD classified in to three groups (High-HRD, Medium-HRD vs Neg-HRD).</w:t>
      </w:r>
    </w:p>
    <w:p w14:paraId="46382252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b/>
          <w:lang w:val="en-US"/>
        </w:rPr>
      </w:pPr>
      <w:r>
        <w:rPr>
          <w:noProof/>
        </w:rPr>
        <w:drawing>
          <wp:inline distT="0" distB="0" distL="0" distR="0" wp14:anchorId="701749FC" wp14:editId="487E4D2B">
            <wp:extent cx="6332220" cy="1673860"/>
            <wp:effectExtent l="0" t="0" r="5080" b="0"/>
            <wp:docPr id="1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673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289832C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Table S3. Comparison between Genomic and Functional HRD in MITO16A concordance analyses within samples in upper quartile of miR-506 relative expression.</w:t>
      </w:r>
      <w:r>
        <w:rPr>
          <w:rFonts w:ascii="Arial" w:hAnsi="Arial" w:cs="Arial"/>
          <w:lang w:val="en-US"/>
        </w:rPr>
        <w:t xml:space="preserve"> </w:t>
      </w:r>
    </w:p>
    <w:p w14:paraId="207A1198" w14:textId="77777777" w:rsidR="0006549F" w:rsidRDefault="0006549F" w:rsidP="0006549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Functional HRD by RAD51 assay and Genomic HRD classified into two groups (HRD vs Neg-HRD). </w:t>
      </w:r>
    </w:p>
    <w:p w14:paraId="0601A932" w14:textId="77777777" w:rsidR="0040593E" w:rsidRPr="0006549F" w:rsidRDefault="0006549F">
      <w:pPr>
        <w:rPr>
          <w:rFonts w:ascii="Arial" w:eastAsia="Calibri" w:hAnsi="Arial" w:cs="Arial"/>
          <w:b/>
          <w:lang w:val="en-US" w:eastAsia="en-US"/>
        </w:rPr>
      </w:pPr>
      <w:r>
        <w:rPr>
          <w:noProof/>
        </w:rPr>
        <w:drawing>
          <wp:inline distT="0" distB="0" distL="0" distR="0" wp14:anchorId="306357F1" wp14:editId="6E3192E9">
            <wp:extent cx="6332220" cy="1103630"/>
            <wp:effectExtent l="0" t="0" r="5080" b="0"/>
            <wp:docPr id="1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103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0593E" w:rsidRPr="0006549F" w:rsidSect="008272BB">
      <w:pgSz w:w="12240" w:h="15840"/>
      <w:pgMar w:top="1417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8E6"/>
    <w:rsid w:val="000348E4"/>
    <w:rsid w:val="00062E4D"/>
    <w:rsid w:val="0006549F"/>
    <w:rsid w:val="0009237E"/>
    <w:rsid w:val="000C5868"/>
    <w:rsid w:val="000C6D2B"/>
    <w:rsid w:val="000D1AF8"/>
    <w:rsid w:val="000E7946"/>
    <w:rsid w:val="000F7B42"/>
    <w:rsid w:val="00164F5B"/>
    <w:rsid w:val="00167C40"/>
    <w:rsid w:val="001C7EE0"/>
    <w:rsid w:val="00205ADE"/>
    <w:rsid w:val="002357C7"/>
    <w:rsid w:val="002640D5"/>
    <w:rsid w:val="0027224C"/>
    <w:rsid w:val="00275BAE"/>
    <w:rsid w:val="002C0CD0"/>
    <w:rsid w:val="002D6A28"/>
    <w:rsid w:val="003840C5"/>
    <w:rsid w:val="003F3EAC"/>
    <w:rsid w:val="0040593E"/>
    <w:rsid w:val="00441510"/>
    <w:rsid w:val="004512B4"/>
    <w:rsid w:val="00452529"/>
    <w:rsid w:val="004609FA"/>
    <w:rsid w:val="00497DC5"/>
    <w:rsid w:val="004C2BD5"/>
    <w:rsid w:val="005231A8"/>
    <w:rsid w:val="005642E4"/>
    <w:rsid w:val="005D4EC3"/>
    <w:rsid w:val="00603F82"/>
    <w:rsid w:val="0061223D"/>
    <w:rsid w:val="0063679F"/>
    <w:rsid w:val="006625E2"/>
    <w:rsid w:val="00686A49"/>
    <w:rsid w:val="006B6577"/>
    <w:rsid w:val="007237F8"/>
    <w:rsid w:val="007448BE"/>
    <w:rsid w:val="007E31F6"/>
    <w:rsid w:val="0081485C"/>
    <w:rsid w:val="00823F9E"/>
    <w:rsid w:val="008272BB"/>
    <w:rsid w:val="00831A1A"/>
    <w:rsid w:val="00832938"/>
    <w:rsid w:val="008B6690"/>
    <w:rsid w:val="00910DC3"/>
    <w:rsid w:val="009133AA"/>
    <w:rsid w:val="00946890"/>
    <w:rsid w:val="009832C0"/>
    <w:rsid w:val="00990E13"/>
    <w:rsid w:val="00A103F7"/>
    <w:rsid w:val="00A724E4"/>
    <w:rsid w:val="00A800C0"/>
    <w:rsid w:val="00A965BF"/>
    <w:rsid w:val="00AC43B3"/>
    <w:rsid w:val="00AD1B22"/>
    <w:rsid w:val="00B0742A"/>
    <w:rsid w:val="00B41821"/>
    <w:rsid w:val="00B54C6B"/>
    <w:rsid w:val="00B6016A"/>
    <w:rsid w:val="00BB0DF0"/>
    <w:rsid w:val="00BB55CF"/>
    <w:rsid w:val="00C33861"/>
    <w:rsid w:val="00C35A12"/>
    <w:rsid w:val="00CD0B88"/>
    <w:rsid w:val="00CD574D"/>
    <w:rsid w:val="00D46BF1"/>
    <w:rsid w:val="00D80B0F"/>
    <w:rsid w:val="00DA2901"/>
    <w:rsid w:val="00DD01C9"/>
    <w:rsid w:val="00DE1C1C"/>
    <w:rsid w:val="00DE2127"/>
    <w:rsid w:val="00DE417A"/>
    <w:rsid w:val="00E21213"/>
    <w:rsid w:val="00E40334"/>
    <w:rsid w:val="00E62D4E"/>
    <w:rsid w:val="00E671A4"/>
    <w:rsid w:val="00EA0D21"/>
    <w:rsid w:val="00EC676A"/>
    <w:rsid w:val="00EE71C5"/>
    <w:rsid w:val="00EF0F1C"/>
    <w:rsid w:val="00EF3984"/>
    <w:rsid w:val="00F35C7B"/>
    <w:rsid w:val="00F4325E"/>
    <w:rsid w:val="00F50371"/>
    <w:rsid w:val="00F77659"/>
    <w:rsid w:val="00F77E51"/>
    <w:rsid w:val="00F818E6"/>
    <w:rsid w:val="00F87E0C"/>
    <w:rsid w:val="00F91308"/>
    <w:rsid w:val="00FF7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848EC"/>
  <w15:chartTrackingRefBased/>
  <w15:docId w15:val="{AC7EE6D2-E1C1-8145-BCF9-A13C27263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549F"/>
    <w:pPr>
      <w:suppressAutoHyphens/>
      <w:overflowPunct w:val="0"/>
    </w:pPr>
    <w:rPr>
      <w:rFonts w:ascii="Times New Roman" w:eastAsia="Times New Roman" w:hAnsi="Times New Roman" w:cs="Times New Roman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wmf"/><Relationship Id="rId3" Type="http://schemas.openxmlformats.org/officeDocument/2006/relationships/webSettings" Target="webSettings.xml"/><Relationship Id="rId7" Type="http://schemas.openxmlformats.org/officeDocument/2006/relationships/image" Target="media/image4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wmf"/><Relationship Id="rId10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336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Conor Lovett</cp:lastModifiedBy>
  <cp:revision>2</cp:revision>
  <dcterms:created xsi:type="dcterms:W3CDTF">2024-12-09T11:43:00Z</dcterms:created>
  <dcterms:modified xsi:type="dcterms:W3CDTF">2024-12-09T11:43:00Z</dcterms:modified>
</cp:coreProperties>
</file>