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26CB" w:rsidRDefault="00F92046">
      <w:pPr>
        <w:spacing w:line="360" w:lineRule="auto"/>
        <w:jc w:val="center"/>
        <w:rPr>
          <w:b/>
        </w:rPr>
      </w:pPr>
      <w:r>
        <w:rPr>
          <w:b/>
        </w:rPr>
        <w:t>Supplementary Material</w:t>
      </w:r>
    </w:p>
    <w:p w:rsidR="00E026CB" w:rsidRDefault="00F92046">
      <w:pPr>
        <w:spacing w:line="360" w:lineRule="auto"/>
        <w:rPr>
          <w:b/>
        </w:rPr>
      </w:pPr>
      <w:r>
        <w:rPr>
          <w:b/>
        </w:rPr>
        <w:t>Table of contents</w:t>
      </w:r>
    </w:p>
    <w:sdt>
      <w:sdtPr>
        <w:id w:val="525076048"/>
        <w:docPartObj>
          <w:docPartGallery w:val="Table of Contents"/>
          <w:docPartUnique/>
        </w:docPartObj>
      </w:sdtPr>
      <w:sdtEndPr/>
      <w:sdtContent>
        <w:p w:rsidR="00E026CB" w:rsidRDefault="00F92046">
          <w:pPr>
            <w:widowControl w:val="0"/>
            <w:tabs>
              <w:tab w:val="right" w:leader="dot" w:pos="12000"/>
            </w:tabs>
            <w:spacing w:before="60"/>
            <w:rPr>
              <w:rFonts w:ascii="Arial" w:eastAsia="Arial" w:hAnsi="Arial" w:cs="Arial"/>
              <w:b/>
              <w:color w:val="000000"/>
              <w:sz w:val="22"/>
              <w:szCs w:val="22"/>
            </w:rPr>
          </w:pPr>
          <w:r>
            <w:fldChar w:fldCharType="begin"/>
          </w:r>
          <w:r>
            <w:instrText xml:space="preserve"> TOC \h \u \z \t "Heading 1,1,Heading 2,2,Heading 3,3,Heading 4,4,Heading 5,5,Heading 6,6,"</w:instrText>
          </w:r>
          <w:r>
            <w:fldChar w:fldCharType="separate"/>
          </w:r>
          <w:hyperlink w:anchor="_gjdgxs">
            <w:r>
              <w:rPr>
                <w:color w:val="000000"/>
              </w:rPr>
              <w:t>Detailed patient and variant information</w:t>
            </w:r>
            <w:r>
              <w:rPr>
                <w:color w:val="000000"/>
              </w:rPr>
              <w:tab/>
              <w:t>2</w:t>
            </w:r>
          </w:hyperlink>
        </w:p>
        <w:p w:rsidR="00E026CB" w:rsidRDefault="00F92046">
          <w:pPr>
            <w:widowControl w:val="0"/>
            <w:tabs>
              <w:tab w:val="right" w:leader="dot" w:pos="12000"/>
            </w:tabs>
            <w:spacing w:before="60"/>
            <w:rPr>
              <w:rFonts w:ascii="Arial" w:eastAsia="Arial" w:hAnsi="Arial" w:cs="Arial"/>
              <w:b/>
              <w:color w:val="000000"/>
              <w:sz w:val="22"/>
              <w:szCs w:val="22"/>
            </w:rPr>
          </w:pPr>
          <w:hyperlink w:anchor="_k9fgqz7waqxq"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Familial analysis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ab/>
              <w:t>4</w:t>
            </w:r>
          </w:hyperlink>
          <w:r>
            <w:fldChar w:fldCharType="end"/>
          </w:r>
        </w:p>
      </w:sdtContent>
    </w:sdt>
    <w:p w:rsidR="00E026CB" w:rsidRDefault="00E026CB">
      <w:pPr>
        <w:spacing w:line="360" w:lineRule="auto"/>
      </w:pPr>
    </w:p>
    <w:p w:rsidR="00E026CB" w:rsidRDefault="00F92046">
      <w:pPr>
        <w:spacing w:line="360" w:lineRule="auto"/>
        <w:ind w:firstLine="720"/>
      </w:pPr>
      <w:r>
        <w:br w:type="page"/>
      </w:r>
    </w:p>
    <w:p w:rsidR="00F92046" w:rsidRDefault="00F92046">
      <w:pPr>
        <w:spacing w:line="360" w:lineRule="auto"/>
        <w:ind w:firstLine="720"/>
        <w:rPr>
          <w:b/>
        </w:rPr>
      </w:pPr>
      <w:bookmarkStart w:id="0" w:name="_GoBack"/>
      <w:bookmarkEnd w:id="0"/>
    </w:p>
    <w:p w:rsidR="00E026CB" w:rsidRDefault="00F92046">
      <w:pPr>
        <w:pStyle w:val="Heading1"/>
      </w:pPr>
      <w:bookmarkStart w:id="1" w:name="_53x2okmrtx10" w:colFirst="0" w:colLast="0"/>
      <w:bookmarkEnd w:id="1"/>
      <w:r>
        <w:t>Details of centres involved</w:t>
      </w:r>
    </w:p>
    <w:tbl>
      <w:tblPr>
        <w:tblStyle w:val="a"/>
        <w:tblW w:w="90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850"/>
        <w:gridCol w:w="3150"/>
      </w:tblGrid>
      <w:tr w:rsidR="00E026CB">
        <w:tc>
          <w:tcPr>
            <w:tcW w:w="0" w:type="auto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  <w:r>
              <w:rPr>
                <w:b/>
              </w:rPr>
              <w:t>Study</w:t>
            </w:r>
          </w:p>
        </w:tc>
        <w:tc>
          <w:tcPr>
            <w:tcW w:w="0" w:type="auto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  <w:r>
              <w:rPr>
                <w:b/>
              </w:rPr>
              <w:t>Reference publication</w:t>
            </w:r>
          </w:p>
        </w:tc>
      </w:tr>
      <w:tr w:rsidR="00E026CB">
        <w:tc>
          <w:tcPr>
            <w:tcW w:w="0" w:type="auto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Dublin-Ireland (Beaumont Hospital)</w:t>
            </w:r>
          </w:p>
        </w:tc>
        <w:tc>
          <w:tcPr>
            <w:tcW w:w="0" w:type="auto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Benson et al 2021</w:t>
            </w:r>
            <w:hyperlink r:id="rId6">
              <w:r>
                <w:t>[1]</w:t>
              </w:r>
            </w:hyperlink>
          </w:p>
        </w:tc>
      </w:tr>
      <w:tr w:rsidR="00E026CB">
        <w:tc>
          <w:tcPr>
            <w:tcW w:w="0" w:type="auto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Leipzig-Germany (University of Leipzig Medical Center)</w:t>
            </w:r>
          </w:p>
        </w:tc>
        <w:tc>
          <w:tcPr>
            <w:tcW w:w="0" w:type="auto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Schӧnhauer et al 2020</w:t>
            </w:r>
            <w:hyperlink r:id="rId7">
              <w:r>
                <w:t>[2]</w:t>
              </w:r>
            </w:hyperlink>
          </w:p>
        </w:tc>
      </w:tr>
      <w:tr w:rsidR="00E026CB">
        <w:trPr>
          <w:trHeight w:val="487"/>
        </w:trPr>
        <w:tc>
          <w:tcPr>
            <w:tcW w:w="0" w:type="auto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Bologna-Italy (Alma Mater Studiorum, University of Bologna)</w:t>
            </w:r>
          </w:p>
        </w:tc>
        <w:tc>
          <w:tcPr>
            <w:tcW w:w="0" w:type="auto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Mantovani et al 2020</w:t>
            </w:r>
            <w:hyperlink r:id="rId8">
              <w:r>
                <w:t>[3]</w:t>
              </w:r>
            </w:hyperlink>
          </w:p>
        </w:tc>
      </w:tr>
      <w:tr w:rsidR="00E026CB">
        <w:tc>
          <w:tcPr>
            <w:tcW w:w="0" w:type="auto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Sydney-Australia (Garvan Institute of Medical Research)</w:t>
            </w:r>
          </w:p>
        </w:tc>
        <w:tc>
          <w:tcPr>
            <w:tcW w:w="0" w:type="auto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Mallawaarachchi et at 2016</w:t>
            </w:r>
            <w:hyperlink r:id="rId9">
              <w:r>
                <w:t>[4]</w:t>
              </w:r>
            </w:hyperlink>
          </w:p>
        </w:tc>
      </w:tr>
      <w:tr w:rsidR="00E026CB">
        <w:tc>
          <w:tcPr>
            <w:tcW w:w="0" w:type="auto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Nantes-France (Nantes University Hospital)</w:t>
            </w:r>
          </w:p>
        </w:tc>
        <w:tc>
          <w:tcPr>
            <w:tcW w:w="0" w:type="auto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Currently unpublished</w:t>
            </w:r>
          </w:p>
        </w:tc>
      </w:tr>
      <w:tr w:rsidR="00E026CB">
        <w:tc>
          <w:tcPr>
            <w:tcW w:w="0" w:type="auto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Rochester-United States (Mayo Clinic)</w:t>
            </w:r>
          </w:p>
        </w:tc>
        <w:tc>
          <w:tcPr>
            <w:tcW w:w="0" w:type="auto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Mallawaarachchi et al 2021</w:t>
            </w:r>
            <w:hyperlink r:id="rId10">
              <w:r>
                <w:t>[5]</w:t>
              </w:r>
            </w:hyperlink>
          </w:p>
        </w:tc>
      </w:tr>
      <w:tr w:rsidR="00E026CB">
        <w:tc>
          <w:tcPr>
            <w:tcW w:w="0" w:type="auto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London-United Kingdom (Genomics England)</w:t>
            </w:r>
          </w:p>
        </w:tc>
        <w:tc>
          <w:tcPr>
            <w:tcW w:w="0" w:type="auto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The National Genomic Research library 2020</w:t>
            </w:r>
            <w:hyperlink r:id="rId11">
              <w:r>
                <w:t>[6]</w:t>
              </w:r>
            </w:hyperlink>
          </w:p>
        </w:tc>
      </w:tr>
    </w:tbl>
    <w:p w:rsidR="00E026CB" w:rsidRDefault="00F92046">
      <w:pPr>
        <w:widowControl w:val="0"/>
        <w:spacing w:before="240" w:after="30" w:line="480" w:lineRule="auto"/>
        <w:jc w:val="both"/>
      </w:pPr>
      <w:r>
        <w:br w:type="page"/>
      </w:r>
    </w:p>
    <w:p w:rsidR="00E026CB" w:rsidRDefault="00F92046">
      <w:pPr>
        <w:pStyle w:val="Heading1"/>
      </w:pPr>
      <w:bookmarkStart w:id="2" w:name="_gjdgxs" w:colFirst="0" w:colLast="0"/>
      <w:bookmarkEnd w:id="2"/>
      <w:r>
        <w:t>Detailed patient and variant information</w:t>
      </w:r>
    </w:p>
    <w:p w:rsidR="00E026CB" w:rsidRDefault="00F92046">
      <w:pPr>
        <w:spacing w:line="360" w:lineRule="auto"/>
        <w:jc w:val="both"/>
      </w:pPr>
      <w:r>
        <w:rPr>
          <w:b/>
        </w:rPr>
        <w:t>Supplementary Table S1:</w:t>
      </w:r>
      <w:r>
        <w:t xml:space="preserve"> Summary of the RAPPA variants in this cohort. The ACMG classification of each variant, along with its global gnomAD frequency and count in this dataset are also giv</w:t>
      </w:r>
      <w:r>
        <w:t xml:space="preserve">en. </w:t>
      </w:r>
    </w:p>
    <w:tbl>
      <w:tblPr>
        <w:tblStyle w:val="a0"/>
        <w:tblW w:w="70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580"/>
        <w:gridCol w:w="2405"/>
        <w:gridCol w:w="2135"/>
        <w:gridCol w:w="905"/>
      </w:tblGrid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RAPPA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ACMG Class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gnomAD frequency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Count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p.Arg1547His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0.00001924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p.Arg3647Trp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(PM2, BS2)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0.0004605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p.Ser1957Arg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p.Gln1908Pro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0.0000012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p.Arg3748Trp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(PM2, PP3)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0.0000006853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p.Pro450Thr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(PM2, BP4)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0.0001805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p.Arg2186Cys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0.00001732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p.Cys874Phe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0.0000012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p.Thr775Met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0.00001302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p.Leu3477Ile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(PM2, BP4)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0.0003457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p.Ser2807Tyr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p.Leu1442Phe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0.00000137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p.Pro398Leu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(PM2, PP3, PP5)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0.00003721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p.Arg2220Gly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(PM2, PM5)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0.000008703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p.Asp2972Asn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(PM2, BP4)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0.0001312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p.His2998Gln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0.000001371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p.Thr1589Met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0.000006848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p.Arg2024Cys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(PM2, PP3)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0.0000237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p.Gly3877Ser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0.000009066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p.Pro655Leu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(PM2, BP1)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0.0001294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p.Arg3247Cys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(PM2, PM5, PP3)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0.00001133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p.Gly1944Arg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(PM2, PP3)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p.Ala989Thr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0.00000809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p.Ala1985Thr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0.000002081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p.Asp1246Asn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0.00003288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p.Ala2871Thr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0.00009129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p.Lys3607Met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(PM2, PP3)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p.Val49Leu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(PM2, BP4)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p.Gly60Cys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p.Ile2646Thr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(PM2, BS2)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0.0002447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p.Glu2810Lys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(PM2, BP4)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0.0001068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p.Thr1354Met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0.0000447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p.Glu3925Ala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0.000004691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p.Gly2452Cys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(PM2, PM1)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p.Ala3991Val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0.00002894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p.Arg2518His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0.00002298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p.Arg3209Cys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(PM2, BP1)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0.00004594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p.Asp3239Asn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(PM2, PP3)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0.00001374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p.Asn2620Ser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(PM2, PP3)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0.0002506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p.Arg3348Gln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(PM2, BS2)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0.009045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p.Met2760Thr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0.000001864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p.Glu685Gly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(PM2, PM5)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0.0000007005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p.Pro2965Ala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(PM2, BP4)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p.Gln2670Arg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(PM2, BS4)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0.0002911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p.Arg1425Cys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(PM2, BP4)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0.00002358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026CB">
        <w:trPr>
          <w:trHeight w:val="4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p.Arg600Trp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VUS (PM2, BP4)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0.00003548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CB" w:rsidRDefault="00F920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</w:tbl>
    <w:p w:rsidR="00E026CB" w:rsidRDefault="00F92046">
      <w:pPr>
        <w:widowControl w:val="0"/>
        <w:spacing w:before="240" w:after="30"/>
      </w:pPr>
      <w:r>
        <w:rPr>
          <w:sz w:val="18"/>
          <w:szCs w:val="18"/>
        </w:rPr>
        <w:t>RAPPA: Rare, Additional, Potentially Protein Altering (RAPPA) VUS: variant of unknown significance</w:t>
      </w:r>
      <w:r>
        <w:br w:type="page"/>
      </w:r>
    </w:p>
    <w:p w:rsidR="00E026CB" w:rsidRDefault="00F92046">
      <w:pPr>
        <w:pStyle w:val="Heading1"/>
        <w:spacing w:before="280" w:after="280"/>
      </w:pPr>
      <w:bookmarkStart w:id="3" w:name="_k9fgqz7waqxq" w:colFirst="0" w:colLast="0"/>
      <w:bookmarkEnd w:id="3"/>
      <w:r>
        <w:t>Familial analysis</w:t>
      </w:r>
    </w:p>
    <w:p w:rsidR="00E026CB" w:rsidRDefault="00F92046">
      <w:pPr>
        <w:widowControl w:val="0"/>
        <w:spacing w:after="30" w:line="480" w:lineRule="auto"/>
        <w:jc w:val="both"/>
      </w:pPr>
      <w:r>
        <w:rPr>
          <w:b/>
        </w:rPr>
        <w:t xml:space="preserve">Supplementary Table S2. </w:t>
      </w:r>
      <w:r>
        <w:t xml:space="preserve">The impact of RAPPA variants on kidney survival, taking just one individual from each family. Cox model controlling for diagnostic variant type and sex. </w:t>
      </w:r>
    </w:p>
    <w:tbl>
      <w:tblPr>
        <w:tblStyle w:val="a1"/>
        <w:tblW w:w="7226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3628"/>
        <w:gridCol w:w="1769"/>
        <w:gridCol w:w="1829"/>
      </w:tblGrid>
      <w:tr w:rsidR="00E026CB">
        <w:trPr>
          <w:trHeight w:val="300"/>
        </w:trPr>
        <w:tc>
          <w:tcPr>
            <w:tcW w:w="0" w:type="auto"/>
          </w:tcPr>
          <w:p w:rsidR="00E026CB" w:rsidRDefault="00F92046">
            <w:pPr>
              <w:rPr>
                <w:b/>
              </w:rPr>
            </w:pPr>
            <w:r>
              <w:rPr>
                <w:b/>
              </w:rPr>
              <w:t>Characteristic</w:t>
            </w:r>
          </w:p>
        </w:tc>
        <w:tc>
          <w:tcPr>
            <w:tcW w:w="0" w:type="auto"/>
          </w:tcPr>
          <w:p w:rsidR="00E026CB" w:rsidRDefault="00F92046">
            <w:pPr>
              <w:jc w:val="center"/>
              <w:rPr>
                <w:b/>
              </w:rPr>
            </w:pPr>
            <w:r>
              <w:rPr>
                <w:b/>
              </w:rPr>
              <w:t>HR (95% CI)</w:t>
            </w:r>
          </w:p>
        </w:tc>
        <w:tc>
          <w:tcPr>
            <w:tcW w:w="0" w:type="auto"/>
          </w:tcPr>
          <w:p w:rsidR="00E026CB" w:rsidRDefault="00F92046">
            <w:pPr>
              <w:jc w:val="center"/>
              <w:rPr>
                <w:b/>
              </w:rPr>
            </w:pPr>
            <w:r>
              <w:rPr>
                <w:b/>
                <w:i/>
              </w:rPr>
              <w:t>P</w:t>
            </w:r>
            <w:r>
              <w:rPr>
                <w:b/>
              </w:rPr>
              <w:t>-value</w:t>
            </w:r>
          </w:p>
        </w:tc>
      </w:tr>
      <w:tr w:rsidR="00E026CB">
        <w:trPr>
          <w:trHeight w:val="300"/>
        </w:trPr>
        <w:tc>
          <w:tcPr>
            <w:tcW w:w="0" w:type="auto"/>
            <w:gridSpan w:val="3"/>
          </w:tcPr>
          <w:p w:rsidR="00E026CB" w:rsidRDefault="00F92046">
            <w:pPr>
              <w:jc w:val="center"/>
              <w:rPr>
                <w:b/>
              </w:rPr>
            </w:pPr>
            <w:r>
              <w:rPr>
                <w:b/>
              </w:rPr>
              <w:t>Kidney survival (n = 747, R</w:t>
            </w:r>
            <w:r>
              <w:rPr>
                <w:b/>
                <w:vertAlign w:val="superscript"/>
              </w:rPr>
              <w:t>2</w:t>
            </w:r>
            <w:r>
              <w:rPr>
                <w:b/>
              </w:rPr>
              <w:t xml:space="preserve"> = 0.22)</w:t>
            </w:r>
          </w:p>
        </w:tc>
      </w:tr>
      <w:tr w:rsidR="00E026CB">
        <w:trPr>
          <w:trHeight w:val="300"/>
        </w:trPr>
        <w:tc>
          <w:tcPr>
            <w:tcW w:w="0" w:type="auto"/>
          </w:tcPr>
          <w:p w:rsidR="00E026CB" w:rsidRDefault="00F92046">
            <w:r>
              <w:t>Diagnostic variant type</w:t>
            </w:r>
          </w:p>
        </w:tc>
        <w:tc>
          <w:tcPr>
            <w:tcW w:w="0" w:type="auto"/>
          </w:tcPr>
          <w:p w:rsidR="00E026CB" w:rsidRDefault="00E026CB">
            <w:pPr>
              <w:jc w:val="center"/>
            </w:pPr>
          </w:p>
        </w:tc>
        <w:tc>
          <w:tcPr>
            <w:tcW w:w="0" w:type="auto"/>
          </w:tcPr>
          <w:p w:rsidR="00E026CB" w:rsidRDefault="00E026CB">
            <w:pPr>
              <w:spacing w:line="259" w:lineRule="auto"/>
              <w:jc w:val="center"/>
              <w:rPr>
                <w:b/>
              </w:rPr>
            </w:pPr>
          </w:p>
        </w:tc>
      </w:tr>
      <w:tr w:rsidR="00E026CB">
        <w:trPr>
          <w:trHeight w:val="300"/>
        </w:trPr>
        <w:tc>
          <w:tcPr>
            <w:tcW w:w="0" w:type="auto"/>
          </w:tcPr>
          <w:p w:rsidR="00E026CB" w:rsidRDefault="00F92046">
            <w:pPr>
              <w:rPr>
                <w:i/>
              </w:rPr>
            </w:pPr>
            <w:r>
              <w:rPr>
                <w:i/>
              </w:rPr>
              <w:t xml:space="preserve">    PKD1-T</w:t>
            </w:r>
          </w:p>
        </w:tc>
        <w:tc>
          <w:tcPr>
            <w:tcW w:w="0" w:type="auto"/>
          </w:tcPr>
          <w:p w:rsidR="00E026CB" w:rsidRDefault="00F92046">
            <w:pPr>
              <w:jc w:val="center"/>
            </w:pPr>
            <w:r>
              <w:t>1</w:t>
            </w:r>
          </w:p>
        </w:tc>
        <w:tc>
          <w:tcPr>
            <w:tcW w:w="0" w:type="auto"/>
          </w:tcPr>
          <w:p w:rsidR="00E026CB" w:rsidRDefault="00F92046">
            <w:pPr>
              <w:spacing w:line="259" w:lineRule="auto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E026CB">
        <w:trPr>
          <w:trHeight w:val="300"/>
        </w:trPr>
        <w:tc>
          <w:tcPr>
            <w:tcW w:w="0" w:type="auto"/>
          </w:tcPr>
          <w:p w:rsidR="00E026CB" w:rsidRDefault="00F92046">
            <w:pPr>
              <w:rPr>
                <w:i/>
              </w:rPr>
            </w:pPr>
            <w:r>
              <w:rPr>
                <w:i/>
              </w:rPr>
              <w:t xml:space="preserve">    PKD1-NT</w:t>
            </w:r>
          </w:p>
        </w:tc>
        <w:tc>
          <w:tcPr>
            <w:tcW w:w="0" w:type="auto"/>
          </w:tcPr>
          <w:p w:rsidR="00E026CB" w:rsidRDefault="00F92046">
            <w:pPr>
              <w:jc w:val="center"/>
            </w:pPr>
            <w:r>
              <w:t>0.38 (0.30, 0.47)</w:t>
            </w:r>
          </w:p>
        </w:tc>
        <w:tc>
          <w:tcPr>
            <w:tcW w:w="0" w:type="auto"/>
          </w:tcPr>
          <w:p w:rsidR="00E026CB" w:rsidRDefault="00F92046">
            <w:pPr>
              <w:spacing w:line="259" w:lineRule="auto"/>
              <w:jc w:val="center"/>
            </w:pPr>
            <w:r>
              <w:rPr>
                <w:b/>
              </w:rPr>
              <w:t>&lt;0.001</w:t>
            </w:r>
          </w:p>
        </w:tc>
      </w:tr>
      <w:tr w:rsidR="00E026CB">
        <w:trPr>
          <w:trHeight w:val="300"/>
        </w:trPr>
        <w:tc>
          <w:tcPr>
            <w:tcW w:w="0" w:type="auto"/>
          </w:tcPr>
          <w:p w:rsidR="00E026CB" w:rsidRDefault="00F92046">
            <w:pPr>
              <w:spacing w:line="259" w:lineRule="auto"/>
            </w:pPr>
            <w:r>
              <w:t>Sex</w:t>
            </w:r>
          </w:p>
        </w:tc>
        <w:tc>
          <w:tcPr>
            <w:tcW w:w="0" w:type="auto"/>
          </w:tcPr>
          <w:p w:rsidR="00E026CB" w:rsidRDefault="00E026CB">
            <w:pPr>
              <w:jc w:val="center"/>
            </w:pPr>
          </w:p>
        </w:tc>
        <w:tc>
          <w:tcPr>
            <w:tcW w:w="0" w:type="auto"/>
          </w:tcPr>
          <w:p w:rsidR="00E026CB" w:rsidRDefault="00E026CB">
            <w:pPr>
              <w:spacing w:line="259" w:lineRule="auto"/>
              <w:jc w:val="center"/>
              <w:rPr>
                <w:b/>
              </w:rPr>
            </w:pPr>
          </w:p>
        </w:tc>
      </w:tr>
      <w:tr w:rsidR="00E026CB">
        <w:trPr>
          <w:trHeight w:val="300"/>
        </w:trPr>
        <w:tc>
          <w:tcPr>
            <w:tcW w:w="0" w:type="auto"/>
          </w:tcPr>
          <w:p w:rsidR="00E026CB" w:rsidRDefault="00F92046">
            <w:pPr>
              <w:spacing w:line="259" w:lineRule="auto"/>
              <w:rPr>
                <w:i/>
              </w:rPr>
            </w:pPr>
            <w:r>
              <w:rPr>
                <w:i/>
              </w:rPr>
              <w:t xml:space="preserve">    Female</w:t>
            </w:r>
          </w:p>
        </w:tc>
        <w:tc>
          <w:tcPr>
            <w:tcW w:w="0" w:type="auto"/>
          </w:tcPr>
          <w:p w:rsidR="00E026CB" w:rsidRDefault="00F92046">
            <w:pPr>
              <w:jc w:val="center"/>
            </w:pPr>
            <w:r>
              <w:t>1</w:t>
            </w:r>
          </w:p>
        </w:tc>
        <w:tc>
          <w:tcPr>
            <w:tcW w:w="0" w:type="auto"/>
          </w:tcPr>
          <w:p w:rsidR="00E026CB" w:rsidRDefault="00F92046">
            <w:pPr>
              <w:spacing w:line="259" w:lineRule="auto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E026CB">
        <w:trPr>
          <w:trHeight w:val="300"/>
        </w:trPr>
        <w:tc>
          <w:tcPr>
            <w:tcW w:w="0" w:type="auto"/>
          </w:tcPr>
          <w:p w:rsidR="00E026CB" w:rsidRDefault="00F92046">
            <w:pPr>
              <w:spacing w:line="259" w:lineRule="auto"/>
              <w:rPr>
                <w:i/>
              </w:rPr>
            </w:pPr>
            <w:r>
              <w:rPr>
                <w:i/>
              </w:rPr>
              <w:t xml:space="preserve">    Male</w:t>
            </w:r>
          </w:p>
        </w:tc>
        <w:tc>
          <w:tcPr>
            <w:tcW w:w="0" w:type="auto"/>
          </w:tcPr>
          <w:p w:rsidR="00E026CB" w:rsidRDefault="00F92046">
            <w:pPr>
              <w:jc w:val="center"/>
            </w:pPr>
            <w:r>
              <w:t>1.52 (1.24, 1.85)</w:t>
            </w:r>
          </w:p>
        </w:tc>
        <w:tc>
          <w:tcPr>
            <w:tcW w:w="0" w:type="auto"/>
          </w:tcPr>
          <w:p w:rsidR="00E026CB" w:rsidRDefault="00F92046">
            <w:pPr>
              <w:spacing w:line="259" w:lineRule="auto"/>
              <w:jc w:val="center"/>
            </w:pPr>
            <w:r>
              <w:rPr>
                <w:b/>
              </w:rPr>
              <w:t>&lt;0.001</w:t>
            </w:r>
          </w:p>
        </w:tc>
      </w:tr>
      <w:tr w:rsidR="00E026CB">
        <w:trPr>
          <w:trHeight w:val="300"/>
        </w:trPr>
        <w:tc>
          <w:tcPr>
            <w:tcW w:w="0" w:type="auto"/>
          </w:tcPr>
          <w:p w:rsidR="00E026CB" w:rsidRDefault="00F92046">
            <w:pPr>
              <w:rPr>
                <w:b/>
              </w:rPr>
            </w:pPr>
            <w:bookmarkStart w:id="4" w:name="_tyjcwt" w:colFirst="0" w:colLast="0"/>
            <w:bookmarkEnd w:id="4"/>
            <w:r>
              <w:rPr>
                <w:b/>
              </w:rPr>
              <w:t>RAPPA variant (n = 42)</w:t>
            </w:r>
          </w:p>
        </w:tc>
        <w:tc>
          <w:tcPr>
            <w:tcW w:w="0" w:type="auto"/>
          </w:tcPr>
          <w:p w:rsidR="00E026CB" w:rsidRDefault="00F92046">
            <w:pPr>
              <w:jc w:val="center"/>
              <w:rPr>
                <w:b/>
              </w:rPr>
            </w:pPr>
            <w:r>
              <w:rPr>
                <w:b/>
              </w:rPr>
              <w:t>1.55 (1.05, 2.25)</w:t>
            </w:r>
          </w:p>
        </w:tc>
        <w:tc>
          <w:tcPr>
            <w:tcW w:w="0" w:type="auto"/>
          </w:tcPr>
          <w:p w:rsidR="00E026CB" w:rsidRDefault="00F92046">
            <w:pPr>
              <w:spacing w:line="259" w:lineRule="auto"/>
              <w:jc w:val="center"/>
              <w:rPr>
                <w:b/>
              </w:rPr>
            </w:pPr>
            <w:r>
              <w:rPr>
                <w:b/>
              </w:rPr>
              <w:t>0.03</w:t>
            </w:r>
          </w:p>
        </w:tc>
      </w:tr>
    </w:tbl>
    <w:p w:rsidR="00E026CB" w:rsidRDefault="00F92046">
      <w:pPr>
        <w:widowControl w:val="0"/>
        <w:spacing w:before="240" w:after="30"/>
        <w:rPr>
          <w:sz w:val="18"/>
          <w:szCs w:val="18"/>
        </w:rPr>
      </w:pPr>
      <w:r>
        <w:rPr>
          <w:sz w:val="18"/>
          <w:szCs w:val="18"/>
        </w:rPr>
        <w:t xml:space="preserve">CI: Confidence Interval, HR: Hazard ratio, RAPPA: Rare, Additional, Potentially Protein Altering (RAPPA) </w:t>
      </w:r>
      <w:r>
        <w:rPr>
          <w:i/>
          <w:sz w:val="18"/>
          <w:szCs w:val="18"/>
        </w:rPr>
        <w:t xml:space="preserve">PKD1 </w:t>
      </w:r>
      <w:r>
        <w:rPr>
          <w:sz w:val="18"/>
          <w:szCs w:val="18"/>
        </w:rPr>
        <w:t xml:space="preserve">variants, </w:t>
      </w:r>
      <w:r>
        <w:rPr>
          <w:i/>
          <w:sz w:val="18"/>
          <w:szCs w:val="18"/>
        </w:rPr>
        <w:t>PKD1</w:t>
      </w:r>
      <w:r>
        <w:rPr>
          <w:sz w:val="18"/>
          <w:szCs w:val="18"/>
        </w:rPr>
        <w:t xml:space="preserve">-NT: </w:t>
      </w:r>
      <w:r>
        <w:rPr>
          <w:i/>
          <w:sz w:val="18"/>
          <w:szCs w:val="18"/>
        </w:rPr>
        <w:t>PKD1</w:t>
      </w:r>
      <w:r>
        <w:rPr>
          <w:sz w:val="18"/>
          <w:szCs w:val="18"/>
        </w:rPr>
        <w:t xml:space="preserve">-non truncating mutation, </w:t>
      </w:r>
      <w:r>
        <w:rPr>
          <w:i/>
          <w:sz w:val="18"/>
          <w:szCs w:val="18"/>
        </w:rPr>
        <w:t>PKD1</w:t>
      </w:r>
      <w:r>
        <w:rPr>
          <w:sz w:val="18"/>
          <w:szCs w:val="18"/>
        </w:rPr>
        <w:t xml:space="preserve">-T: </w:t>
      </w:r>
      <w:r>
        <w:rPr>
          <w:i/>
          <w:sz w:val="18"/>
          <w:szCs w:val="18"/>
        </w:rPr>
        <w:t>PKD1</w:t>
      </w:r>
      <w:r>
        <w:rPr>
          <w:sz w:val="18"/>
          <w:szCs w:val="18"/>
        </w:rPr>
        <w:t xml:space="preserve"> truncating mutation.</w:t>
      </w:r>
    </w:p>
    <w:p w:rsidR="00E026CB" w:rsidRDefault="00F92046">
      <w:pPr>
        <w:widowControl w:val="0"/>
        <w:spacing w:before="240" w:after="30"/>
        <w:rPr>
          <w:sz w:val="18"/>
          <w:szCs w:val="18"/>
        </w:rPr>
      </w:pPr>
      <w:r>
        <w:br w:type="page"/>
      </w:r>
    </w:p>
    <w:p w:rsidR="00E026CB" w:rsidRDefault="00F92046">
      <w:pPr>
        <w:pStyle w:val="Heading1"/>
        <w:spacing w:before="280" w:after="280"/>
        <w:rPr>
          <w:sz w:val="18"/>
          <w:szCs w:val="18"/>
        </w:rPr>
      </w:pPr>
      <w:bookmarkStart w:id="5" w:name="_2k94f5wykgga" w:colFirst="0" w:colLast="0"/>
      <w:bookmarkEnd w:id="5"/>
      <w:r>
        <w:t>Survival curves for individuals with and without RAPPA variants</w:t>
      </w:r>
    </w:p>
    <w:p w:rsidR="00E026CB" w:rsidRDefault="00F92046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noProof/>
          <w:lang w:val="en-IN"/>
        </w:rPr>
        <w:drawing>
          <wp:inline distT="114300" distB="114300" distL="114300" distR="114300">
            <wp:extent cx="5731200" cy="4114800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4114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E026CB" w:rsidRDefault="00F92046">
      <w:pPr>
        <w:widowControl w:val="0"/>
        <w:spacing w:after="30" w:line="480" w:lineRule="auto"/>
        <w:jc w:val="both"/>
      </w:pPr>
      <w:r>
        <w:rPr>
          <w:b/>
        </w:rPr>
        <w:t xml:space="preserve">Supplementary Figure S1: </w:t>
      </w:r>
      <w:r>
        <w:t>Kaplan-Meier plot comparing kidney survival of patients with and without RAPPA variants. Dotted lines indicate median survival for each group. With RAPPA variants n=</w:t>
      </w:r>
      <w:r>
        <w:t>51, without n=881. Median survival of those without RAPPA variants is 54 years, median survival of those with RAPPA variants is 50 years (</w:t>
      </w:r>
      <w:r>
        <w:rPr>
          <w:i/>
        </w:rPr>
        <w:t>P</w:t>
      </w:r>
      <w:r>
        <w:t xml:space="preserve"> = 0.009). </w:t>
      </w:r>
    </w:p>
    <w:p w:rsidR="00E026CB" w:rsidRDefault="00E026CB">
      <w:pPr>
        <w:widowControl w:val="0"/>
        <w:spacing w:after="30" w:line="480" w:lineRule="auto"/>
        <w:jc w:val="both"/>
      </w:pPr>
    </w:p>
    <w:p w:rsidR="00E026CB" w:rsidRDefault="00F92046">
      <w:pPr>
        <w:pStyle w:val="Heading1"/>
      </w:pPr>
      <w:bookmarkStart w:id="6" w:name="_sy91blfetkgm" w:colFirst="0" w:colLast="0"/>
      <w:bookmarkEnd w:id="6"/>
      <w:r>
        <w:br w:type="page"/>
      </w:r>
    </w:p>
    <w:p w:rsidR="00E026CB" w:rsidRDefault="00F92046">
      <w:pPr>
        <w:pStyle w:val="Heading1"/>
      </w:pPr>
      <w:bookmarkStart w:id="7" w:name="_c7h6j81nj3m0" w:colFirst="0" w:colLast="0"/>
      <w:bookmarkEnd w:id="7"/>
      <w:r>
        <w:t>References</w:t>
      </w:r>
    </w:p>
    <w:p w:rsidR="00E026CB" w:rsidRDefault="00F92046">
      <w:pPr>
        <w:widowControl w:val="0"/>
        <w:pBdr>
          <w:top w:val="nil"/>
          <w:left w:val="nil"/>
          <w:bottom w:val="nil"/>
          <w:right w:val="nil"/>
          <w:between w:val="nil"/>
        </w:pBdr>
        <w:ind w:left="384" w:hanging="384"/>
      </w:pPr>
      <w:hyperlink r:id="rId13">
        <w:r>
          <w:t>[1]</w:t>
        </w:r>
        <w:r>
          <w:tab/>
          <w:t xml:space="preserve">K. A. Benson </w:t>
        </w:r>
      </w:hyperlink>
      <w:hyperlink r:id="rId14">
        <w:r>
          <w:rPr>
            <w:i/>
          </w:rPr>
          <w:t>et al.</w:t>
        </w:r>
      </w:hyperlink>
      <w:hyperlink r:id="rId15">
        <w:r>
          <w:t xml:space="preserve">, “The genetic landscape of polycystic kidney disease in Ireland,” </w:t>
        </w:r>
      </w:hyperlink>
      <w:hyperlink r:id="rId16">
        <w:r>
          <w:rPr>
            <w:i/>
          </w:rPr>
          <w:t>European Journal of Human Genetics</w:t>
        </w:r>
      </w:hyperlink>
      <w:hyperlink r:id="rId17">
        <w:r>
          <w:t>, vol. 29, no. 5, pp. 827–838, 2021, doi: 10.1038/s41431-020-00806-5.</w:t>
        </w:r>
      </w:hyperlink>
    </w:p>
    <w:p w:rsidR="00E026CB" w:rsidRDefault="00F92046">
      <w:pPr>
        <w:widowControl w:val="0"/>
        <w:pBdr>
          <w:top w:val="nil"/>
          <w:left w:val="nil"/>
          <w:bottom w:val="nil"/>
          <w:right w:val="nil"/>
          <w:between w:val="nil"/>
        </w:pBdr>
        <w:ind w:left="384" w:hanging="384"/>
      </w:pPr>
      <w:hyperlink r:id="rId18">
        <w:r>
          <w:t>[2]</w:t>
        </w:r>
        <w:r>
          <w:tab/>
          <w:t xml:space="preserve">R. Schönauer </w:t>
        </w:r>
      </w:hyperlink>
      <w:hyperlink r:id="rId19">
        <w:r>
          <w:rPr>
            <w:i/>
          </w:rPr>
          <w:t>et al.</w:t>
        </w:r>
      </w:hyperlink>
      <w:hyperlink r:id="rId20">
        <w:r>
          <w:t>, “Matching clinical and genetic diagnoses in autosomal dominant polycystic kidney disease reveals novel phenocopies and potential candi</w:t>
        </w:r>
        <w:r>
          <w:t xml:space="preserve">date genes,” </w:t>
        </w:r>
      </w:hyperlink>
      <w:hyperlink r:id="rId21">
        <w:r>
          <w:rPr>
            <w:i/>
          </w:rPr>
          <w:t>Genetics in Medicine</w:t>
        </w:r>
      </w:hyperlink>
      <w:hyperlink r:id="rId22">
        <w:r>
          <w:t>, vol. 22, no. 8, pp. 1374–1383, Aug. 2020, doi: 10.1038/s41436-020-0816-3.</w:t>
        </w:r>
      </w:hyperlink>
    </w:p>
    <w:p w:rsidR="00E026CB" w:rsidRDefault="00F92046">
      <w:pPr>
        <w:widowControl w:val="0"/>
        <w:pBdr>
          <w:top w:val="nil"/>
          <w:left w:val="nil"/>
          <w:bottom w:val="nil"/>
          <w:right w:val="nil"/>
          <w:between w:val="nil"/>
        </w:pBdr>
        <w:ind w:left="384" w:hanging="384"/>
      </w:pPr>
      <w:hyperlink r:id="rId23">
        <w:r>
          <w:t>[3]</w:t>
        </w:r>
        <w:r>
          <w:tab/>
          <w:t xml:space="preserve">V. Mantovani </w:t>
        </w:r>
      </w:hyperlink>
      <w:hyperlink r:id="rId24">
        <w:r>
          <w:rPr>
            <w:i/>
          </w:rPr>
          <w:t>et al.</w:t>
        </w:r>
      </w:hyperlink>
      <w:hyperlink r:id="rId25">
        <w:r>
          <w:t>, “Gene Panel Analysis in a Large Cohort of Patie</w:t>
        </w:r>
        <w:r>
          <w:t xml:space="preserve">nts With Autosomal Dominant Polycystic Kidney Disease Allows the Identification of 80 Potentially Causative Novel Variants and the Characterization of a Complex Genetic Architecture in a Subset of Families,” </w:t>
        </w:r>
      </w:hyperlink>
      <w:hyperlink r:id="rId26">
        <w:r>
          <w:rPr>
            <w:i/>
          </w:rPr>
          <w:t>Frontiers in Genetics</w:t>
        </w:r>
      </w:hyperlink>
      <w:hyperlink r:id="rId27">
        <w:r>
          <w:t>, vol. 11, no. May, pp. 1–14, May 2020, doi: 10.3389/fgene.2020.00464.</w:t>
        </w:r>
      </w:hyperlink>
    </w:p>
    <w:p w:rsidR="00E026CB" w:rsidRDefault="00F92046">
      <w:pPr>
        <w:widowControl w:val="0"/>
        <w:pBdr>
          <w:top w:val="nil"/>
          <w:left w:val="nil"/>
          <w:bottom w:val="nil"/>
          <w:right w:val="nil"/>
          <w:between w:val="nil"/>
        </w:pBdr>
        <w:ind w:left="384" w:hanging="384"/>
      </w:pPr>
      <w:hyperlink r:id="rId28">
        <w:r>
          <w:t>[4]</w:t>
        </w:r>
        <w:r>
          <w:tab/>
          <w:t xml:space="preserve">A. C. Mallawaarachchi </w:t>
        </w:r>
      </w:hyperlink>
      <w:hyperlink r:id="rId29">
        <w:r>
          <w:rPr>
            <w:i/>
          </w:rPr>
          <w:t>et al.</w:t>
        </w:r>
      </w:hyperlink>
      <w:hyperlink r:id="rId30">
        <w:r>
          <w:t xml:space="preserve">, “Whole-genome sequencing overcomes pseudogene homology to diagnose autosomal dominant polycystic kidney disease,” </w:t>
        </w:r>
      </w:hyperlink>
      <w:hyperlink r:id="rId31">
        <w:r>
          <w:rPr>
            <w:i/>
          </w:rPr>
          <w:t>European Journal of Human Genetics</w:t>
        </w:r>
      </w:hyperlink>
      <w:hyperlink r:id="rId32">
        <w:r>
          <w:t>, vol. 24, no. 11, pp. 1584–1590, Nov. 2016, doi: 10.1038/ejhg.2016.48.</w:t>
        </w:r>
      </w:hyperlink>
    </w:p>
    <w:p w:rsidR="00E026CB" w:rsidRDefault="00F92046">
      <w:pPr>
        <w:widowControl w:val="0"/>
        <w:pBdr>
          <w:top w:val="nil"/>
          <w:left w:val="nil"/>
          <w:bottom w:val="nil"/>
          <w:right w:val="nil"/>
          <w:between w:val="nil"/>
        </w:pBdr>
        <w:ind w:left="384" w:hanging="384"/>
      </w:pPr>
      <w:hyperlink r:id="rId33">
        <w:r>
          <w:t>[5]</w:t>
        </w:r>
        <w:r>
          <w:tab/>
          <w:t xml:space="preserve">A. C. Mallawaarachchi </w:t>
        </w:r>
      </w:hyperlink>
      <w:hyperlink r:id="rId34">
        <w:r>
          <w:rPr>
            <w:i/>
          </w:rPr>
          <w:t>et al.</w:t>
        </w:r>
      </w:hyperlink>
      <w:hyperlink r:id="rId35">
        <w:r>
          <w:t>, “Genomic diagnostics in polycystic kidney disease: an assessment of real</w:t>
        </w:r>
        <w:r>
          <w:t xml:space="preserve">-world use of whole-genome sequencing,” </w:t>
        </w:r>
      </w:hyperlink>
      <w:hyperlink r:id="rId36">
        <w:r>
          <w:rPr>
            <w:i/>
          </w:rPr>
          <w:t>European Journal of Human Genetics</w:t>
        </w:r>
      </w:hyperlink>
      <w:hyperlink r:id="rId37">
        <w:r>
          <w:t>, pp. 1–11, Jan. 2021, doi: 10.1038/s41431-020-00796-4.</w:t>
        </w:r>
      </w:hyperlink>
    </w:p>
    <w:p w:rsidR="00E026CB" w:rsidRDefault="00F92046">
      <w:pPr>
        <w:widowControl w:val="0"/>
        <w:pBdr>
          <w:top w:val="nil"/>
          <w:left w:val="nil"/>
          <w:bottom w:val="nil"/>
          <w:right w:val="nil"/>
          <w:between w:val="nil"/>
        </w:pBdr>
        <w:ind w:left="384" w:hanging="384"/>
      </w:pPr>
      <w:hyperlink r:id="rId38">
        <w:r>
          <w:t>[6]</w:t>
        </w:r>
        <w:r>
          <w:tab/>
          <w:t>Genomics England, “The National Genomic Research Library v5.1.”</w:t>
        </w:r>
      </w:hyperlink>
    </w:p>
    <w:sectPr w:rsidR="00E026CB" w:rsidSect="00F92046">
      <w:headerReference w:type="even" r:id="rId39"/>
      <w:headerReference w:type="default" r:id="rId40"/>
      <w:footerReference w:type="even" r:id="rId41"/>
      <w:footerReference w:type="default" r:id="rId42"/>
      <w:headerReference w:type="first" r:id="rId43"/>
      <w:footerReference w:type="first" r:id="rId44"/>
      <w:pgSz w:w="11906" w:h="16838"/>
      <w:pgMar w:top="1440" w:right="1440" w:bottom="1440" w:left="1440" w:header="708" w:footer="708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F92046">
      <w:r>
        <w:separator/>
      </w:r>
    </w:p>
  </w:endnote>
  <w:endnote w:type="continuationSeparator" w:id="0">
    <w:p w:rsidR="00000000" w:rsidRDefault="00F920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26CB" w:rsidRDefault="00E026CB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26CB" w:rsidRDefault="00F92046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jc w:val="center"/>
      <w:rPr>
        <w:smallCaps/>
        <w:color w:val="5B9BD5"/>
      </w:rPr>
    </w:pPr>
    <w:r>
      <w:rPr>
        <w:smallCaps/>
        <w:color w:val="5B9BD5"/>
      </w:rPr>
      <w:fldChar w:fldCharType="begin"/>
    </w:r>
    <w:r>
      <w:rPr>
        <w:smallCaps/>
        <w:color w:val="5B9BD5"/>
      </w:rPr>
      <w:instrText>PAGE</w:instrText>
    </w:r>
    <w:r>
      <w:rPr>
        <w:smallCaps/>
        <w:color w:val="5B9BD5"/>
      </w:rPr>
      <w:fldChar w:fldCharType="end"/>
    </w:r>
  </w:p>
  <w:p w:rsidR="00E026CB" w:rsidRDefault="00E026CB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rPr>
        <w:color w:val="00000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26CB" w:rsidRDefault="00E026CB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F92046">
      <w:r>
        <w:separator/>
      </w:r>
    </w:p>
  </w:footnote>
  <w:footnote w:type="continuationSeparator" w:id="0">
    <w:p w:rsidR="00000000" w:rsidRDefault="00F920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26CB" w:rsidRDefault="00E026CB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26CB" w:rsidRDefault="00E026CB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rPr>
        <w:color w:val="00000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26CB" w:rsidRDefault="00E026CB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26CB"/>
    <w:rsid w:val="00E026CB"/>
    <w:rsid w:val="00F92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9A1E772-D965-4870-9C6B-B01C17D8F9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4"/>
        <w:szCs w:val="24"/>
        <w:lang w:val="en-GB" w:eastAsia="en-I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240"/>
      <w:outlineLvl w:val="0"/>
    </w:pPr>
    <w:rPr>
      <w:color w:val="2E75B5"/>
      <w:sz w:val="32"/>
      <w:szCs w:val="32"/>
    </w:rPr>
  </w:style>
  <w:style w:type="paragraph" w:styleId="Heading2">
    <w:name w:val="heading 2"/>
    <w:basedOn w:val="Normal"/>
    <w:next w:val="Normal"/>
    <w:pPr>
      <w:keepNext/>
      <w:keepLines/>
      <w:spacing w:before="40" w:line="259" w:lineRule="auto"/>
      <w:outlineLvl w:val="1"/>
    </w:pPr>
    <w:rPr>
      <w:color w:val="2E75B5"/>
      <w:sz w:val="26"/>
      <w:szCs w:val="2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rPr>
      <w:sz w:val="22"/>
      <w:szCs w:val="22"/>
    </w:rPr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zotero.org/google-docs/?9Adamk" TargetMode="External"/><Relationship Id="rId18" Type="http://schemas.openxmlformats.org/officeDocument/2006/relationships/hyperlink" Target="https://www.zotero.org/google-docs/?9Adamk" TargetMode="External"/><Relationship Id="rId26" Type="http://schemas.openxmlformats.org/officeDocument/2006/relationships/hyperlink" Target="https://www.zotero.org/google-docs/?9Adamk" TargetMode="External"/><Relationship Id="rId39" Type="http://schemas.openxmlformats.org/officeDocument/2006/relationships/header" Target="header1.xml"/><Relationship Id="rId21" Type="http://schemas.openxmlformats.org/officeDocument/2006/relationships/hyperlink" Target="https://www.zotero.org/google-docs/?9Adamk" TargetMode="External"/><Relationship Id="rId34" Type="http://schemas.openxmlformats.org/officeDocument/2006/relationships/hyperlink" Target="https://www.zotero.org/google-docs/?9Adamk" TargetMode="External"/><Relationship Id="rId42" Type="http://schemas.openxmlformats.org/officeDocument/2006/relationships/footer" Target="footer2.xml"/><Relationship Id="rId7" Type="http://schemas.openxmlformats.org/officeDocument/2006/relationships/hyperlink" Target="https://www.zotero.org/google-docs/?chwOwj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zotero.org/google-docs/?9Adamk" TargetMode="External"/><Relationship Id="rId29" Type="http://schemas.openxmlformats.org/officeDocument/2006/relationships/hyperlink" Target="https://www.zotero.org/google-docs/?9Adamk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zotero.org/google-docs/?7BaxSK" TargetMode="External"/><Relationship Id="rId11" Type="http://schemas.openxmlformats.org/officeDocument/2006/relationships/hyperlink" Target="https://www.zotero.org/google-docs/?e4BsHV" TargetMode="External"/><Relationship Id="rId24" Type="http://schemas.openxmlformats.org/officeDocument/2006/relationships/hyperlink" Target="https://www.zotero.org/google-docs/?9Adamk" TargetMode="External"/><Relationship Id="rId32" Type="http://schemas.openxmlformats.org/officeDocument/2006/relationships/hyperlink" Target="https://www.zotero.org/google-docs/?9Adamk" TargetMode="External"/><Relationship Id="rId37" Type="http://schemas.openxmlformats.org/officeDocument/2006/relationships/hyperlink" Target="https://www.zotero.org/google-docs/?9Adamk" TargetMode="External"/><Relationship Id="rId40" Type="http://schemas.openxmlformats.org/officeDocument/2006/relationships/header" Target="header2.xml"/><Relationship Id="rId45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hyperlink" Target="https://www.zotero.org/google-docs/?9Adamk" TargetMode="External"/><Relationship Id="rId23" Type="http://schemas.openxmlformats.org/officeDocument/2006/relationships/hyperlink" Target="https://www.zotero.org/google-docs/?9Adamk" TargetMode="External"/><Relationship Id="rId28" Type="http://schemas.openxmlformats.org/officeDocument/2006/relationships/hyperlink" Target="https://www.zotero.org/google-docs/?9Adamk" TargetMode="External"/><Relationship Id="rId36" Type="http://schemas.openxmlformats.org/officeDocument/2006/relationships/hyperlink" Target="https://www.zotero.org/google-docs/?9Adamk" TargetMode="External"/><Relationship Id="rId10" Type="http://schemas.openxmlformats.org/officeDocument/2006/relationships/hyperlink" Target="https://www.zotero.org/google-docs/?km5WY6" TargetMode="External"/><Relationship Id="rId19" Type="http://schemas.openxmlformats.org/officeDocument/2006/relationships/hyperlink" Target="https://www.zotero.org/google-docs/?9Adamk" TargetMode="External"/><Relationship Id="rId31" Type="http://schemas.openxmlformats.org/officeDocument/2006/relationships/hyperlink" Target="https://www.zotero.org/google-docs/?9Adamk" TargetMode="External"/><Relationship Id="rId44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hyperlink" Target="https://www.zotero.org/google-docs/?OF9DQ2" TargetMode="External"/><Relationship Id="rId14" Type="http://schemas.openxmlformats.org/officeDocument/2006/relationships/hyperlink" Target="https://www.zotero.org/google-docs/?9Adamk" TargetMode="External"/><Relationship Id="rId22" Type="http://schemas.openxmlformats.org/officeDocument/2006/relationships/hyperlink" Target="https://www.zotero.org/google-docs/?9Adamk" TargetMode="External"/><Relationship Id="rId27" Type="http://schemas.openxmlformats.org/officeDocument/2006/relationships/hyperlink" Target="https://www.zotero.org/google-docs/?9Adamk" TargetMode="External"/><Relationship Id="rId30" Type="http://schemas.openxmlformats.org/officeDocument/2006/relationships/hyperlink" Target="https://www.zotero.org/google-docs/?9Adamk" TargetMode="External"/><Relationship Id="rId35" Type="http://schemas.openxmlformats.org/officeDocument/2006/relationships/hyperlink" Target="https://www.zotero.org/google-docs/?9Adamk" TargetMode="External"/><Relationship Id="rId43" Type="http://schemas.openxmlformats.org/officeDocument/2006/relationships/header" Target="header3.xml"/><Relationship Id="rId8" Type="http://schemas.openxmlformats.org/officeDocument/2006/relationships/hyperlink" Target="https://www.zotero.org/google-docs/?dfZ9ft" TargetMode="External"/><Relationship Id="rId3" Type="http://schemas.openxmlformats.org/officeDocument/2006/relationships/webSettings" Target="webSettings.xml"/><Relationship Id="rId12" Type="http://schemas.openxmlformats.org/officeDocument/2006/relationships/image" Target="media/image1.png"/><Relationship Id="rId17" Type="http://schemas.openxmlformats.org/officeDocument/2006/relationships/hyperlink" Target="https://www.zotero.org/google-docs/?9Adamk" TargetMode="External"/><Relationship Id="rId25" Type="http://schemas.openxmlformats.org/officeDocument/2006/relationships/hyperlink" Target="https://www.zotero.org/google-docs/?9Adamk" TargetMode="External"/><Relationship Id="rId33" Type="http://schemas.openxmlformats.org/officeDocument/2006/relationships/hyperlink" Target="https://www.zotero.org/google-docs/?9Adamk" TargetMode="External"/><Relationship Id="rId38" Type="http://schemas.openxmlformats.org/officeDocument/2006/relationships/hyperlink" Target="https://www.zotero.org/google-docs/?9Adamk" TargetMode="External"/><Relationship Id="rId46" Type="http://schemas.openxmlformats.org/officeDocument/2006/relationships/theme" Target="theme/theme1.xml"/><Relationship Id="rId20" Type="http://schemas.openxmlformats.org/officeDocument/2006/relationships/hyperlink" Target="https://www.zotero.org/google-docs/?9Adamk" TargetMode="External"/><Relationship Id="rId41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1109</Words>
  <Characters>6325</Characters>
  <Application>Microsoft Office Word</Application>
  <DocSecurity>0</DocSecurity>
  <Lines>52</Lines>
  <Paragraphs>14</Paragraphs>
  <ScaleCrop>false</ScaleCrop>
  <Company>HP Inc.</Company>
  <LinksUpToDate>false</LinksUpToDate>
  <CharactersWithSpaces>7420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Paul Alexander D Dennis MP</cp:lastModifiedBy>
  <cp:revision>2</cp:revision>
  <dcterms:created xsi:type="dcterms:W3CDTF">2025-01-11T06:31:00Z</dcterms:created>
  <dcterms:modified xsi:type="dcterms:W3CDTF">2025-01-11T06:31:00Z</dcterms:modified>
</cp:coreProperties>
</file>