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keepNext w:val="1"/>
        <w:rPr>
          <w:caps w:val="0"/>
          <w:smallCaps w:val="0"/>
          <w:strike w:val="0"/>
          <w:dstrike w:val="0"/>
          <w:outline w:val="0"/>
          <w:color w:val="000000"/>
          <w:spacing w:val="0"/>
          <w:kern w:val="0"/>
          <w:position w:val="0"/>
          <w:sz w:val="40"/>
          <w:szCs w:val="4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5"/>
          <w:kern w:val="0"/>
          <w:position w:val="0"/>
          <w:sz w:val="26"/>
          <w:szCs w:val="26"/>
          <w:u w:val="none" w:color="000000"/>
          <w:shd w:val="nil" w:color="auto" w:fill="auto"/>
          <w:vertAlign w:val="baseline"/>
          <w:rtl w:val="0"/>
          <w:lang w:val="en-US"/>
          <w14:textOutline w14:w="12700" w14:cap="flat">
            <w14:noFill/>
            <w14:miter w14:lim="400000"/>
          </w14:textOutline>
          <w14:textFill>
            <w14:solidFill>
              <w14:srgbClr w14:val="000000"/>
            </w14:solidFill>
          </w14:textFill>
        </w:rPr>
        <w:t>Question n.1:</w:t>
      </w:r>
      <w:r>
        <w:rPr>
          <w:caps w:val="0"/>
          <w:smallCaps w:val="0"/>
          <w:strike w:val="0"/>
          <w:dstrike w:val="0"/>
          <w:outline w:val="0"/>
          <w:color w:val="000000"/>
          <w:spacing w:val="0"/>
          <w:kern w:val="0"/>
          <w:position w:val="0"/>
          <w:sz w:val="40"/>
          <w:szCs w:val="4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p>
    <w:p>
      <w:pPr>
        <w:pStyle w:val="Default"/>
        <w:spacing w:before="0" w:line="360" w:lineRule="auto"/>
        <w:rPr>
          <w:rFonts w:ascii="Times New Roman" w:cs="Times New Roman" w:hAnsi="Times New Roman" w:eastAsia="Times New Roman"/>
          <w:sz w:val="22"/>
          <w:szCs w:val="22"/>
          <w:u w:val="single" w:color="ffffff"/>
          <w:lang w:val="it-IT"/>
          <w14:textOutline w14:w="12700" w14:cap="flat">
            <w14:noFill/>
            <w14:miter w14:lim="400000"/>
          </w14:textOutline>
        </w:rPr>
      </w:pPr>
    </w:p>
    <w:p>
      <w:pPr>
        <w:pStyle w:val="Body"/>
        <w:spacing w:line="360" w:lineRule="auto"/>
        <w:rPr>
          <w:b w:val="1"/>
          <w:bCs w:val="1"/>
          <w:caps w:val="0"/>
          <w:smallCaps w:val="0"/>
          <w:strike w:val="0"/>
          <w:dstrike w:val="0"/>
          <w:outline w:val="0"/>
          <w:color w:val="000000"/>
          <w:spacing w:val="0"/>
          <w:kern w:val="0"/>
          <w:position w:val="0"/>
          <w:u w:val="single" w:color="ffffff"/>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single" w:color="ffffff"/>
          <w:shd w:val="nil" w:color="auto" w:fill="auto"/>
          <w:vertAlign w:val="baseline"/>
          <w:rtl w:val="0"/>
          <w:lang w:val="en-US"/>
          <w14:textOutline w14:w="12700" w14:cap="flat">
            <w14:noFill/>
            <w14:miter w14:lim="400000"/>
          </w14:textOutline>
          <w14:textFill>
            <w14:solidFill>
              <w14:srgbClr w14:val="000000"/>
            </w14:solidFill>
          </w14:textFill>
        </w:rPr>
        <w:t>Which clinical scenarios and indications for the use of ICG fluorescence guided surgery in the emergency setting to improve outcomes in urgent surgical patients?</w:t>
      </w:r>
      <w:r>
        <w:rPr>
          <w:b w:val="1"/>
          <w:bCs w:val="1"/>
          <w:caps w:val="0"/>
          <w:smallCaps w:val="0"/>
          <w:strike w:val="0"/>
          <w:dstrike w:val="0"/>
          <w:outline w:val="0"/>
          <w:color w:val="000000"/>
          <w:spacing w:val="0"/>
          <w:kern w:val="0"/>
          <w:position w:val="0"/>
          <w:u w:val="single" w:color="ffffff"/>
          <w:shd w:val="nil" w:color="auto" w:fill="auto"/>
          <w:vertAlign w:val="baseline"/>
          <w:rtl w:val="0"/>
          <w:lang w:val="en-US"/>
          <w14:textOutline w14:w="12700" w14:cap="flat">
            <w14:noFill/>
            <w14:miter w14:lim="400000"/>
          </w14:textOutline>
          <w14:textFill>
            <w14:solidFill>
              <w14:srgbClr w14:val="000000"/>
            </w14:solidFill>
          </w14:textFill>
        </w:rPr>
        <w:t> </w:t>
      </w:r>
    </w:p>
    <w:p>
      <w:pPr>
        <w:pStyle w:val="Body"/>
        <w:spacing w:line="360" w:lineRule="auto"/>
        <w:rPr>
          <w:b w:val="1"/>
          <w:bCs w:val="1"/>
          <w:caps w:val="0"/>
          <w:smallCaps w:val="0"/>
          <w:strike w:val="0"/>
          <w:dstrike w:val="0"/>
          <w:outline w:val="0"/>
          <w:color w:val="000000"/>
          <w:spacing w:val="0"/>
          <w:kern w:val="0"/>
          <w:position w:val="0"/>
          <w:u w:val="single" w:color="ffffff"/>
          <w:shd w:val="nil" w:color="auto" w:fill="auto"/>
          <w:vertAlign w:val="baseline"/>
          <w:lang w:val="it-IT"/>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single" w:color="ffffff"/>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single" w:color="ffffff"/>
          <w:shd w:val="nil" w:color="auto" w:fill="auto"/>
          <w:vertAlign w:val="baseline"/>
          <w:rtl w:val="0"/>
          <w:lang w:val="it-IT"/>
          <w14:textOutline w14:w="12700" w14:cap="flat">
            <w14:noFill/>
            <w14:miter w14:lim="400000"/>
          </w14:textOutline>
          <w14:textFill>
            <w14:solidFill>
              <w14:srgbClr w14:val="000000"/>
            </w14:solidFill>
          </w14:textFill>
        </w:rPr>
        <w:t>Surgical urgent scenarios:</w:t>
      </w:r>
    </w:p>
    <w:p>
      <w:pPr>
        <w:pStyle w:val="Body"/>
        <w:spacing w:line="360" w:lineRule="auto"/>
        <w:rPr>
          <w:b w:val="1"/>
          <w:bCs w:val="1"/>
          <w:caps w:val="0"/>
          <w:smallCaps w:val="0"/>
          <w:strike w:val="0"/>
          <w:dstrike w:val="0"/>
          <w:outline w:val="0"/>
          <w:color w:val="000000"/>
          <w:spacing w:val="0"/>
          <w:kern w:val="0"/>
          <w:position w:val="0"/>
          <w:u w:val="single" w:color="ffffff"/>
          <w:shd w:val="nil" w:color="auto" w:fill="auto"/>
          <w:vertAlign w:val="baseline"/>
          <w:lang w:val="it-IT"/>
          <w14:textOutline w14:w="12700" w14:cap="flat">
            <w14:noFill/>
            <w14:miter w14:lim="400000"/>
          </w14:textOutline>
          <w14:textFill>
            <w14:solidFill>
              <w14:srgbClr w14:val="000000"/>
            </w14:solidFill>
          </w14:textFill>
        </w:rPr>
      </w:pPr>
    </w:p>
    <w:p>
      <w:pPr>
        <w:pStyle w:val="Body"/>
        <w:numPr>
          <w:ilvl w:val="0"/>
          <w:numId w:val="2"/>
        </w:numPr>
        <w:bidi w:val="0"/>
        <w:spacing w:line="360" w:lineRule="auto"/>
        <w:ind w:right="0"/>
        <w:jc w:val="left"/>
        <w:rPr>
          <w:rtl w:val="0"/>
          <w:lang w:val="it-IT"/>
        </w:rPr>
      </w:pPr>
      <w:r>
        <w:rPr>
          <w:b w:val="1"/>
          <w:bCs w:val="1"/>
          <w:caps w:val="0"/>
          <w:smallCaps w:val="0"/>
          <w:strike w:val="0"/>
          <w:dstrike w:val="0"/>
          <w:outline w:val="0"/>
          <w:color w:val="000000"/>
          <w:spacing w:val="0"/>
          <w:kern w:val="0"/>
          <w:position w:val="0"/>
          <w:u w:val="single" w:color="ffffff"/>
          <w:shd w:val="nil" w:color="auto" w:fill="auto"/>
          <w:vertAlign w:val="baseline"/>
          <w:rtl w:val="0"/>
          <w:lang w:val="it-IT"/>
          <w14:textOutline w14:w="12700" w14:cap="flat">
            <w14:noFill/>
            <w14:miter w14:lim="400000"/>
          </w14:textOutline>
          <w14:textFill>
            <w14:solidFill>
              <w14:srgbClr w14:val="000000"/>
            </w14:solidFill>
          </w14:textFill>
        </w:rPr>
        <w:t>Acute cholecystitis;</w:t>
      </w:r>
    </w:p>
    <w:p>
      <w:pPr>
        <w:pStyle w:val="Body"/>
        <w:numPr>
          <w:ilvl w:val="0"/>
          <w:numId w:val="2"/>
        </w:numPr>
        <w:bidi w:val="0"/>
        <w:spacing w:line="360" w:lineRule="auto"/>
        <w:ind w:right="0"/>
        <w:jc w:val="left"/>
        <w:rPr>
          <w:rtl w:val="0"/>
          <w:lang w:val="it-IT"/>
        </w:rPr>
      </w:pPr>
      <w:r>
        <w:rPr>
          <w:b w:val="1"/>
          <w:bCs w:val="1"/>
          <w:caps w:val="0"/>
          <w:smallCaps w:val="0"/>
          <w:strike w:val="0"/>
          <w:dstrike w:val="0"/>
          <w:outline w:val="0"/>
          <w:color w:val="000000"/>
          <w:spacing w:val="0"/>
          <w:kern w:val="0"/>
          <w:position w:val="0"/>
          <w:u w:val="single" w:color="ffffff"/>
          <w:shd w:val="nil" w:color="auto" w:fill="auto"/>
          <w:vertAlign w:val="baseline"/>
          <w:rtl w:val="0"/>
          <w:lang w:val="it-IT"/>
          <w14:textOutline w14:w="12700" w14:cap="flat">
            <w14:noFill/>
            <w14:miter w14:lim="400000"/>
          </w14:textOutline>
          <w14:textFill>
            <w14:solidFill>
              <w14:srgbClr w14:val="000000"/>
            </w14:solidFill>
          </w14:textFill>
        </w:rPr>
        <w:t>Intestinal ischemia and strangulated bowel;</w:t>
      </w:r>
    </w:p>
    <w:p>
      <w:pPr>
        <w:pStyle w:val="Body"/>
        <w:numPr>
          <w:ilvl w:val="0"/>
          <w:numId w:val="2"/>
        </w:numPr>
        <w:bidi w:val="0"/>
        <w:spacing w:line="360" w:lineRule="auto"/>
        <w:ind w:right="0"/>
        <w:jc w:val="left"/>
        <w:rPr>
          <w:rtl w:val="0"/>
          <w:lang w:val="it-IT"/>
        </w:rPr>
      </w:pPr>
      <w:r>
        <w:rPr>
          <w:b w:val="1"/>
          <w:bCs w:val="1"/>
          <w:caps w:val="0"/>
          <w:smallCaps w:val="0"/>
          <w:strike w:val="0"/>
          <w:dstrike w:val="0"/>
          <w:outline w:val="0"/>
          <w:color w:val="000000"/>
          <w:spacing w:val="0"/>
          <w:kern w:val="0"/>
          <w:position w:val="0"/>
          <w:u w:val="single" w:color="ffffff"/>
          <w:shd w:val="nil" w:color="auto" w:fill="auto"/>
          <w:vertAlign w:val="baseline"/>
          <w:rtl w:val="0"/>
          <w:lang w:val="it-IT"/>
          <w14:textOutline w14:w="12700" w14:cap="flat">
            <w14:noFill/>
            <w14:miter w14:lim="400000"/>
          </w14:textOutline>
          <w14:textFill>
            <w14:solidFill>
              <w14:srgbClr w14:val="000000"/>
            </w14:solidFill>
          </w14:textFill>
        </w:rPr>
        <w:t>Abdominal Trauma;</w:t>
      </w:r>
    </w:p>
    <w:p>
      <w:pPr>
        <w:pStyle w:val="Body"/>
        <w:numPr>
          <w:ilvl w:val="0"/>
          <w:numId w:val="2"/>
        </w:numPr>
        <w:bidi w:val="0"/>
        <w:spacing w:line="360" w:lineRule="auto"/>
        <w:ind w:right="0"/>
        <w:jc w:val="left"/>
        <w:rPr>
          <w:rtl w:val="0"/>
          <w:lang w:val="it-IT"/>
        </w:rPr>
      </w:pPr>
      <w:r>
        <w:rPr>
          <w:b w:val="1"/>
          <w:bCs w:val="1"/>
          <w:caps w:val="0"/>
          <w:smallCaps w:val="0"/>
          <w:strike w:val="0"/>
          <w:dstrike w:val="0"/>
          <w:outline w:val="0"/>
          <w:color w:val="000000"/>
          <w:spacing w:val="0"/>
          <w:kern w:val="0"/>
          <w:position w:val="0"/>
          <w:u w:val="single" w:color="ffffff"/>
          <w:shd w:val="nil" w:color="auto" w:fill="auto"/>
          <w:vertAlign w:val="baseline"/>
          <w:rtl w:val="0"/>
          <w:lang w:val="it-IT"/>
          <w14:textOutline w14:w="12700" w14:cap="flat">
            <w14:noFill/>
            <w14:miter w14:lim="400000"/>
          </w14:textOutline>
          <w14:textFill>
            <w14:solidFill>
              <w14:srgbClr w14:val="000000"/>
            </w14:solidFill>
          </w14:textFill>
        </w:rPr>
        <w:t>Prevention of anastomotic leakage after intestinal/colon resection in the emergency setting.</w:t>
      </w:r>
    </w:p>
    <w:p>
      <w:pPr>
        <w:pStyle w:val="Body A"/>
        <w:rPr>
          <w:rFonts w:ascii="Times New Roman" w:cs="Times New Roman" w:hAnsi="Times New Roman" w:eastAsia="Times New Roman"/>
          <w:b w:val="1"/>
          <w:bCs w:val="1"/>
          <w:sz w:val="24"/>
          <w:szCs w:val="24"/>
          <w:u w:val="single"/>
          <w:shd w:val="clear" w:color="auto" w:fill="fff056"/>
        </w:rPr>
      </w:pPr>
    </w:p>
    <w:p>
      <w:pPr>
        <w:pStyle w:val="Default"/>
        <w:spacing w:before="0" w:line="360" w:lineRule="auto"/>
        <w:rPr>
          <w:rFonts w:ascii="Times New Roman" w:cs="Times New Roman" w:hAnsi="Times New Roman" w:eastAsia="Times New Roman"/>
          <w:b w:val="1"/>
          <w:bCs w:val="1"/>
          <w:spacing w:val="5"/>
          <w:sz w:val="26"/>
          <w:szCs w:val="26"/>
          <w:u w:val="single" w:color="ffffff"/>
          <w:lang w:val="it-IT"/>
          <w14:textOutline w14:w="12700" w14:cap="flat">
            <w14:noFill/>
            <w14:miter w14:lim="400000"/>
          </w14:textOutline>
        </w:rPr>
      </w:pPr>
    </w:p>
    <w:p>
      <w:pPr>
        <w:pStyle w:val="Default"/>
        <w:spacing w:before="0" w:line="360" w:lineRule="auto"/>
        <w:rPr>
          <w:rFonts w:ascii="Times New Roman" w:cs="Times New Roman" w:hAnsi="Times New Roman" w:eastAsia="Times New Roman"/>
          <w:b w:val="1"/>
          <w:bCs w:val="1"/>
          <w:spacing w:val="5"/>
          <w:sz w:val="26"/>
          <w:szCs w:val="26"/>
          <w:u w:val="single" w:color="ffffff"/>
          <w:lang w:val="en-US"/>
          <w14:textOutline w14:w="12700" w14:cap="flat">
            <w14:noFill/>
            <w14:miter w14:lim="400000"/>
          </w14:textOutline>
        </w:rPr>
      </w:pPr>
    </w:p>
    <w:p>
      <w:pPr>
        <w:pStyle w:val="Default"/>
        <w:spacing w:before="0" w:line="360" w:lineRule="auto"/>
        <w:rPr>
          <w:rFonts w:ascii="Times New Roman" w:cs="Times New Roman" w:hAnsi="Times New Roman" w:eastAsia="Times New Roman"/>
          <w:b w:val="1"/>
          <w:bCs w:val="1"/>
          <w:spacing w:val="-1"/>
          <w:u w:color="000000"/>
          <w14:textOutline w14:w="12700" w14:cap="flat">
            <w14:noFill/>
            <w14:miter w14:lim="400000"/>
          </w14:textOutline>
        </w:rPr>
      </w:pPr>
      <w:r>
        <w:rPr>
          <w:rFonts w:ascii="Times New Roman" w:hAnsi="Times New Roman"/>
          <w:b w:val="1"/>
          <w:bCs w:val="1"/>
          <w:spacing w:val="-1"/>
          <w:u w:color="000000"/>
          <w:rtl w:val="0"/>
          <w:lang w:val="it-IT"/>
          <w14:textOutline w14:w="12700" w14:cap="flat">
            <w14:noFill/>
            <w14:miter w14:lim="400000"/>
          </w14:textOutline>
        </w:rPr>
        <w:t>The use of ICG cholangiography in performing cholecystectomy for acute cholecystitis.</w:t>
      </w:r>
    </w:p>
    <w:p>
      <w:pPr>
        <w:pStyle w:val="Default"/>
        <w:spacing w:before="0" w:line="360" w:lineRule="auto"/>
        <w:rPr>
          <w:rFonts w:ascii="Calibri" w:cs="Calibri" w:hAnsi="Calibri" w:eastAsia="Calibri"/>
          <w:b w:val="1"/>
          <w:bCs w:val="1"/>
          <w:spacing w:val="0"/>
          <w:u w:val="none" w:color="000000"/>
          <w14:textOutline w14:w="12700" w14:cap="flat">
            <w14:noFill/>
            <w14:miter w14:lim="400000"/>
          </w14:textOutline>
        </w:rPr>
      </w:pPr>
      <w:r>
        <w:rPr>
          <w:rFonts w:ascii="Times New Roman" w:hAnsi="Times New Roman"/>
          <w:b w:val="1"/>
          <w:bCs w:val="1"/>
          <w:spacing w:val="0"/>
          <w:u w:val="none" w:color="000000"/>
          <w:rtl w:val="0"/>
          <w:lang w:val="it-IT"/>
          <w14:textOutline w14:w="12700" w14:cap="flat">
            <w14:noFill/>
            <w14:miter w14:lim="400000"/>
          </w14:textOutline>
        </w:rPr>
        <w:t>Statement 1:</w:t>
      </w:r>
    </w:p>
    <w:p>
      <w:pPr>
        <w:pStyle w:val="Default"/>
        <w:spacing w:before="0" w:line="360" w:lineRule="auto"/>
        <w:rPr>
          <w:rFonts w:ascii="Times New Roman" w:cs="Times New Roman" w:hAnsi="Times New Roman" w:eastAsia="Times New Roman"/>
          <w:b w:val="1"/>
          <w:bCs w:val="1"/>
          <w:i w:val="1"/>
          <w:iCs w:val="1"/>
          <w:u w:color="000000"/>
          <w14:textOutline w14:w="12700" w14:cap="flat">
            <w14:noFill/>
            <w14:miter w14:lim="400000"/>
          </w14:textOutline>
        </w:rPr>
      </w:pPr>
      <w:r>
        <w:rPr>
          <w:rFonts w:ascii="Times New Roman" w:hAnsi="Times New Roman"/>
          <w:u w:val="none" w:color="000000"/>
          <w:rtl w:val="0"/>
          <w:lang w:val="en-US"/>
          <w14:textOutline w14:w="12700" w14:cap="flat">
            <w14:noFill/>
            <w14:miter w14:lim="400000"/>
          </w14:textOutline>
        </w:rPr>
        <w:t xml:space="preserve">ICG </w:t>
      </w:r>
      <w:r>
        <w:rPr>
          <w:rFonts w:ascii="Times New Roman" w:hAnsi="Times New Roman"/>
          <w:u w:val="none" w:color="000000"/>
          <w:rtl w:val="0"/>
          <w:lang w:val="it-IT"/>
          <w14:textOutline w14:w="12700" w14:cap="flat">
            <w14:noFill/>
            <w14:miter w14:lim="400000"/>
          </w14:textOutline>
        </w:rPr>
        <w:t xml:space="preserve">cholangiography is useful to have a </w:t>
      </w:r>
      <w:r>
        <w:rPr>
          <w:rFonts w:ascii="Times New Roman" w:hAnsi="Times New Roman"/>
          <w:u w:val="none" w:color="000000"/>
          <w:rtl w:val="0"/>
          <w:lang w:val="en-US"/>
          <w14:textOutline w14:w="12700" w14:cap="flat">
            <w14:noFill/>
            <w14:miter w14:lim="400000"/>
          </w14:textOutline>
        </w:rPr>
        <w:t>good visualization of the biliary structures</w:t>
      </w:r>
      <w:r>
        <w:rPr>
          <w:rFonts w:ascii="Times New Roman" w:hAnsi="Times New Roman"/>
          <w:u w:val="none" w:color="000000"/>
          <w:rtl w:val="0"/>
          <w:lang w:val="it-IT"/>
          <w14:textOutline w14:w="12700" w14:cap="flat">
            <w14:noFill/>
            <w14:miter w14:lim="400000"/>
          </w14:textOutline>
        </w:rPr>
        <w:t xml:space="preserve"> during cholecystectomy for acute cholecystitis, decreasing the operative time, conversion rate to open technique and negative outcomes. [QoE C] </w:t>
      </w:r>
      <w:r>
        <w:rPr>
          <w:rFonts w:ascii="Times New Roman" w:hAnsi="Times New Roman"/>
          <w:i w:val="1"/>
          <w:iCs w:val="1"/>
          <w:u w:color="000000"/>
          <w:rtl w:val="0"/>
          <w:lang w:val="it-IT"/>
          <w14:textOutline w14:w="12700" w14:cap="flat">
            <w14:noFill/>
            <w14:miter w14:lim="400000"/>
          </w14:textOutline>
        </w:rPr>
        <w:t xml:space="preserve">(totally disagree 0%; neutral 22.6%-7/31 participants; </w:t>
      </w:r>
      <w:r>
        <w:rPr>
          <w:rFonts w:ascii="Times New Roman" w:hAnsi="Times New Roman"/>
          <w:b w:val="1"/>
          <w:bCs w:val="1"/>
          <w:i w:val="1"/>
          <w:iCs w:val="1"/>
          <w:rtl w:val="0"/>
          <w:lang w:val="it-IT"/>
        </w:rPr>
        <w:t>agree 29%-9/31participants;</w:t>
      </w:r>
      <w:r>
        <w:rPr>
          <w:rFonts w:ascii="Times New Roman" w:hAnsi="Times New Roman"/>
          <w:i w:val="1"/>
          <w:iCs w:val="1"/>
          <w:u w:color="000000"/>
          <w:rtl w:val="0"/>
          <w:lang w:val="it-IT"/>
          <w14:textOutline w14:w="12700" w14:cap="flat">
            <w14:noFill/>
            <w14:miter w14:lim="400000"/>
          </w14:textOutline>
        </w:rPr>
        <w:t xml:space="preserve"> </w:t>
      </w:r>
      <w:r>
        <w:rPr>
          <w:rFonts w:ascii="Times New Roman" w:hAnsi="Times New Roman"/>
          <w:b w:val="1"/>
          <w:bCs w:val="1"/>
          <w:i w:val="1"/>
          <w:iCs w:val="1"/>
          <w:u w:color="000000"/>
          <w:rtl w:val="0"/>
          <w:lang w:val="it-IT"/>
          <w14:textOutline w14:w="12700" w14:cap="flat">
            <w14:noFill/>
            <w14:miter w14:lim="400000"/>
          </w14:textOutline>
        </w:rPr>
        <w:t>totally agree 38.7%-12/31 participants</w:t>
      </w:r>
      <w:r>
        <w:rPr>
          <w:rFonts w:ascii="Times New Roman" w:hAnsi="Times New Roman"/>
          <w:i w:val="1"/>
          <w:iCs w:val="1"/>
          <w:u w:color="000000"/>
          <w:rtl w:val="0"/>
          <w:lang w:val="it-IT"/>
          <w14:textOutline w14:w="12700" w14:cap="flat">
            <w14:noFill/>
            <w14:miter w14:lim="400000"/>
          </w14:textOutline>
        </w:rPr>
        <w:t>)</w:t>
      </w:r>
    </w:p>
    <w:p>
      <w:pPr>
        <w:pStyle w:val="Default"/>
        <w:spacing w:before="0" w:line="360" w:lineRule="auto"/>
        <w:rPr>
          <w:rFonts w:ascii="Times New Roman" w:cs="Times New Roman" w:hAnsi="Times New Roman" w:eastAsia="Times New Roman"/>
          <w:b w:val="1"/>
          <w:bCs w:val="1"/>
          <w:spacing w:val="0"/>
          <w:u w:val="none" w:color="000000"/>
          <w:lang w:val="en-US"/>
          <w14:textOutline w14:w="12700" w14:cap="flat">
            <w14:noFill/>
            <w14:miter w14:lim="400000"/>
          </w14:textOutline>
        </w:rPr>
      </w:pPr>
    </w:p>
    <w:p>
      <w:pPr>
        <w:pStyle w:val="Default"/>
        <w:spacing w:before="0" w:line="360" w:lineRule="auto"/>
        <w:rPr>
          <w:rFonts w:ascii="Times New Roman" w:cs="Times New Roman" w:hAnsi="Times New Roman" w:eastAsia="Times New Roman"/>
          <w:b w:val="1"/>
          <w:bCs w:val="1"/>
          <w:spacing w:val="0"/>
          <w:u w:val="none" w:color="000000"/>
          <w14:textOutline w14:w="12700" w14:cap="flat">
            <w14:noFill/>
            <w14:miter w14:lim="400000"/>
          </w14:textOutline>
        </w:rPr>
      </w:pPr>
      <w:r>
        <w:rPr>
          <w:rFonts w:ascii="Times New Roman" w:hAnsi="Times New Roman"/>
          <w:b w:val="1"/>
          <w:bCs w:val="1"/>
          <w:spacing w:val="0"/>
          <w:u w:val="none" w:color="000000"/>
          <w:rtl w:val="0"/>
          <w:lang w:val="it-IT"/>
          <w14:textOutline w14:w="12700" w14:cap="flat">
            <w14:noFill/>
            <w14:miter w14:lim="400000"/>
          </w14:textOutline>
        </w:rPr>
        <w:t>Recommendation 1</w:t>
      </w:r>
    </w:p>
    <w:p>
      <w:pPr>
        <w:pStyle w:val="Default"/>
        <w:spacing w:before="0" w:line="360" w:lineRule="auto"/>
        <w:rPr>
          <w:rFonts w:ascii="Times New Roman" w:cs="Times New Roman" w:hAnsi="Times New Roman" w:eastAsia="Times New Roman"/>
          <w:b w:val="1"/>
          <w:bCs w:val="1"/>
        </w:rPr>
      </w:pPr>
      <w:r>
        <w:rPr>
          <w:rFonts w:ascii="Times New Roman" w:hAnsi="Times New Roman"/>
          <w:spacing w:val="0"/>
          <w:u w:val="none" w:color="000000"/>
          <w:rtl w:val="0"/>
          <w:lang w:val="it-IT"/>
          <w14:textOutline w14:w="12700" w14:cap="flat">
            <w14:noFill/>
            <w14:miter w14:lim="400000"/>
          </w14:textOutline>
        </w:rPr>
        <w:t xml:space="preserve">The </w:t>
      </w:r>
      <w:r>
        <w:rPr>
          <w:rFonts w:ascii="Times New Roman" w:hAnsi="Times New Roman"/>
          <w:spacing w:val="0"/>
          <w:u w:val="none" w:color="000000"/>
          <w:rtl w:val="0"/>
          <w:lang w:val="en-US"/>
          <w14:textOutline w14:w="12700" w14:cap="flat">
            <w14:noFill/>
            <w14:miter w14:lim="400000"/>
          </w14:textOutline>
        </w:rPr>
        <w:t xml:space="preserve">WSES </w:t>
      </w:r>
      <w:r>
        <w:rPr>
          <w:rFonts w:ascii="Times New Roman" w:hAnsi="Times New Roman"/>
          <w:spacing w:val="0"/>
          <w:u w:val="none" w:color="000000"/>
          <w:rtl w:val="0"/>
          <w:lang w:val="it-IT"/>
          <w14:textOutline w14:w="12700" w14:cap="flat">
            <w14:noFill/>
            <w14:miter w14:lim="400000"/>
          </w14:textOutline>
        </w:rPr>
        <w:t xml:space="preserve">Panel of Experts </w:t>
      </w:r>
      <w:r>
        <w:rPr>
          <w:rFonts w:ascii="Times New Roman" w:hAnsi="Times New Roman"/>
          <w:spacing w:val="0"/>
          <w:u w:val="none" w:color="000000"/>
          <w:rtl w:val="0"/>
          <w:lang w:val="en-US"/>
          <w14:textOutline w14:w="12700" w14:cap="flat">
            <w14:noFill/>
            <w14:miter w14:lim="400000"/>
          </w14:textOutline>
        </w:rPr>
        <w:t xml:space="preserve">suggests </w:t>
      </w:r>
      <w:r>
        <w:rPr>
          <w:rFonts w:ascii="Times New Roman" w:hAnsi="Times New Roman"/>
          <w:spacing w:val="0"/>
          <w:u w:val="none" w:color="000000"/>
          <w:rtl w:val="0"/>
          <w:lang w:val="it-IT"/>
          <w14:textOutline w14:w="12700" w14:cap="flat">
            <w14:noFill/>
            <w14:miter w14:lim="400000"/>
          </w14:textOutline>
        </w:rPr>
        <w:t xml:space="preserve">that the use of </w:t>
      </w:r>
      <w:r>
        <w:rPr>
          <w:rFonts w:ascii="Times New Roman" w:hAnsi="Times New Roman"/>
          <w:spacing w:val="0"/>
          <w:u w:val="none" w:color="000000"/>
          <w:rtl w:val="0"/>
          <w:lang w:val="en-US"/>
          <w14:textOutline w14:w="12700" w14:cap="flat">
            <w14:noFill/>
            <w14:miter w14:lim="400000"/>
          </w14:textOutline>
        </w:rPr>
        <w:t>ICG</w:t>
      </w:r>
      <w:r>
        <w:rPr>
          <w:rFonts w:ascii="Times New Roman" w:hAnsi="Times New Roman"/>
          <w:spacing w:val="0"/>
          <w:u w:val="none" w:color="000000"/>
          <w:rtl w:val="0"/>
          <w:lang w:val="it-IT"/>
          <w14:textOutline w14:w="12700" w14:cap="flat">
            <w14:noFill/>
            <w14:miter w14:lim="400000"/>
          </w14:textOutline>
        </w:rPr>
        <w:t xml:space="preserve"> c</w:t>
      </w:r>
      <w:r>
        <w:rPr>
          <w:rFonts w:ascii="Times New Roman" w:hAnsi="Times New Roman"/>
          <w:spacing w:val="0"/>
          <w:u w:val="none" w:color="000000"/>
          <w:rtl w:val="0"/>
          <w:lang w:val="en-US"/>
          <w14:textOutline w14:w="12700" w14:cap="flat">
            <w14:noFill/>
            <w14:miter w14:lim="400000"/>
          </w14:textOutline>
        </w:rPr>
        <w:t>holangiography allow</w:t>
      </w:r>
      <w:r>
        <w:rPr>
          <w:rFonts w:ascii="Times New Roman" w:hAnsi="Times New Roman"/>
          <w:spacing w:val="0"/>
          <w:u w:val="none" w:color="000000"/>
          <w:rtl w:val="0"/>
          <w:lang w:val="it-IT"/>
          <w14:textOutline w14:w="12700" w14:cap="flat">
            <w14:noFill/>
            <w14:miter w14:lim="400000"/>
          </w14:textOutline>
        </w:rPr>
        <w:t>s</w:t>
      </w:r>
      <w:r>
        <w:rPr>
          <w:rFonts w:ascii="Times New Roman" w:hAnsi="Times New Roman"/>
          <w:spacing w:val="0"/>
          <w:u w:val="none" w:color="000000"/>
          <w:rtl w:val="0"/>
          <w:lang w:val="en-US"/>
          <w14:textOutline w14:w="12700" w14:cap="flat">
            <w14:noFill/>
            <w14:miter w14:lim="400000"/>
          </w14:textOutline>
        </w:rPr>
        <w:t xml:space="preserve"> the correct </w:t>
      </w:r>
      <w:r>
        <w:rPr>
          <w:rFonts w:ascii="Times New Roman" w:hAnsi="Times New Roman"/>
          <w:spacing w:val="0"/>
          <w:u w:val="none" w:color="000000"/>
          <w:rtl w:val="0"/>
          <w:lang w:val="it-IT"/>
          <w14:textOutline w14:w="12700" w14:cap="flat">
            <w14:noFill/>
            <w14:miter w14:lim="400000"/>
          </w14:textOutline>
        </w:rPr>
        <w:t xml:space="preserve">and real-time </w:t>
      </w:r>
      <w:r>
        <w:rPr>
          <w:rFonts w:ascii="Times New Roman" w:hAnsi="Times New Roman"/>
          <w:spacing w:val="0"/>
          <w:u w:val="none" w:color="000000"/>
          <w:rtl w:val="0"/>
          <w:lang w:val="en-US"/>
          <w14:textOutline w14:w="12700" w14:cap="flat">
            <w14:noFill/>
            <w14:miter w14:lim="400000"/>
          </w14:textOutline>
        </w:rPr>
        <w:t>visualisation of the extra</w:t>
      </w:r>
      <w:r>
        <w:rPr>
          <w:rFonts w:ascii="Times New Roman" w:hAnsi="Times New Roman"/>
          <w:spacing w:val="0"/>
          <w:u w:val="none" w:color="000000"/>
          <w:rtl w:val="0"/>
          <w:lang w:val="it-IT"/>
          <w14:textOutline w14:w="12700" w14:cap="flat">
            <w14:noFill/>
            <w14:miter w14:lim="400000"/>
          </w14:textOutline>
        </w:rPr>
        <w:t>-</w:t>
      </w:r>
      <w:r>
        <w:rPr>
          <w:rFonts w:ascii="Times New Roman" w:hAnsi="Times New Roman"/>
          <w:spacing w:val="0"/>
          <w:u w:val="none" w:color="000000"/>
          <w:rtl w:val="0"/>
          <w:lang w:val="en-US"/>
          <w14:textOutline w14:w="12700" w14:cap="flat">
            <w14:noFill/>
            <w14:miter w14:lim="400000"/>
          </w14:textOutline>
        </w:rPr>
        <w:t xml:space="preserve">hepatic biliary </w:t>
      </w:r>
      <w:r>
        <w:rPr>
          <w:rFonts w:ascii="Times New Roman" w:hAnsi="Times New Roman"/>
          <w:spacing w:val="0"/>
          <w:u w:val="none" w:color="000000"/>
          <w:rtl w:val="0"/>
          <w:lang w:val="it-IT"/>
          <w14:textOutline w14:w="12700" w14:cap="flat">
            <w14:noFill/>
            <w14:miter w14:lim="400000"/>
          </w14:textOutline>
        </w:rPr>
        <w:t xml:space="preserve">tree </w:t>
      </w:r>
      <w:r>
        <w:rPr>
          <w:rFonts w:ascii="Times New Roman" w:hAnsi="Times New Roman"/>
          <w:spacing w:val="0"/>
          <w:u w:val="none" w:color="000000"/>
          <w:rtl w:val="0"/>
          <w:lang w:val="en-US"/>
          <w14:textOutline w14:w="12700" w14:cap="flat">
            <w14:noFill/>
            <w14:miter w14:lim="400000"/>
          </w14:textOutline>
        </w:rPr>
        <w:t>anatomy</w:t>
      </w:r>
      <w:r>
        <w:rPr>
          <w:rFonts w:ascii="Times New Roman" w:hAnsi="Times New Roman"/>
          <w:spacing w:val="0"/>
          <w:u w:val="none" w:color="000000"/>
          <w:rtl w:val="0"/>
          <w:lang w:val="it-IT"/>
          <w14:textOutline w14:w="12700" w14:cap="flat">
            <w14:noFill/>
            <w14:miter w14:lim="400000"/>
          </w14:textOutline>
        </w:rPr>
        <w:t xml:space="preserve"> during </w:t>
      </w:r>
      <w:r>
        <w:rPr>
          <w:rFonts w:ascii="Times New Roman" w:hAnsi="Times New Roman"/>
          <w:spacing w:val="0"/>
          <w:u w:val="none" w:color="000000"/>
          <w:rtl w:val="0"/>
          <w:lang w:val="en-US"/>
          <w14:textOutline w14:w="12700" w14:cap="flat">
            <w14:noFill/>
            <w14:miter w14:lim="400000"/>
          </w14:textOutline>
        </w:rPr>
        <w:t xml:space="preserve">laparoscopic </w:t>
      </w:r>
      <w:r>
        <w:rPr>
          <w:rFonts w:ascii="Times New Roman" w:hAnsi="Times New Roman"/>
          <w:spacing w:val="0"/>
          <w:u w:val="none" w:color="000000"/>
          <w:rtl w:val="0"/>
          <w:lang w:val="it-IT"/>
          <w14:textOutline w14:w="12700" w14:cap="flat">
            <w14:noFill/>
            <w14:miter w14:lim="400000"/>
          </w14:textOutline>
        </w:rPr>
        <w:t xml:space="preserve">cholecystectomies for severe cholecystitis </w:t>
      </w:r>
      <w:r>
        <w:rPr>
          <w:rFonts w:ascii="Times New Roman" w:hAnsi="Times New Roman"/>
          <w:spacing w:val="0"/>
          <w:u w:val="none" w:color="000000"/>
          <w:rtl w:val="0"/>
          <w:lang w:val="en-US"/>
          <w14:textOutline w14:w="12700" w14:cap="flat">
            <w14:noFill/>
            <w14:miter w14:lim="400000"/>
          </w14:textOutline>
        </w:rPr>
        <w:t xml:space="preserve">and </w:t>
      </w:r>
      <w:r>
        <w:rPr>
          <w:rFonts w:ascii="Times New Roman" w:hAnsi="Times New Roman"/>
          <w:spacing w:val="0"/>
          <w:u w:val="none" w:color="000000"/>
          <w:rtl w:val="0"/>
          <w:lang w:val="it-IT"/>
          <w14:textOutline w14:w="12700" w14:cap="flat">
            <w14:noFill/>
            <w14:miter w14:lim="400000"/>
          </w14:textOutline>
        </w:rPr>
        <w:t xml:space="preserve">it can </w:t>
      </w:r>
      <w:r>
        <w:rPr>
          <w:rFonts w:ascii="Times New Roman" w:hAnsi="Times New Roman"/>
          <w:spacing w:val="0"/>
          <w:u w:val="none" w:color="000000"/>
          <w:rtl w:val="0"/>
          <w:lang w:val="en-US"/>
          <w14:textOutline w14:w="12700" w14:cap="flat">
            <w14:noFill/>
            <w14:miter w14:lim="400000"/>
          </w14:textOutline>
        </w:rPr>
        <w:t>reduc</w:t>
      </w:r>
      <w:r>
        <w:rPr>
          <w:rFonts w:ascii="Times New Roman" w:hAnsi="Times New Roman"/>
          <w:spacing w:val="0"/>
          <w:u w:val="none" w:color="000000"/>
          <w:rtl w:val="0"/>
          <w:lang w:val="it-IT"/>
          <w14:textOutline w14:w="12700" w14:cap="flat">
            <w14:noFill/>
            <w14:miter w14:lim="400000"/>
          </w14:textOutline>
        </w:rPr>
        <w:t>e</w:t>
      </w:r>
      <w:r>
        <w:rPr>
          <w:rFonts w:ascii="Times New Roman" w:hAnsi="Times New Roman"/>
          <w:spacing w:val="0"/>
          <w:u w:val="none" w:color="000000"/>
          <w:rtl w:val="0"/>
          <w:lang w:val="en-US"/>
          <w14:textOutline w14:w="12700" w14:cap="flat">
            <w14:noFill/>
            <w14:miter w14:lim="400000"/>
          </w14:textOutline>
        </w:rPr>
        <w:t xml:space="preserve"> the rate of bile ducts injury</w:t>
      </w:r>
      <w:r>
        <w:rPr>
          <w:rFonts w:ascii="Times New Roman" w:hAnsi="Times New Roman"/>
          <w:spacing w:val="0"/>
          <w:u w:val="none" w:color="000000"/>
          <w:rtl w:val="0"/>
          <w:lang w:val="it-IT"/>
          <w14:textOutline w14:w="12700" w14:cap="flat">
            <w14:noFill/>
            <w14:miter w14:lim="400000"/>
          </w14:textOutline>
        </w:rPr>
        <w:t xml:space="preserve"> and conversion in laparotomy in the emergency setting (Moderate recommendation based on a low level evidence 2C)</w:t>
      </w:r>
      <w:r>
        <w:rPr>
          <w:rFonts w:ascii="Times New Roman" w:hAnsi="Times New Roman"/>
          <w:spacing w:val="0"/>
          <w:u w:val="none" w:color="000000"/>
          <w:rtl w:val="0"/>
          <w:lang w:val="en-US"/>
          <w14:textOutline w14:w="12700" w14:cap="flat">
            <w14:noFill/>
            <w14:miter w14:lim="400000"/>
          </w14:textOutline>
        </w:rPr>
        <w:t>.</w:t>
      </w:r>
      <w:r>
        <w:rPr>
          <w:rFonts w:ascii="Times New Roman" w:hAnsi="Times New Roman"/>
          <w:spacing w:val="0"/>
          <w:u w:val="none" w:color="000000"/>
          <w:rtl w:val="0"/>
          <w:lang w:val="it-IT"/>
          <w14:textOutline w14:w="12700" w14:cap="flat">
            <w14:noFill/>
            <w14:miter w14:lim="400000"/>
          </w14:textOutline>
        </w:rPr>
        <w:t xml:space="preserve"> </w:t>
      </w:r>
      <w:r>
        <w:rPr>
          <w:rFonts w:ascii="Times New Roman" w:hAnsi="Times New Roman"/>
          <w:i w:val="1"/>
          <w:iCs w:val="1"/>
          <w:u w:color="000000"/>
          <w:rtl w:val="0"/>
          <w:lang w:val="it-IT"/>
          <w14:textOutline w14:w="12700" w14:cap="flat">
            <w14:noFill/>
            <w14:miter w14:lim="400000"/>
          </w14:textOutline>
        </w:rPr>
        <w:t xml:space="preserve">(Totally disagree 3.2%-1/31particpants; neutral 22.6%-7/31participants; </w:t>
      </w:r>
      <w:r>
        <w:rPr>
          <w:rFonts w:ascii="Times New Roman" w:hAnsi="Times New Roman"/>
          <w:b w:val="1"/>
          <w:bCs w:val="1"/>
          <w:i w:val="1"/>
          <w:iCs w:val="1"/>
          <w:rtl w:val="0"/>
          <w:lang w:val="it-IT"/>
        </w:rPr>
        <w:t>agree 12.9%-4/31participants; t</w:t>
      </w:r>
      <w:r>
        <w:rPr>
          <w:rFonts w:ascii="Times New Roman" w:hAnsi="Times New Roman"/>
          <w:b w:val="1"/>
          <w:bCs w:val="1"/>
          <w:i w:val="1"/>
          <w:iCs w:val="1"/>
          <w:rtl w:val="0"/>
          <w:lang w:val="it-IT"/>
        </w:rPr>
        <w:t>otally agree 54.8%-17/31participants</w:t>
      </w:r>
      <w:r>
        <w:rPr>
          <w:rFonts w:ascii="Times New Roman" w:hAnsi="Times New Roman"/>
          <w:b w:val="1"/>
          <w:bCs w:val="1"/>
          <w:i w:val="1"/>
          <w:iCs w:val="1"/>
          <w:rtl w:val="0"/>
          <w:lang w:val="it-IT"/>
        </w:rPr>
        <w:t>)</w:t>
      </w:r>
    </w:p>
    <w:p>
      <w:pPr>
        <w:pStyle w:val="Default"/>
        <w:spacing w:before="0" w:line="360" w:lineRule="auto"/>
        <w:rPr>
          <w:rFonts w:ascii="Times New Roman" w:cs="Times New Roman" w:hAnsi="Times New Roman" w:eastAsia="Times New Roman"/>
          <w:spacing w:val="0"/>
          <w:u w:val="none" w:color="000000"/>
          <w:lang w:val="en-US"/>
          <w14:textOutline w14:w="12700" w14:cap="flat">
            <w14:noFill/>
            <w14:miter w14:lim="400000"/>
          </w14:textOutline>
        </w:rPr>
      </w:pPr>
    </w:p>
    <w:p>
      <w:pPr>
        <w:pStyle w:val="Default"/>
        <w:spacing w:before="0" w:line="360" w:lineRule="auto"/>
        <w:rPr>
          <w:rFonts w:ascii="Times New Roman" w:cs="Times New Roman" w:hAnsi="Times New Roman" w:eastAsia="Times New Roman"/>
          <w:outline w:val="0"/>
          <w:color w:val="000000"/>
          <w:u w:val="none" w:color="000000"/>
          <w:lang w:val="en-US"/>
          <w14:textOutline w14:w="12700" w14:cap="flat">
            <w14:noFill/>
            <w14:miter w14:lim="400000"/>
          </w14:textOutline>
          <w14:textFill>
            <w14:solidFill>
              <w14:srgbClr w14:val="000000"/>
            </w14:solidFill>
          </w14:textFill>
        </w:rPr>
      </w:pP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276" w:lineRule="auto"/>
        <w:jc w:val="both"/>
        <w:rPr>
          <w:rFonts w:ascii="Times New Roman" w:cs="Times New Roman" w:hAnsi="Times New Roman" w:eastAsia="Times New Roman"/>
          <w:b w:val="1"/>
          <w:bCs w:val="1"/>
          <w:outline w:val="0"/>
          <w:color w:val="000000"/>
          <w:u w:val="none" w:color="000000"/>
          <w14:textOutline w14:w="12700" w14:cap="flat">
            <w14:noFill/>
            <w14:miter w14:lim="400000"/>
          </w14:textOutline>
          <w14:textFill>
            <w14:solidFill>
              <w14:srgbClr w14:val="000000"/>
            </w14:solidFill>
          </w14:textFill>
        </w:rPr>
      </w:pPr>
      <w:r>
        <w:rPr>
          <w:rFonts w:ascii="Times New Roman" w:hAnsi="Times New Roman"/>
          <w:b w:val="1"/>
          <w:bCs w:val="1"/>
          <w:u w:val="none" w:color="ffffff"/>
          <w:rtl w:val="0"/>
          <w:lang w:val="it-IT"/>
          <w14:textOutline w14:w="12700" w14:cap="flat">
            <w14:noFill/>
            <w14:miter w14:lim="400000"/>
          </w14:textOutline>
        </w:rPr>
        <w:t xml:space="preserve">The use of ICG angiography in managing </w:t>
      </w:r>
      <w:r>
        <w:rPr>
          <w:rFonts w:ascii="Times New Roman" w:hAnsi="Times New Roman"/>
          <w:b w:val="1"/>
          <w:bCs w:val="1"/>
          <w:outline w:val="0"/>
          <w:color w:val="000000"/>
          <w:u w:val="none" w:color="000000"/>
          <w:rtl w:val="0"/>
          <w:lang w:val="it-IT"/>
          <w14:textOutline w14:w="12700" w14:cap="flat">
            <w14:noFill/>
            <w14:miter w14:lim="400000"/>
          </w14:textOutline>
          <w14:textFill>
            <w14:solidFill>
              <w14:srgbClr w14:val="000000"/>
            </w14:solidFill>
          </w14:textFill>
        </w:rPr>
        <w:t>intestinal ischemia and strangulated bowel.</w:t>
      </w:r>
    </w:p>
    <w:p>
      <w:pPr>
        <w:pStyle w:val="Body A"/>
        <w:rPr>
          <w:rFonts w:ascii="Times New Roman" w:cs="Times New Roman" w:hAnsi="Times New Roman" w:eastAsia="Times New Roman"/>
          <w:b w:val="1"/>
          <w:bCs w:val="1"/>
          <w:outline w:val="0"/>
          <w:color w:val="000000"/>
          <w:sz w:val="24"/>
          <w:szCs w:val="24"/>
          <w:u w:val="none" w:color="000000"/>
          <w:shd w:val="clear" w:color="auto" w:fill="fff056"/>
          <w14:textFill>
            <w14:solidFill>
              <w14:srgbClr w14:val="000000"/>
            </w14:solidFill>
          </w14:textFill>
        </w:rPr>
      </w:pPr>
    </w:p>
    <w:p>
      <w:pPr>
        <w:pStyle w:val="Default"/>
        <w:spacing w:before="0" w:line="360" w:lineRule="auto"/>
        <w:rPr>
          <w:rFonts w:ascii="Times New Roman" w:cs="Times New Roman" w:hAnsi="Times New Roman" w:eastAsia="Times New Roman"/>
          <w:b w:val="1"/>
          <w:bCs w:val="1"/>
          <w:spacing w:val="0"/>
          <w:u w:val="none" w:color="000000"/>
          <w14:textOutline w14:w="12700" w14:cap="flat">
            <w14:noFill/>
            <w14:miter w14:lim="400000"/>
          </w14:textOutline>
        </w:rPr>
      </w:pPr>
      <w:r>
        <w:rPr>
          <w:rFonts w:ascii="Times New Roman" w:hAnsi="Times New Roman"/>
          <w:b w:val="1"/>
          <w:bCs w:val="1"/>
          <w:spacing w:val="0"/>
          <w:u w:val="none" w:color="000000"/>
          <w:rtl w:val="0"/>
          <w:lang w:val="en-US"/>
          <w14:textOutline w14:w="12700" w14:cap="flat">
            <w14:noFill/>
            <w14:miter w14:lim="400000"/>
          </w14:textOutline>
        </w:rPr>
        <w:t>Statement</w:t>
      </w:r>
      <w:r>
        <w:rPr>
          <w:rFonts w:ascii="Times New Roman" w:hAnsi="Times New Roman"/>
          <w:b w:val="1"/>
          <w:bCs w:val="1"/>
          <w:spacing w:val="0"/>
          <w:u w:val="none" w:color="000000"/>
          <w:rtl w:val="0"/>
          <w:lang w:val="it-IT"/>
          <w14:textOutline w14:w="12700" w14:cap="flat">
            <w14:noFill/>
            <w14:miter w14:lim="400000"/>
          </w14:textOutline>
        </w:rPr>
        <w:t xml:space="preserve"> 1.1</w:t>
      </w:r>
    </w:p>
    <w:p>
      <w:pPr>
        <w:pStyle w:val="Default"/>
        <w:spacing w:before="0" w:line="360" w:lineRule="auto"/>
        <w:rPr>
          <w:i w:val="1"/>
          <w:iCs w:val="1"/>
          <w:u w:color="000000"/>
          <w14:textOutline w14:w="12700" w14:cap="flat">
            <w14:noFill/>
            <w14:miter w14:lim="400000"/>
          </w14:textOutline>
        </w:rPr>
      </w:pPr>
      <w:r>
        <w:rPr>
          <w:rFonts w:ascii="Times New Roman" w:hAnsi="Times New Roman"/>
          <w:spacing w:val="0"/>
          <w:u w:val="none" w:color="000000"/>
          <w:rtl w:val="0"/>
          <w:lang w:val="en-US"/>
          <w14:textOutline w14:w="12700" w14:cap="flat">
            <w14:noFill/>
            <w14:miter w14:lim="400000"/>
          </w14:textOutline>
        </w:rPr>
        <w:t>ICG angiography can be performed safely in the emergency setting and it is a useful tool to evaluate the intestinal vascularization patterns in the setting of acute intestinal ischemia and strangulated bowel. Case series and retrospective studies reported that intestinal perfusion is visualized adequately in the most of cases (QoE C)</w:t>
      </w:r>
      <w:r>
        <w:rPr>
          <w:rFonts w:ascii="Times New Roman" w:hAnsi="Times New Roman"/>
          <w:spacing w:val="0"/>
          <w:u w:val="none" w:color="000000"/>
          <w:rtl w:val="0"/>
          <w:lang w:val="it-IT"/>
          <w14:textOutline w14:w="12700" w14:cap="flat">
            <w14:noFill/>
            <w14:miter w14:lim="400000"/>
          </w14:textOutline>
        </w:rPr>
        <w:t xml:space="preserve"> </w:t>
      </w:r>
      <w:r>
        <w:rPr>
          <w:rFonts w:ascii="Times New Roman" w:hAnsi="Times New Roman"/>
          <w:i w:val="1"/>
          <w:iCs w:val="1"/>
          <w:u w:color="000000"/>
          <w:rtl w:val="0"/>
          <w:lang w:val="it-IT"/>
          <w14:textOutline w14:w="12700" w14:cap="flat">
            <w14:noFill/>
            <w14:miter w14:lim="400000"/>
          </w14:textOutline>
        </w:rPr>
        <w:t xml:space="preserve">(totally disagree 0%; neutral 12.9%-4/31participants; </w:t>
      </w:r>
      <w:r>
        <w:rPr>
          <w:rFonts w:ascii="Times New Roman" w:hAnsi="Times New Roman"/>
          <w:b w:val="1"/>
          <w:bCs w:val="1"/>
          <w:i w:val="1"/>
          <w:iCs w:val="1"/>
          <w:rtl w:val="0"/>
          <w:lang w:val="it-IT"/>
        </w:rPr>
        <w:t xml:space="preserve">agree 35.5% 11/31participants; </w:t>
      </w:r>
      <w:r>
        <w:rPr>
          <w:rFonts w:ascii="Times New Roman" w:hAnsi="Times New Roman"/>
          <w:i w:val="1"/>
          <w:iCs w:val="1"/>
          <w:u w:color="000000"/>
          <w:rtl w:val="0"/>
          <w:lang w:val="it-IT"/>
          <w14:textOutline w14:w="12700" w14:cap="flat">
            <w14:noFill/>
            <w14:miter w14:lim="400000"/>
          </w14:textOutline>
        </w:rPr>
        <w:t>t</w:t>
      </w:r>
      <w:r>
        <w:rPr>
          <w:rFonts w:ascii="Times New Roman" w:hAnsi="Times New Roman"/>
          <w:b w:val="1"/>
          <w:bCs w:val="1"/>
          <w:i w:val="1"/>
          <w:iCs w:val="1"/>
          <w:u w:color="000000"/>
          <w:rtl w:val="0"/>
          <w:lang w:val="it-IT"/>
          <w14:textOutline w14:w="12700" w14:cap="flat">
            <w14:noFill/>
            <w14:miter w14:lim="400000"/>
          </w14:textOutline>
        </w:rPr>
        <w:t>otally agree 48.4%-15/31participants</w:t>
      </w:r>
      <w:r>
        <w:rPr>
          <w:rFonts w:ascii="Times New Roman" w:hAnsi="Times New Roman"/>
          <w:i w:val="1"/>
          <w:iCs w:val="1"/>
          <w:u w:color="000000"/>
          <w:rtl w:val="0"/>
          <w:lang w:val="it-IT"/>
          <w14:textOutline w14:w="12700" w14:cap="flat">
            <w14:noFill/>
            <w14:miter w14:lim="400000"/>
          </w14:textOutline>
        </w:rPr>
        <w:t>)</w:t>
      </w:r>
    </w:p>
    <w:p>
      <w:pPr>
        <w:pStyle w:val="Default"/>
        <w:spacing w:before="0" w:line="360" w:lineRule="auto"/>
        <w:rPr>
          <w:rFonts w:ascii="Times New Roman" w:cs="Times New Roman" w:hAnsi="Times New Roman" w:eastAsia="Times New Roman"/>
          <w:spacing w:val="0"/>
          <w:u w:val="none" w:color="000000"/>
          <w:lang w:val="en-US"/>
          <w14:textOutline w14:w="12700" w14:cap="flat">
            <w14:noFill/>
            <w14:miter w14:lim="400000"/>
          </w14:textOutline>
        </w:rPr>
      </w:pPr>
    </w:p>
    <w:p>
      <w:pPr>
        <w:pStyle w:val="Default"/>
        <w:spacing w:before="0" w:line="360" w:lineRule="auto"/>
        <w:rPr>
          <w:rFonts w:ascii="Times New Roman" w:cs="Times New Roman" w:hAnsi="Times New Roman" w:eastAsia="Times New Roman"/>
          <w:b w:val="1"/>
          <w:bCs w:val="1"/>
          <w:spacing w:val="0"/>
          <w:u w:val="none" w:color="000000"/>
          <w14:textOutline w14:w="12700" w14:cap="flat">
            <w14:noFill/>
            <w14:miter w14:lim="400000"/>
          </w14:textOutline>
        </w:rPr>
      </w:pPr>
      <w:r>
        <w:rPr>
          <w:rFonts w:ascii="Times New Roman" w:hAnsi="Times New Roman"/>
          <w:b w:val="1"/>
          <w:bCs w:val="1"/>
          <w:spacing w:val="0"/>
          <w:u w:val="none" w:color="000000"/>
          <w:rtl w:val="0"/>
          <w:lang w:val="en-US"/>
          <w14:textOutline w14:w="12700" w14:cap="flat">
            <w14:noFill/>
            <w14:miter w14:lim="400000"/>
          </w14:textOutline>
        </w:rPr>
        <w:t>Recommandation</w:t>
      </w:r>
      <w:r>
        <w:rPr>
          <w:rFonts w:ascii="Times New Roman" w:hAnsi="Times New Roman"/>
          <w:b w:val="1"/>
          <w:bCs w:val="1"/>
          <w:spacing w:val="0"/>
          <w:u w:val="none" w:color="000000"/>
          <w:rtl w:val="0"/>
          <w:lang w:val="it-IT"/>
          <w14:textOutline w14:w="12700" w14:cap="flat">
            <w14:noFill/>
            <w14:miter w14:lim="400000"/>
          </w14:textOutline>
        </w:rPr>
        <w:t xml:space="preserve"> 1.1</w:t>
      </w:r>
    </w:p>
    <w:p>
      <w:pPr>
        <w:pStyle w:val="Default"/>
        <w:spacing w:before="0" w:line="360" w:lineRule="auto"/>
        <w:rPr>
          <w:rFonts w:ascii="Times New Roman" w:cs="Times New Roman" w:hAnsi="Times New Roman" w:eastAsia="Times New Roman"/>
          <w:i w:val="1"/>
          <w:iCs w:val="1"/>
          <w:u w:color="000000"/>
          <w14:textOutline w14:w="12700" w14:cap="flat">
            <w14:noFill/>
            <w14:miter w14:lim="400000"/>
          </w14:textOutline>
        </w:rPr>
      </w:pPr>
      <w:r>
        <w:rPr>
          <w:rFonts w:ascii="Times New Roman" w:hAnsi="Times New Roman"/>
          <w:spacing w:val="0"/>
          <w:u w:val="none" w:color="000000"/>
          <w:rtl w:val="0"/>
          <w:lang w:val="en-US"/>
          <w14:textOutline w14:w="12700" w14:cap="flat">
            <w14:noFill/>
            <w14:miter w14:lim="400000"/>
          </w14:textOutline>
        </w:rPr>
        <w:t xml:space="preserve">The WSES Panel of Experts suggests to consider the use of ICG angiography to guide intra-operative  decision-making in patients presenting with non-occlusive mesenteric ischemia, occlusive mesenteric ischemia and strangulated bowel in order to evaluate the intestinal blood flow and viability and accurately define resection margins and anastomosis, when it is available </w:t>
      </w:r>
      <w:r>
        <w:rPr>
          <w:rFonts w:ascii="Times New Roman" w:hAnsi="Times New Roman"/>
          <w:spacing w:val="0"/>
          <w:u w:val="none" w:color="000000"/>
          <w:rtl w:val="0"/>
          <w:lang w:val="it-IT"/>
          <w14:textOutline w14:w="12700" w14:cap="flat">
            <w14:noFill/>
            <w14:miter w14:lim="400000"/>
          </w14:textOutline>
        </w:rPr>
        <w:t xml:space="preserve">(Moderate recommendation based on a low level evidence 2C) </w:t>
      </w:r>
      <w:r>
        <w:rPr>
          <w:rFonts w:ascii="Times New Roman" w:hAnsi="Times New Roman"/>
          <w:i w:val="1"/>
          <w:iCs w:val="1"/>
          <w:u w:color="000000"/>
          <w:rtl w:val="0"/>
          <w:lang w:val="it-IT"/>
          <w14:textOutline w14:w="12700" w14:cap="flat">
            <w14:noFill/>
            <w14:miter w14:lim="400000"/>
          </w14:textOutline>
        </w:rPr>
        <w:t>(totally disagree 0%; neutral 6.5%-2/31participants;</w:t>
      </w:r>
      <w:r>
        <w:rPr>
          <w:rFonts w:ascii="Times New Roman" w:hAnsi="Times New Roman"/>
          <w:b w:val="1"/>
          <w:bCs w:val="1"/>
          <w:i w:val="1"/>
          <w:iCs w:val="1"/>
          <w:u w:color="000000"/>
          <w:rtl w:val="0"/>
          <w:lang w:val="it-IT"/>
          <w14:textOutline w14:w="12700" w14:cap="flat">
            <w14:noFill/>
            <w14:miter w14:lim="400000"/>
          </w14:textOutline>
        </w:rPr>
        <w:t xml:space="preserve"> agree 45.2%-14/31participants; totally agree 48.4%-15/31participants</w:t>
      </w:r>
      <w:r>
        <w:rPr>
          <w:rFonts w:ascii="Times New Roman" w:hAnsi="Times New Roman"/>
          <w:i w:val="1"/>
          <w:iCs w:val="1"/>
          <w:u w:color="000000"/>
          <w:rtl w:val="0"/>
          <w:lang w:val="it-IT"/>
          <w14:textOutline w14:w="12700" w14:cap="flat">
            <w14:noFill/>
            <w14:miter w14:lim="400000"/>
          </w14:textOutline>
        </w:rPr>
        <w:t>)</w:t>
      </w:r>
    </w:p>
    <w:p>
      <w:pPr>
        <w:pStyle w:val="Default"/>
        <w:spacing w:before="0" w:line="360" w:lineRule="auto"/>
        <w:rPr>
          <w:rFonts w:ascii="Times New Roman" w:cs="Times New Roman" w:hAnsi="Times New Roman" w:eastAsia="Times New Roman"/>
          <w:spacing w:val="0"/>
          <w:u w:val="none" w:color="000000"/>
          <w:lang w:val="en-US"/>
          <w14:textOutline w14:w="12700" w14:cap="flat">
            <w14:noFill/>
            <w14:miter w14:lim="400000"/>
          </w14:textOutline>
        </w:rPr>
      </w:pP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cs="Times New Roman" w:hAnsi="Times New Roman" w:eastAsia="Times New Roman"/>
          <w:sz w:val="22"/>
          <w:szCs w:val="22"/>
          <w:u w:color="000000"/>
          <w:lang w:val="en-US"/>
          <w14:textOutline w14:w="12700" w14:cap="flat">
            <w14:noFill/>
            <w14:miter w14:lim="400000"/>
          </w14:textOutline>
        </w:rPr>
      </w:pPr>
    </w:p>
    <w:p>
      <w:pPr>
        <w:pStyle w:val="Body"/>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The use of ICG angiography in managing </w:t>
      </w:r>
      <w:r>
        <w:rPr>
          <w:b w:val="1"/>
          <w:b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bdominal blunt and penetrating trauma.</w:t>
      </w:r>
    </w:p>
    <w:p>
      <w:pPr>
        <w:pStyle w:val="Body"/>
        <w:rPr>
          <w:b w:val="1"/>
          <w:bCs w:val="1"/>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 1.2</w:t>
      </w:r>
    </w:p>
    <w:p>
      <w:pPr>
        <w:pStyle w:val="Body"/>
        <w:spacing w:line="360" w:lineRule="auto"/>
        <w:rPr>
          <w:i w:val="1"/>
          <w:i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In the trauma setting, 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he use of ICG in abdominal trauma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patients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undergoing surgical exploration 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an assist surgeons in assessing the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bowel viability in case of mesenteric laceration</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and hematoma</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s, and deciding to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resect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how much extent the resection or preserve</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the involved bowel.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[QeE C] </w:t>
      </w:r>
      <w:r>
        <w:rPr>
          <w:i w:val="1"/>
          <w:i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32.3%-10/31participants; </w:t>
      </w:r>
      <w:r>
        <w:rPr>
          <w:b w:val="1"/>
          <w:bCs w:val="1"/>
          <w:i w:val="1"/>
          <w:i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agree 32.3%-10/31participants; totally agree 29%-9/31participants)</w:t>
      </w:r>
      <w:r>
        <w:rPr>
          <w:i w:val="1"/>
          <w:i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Recommendation 1.2</w:t>
      </w:r>
    </w:p>
    <w:p>
      <w:pPr>
        <w:pStyle w:val="Body"/>
        <w:spacing w:line="360" w:lineRule="auto"/>
        <w:rPr>
          <w:rFonts w:ascii="Helvetica Neue" w:cs="Helvetica Neue" w:hAnsi="Helvetica Neue" w:eastAsia="Helvetica Neue"/>
          <w:i w:val="1"/>
          <w:iCs w:val="1"/>
          <w:caps w:val="0"/>
          <w:smallCaps w:val="0"/>
          <w:strike w:val="0"/>
          <w:dstrike w:val="0"/>
          <w:outline w:val="0"/>
          <w:color w:val="000000"/>
          <w:spacing w:val="0"/>
          <w:kern w:val="0"/>
          <w:position w:val="0"/>
          <w:sz w:val="22"/>
          <w:szCs w:val="22"/>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WSES Panel of Experts suggests to consider the use of ICG angiography </w:t>
      </w:r>
      <w:r>
        <w:rPr>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to assess the blood perfusion in a high-risk </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intestinal/bowel </w:t>
      </w:r>
      <w:r>
        <w:rPr>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segment </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in the presence of </w:t>
      </w:r>
      <w:r>
        <w:rPr>
          <w:caps w:val="0"/>
          <w:smallCaps w:val="0"/>
          <w:strike w:val="0"/>
          <w:dstrike w:val="0"/>
          <w:outline w:val="0"/>
          <w:color w:val="000000"/>
          <w:spacing w:val="0"/>
          <w:kern w:val="0"/>
          <w:position w:val="0"/>
          <w:u w:val="none" w:color="ffffff"/>
          <w:shd w:val="nil" w:color="auto" w:fill="auto"/>
          <w:vertAlign w:val="baseline"/>
          <w:rtl w:val="0"/>
          <w:lang w:val="fr-FR"/>
          <w14:textOutline w14:w="12700" w14:cap="flat">
            <w14:noFill/>
            <w14:miter w14:lim="400000"/>
          </w14:textOutline>
          <w14:textFill>
            <w14:solidFill>
              <w14:srgbClr w14:val="000000"/>
            </w14:solidFill>
          </w14:textFill>
        </w:rPr>
        <w:t>mesenteric lacerations</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and hematomas in order to guide surgeons in the decision making for </w:t>
      </w:r>
      <w:r>
        <w:rPr>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the appropriate repair. </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Moreover, it is useful in</w:t>
      </w:r>
      <w:r>
        <w:rPr>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properly assessing</w:t>
      </w:r>
      <w:r>
        <w:rPr>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 the viability of the anastomotic edges</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and in visualising ischemic intestinal segment apparently presenting blood supply, preventing </w:t>
      </w:r>
      <w:r>
        <w:rPr>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postoperative </w:t>
      </w:r>
      <w:r>
        <w:rPr>
          <w:caps w:val="0"/>
          <w:smallCaps w:val="0"/>
          <w:strike w:val="0"/>
          <w:dstrike w:val="0"/>
          <w:outline w:val="0"/>
          <w:color w:val="000000"/>
          <w:spacing w:val="0"/>
          <w:kern w:val="0"/>
          <w:position w:val="0"/>
          <w:u w:val="none" w:color="ffffff"/>
          <w:shd w:val="nil" w:color="auto" w:fill="auto"/>
          <w:vertAlign w:val="baseline"/>
          <w:rtl w:val="0"/>
          <w:lang w:val="fr-FR"/>
          <w14:textOutline w14:w="12700" w14:cap="flat">
            <w14:noFill/>
            <w14:miter w14:lim="400000"/>
          </w14:textOutline>
          <w14:textFill>
            <w14:solidFill>
              <w14:srgbClr w14:val="000000"/>
            </w14:solidFill>
          </w14:textFill>
        </w:rPr>
        <w:t xml:space="preserve">complications </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and planned surgical second look (Moderate recommendation based on low level evidence)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9.7%-9/31participants;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35.5%-11/31participants; totally agree 32.3%-10/31participants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cs="Times New Roman" w:hAnsi="Times New Roman" w:eastAsia="Times New Roman"/>
          <w:sz w:val="22"/>
          <w:szCs w:val="22"/>
          <w:u w:val="none" w:color="000000"/>
          <w14:textOutline w14:w="12700" w14:cap="flat">
            <w14:noFill/>
            <w14:miter w14:lim="400000"/>
          </w14:textOutline>
        </w:rPr>
      </w:pPr>
    </w:p>
    <w:p>
      <w:pPr>
        <w:pStyle w:val="Body"/>
        <w:spacing w:line="360" w:lineRule="auto"/>
        <w:rPr>
          <w:b w:val="1"/>
          <w:bCs w:val="1"/>
          <w:caps w:val="0"/>
          <w:smallCaps w:val="0"/>
          <w:strike w:val="0"/>
          <w:dstrike w:val="0"/>
          <w:outline w:val="0"/>
          <w:color w:val="000000"/>
          <w:spacing w:val="0"/>
          <w:kern w:val="0"/>
          <w:position w:val="0"/>
          <w:u w:val="none" w:color="ffffff"/>
          <w:shd w:val="nil" w:color="auto" w:fill="auto"/>
          <w:vertAlign w:val="baseline"/>
          <w:lang w:val="it-IT"/>
          <w14:textOutline w14:w="12700" w14:cap="flat">
            <w14:noFill/>
            <w14:miter w14:lim="400000"/>
          </w14:textOutline>
          <w14:textFill>
            <w14:solidFill>
              <w14:srgbClr w14:val="000000"/>
            </w14:solidFill>
          </w14:textFill>
        </w:rPr>
      </w:pP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160" w:line="259" w:lineRule="auto"/>
        <w:jc w:val="both"/>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 xml:space="preserve">ICG angiography and the prevention of anastomotic leakage in the emergency setting. </w:t>
      </w:r>
    </w:p>
    <w:p>
      <w:pPr>
        <w:pStyle w:val="Body"/>
        <w:spacing w:line="360" w:lineRule="auto"/>
        <w:rPr>
          <w:b w:val="1"/>
          <w:bCs w:val="1"/>
          <w:caps w:val="0"/>
          <w:smallCaps w:val="0"/>
          <w:strike w:val="0"/>
          <w:dstrike w:val="0"/>
          <w:outline w:val="0"/>
          <w:color w:val="000000"/>
          <w:spacing w:val="0"/>
          <w:kern w:val="0"/>
          <w:position w:val="0"/>
          <w:u w:val="none" w:color="ffffff"/>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Statement 1.3</w:t>
      </w:r>
    </w:p>
    <w:p>
      <w:pPr>
        <w:pStyle w:val="Body"/>
        <w:spacing w:line="360" w:lineRule="auto"/>
        <w:rPr>
          <w:caps w:val="0"/>
          <w:smallCaps w:val="0"/>
          <w:strike w:val="0"/>
          <w:dstrike w:val="0"/>
          <w:outline w:val="0"/>
          <w:color w:val="000000"/>
          <w:spacing w:val="0"/>
          <w:kern w:val="0"/>
          <w:position w:val="0"/>
          <w:u w:val="none" w:color="ffffff"/>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The use of ICG fluorescence angiography can help surgeons in preventing anastomotic leakage, assessing vascular perfusion of the intestinal anastomosis [QoE C]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(totally disagree 0%; neutral 9.7%-3/31participants;</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agree 48.4%-15/31participants; totally agree 41.9%-13/31participants)</w:t>
      </w:r>
    </w:p>
    <w:p>
      <w:pPr>
        <w:pStyle w:val="Body"/>
        <w:spacing w:line="360" w:lineRule="auto"/>
        <w:rPr>
          <w:b w:val="1"/>
          <w:bCs w:val="1"/>
          <w:i w:val="1"/>
          <w:iCs w:val="1"/>
          <w:caps w:val="0"/>
          <w:smallCaps w:val="0"/>
          <w:strike w:val="0"/>
          <w:dstrike w:val="0"/>
          <w:outline w:val="0"/>
          <w:color w:val="000000"/>
          <w:spacing w:val="0"/>
          <w:kern w:val="0"/>
          <w:position w:val="0"/>
          <w:u w:val="none" w:color="ffffff"/>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i w:val="1"/>
          <w:iCs w:val="1"/>
          <w:caps w:val="0"/>
          <w:smallCaps w:val="0"/>
          <w:strike w:val="0"/>
          <w:dstrike w:val="0"/>
          <w:outline w:val="0"/>
          <w:color w:val="000000"/>
          <w:spacing w:val="0"/>
          <w:kern w:val="0"/>
          <w:position w:val="0"/>
          <w:u w:val="none" w:color="ffffff"/>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Recommendation 1.3</w:t>
      </w:r>
    </w:p>
    <w:p>
      <w:pPr>
        <w:pStyle w:val="Body"/>
        <w:spacing w:line="360" w:lineRule="auto"/>
        <w:rPr>
          <w:rFonts w:ascii="Helvetica Neue" w:cs="Helvetica Neue" w:hAnsi="Helvetica Neue" w:eastAsia="Helvetica Neue"/>
          <w:i w:val="1"/>
          <w:iCs w:val="1"/>
          <w:caps w:val="0"/>
          <w:smallCaps w:val="0"/>
          <w:strike w:val="0"/>
          <w:dstrike w:val="0"/>
          <w:outline w:val="0"/>
          <w:color w:val="000000"/>
          <w:spacing w:val="0"/>
          <w:kern w:val="0"/>
          <w:position w:val="0"/>
          <w:sz w:val="22"/>
          <w:szCs w:val="22"/>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The</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WSES panel of Experts suggests to consider the use of I</w:t>
      </w:r>
      <w:r>
        <w:rPr>
          <w:caps w:val="0"/>
          <w:smallCaps w:val="0"/>
          <w:strike w:val="0"/>
          <w:dstrike w:val="0"/>
          <w:outline w:val="0"/>
          <w:color w:val="000000"/>
          <w:spacing w:val="0"/>
          <w:kern w:val="0"/>
          <w:position w:val="0"/>
          <w:u w:val="none" w:color="ffffff"/>
          <w:shd w:val="nil" w:color="auto" w:fill="auto"/>
          <w:vertAlign w:val="baseline"/>
          <w:rtl w:val="0"/>
          <w:lang w:val="fr-FR"/>
          <w14:textOutline w14:w="12700" w14:cap="flat">
            <w14:noFill/>
            <w14:miter w14:lim="400000"/>
          </w14:textOutline>
          <w14:textFill>
            <w14:solidFill>
              <w14:srgbClr w14:val="000000"/>
            </w14:solidFill>
          </w14:textFill>
        </w:rPr>
        <w:t>CG</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fluorescence angiography to assess the perfusion quality of intestinal anastomosis in preventing</w:t>
      </w:r>
      <w:r>
        <w:rPr>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 anastomotic leakage</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after emergency intestinal/bowel resection, when it is available (Moderate recommendation based on low level evidence)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9.7%-3/31participants;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41.9%-13/31participants; totally agree 48.4%-15/31participants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b w:val="1"/>
          <w:bCs w:val="1"/>
          <w:caps w:val="0"/>
          <w:smallCaps w:val="0"/>
          <w:strike w:val="0"/>
          <w:dstrike w:val="0"/>
          <w:outline w:val="0"/>
          <w:color w:val="000000"/>
          <w:spacing w:val="0"/>
          <w:kern w:val="0"/>
          <w:position w:val="0"/>
          <w:u w:val="none" w:color="ffffff"/>
          <w:shd w:val="nil" w:color="auto" w:fill="auto"/>
          <w:vertAlign w:val="baseline"/>
          <w:lang w:val="en-US"/>
          <w14:textOutline w14:w="12700" w14:cap="flat">
            <w14:noFill/>
            <w14:miter w14:lim="400000"/>
          </w14:textOutline>
          <w14:textFill>
            <w14:solidFill>
              <w14:srgbClr w14:val="000000"/>
            </w14:solidFill>
          </w14:textFill>
        </w:rPr>
      </w:pP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jc w:val="both"/>
        <w:rPr>
          <w:rFonts w:ascii="Times New Roman" w:cs="Times New Roman" w:hAnsi="Times New Roman" w:eastAsia="Times New Roman"/>
          <w:u w:color="000000"/>
          <w:lang w:val="en-US"/>
          <w14:textOutline w14:w="12700" w14:cap="flat">
            <w14:noFill/>
            <w14:miter w14:lim="400000"/>
          </w14:textOutline>
        </w:rPr>
      </w:pPr>
    </w:p>
    <w:p>
      <w:pPr>
        <w:pStyle w:val="Default"/>
        <w:spacing w:before="0" w:line="360" w:lineRule="auto"/>
        <w:jc w:val="both"/>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Question 2:</w:t>
      </w:r>
    </w:p>
    <w:p>
      <w:pPr>
        <w:pStyle w:val="Default"/>
        <w:spacing w:before="0" w:line="360" w:lineRule="auto"/>
        <w:jc w:val="both"/>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Which patients</w:t>
      </w:r>
      <w:r>
        <w:rPr>
          <w:rFonts w:ascii="Times New Roman" w:hAnsi="Times New Roman" w:hint="default"/>
          <w:b w:val="1"/>
          <w:bCs w:val="1"/>
          <w:u w:color="000000"/>
          <w:rtl w:val="0"/>
          <w:lang w:val="it-IT"/>
          <w14:textOutline w14:w="12700" w14:cap="flat">
            <w14:noFill/>
            <w14:miter w14:lim="400000"/>
          </w14:textOutline>
        </w:rPr>
        <w:t xml:space="preserve">’ </w:t>
      </w:r>
      <w:r>
        <w:rPr>
          <w:rFonts w:ascii="Times New Roman" w:hAnsi="Times New Roman"/>
          <w:b w:val="1"/>
          <w:bCs w:val="1"/>
          <w:u w:color="000000"/>
          <w:rtl w:val="0"/>
          <w:lang w:val="it-IT"/>
          <w14:textOutline w14:w="12700" w14:cap="flat">
            <w14:noFill/>
            <w14:miter w14:lim="400000"/>
          </w14:textOutline>
        </w:rPr>
        <w:t>factors and clinical features do influence ICG fluorescence images quality in the emergency setting?</w:t>
      </w:r>
    </w:p>
    <w:p>
      <w:pPr>
        <w:pStyle w:val="Default"/>
        <w:spacing w:before="0" w:line="360" w:lineRule="auto"/>
        <w:jc w:val="both"/>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In which patients and setting, the ICG-guided emergency surgery is contraindicated?</w:t>
      </w:r>
    </w:p>
    <w:p>
      <w:pPr>
        <w:pStyle w:val="Default"/>
        <w:spacing w:before="0" w:line="360" w:lineRule="auto"/>
        <w:jc w:val="both"/>
        <w:rPr>
          <w:rFonts w:ascii="Times New Roman" w:cs="Times New Roman" w:hAnsi="Times New Roman" w:eastAsia="Times New Roman"/>
          <w:b w:val="1"/>
          <w:bCs w:val="1"/>
          <w:u w:color="000000"/>
          <w:lang w:val="it-IT"/>
          <w14:textOutline w14:w="12700" w14:cap="flat">
            <w14:noFill/>
            <w14:miter w14:lim="400000"/>
          </w14:textOutline>
        </w:rPr>
      </w:pPr>
    </w:p>
    <w:p>
      <w:pPr>
        <w:pStyle w:val="Default"/>
        <w:tabs>
          <w:tab w:val="left" w:pos="9132"/>
        </w:tabs>
        <w:spacing w:before="0" w:line="360" w:lineRule="auto"/>
        <w:jc w:val="both"/>
        <w:rPr>
          <w:rFonts w:ascii="Times New Roman" w:cs="Times New Roman" w:hAnsi="Times New Roman" w:eastAsia="Times New Roman"/>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 2.1</w:t>
      </w:r>
    </w:p>
    <w:p>
      <w:pPr>
        <w:pStyle w:val="Default"/>
        <w:tabs>
          <w:tab w:val="left" w:pos="9132"/>
        </w:tabs>
        <w:spacing w:before="0" w:line="360" w:lineRule="auto"/>
        <w:jc w:val="both"/>
        <w:rPr>
          <w:rFonts w:ascii="Times New Roman" w:cs="Times New Roman" w:hAnsi="Times New Roman" w:eastAsia="Times New Roman"/>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The Indocyanine green (ICG) contrast is safe and no major adverse events from its use were reported in the literature for abdominal surgery</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rFonts w:ascii="Times New Roman" w:hAnsi="Times New Roman"/>
          <w:u w:color="ffffff"/>
          <w:rtl w:val="0"/>
          <w:lang w:val="it-IT"/>
          <w14:textOutline w14:w="12700" w14:cap="flat">
            <w14:noFill/>
            <w14:miter w14:lim="400000"/>
          </w14:textOutline>
        </w:rPr>
        <w:t xml:space="preserve">[QoE C] </w:t>
      </w:r>
      <w:r>
        <w:rPr>
          <w:rFonts w:ascii="Times New Roman" w:hAnsi="Times New Roman"/>
          <w:i w:val="1"/>
          <w:iCs w:val="1"/>
          <w:u w:color="ffffff"/>
          <w:rtl w:val="0"/>
          <w:lang w:val="it-IT"/>
          <w14:textOutline w14:w="12700" w14:cap="flat">
            <w14:noFill/>
            <w14:miter w14:lim="400000"/>
          </w14:textOutline>
        </w:rPr>
        <w:t>(totally disagree 0%; neutral 9.7%-3/31participants;</w:t>
      </w:r>
      <w:r>
        <w:rPr>
          <w:rFonts w:ascii="Times New Roman" w:hAnsi="Times New Roman"/>
          <w:b w:val="1"/>
          <w:bCs w:val="1"/>
          <w:i w:val="1"/>
          <w:iCs w:val="1"/>
          <w:u w:color="ffffff"/>
          <w:rtl w:val="0"/>
          <w:lang w:val="it-IT"/>
          <w14:textOutline w14:w="12700" w14:cap="flat">
            <w14:noFill/>
            <w14:miter w14:lim="400000"/>
          </w14:textOutline>
        </w:rPr>
        <w:t xml:space="preserve"> agree 19.4%-6/31participants; totally agree 67.7%-21/31participants</w:t>
      </w:r>
      <w:r>
        <w:rPr>
          <w:rFonts w:ascii="Times New Roman" w:hAnsi="Times New Roman"/>
          <w:i w:val="1"/>
          <w:iCs w:val="1"/>
          <w:u w:color="ffffff"/>
          <w:rtl w:val="0"/>
          <w:lang w:val="it-IT"/>
          <w14:textOutline w14:w="12700" w14:cap="flat">
            <w14:noFill/>
            <w14:miter w14:lim="400000"/>
          </w14:textOutline>
        </w:rPr>
        <w:t>).</w:t>
      </w:r>
    </w:p>
    <w:p>
      <w:pPr>
        <w:pStyle w:val="Default"/>
        <w:tabs>
          <w:tab w:val="left" w:pos="9132"/>
        </w:tabs>
        <w:spacing w:before="0" w:line="360" w:lineRule="auto"/>
        <w:jc w:val="both"/>
        <w:rPr>
          <w:rFonts w:ascii="Times New Roman" w:cs="Times New Roman" w:hAnsi="Times New Roman" w:eastAsia="Times New Roman"/>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 2.2</w:t>
      </w:r>
    </w:p>
    <w:p>
      <w:pPr>
        <w:pStyle w:val="Default"/>
        <w:tabs>
          <w:tab w:val="left" w:pos="9132"/>
        </w:tabs>
        <w:spacing w:before="0" w:line="360" w:lineRule="auto"/>
        <w:jc w:val="both"/>
        <w:rPr>
          <w:rFonts w:ascii="Times New Roman" w:cs="Times New Roman" w:hAnsi="Times New Roman" w:eastAsia="Times New Roman"/>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administration of ICG fluorophore is contraindicated in patients with previous adverse events or allergy proven to iodine contrasts </w:t>
      </w:r>
      <w:r>
        <w:rPr>
          <w:rFonts w:ascii="Times New Roman" w:hAnsi="Times New Roman"/>
          <w:u w:color="ffffff"/>
          <w:rtl w:val="0"/>
          <w:lang w:val="it-IT"/>
          <w14:textOutline w14:w="12700" w14:cap="flat">
            <w14:noFill/>
            <w14:miter w14:lim="400000"/>
          </w14:textOutline>
        </w:rPr>
        <w:t>[QoE C]</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i w:val="1"/>
          <w:iCs w:val="1"/>
          <w:u w:color="ffffff"/>
          <w:rtl w:val="0"/>
          <w:lang w:val="it-IT"/>
          <w14:textOutline w14:w="12700" w14:cap="flat">
            <w14:noFill/>
            <w14:miter w14:lim="400000"/>
          </w14:textOutline>
        </w:rPr>
        <w:t xml:space="preserve">(totally disagree 6.5%-2/31participants; neutral 19.4%-6/31participants; </w:t>
      </w:r>
      <w:r>
        <w:rPr>
          <w:rFonts w:ascii="Times New Roman" w:hAnsi="Times New Roman"/>
          <w:b w:val="1"/>
          <w:bCs w:val="1"/>
          <w:i w:val="1"/>
          <w:iCs w:val="1"/>
          <w:u w:color="ffffff"/>
          <w:rtl w:val="0"/>
          <w:lang w:val="it-IT"/>
          <w14:textOutline w14:w="12700" w14:cap="flat">
            <w14:noFill/>
            <w14:miter w14:lim="400000"/>
          </w14:textOutline>
        </w:rPr>
        <w:t>agree 25.8%-8/31participants; totally agree 48.4%-15/31participants)</w:t>
      </w:r>
      <w:r>
        <w:rPr>
          <w:rFonts w:ascii="Times New Roman" w:hAnsi="Times New Roman"/>
          <w:i w:val="1"/>
          <w:iCs w:val="1"/>
          <w:u w:color="ffffff"/>
          <w:rtl w:val="0"/>
          <w:lang w:val="it-IT"/>
          <w14:textOutline w14:w="12700" w14:cap="flat">
            <w14:noFill/>
            <w14:miter w14:lim="400000"/>
          </w14:textOutline>
        </w:rPr>
        <w:t>.</w:t>
      </w:r>
    </w:p>
    <w:p>
      <w:pPr>
        <w:pStyle w:val="Default"/>
        <w:tabs>
          <w:tab w:val="left" w:pos="9132"/>
        </w:tabs>
        <w:spacing w:before="0" w:line="360" w:lineRule="auto"/>
        <w:jc w:val="both"/>
        <w:rPr>
          <w:rFonts w:ascii="Times New Roman" w:cs="Times New Roman" w:hAnsi="Times New Roman" w:eastAsia="Times New Roman"/>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 2.3</w:t>
      </w:r>
    </w:p>
    <w:p>
      <w:pPr>
        <w:pStyle w:val="Default"/>
        <w:tabs>
          <w:tab w:val="left" w:pos="9132"/>
        </w:tabs>
        <w:spacing w:before="0" w:line="360" w:lineRule="auto"/>
        <w:jc w:val="both"/>
        <w:rPr>
          <w:rFonts w:ascii="Times New Roman" w:cs="Times New Roman" w:hAnsi="Times New Roman" w:eastAsia="Times New Roman"/>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administration of ICG solution in pregnant patients should be avoided in absence of clear evidence of non teratogenic effect. </w:t>
      </w:r>
      <w:r>
        <w:rPr>
          <w:rFonts w:ascii="Times New Roman" w:hAnsi="Times New Roman"/>
          <w:u w:color="ffffff"/>
          <w:rtl w:val="0"/>
          <w:lang w:val="it-IT"/>
          <w14:textOutline w14:w="12700" w14:cap="flat">
            <w14:noFill/>
            <w14:miter w14:lim="400000"/>
          </w14:textOutline>
        </w:rPr>
        <w:t>[QoE C]</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i w:val="1"/>
          <w:iCs w:val="1"/>
          <w:u w:color="ffffff"/>
          <w:rtl w:val="0"/>
          <w:lang w:val="it-IT"/>
          <w14:textOutline w14:w="12700" w14:cap="flat">
            <w14:noFill/>
            <w14:miter w14:lim="400000"/>
          </w14:textOutline>
        </w:rPr>
        <w:t xml:space="preserve">(totally disagree 0%; neutral 16.1%-5/31participants; </w:t>
      </w:r>
      <w:r>
        <w:rPr>
          <w:rFonts w:ascii="Times New Roman" w:hAnsi="Times New Roman"/>
          <w:b w:val="1"/>
          <w:bCs w:val="1"/>
          <w:i w:val="1"/>
          <w:iCs w:val="1"/>
          <w:u w:color="ffffff"/>
          <w:rtl w:val="0"/>
          <w:lang w:val="it-IT"/>
          <w14:textOutline w14:w="12700" w14:cap="flat">
            <w14:noFill/>
            <w14:miter w14:lim="400000"/>
          </w14:textOutline>
        </w:rPr>
        <w:t>agree 22.6%-10/31participants; totally agree 48.4%-15/31participants</w:t>
      </w:r>
      <w:r>
        <w:rPr>
          <w:rFonts w:ascii="Times New Roman" w:hAnsi="Times New Roman"/>
          <w:i w:val="1"/>
          <w:iCs w:val="1"/>
          <w:u w:color="ffffff"/>
          <w:rtl w:val="0"/>
          <w:lang w:val="it-IT"/>
          <w14:textOutline w14:w="12700" w14:cap="flat">
            <w14:noFill/>
            <w14:miter w14:lim="400000"/>
          </w14:textOutline>
        </w:rPr>
        <w:t>).</w:t>
      </w:r>
    </w:p>
    <w:p>
      <w:pPr>
        <w:pStyle w:val="Default"/>
        <w:tabs>
          <w:tab w:val="left" w:pos="9132"/>
        </w:tabs>
        <w:spacing w:before="0" w:line="360" w:lineRule="auto"/>
        <w:jc w:val="both"/>
        <w:rPr>
          <w:rFonts w:ascii="Times New Roman" w:cs="Times New Roman" w:hAnsi="Times New Roman" w:eastAsia="Times New Roman"/>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 2.4</w:t>
      </w:r>
    </w:p>
    <w:p>
      <w:pPr>
        <w:pStyle w:val="Default"/>
        <w:tabs>
          <w:tab w:val="left" w:pos="9132"/>
        </w:tabs>
        <w:spacing w:before="0" w:line="360" w:lineRule="auto"/>
        <w:jc w:val="both"/>
        <w:rPr>
          <w:rFonts w:ascii="Times New Roman" w:cs="Times New Roman" w:hAnsi="Times New Roman" w:eastAsia="Times New Roman"/>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The administration of inotropes in managing patient</w:t>
      </w:r>
      <w:r>
        <w:rPr>
          <w:rFonts w:ascii="Times New Roman" w:hAnsi="Times New Roman" w:hint="default"/>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s hemodynamic seems not to contraindicate the  use of ICG fluorescence imaging </w:t>
      </w:r>
      <w:r>
        <w:rPr>
          <w:rFonts w:ascii="Times New Roman" w:hAnsi="Times New Roman"/>
          <w:u w:color="ffffff"/>
          <w:rtl w:val="0"/>
          <w:lang w:val="it-IT"/>
          <w14:textOutline w14:w="12700" w14:cap="flat">
            <w14:noFill/>
            <w14:miter w14:lim="400000"/>
          </w14:textOutline>
        </w:rPr>
        <w:t>[QoE D]</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i w:val="1"/>
          <w:iCs w:val="1"/>
          <w:u w:color="ffffff"/>
          <w:rtl w:val="0"/>
          <w:lang w:val="it-IT"/>
          <w14:textOutline w14:w="12700" w14:cap="flat">
            <w14:noFill/>
            <w14:miter w14:lim="400000"/>
          </w14:textOutline>
        </w:rPr>
        <w:t xml:space="preserve">(totally disagree 0%; neutral 12.9%-4/31participants; </w:t>
      </w:r>
      <w:r>
        <w:rPr>
          <w:rFonts w:ascii="Times New Roman" w:hAnsi="Times New Roman"/>
          <w:b w:val="1"/>
          <w:bCs w:val="1"/>
          <w:i w:val="1"/>
          <w:iCs w:val="1"/>
          <w:u w:color="ffffff"/>
          <w:rtl w:val="0"/>
          <w:lang w:val="it-IT"/>
          <w14:textOutline w14:w="12700" w14:cap="flat">
            <w14:noFill/>
            <w14:miter w14:lim="400000"/>
          </w14:textOutline>
        </w:rPr>
        <w:t>agree 32.3%-10/31participants; totally agree 51.6%-16/31participants</w:t>
      </w:r>
      <w:r>
        <w:rPr>
          <w:rFonts w:ascii="Times New Roman" w:hAnsi="Times New Roman"/>
          <w:i w:val="1"/>
          <w:iCs w:val="1"/>
          <w:u w:color="ffffff"/>
          <w:rtl w:val="0"/>
          <w:lang w:val="it-IT"/>
          <w14:textOutline w14:w="12700" w14:cap="flat">
            <w14:noFill/>
            <w14:miter w14:lim="400000"/>
          </w14:textOutline>
        </w:rPr>
        <w:t>).</w:t>
      </w:r>
    </w:p>
    <w:p>
      <w:pPr>
        <w:pStyle w:val="Default"/>
        <w:spacing w:before="0" w:line="360" w:lineRule="auto"/>
        <w:jc w:val="both"/>
        <w:rPr>
          <w:rFonts w:ascii="Times New Roman" w:cs="Times New Roman" w:hAnsi="Times New Roman" w:eastAsia="Times New Roman"/>
          <w:u w:val="none" w:color="000000"/>
          <w14:textOutline w14:w="12700" w14:cap="flat">
            <w14:noFill/>
            <w14:miter w14:lim="400000"/>
          </w14:textOutline>
        </w:rPr>
      </w:pPr>
      <w:r>
        <w:rPr>
          <w:rFonts w:ascii="Times New Roman" w:hAnsi="Times New Roman"/>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 2.5</w:t>
      </w:r>
    </w:p>
    <w:p>
      <w:pPr>
        <w:pStyle w:val="Default"/>
        <w:spacing w:before="0" w:line="360" w:lineRule="auto"/>
        <w:jc w:val="both"/>
        <w:rPr>
          <w:rFonts w:ascii="Times New Roman" w:cs="Times New Roman" w:hAnsi="Times New Roman" w:eastAsia="Times New Roman"/>
          <w:u w:val="none"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ICG fluorophore has an hepatic clearance, therefore images quality can be affected by the patient</w:t>
      </w:r>
      <w:r>
        <w:rPr>
          <w:rFonts w:ascii="Times New Roman" w:hAnsi="Times New Roman" w:hint="default"/>
          <w:u w:color="000000"/>
          <w:rtl w:val="0"/>
          <w:lang w:val="it-IT"/>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s hepatic flow and function. N</w:t>
      </w:r>
      <w:r>
        <w:rPr>
          <w:rFonts w:ascii="Times New Roman" w:hAnsi="Times New Roman"/>
          <w:u w:color="000000"/>
          <w:rtl w:val="0"/>
          <w:lang w:val="en-US"/>
          <w14:textOutline w14:w="12700" w14:cap="flat">
            <w14:noFill/>
            <w14:miter w14:lim="400000"/>
          </w14:textOutline>
        </w:rPr>
        <w:t>o relevant studies have assessed this</w:t>
      </w:r>
      <w:r>
        <w:rPr>
          <w:rFonts w:ascii="Times New Roman" w:hAnsi="Times New Roman"/>
          <w:u w:color="000000"/>
          <w:rtl w:val="0"/>
          <w:lang w:val="it-IT"/>
          <w14:textOutline w14:w="12700" w14:cap="flat">
            <w14:noFill/>
            <w14:miter w14:lim="400000"/>
          </w14:textOutline>
        </w:rPr>
        <w:t xml:space="preserve"> phenomenon</w:t>
      </w:r>
      <w:r>
        <w:rPr>
          <w:rFonts w:ascii="Times New Roman" w:hAnsi="Times New Roman"/>
          <w:u w:color="000000"/>
          <w:rtl w:val="0"/>
          <w:lang w:val="en-US"/>
          <w14:textOutline w14:w="12700" w14:cap="flat">
            <w14:noFill/>
            <w14:miter w14:lim="400000"/>
          </w14:textOutline>
        </w:rPr>
        <w:t xml:space="preserve"> specifically </w:t>
      </w:r>
      <w:r>
        <w:rPr>
          <w:rFonts w:ascii="Times New Roman" w:hAnsi="Times New Roman"/>
          <w:u w:color="ffffff"/>
          <w:rtl w:val="0"/>
          <w:lang w:val="it-IT"/>
          <w14:textOutline w14:w="12700" w14:cap="flat">
            <w14:noFill/>
            <w14:miter w14:lim="400000"/>
          </w14:textOutline>
        </w:rPr>
        <w:t>[QoE D]</w:t>
      </w:r>
      <w:r>
        <w:rPr>
          <w:rFonts w:ascii="Times New Roman" w:hAnsi="Times New Roman"/>
          <w:u w:color="000000"/>
          <w:rtl w:val="0"/>
          <w:lang w:val="en-US"/>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i w:val="1"/>
          <w:iCs w:val="1"/>
          <w:u w:color="ffffff"/>
          <w:rtl w:val="0"/>
          <w:lang w:val="it-IT"/>
          <w14:textOutline w14:w="12700" w14:cap="flat">
            <w14:noFill/>
            <w14:miter w14:lim="400000"/>
          </w14:textOutline>
        </w:rPr>
        <w:t xml:space="preserve">(totally disagree 0%; neutral 22.6%-7/31participants; </w:t>
      </w:r>
      <w:r>
        <w:rPr>
          <w:rFonts w:ascii="Times New Roman" w:hAnsi="Times New Roman"/>
          <w:b w:val="1"/>
          <w:bCs w:val="1"/>
          <w:i w:val="1"/>
          <w:iCs w:val="1"/>
          <w:u w:color="ffffff"/>
          <w:rtl w:val="0"/>
          <w:lang w:val="it-IT"/>
          <w14:textOutline w14:w="12700" w14:cap="flat">
            <w14:noFill/>
            <w14:miter w14:lim="400000"/>
          </w14:textOutline>
        </w:rPr>
        <w:t>agree 25.8%-8/31participants; totally agree 45.2%-14/31participants</w:t>
      </w:r>
      <w:r>
        <w:rPr>
          <w:rFonts w:ascii="Times New Roman" w:hAnsi="Times New Roman"/>
          <w:i w:val="1"/>
          <w:iCs w:val="1"/>
          <w:u w:color="ffffff"/>
          <w:rtl w:val="0"/>
          <w:lang w:val="it-IT"/>
          <w14:textOutline w14:w="12700" w14:cap="flat">
            <w14:noFill/>
            <w14:miter w14:lim="400000"/>
          </w14:textOutline>
        </w:rPr>
        <w:t>).</w:t>
      </w:r>
    </w:p>
    <w:p>
      <w:pPr>
        <w:pStyle w:val="Default"/>
        <w:spacing w:before="0" w:line="360" w:lineRule="auto"/>
        <w:jc w:val="both"/>
        <w:rPr>
          <w:rFonts w:ascii="Times New Roman" w:cs="Times New Roman" w:hAnsi="Times New Roman" w:eastAsia="Times New Roman"/>
          <w:u w:val="none" w:color="000000"/>
          <w14:textOutline w14:w="12700" w14:cap="flat">
            <w14:noFill/>
            <w14:miter w14:lim="400000"/>
          </w14:textOutline>
        </w:rPr>
      </w:pPr>
      <w:r>
        <w:rPr>
          <w:rFonts w:ascii="Times New Roman" w:hAnsi="Times New Roman"/>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 2.6</w:t>
      </w:r>
    </w:p>
    <w:p>
      <w:pPr>
        <w:pStyle w:val="Default"/>
        <w:spacing w:before="0" w:line="360" w:lineRule="auto"/>
        <w:jc w:val="both"/>
        <w:rPr>
          <w:rFonts w:ascii="Times New Roman" w:cs="Times New Roman" w:hAnsi="Times New Roman" w:eastAsia="Times New Roman"/>
          <w:u w:val="none"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Studies indicate that BMI &gt;25 kg/m</w:t>
      </w:r>
      <w:r>
        <w:rPr>
          <w:rFonts w:ascii="Times New Roman" w:hAnsi="Times New Roman" w:hint="default"/>
          <w:u w:color="000000"/>
          <w:rtl w:val="0"/>
          <w:lang w:val="it-IT"/>
          <w14:textOutline w14:w="12700" w14:cap="flat">
            <w14:noFill/>
            <w14:miter w14:lim="400000"/>
          </w14:textOutline>
        </w:rPr>
        <w:t xml:space="preserve">² </w:t>
      </w:r>
      <w:r>
        <w:rPr>
          <w:rFonts w:ascii="Times New Roman" w:hAnsi="Times New Roman"/>
          <w:u w:color="000000"/>
          <w:rtl w:val="0"/>
          <w:lang w:val="it-IT"/>
          <w14:textOutline w14:w="12700" w14:cap="flat">
            <w14:noFill/>
            <w14:miter w14:lim="400000"/>
          </w14:textOutline>
        </w:rPr>
        <w:t xml:space="preserve">and cholecystitis can reduce biliary structure visibility in ICG-NIR cholangiography, especially for deeper structures like the common hepatic duct because of tissues thickness (&gt;=3mm) </w:t>
      </w:r>
      <w:r>
        <w:rPr>
          <w:rFonts w:ascii="Times New Roman" w:hAnsi="Times New Roman"/>
          <w:u w:color="ffffff"/>
          <w:rtl w:val="0"/>
          <w:lang w:val="it-IT"/>
          <w14:textOutline w14:w="12700" w14:cap="flat">
            <w14:noFill/>
            <w14:miter w14:lim="400000"/>
          </w14:textOutline>
        </w:rPr>
        <w:t>[QoE C].</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i w:val="1"/>
          <w:iCs w:val="1"/>
          <w:u w:color="ffffff"/>
          <w:rtl w:val="0"/>
          <w:lang w:val="it-IT"/>
          <w14:textOutline w14:w="12700" w14:cap="flat">
            <w14:noFill/>
            <w14:miter w14:lim="400000"/>
          </w14:textOutline>
        </w:rPr>
        <w:t xml:space="preserve">(totally disagree 0%; neutral 22.6%-7/31participants; </w:t>
      </w:r>
      <w:r>
        <w:rPr>
          <w:rFonts w:ascii="Times New Roman" w:hAnsi="Times New Roman"/>
          <w:b w:val="1"/>
          <w:bCs w:val="1"/>
          <w:i w:val="1"/>
          <w:iCs w:val="1"/>
          <w:u w:color="ffffff"/>
          <w:rtl w:val="0"/>
          <w:lang w:val="it-IT"/>
          <w14:textOutline w14:w="12700" w14:cap="flat">
            <w14:noFill/>
            <w14:miter w14:lim="400000"/>
          </w14:textOutline>
        </w:rPr>
        <w:t>agree 41.9%-13/31participants; totally agree 29%-9/31participants</w:t>
      </w:r>
      <w:r>
        <w:rPr>
          <w:rFonts w:ascii="Times New Roman" w:hAnsi="Times New Roman"/>
          <w:i w:val="1"/>
          <w:iCs w:val="1"/>
          <w:u w:color="ffffff"/>
          <w:rtl w:val="0"/>
          <w:lang w:val="it-IT"/>
          <w14:textOutline w14:w="12700" w14:cap="flat">
            <w14:noFill/>
            <w14:miter w14:lim="400000"/>
          </w14:textOutline>
        </w:rPr>
        <w:t>).</w:t>
      </w:r>
    </w:p>
    <w:p>
      <w:pPr>
        <w:pStyle w:val="Default"/>
        <w:spacing w:before="0" w:line="360" w:lineRule="auto"/>
        <w:jc w:val="both"/>
        <w:rPr>
          <w:rFonts w:ascii="Times New Roman" w:cs="Times New Roman" w:hAnsi="Times New Roman" w:eastAsia="Times New Roman"/>
          <w:b w:val="1"/>
          <w:bCs w:val="1"/>
          <w:caps w:val="0"/>
          <w:smallCaps w:val="0"/>
          <w:strike w:val="0"/>
          <w:dstrike w:val="0"/>
          <w:outline w:val="0"/>
          <w:color w:val="000000"/>
          <w:spacing w:val="0"/>
          <w:kern w:val="0"/>
          <w:position w:val="0"/>
          <w:u w:color="000000"/>
          <w:shd w:val="nil" w:color="auto" w:fill="auto"/>
          <w:vertAlign w:val="baseline"/>
          <w:lang w:val="it-IT"/>
          <w14:textOutline w14:w="12700" w14:cap="flat">
            <w14:noFill/>
            <w14:miter w14:lim="400000"/>
          </w14:textOutline>
          <w14:textFill>
            <w14:solidFill>
              <w14:srgbClr w14:val="000000"/>
            </w14:solidFill>
          </w14:textFill>
        </w:rPr>
      </w:pPr>
    </w:p>
    <w:p>
      <w:pPr>
        <w:pStyle w:val="Default"/>
        <w:spacing w:before="0" w:line="360" w:lineRule="auto"/>
        <w:jc w:val="both"/>
        <w:rPr>
          <w:rFonts w:ascii="Times New Roman" w:cs="Times New Roman" w:hAnsi="Times New Roman" w:eastAsia="Times New Roman"/>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Recommendations 2</w:t>
      </w:r>
    </w:p>
    <w:p>
      <w:pPr>
        <w:pStyle w:val="Default"/>
        <w:spacing w:before="0" w:line="360" w:lineRule="auto"/>
        <w:jc w:val="both"/>
        <w:rPr>
          <w:rFonts w:ascii="Times New Roman" w:cs="Times New Roman" w:hAnsi="Times New Roman" w:eastAsia="Times New Roman"/>
          <w:i w:val="1"/>
          <w:i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rFonts w:ascii="Times New Roman" w:hAnsi="Times New Roman"/>
          <w:u w:color="000000"/>
          <w:rtl w:val="0"/>
          <w:lang w:val="it-IT"/>
          <w14:textOutline w14:w="12700" w14:cap="flat">
            <w14:noFill/>
            <w14:miter w14:lim="400000"/>
          </w14:textOutline>
        </w:rPr>
        <w:t xml:space="preserve">The </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WSES Panel of Experts </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suggest</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to evaluate case by case, the benefits from the use of ICG fluorescence angiography and cholangiography, in performing an emergency high-risk surgical procedure according to </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the extremely low risk of an adverse reaction </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and the risk of negative outcomes and postoperative complications (Moderate recommendation based on low level evidence 2C)</w:t>
      </w:r>
      <w:r>
        <w:rPr>
          <w:rFonts w:ascii="Times New Roman" w:hAnsi="Times New Roman"/>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i w:val="1"/>
          <w:iCs w:val="1"/>
          <w:u w:color="ffffff"/>
          <w:rtl w:val="0"/>
          <w:lang w:val="it-IT"/>
          <w14:textOutline w14:w="12700" w14:cap="flat">
            <w14:noFill/>
            <w14:miter w14:lim="400000"/>
          </w14:textOutline>
        </w:rPr>
        <w:t xml:space="preserve">(totally disagree 3.2%-1/31; neutral 9.7%-3/31participants; </w:t>
      </w:r>
      <w:r>
        <w:rPr>
          <w:rFonts w:ascii="Times New Roman" w:hAnsi="Times New Roman"/>
          <w:b w:val="1"/>
          <w:bCs w:val="1"/>
          <w:i w:val="1"/>
          <w:iCs w:val="1"/>
          <w:u w:color="ffffff"/>
          <w:rtl w:val="0"/>
          <w:lang w:val="it-IT"/>
          <w14:textOutline w14:w="12700" w14:cap="flat">
            <w14:noFill/>
            <w14:miter w14:lim="400000"/>
          </w14:textOutline>
        </w:rPr>
        <w:t>agree 25.8%-7/31participants; totally agree 58.1%-18/31participants</w:t>
      </w:r>
      <w:r>
        <w:rPr>
          <w:rFonts w:ascii="Times New Roman" w:hAnsi="Times New Roman"/>
          <w:i w:val="1"/>
          <w:iCs w:val="1"/>
          <w:u w:color="ffffff"/>
          <w:rtl w:val="0"/>
          <w:lang w:val="it-IT"/>
          <w14:textOutline w14:w="12700" w14:cap="flat">
            <w14:noFill/>
            <w14:miter w14:lim="400000"/>
          </w14:textOutline>
        </w:rPr>
        <w:t>).</w:t>
      </w:r>
    </w:p>
    <w:p>
      <w:pPr>
        <w:pStyle w:val="Default"/>
        <w:spacing w:before="0" w:line="360" w:lineRule="auto"/>
        <w:jc w:val="both"/>
        <w:rPr>
          <w:rFonts w:ascii="Times New Roman" w:cs="Times New Roman" w:hAnsi="Times New Roman" w:eastAsia="Times New Roman"/>
          <w:caps w:val="0"/>
          <w:smallCaps w:val="0"/>
          <w:strike w:val="0"/>
          <w:dstrike w:val="0"/>
          <w:outline w:val="0"/>
          <w:color w:val="000000"/>
          <w:spacing w:val="0"/>
          <w:kern w:val="0"/>
          <w:position w:val="0"/>
          <w:u w:val="none" w:color="000000"/>
          <w:shd w:val="nil" w:color="auto" w:fill="auto"/>
          <w:vertAlign w:val="baseline"/>
          <w:lang w:val="it-IT"/>
          <w14:textOutline w14:w="12700" w14:cap="flat">
            <w14:noFill/>
            <w14:miter w14:lim="400000"/>
          </w14:textOutline>
          <w14:textFill>
            <w14:solidFill>
              <w14:srgbClr w14:val="000000"/>
            </w14:solidFill>
          </w14:textFill>
        </w:rPr>
      </w:pPr>
    </w:p>
    <w:p>
      <w:pPr>
        <w:pStyle w:val="Default"/>
        <w:spacing w:before="0" w:line="360" w:lineRule="auto"/>
        <w:jc w:val="both"/>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The hepatic </w:t>
      </w:r>
      <w:r>
        <w:rPr>
          <w:rFonts w:ascii="Times New Roman" w:hAnsi="Times New Roman"/>
          <w:u w:color="000000"/>
          <w:rtl w:val="0"/>
          <w:lang w:val="en-US"/>
          <w14:textOutline w14:w="12700" w14:cap="flat">
            <w14:noFill/>
            <w14:miter w14:lim="400000"/>
          </w14:textOutline>
        </w:rPr>
        <w:t>ICG metabolism, cardiac output, microangiopathy, BMI, and edema-thick and deep tissues</w:t>
      </w:r>
      <w:r>
        <w:rPr>
          <w:rFonts w:ascii="Times New Roman" w:hAnsi="Times New Roman"/>
          <w:u w:color="000000"/>
          <w:rtl w:val="0"/>
          <w:lang w:val="it-IT"/>
          <w14:textOutline w14:w="12700" w14:cap="flat">
            <w14:noFill/>
            <w14:miter w14:lim="400000"/>
          </w14:textOutline>
        </w:rPr>
        <w:t xml:space="preserve">, such as in severe inflamed acute cholecystitis, were reported as risk factors for </w:t>
      </w:r>
      <w:r>
        <w:rPr>
          <w:rFonts w:ascii="Times New Roman" w:hAnsi="Times New Roman"/>
          <w:u w:color="000000"/>
          <w:rtl w:val="0"/>
          <w:lang w:val="en-US"/>
          <w14:textOutline w14:w="12700" w14:cap="flat">
            <w14:noFill/>
            <w14:miter w14:lim="400000"/>
          </w14:textOutline>
        </w:rPr>
        <w:t>variations in fluorescence intensity and images quality</w:t>
      </w:r>
      <w:r>
        <w:rPr>
          <w:rFonts w:ascii="Times New Roman" w:hAnsi="Times New Roman"/>
          <w:u w:color="000000"/>
          <w:rtl w:val="0"/>
          <w:lang w:val="it-IT"/>
          <w14:textOutline w14:w="12700" w14:cap="flat">
            <w14:noFill/>
            <w14:miter w14:lim="400000"/>
          </w14:textOutline>
        </w:rPr>
        <w:t xml:space="preserve">, according to the quantitative method of assessment. </w:t>
      </w:r>
      <w:r>
        <w:rPr>
          <w:rFonts w:ascii="Times New Roman" w:hAnsi="Times New Roman"/>
          <w:u w:color="000000"/>
          <w:rtl w:val="0"/>
          <w:lang w:val="en-US"/>
          <w14:textOutline w14:w="12700" w14:cap="flat">
            <w14:noFill/>
            <w14:miter w14:lim="400000"/>
          </w14:textOutline>
        </w:rPr>
        <w:t>Moreover, microvascular blood flow is influenced by the patient</w:t>
      </w:r>
      <w:r>
        <w:rPr>
          <w:rFonts w:ascii="Times New Roman" w:hAnsi="Times New Roman" w:hint="default"/>
          <w:u w:color="000000"/>
          <w:rtl w:val="0"/>
          <w:lang w:val="en-US"/>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 xml:space="preserve">s general condition during the perioperative period. Low blood pressure, poor respiratory condition, or the use of vasopressor drugs may have a deleterious influence on the tissues perfusion. </w:t>
      </w:r>
    </w:p>
    <w:p>
      <w:pPr>
        <w:pStyle w:val="Default"/>
        <w:spacing w:before="0" w:line="360" w:lineRule="auto"/>
        <w:jc w:val="both"/>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In clinical practice, ICG fluorescence images are currently assessed by qualitative methods based on surgeon</w:t>
      </w:r>
      <w:r>
        <w:rPr>
          <w:rFonts w:ascii="Times New Roman" w:hAnsi="Times New Roman" w:hint="default"/>
          <w:u w:color="000000"/>
          <w:rtl w:val="0"/>
          <w:lang w:val="it-IT"/>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 xml:space="preserve">s eye experience. The </w:t>
      </w:r>
      <w:r>
        <w:rPr>
          <w:rFonts w:ascii="Times New Roman" w:hAnsi="Times New Roman"/>
          <w:u w:color="000000"/>
          <w:rtl w:val="0"/>
          <w:lang w:val="en-US"/>
          <w14:textOutline w14:w="12700" w14:cap="flat">
            <w14:noFill/>
            <w14:miter w14:lim="400000"/>
          </w14:textOutline>
        </w:rPr>
        <w:t>WSES Panel of Experts suggests that</w:t>
      </w:r>
      <w:r>
        <w:rPr>
          <w:rFonts w:ascii="Times New Roman" w:hAnsi="Times New Roman"/>
          <w:u w:color="000000"/>
          <w:rtl w:val="0"/>
          <w:lang w:val="it-IT"/>
          <w14:textOutline w14:w="12700" w14:cap="flat">
            <w14:noFill/>
            <w14:miter w14:lim="400000"/>
          </w14:textOutline>
        </w:rPr>
        <w:t xml:space="preserve"> the hemodynamic status should be the main clinical factor to consider in decision making of performing an intestinal resection and anastomosis in acute intestinal ischemia and strangulated hernia cases. In any condition in which the tissues are very thick due to edema and obesity, the fluorescence intensity can be reduced. However, the ICG angiography and cholangiography are valid tools to support surgeon</w:t>
      </w:r>
      <w:r>
        <w:rPr>
          <w:rFonts w:ascii="Times New Roman" w:hAnsi="Times New Roman" w:hint="default"/>
          <w:u w:color="000000"/>
          <w:rtl w:val="0"/>
          <w:lang w:val="it-IT"/>
          <w14:textOutline w14:w="12700" w14:cap="flat">
            <w14:noFill/>
            <w14:miter w14:lim="400000"/>
          </w14:textOutline>
        </w:rPr>
        <w:t>’</w:t>
      </w:r>
      <w:r>
        <w:rPr>
          <w:rFonts w:ascii="Times New Roman" w:hAnsi="Times New Roman"/>
          <w:u w:color="000000"/>
          <w:rtl w:val="0"/>
          <w:lang w:val="it-IT"/>
          <w14:textOutline w14:w="12700" w14:cap="flat">
            <w14:noFill/>
            <w14:miter w14:lim="400000"/>
          </w14:textOutline>
        </w:rPr>
        <w:t xml:space="preserve">s decision in the emergency setting and should be implemented when they are available (Moderate recommendation based on a low and very low level evidence). </w:t>
      </w:r>
      <w:r>
        <w:rPr>
          <w:rFonts w:ascii="Times New Roman" w:hAnsi="Times New Roman"/>
          <w:i w:val="1"/>
          <w:iCs w:val="1"/>
          <w:u w:color="ffffff"/>
          <w:rtl w:val="0"/>
          <w:lang w:val="it-IT"/>
          <w14:textOutline w14:w="12700" w14:cap="flat">
            <w14:noFill/>
            <w14:miter w14:lim="400000"/>
          </w14:textOutline>
        </w:rPr>
        <w:t xml:space="preserve">(totally disagree 0%; neutral 16.1%-5/31participants; </w:t>
      </w:r>
      <w:r>
        <w:rPr>
          <w:rFonts w:ascii="Times New Roman" w:hAnsi="Times New Roman"/>
          <w:b w:val="1"/>
          <w:bCs w:val="1"/>
          <w:i w:val="1"/>
          <w:iCs w:val="1"/>
          <w:u w:color="ffffff"/>
          <w:rtl w:val="0"/>
          <w:lang w:val="it-IT"/>
          <w14:textOutline w14:w="12700" w14:cap="flat">
            <w14:noFill/>
            <w14:miter w14:lim="400000"/>
          </w14:textOutline>
        </w:rPr>
        <w:t>agree 22.6%-7/31participants; totally agree 58.1%-18/31participants</w:t>
      </w:r>
      <w:r>
        <w:rPr>
          <w:rFonts w:ascii="Times New Roman" w:hAnsi="Times New Roman"/>
          <w:i w:val="1"/>
          <w:iCs w:val="1"/>
          <w:u w:color="ffffff"/>
          <w:rtl w:val="0"/>
          <w:lang w:val="it-IT"/>
          <w14:textOutline w14:w="12700" w14:cap="flat">
            <w14:noFill/>
            <w14:miter w14:lim="400000"/>
          </w14:textOutline>
        </w:rPr>
        <w:t>).</w:t>
      </w:r>
    </w:p>
    <w:p>
      <w:pPr>
        <w:pStyle w:val="Default"/>
        <w:spacing w:before="0" w:line="360" w:lineRule="auto"/>
        <w:jc w:val="both"/>
        <w:rPr>
          <w:rFonts w:ascii="Times New Roman" w:cs="Times New Roman" w:hAnsi="Times New Roman" w:eastAsia="Times New Roman"/>
          <w:u w:color="000000"/>
          <w:lang w:val="en-US"/>
          <w14:textOutline w14:w="12700" w14:cap="flat">
            <w14:noFill/>
            <w14:miter w14:lim="400000"/>
          </w14:textOutline>
        </w:rPr>
      </w:pPr>
    </w:p>
    <w:p>
      <w:pPr>
        <w:pStyle w:val="Default"/>
        <w:spacing w:before="0" w:line="360" w:lineRule="auto"/>
        <w:jc w:val="both"/>
        <w:rPr>
          <w:rFonts w:ascii="Times New Roman" w:cs="Times New Roman" w:hAnsi="Times New Roman" w:eastAsia="Times New Roman"/>
          <w:u w:color="000000"/>
          <w:lang w:val="en-US"/>
          <w14:textOutline w14:w="12700" w14:cap="flat">
            <w14:noFill/>
            <w14:miter w14:lim="400000"/>
          </w14:textOutline>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2"/>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2"/>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Question n.3:</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2"/>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2"/>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2"/>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Which protocol of administration, acquisition and interpretation of images in the different </w:t>
      </w:r>
      <w:r>
        <w:rPr>
          <w:b w:val="1"/>
          <w:bCs w:val="1"/>
          <w:caps w:val="0"/>
          <w:smallCaps w:val="0"/>
          <w:strike w:val="0"/>
          <w:dstrike w:val="0"/>
          <w:outline w:val="0"/>
          <w:color w:val="000000"/>
          <w:spacing w:val="0"/>
          <w:kern w:val="2"/>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urgent </w:t>
      </w:r>
      <w:r>
        <w:rPr>
          <w:b w:val="1"/>
          <w:bCs w:val="1"/>
          <w:caps w:val="0"/>
          <w:smallCaps w:val="0"/>
          <w:strike w:val="0"/>
          <w:dstrike w:val="0"/>
          <w:outline w:val="0"/>
          <w:color w:val="000000"/>
          <w:spacing w:val="0"/>
          <w:kern w:val="2"/>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clinical scenario</w:t>
      </w:r>
      <w:r>
        <w:rPr>
          <w:b w:val="1"/>
          <w:bCs w:val="1"/>
          <w:caps w:val="0"/>
          <w:smallCaps w:val="0"/>
          <w:strike w:val="0"/>
          <w:dstrike w:val="0"/>
          <w:outline w:val="0"/>
          <w:color w:val="000000"/>
          <w:spacing w:val="0"/>
          <w:kern w:val="2"/>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s including </w:t>
      </w:r>
      <w:r>
        <w:rPr>
          <w:b w:val="1"/>
          <w:bCs w:val="1"/>
          <w:caps w:val="0"/>
          <w:smallCaps w:val="0"/>
          <w:strike w:val="0"/>
          <w:dstrike w:val="0"/>
          <w:outline w:val="0"/>
          <w:color w:val="000000"/>
          <w:spacing w:val="0"/>
          <w:kern w:val="2"/>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cholecystitis</w:t>
      </w:r>
      <w:r>
        <w:rPr>
          <w:b w:val="1"/>
          <w:bCs w:val="1"/>
          <w:caps w:val="0"/>
          <w:smallCaps w:val="0"/>
          <w:strike w:val="0"/>
          <w:dstrike w:val="0"/>
          <w:outline w:val="0"/>
          <w:color w:val="000000"/>
          <w:spacing w:val="0"/>
          <w:kern w:val="2"/>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b w:val="1"/>
          <w:bCs w:val="1"/>
          <w:caps w:val="0"/>
          <w:smallCaps w:val="0"/>
          <w:strike w:val="0"/>
          <w:dstrike w:val="0"/>
          <w:outline w:val="0"/>
          <w:color w:val="000000"/>
          <w:spacing w:val="0"/>
          <w:kern w:val="2"/>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incarcerated/stragulated hernia, intestinal ischemia, intestinal and bowel anastomosis evaluation</w:t>
      </w:r>
      <w:r>
        <w:rPr>
          <w:b w:val="1"/>
          <w:bCs w:val="1"/>
          <w:caps w:val="0"/>
          <w:smallCaps w:val="0"/>
          <w:strike w:val="0"/>
          <w:dstrike w:val="0"/>
          <w:outline w:val="0"/>
          <w:color w:val="000000"/>
          <w:spacing w:val="0"/>
          <w:kern w:val="2"/>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p>
    <w:p>
      <w:pPr>
        <w:pStyle w:val="Default"/>
        <w:spacing w:before="0" w:line="240" w:lineRule="auto"/>
        <w:rPr>
          <w:rFonts w:ascii="Times New Roman" w:cs="Times New Roman" w:hAnsi="Times New Roman" w:eastAsia="Times New Roman"/>
          <w:b w:val="1"/>
          <w:bCs w:val="1"/>
          <w:u w:val="none" w:color="000000"/>
          <w:shd w:val="clear" w:color="auto" w:fill="ffffff"/>
        </w:rPr>
      </w:pPr>
    </w:p>
    <w:p>
      <w:pPr>
        <w:pStyle w:val="Default"/>
        <w:spacing w:before="0" w:line="240" w:lineRule="auto"/>
        <w:rPr>
          <w:rFonts w:ascii="Times New Roman" w:cs="Times New Roman" w:hAnsi="Times New Roman" w:eastAsia="Times New Roman"/>
          <w:u w:val="none" w:color="000000"/>
          <w:shd w:val="clear" w:color="auto" w:fill="ffffff"/>
        </w:rPr>
      </w:pPr>
    </w:p>
    <w:p>
      <w:pPr>
        <w:pStyle w:val="Default"/>
        <w:spacing w:before="0" w:line="360" w:lineRule="auto"/>
        <w:jc w:val="both"/>
        <w:rPr>
          <w:rFonts w:ascii="Times New Roman" w:cs="Times New Roman" w:hAnsi="Times New Roman" w:eastAsia="Times New Roman"/>
          <w:b w:val="1"/>
          <w:bCs w:val="1"/>
          <w:u w:val="single" w:color="000000"/>
          <w14:textOutline w14:w="12700" w14:cap="flat">
            <w14:noFill/>
            <w14:miter w14:lim="400000"/>
          </w14:textOutline>
        </w:rPr>
      </w:pPr>
      <w:r>
        <w:rPr>
          <w:rFonts w:ascii="Times New Roman" w:hAnsi="Times New Roman"/>
          <w:b w:val="1"/>
          <w:bCs w:val="1"/>
          <w:u w:val="single" w:color="000000"/>
          <w:rtl w:val="0"/>
          <w:lang w:val="it-IT"/>
          <w14:textOutline w14:w="12700" w14:cap="flat">
            <w14:noFill/>
            <w14:miter w14:lim="400000"/>
          </w14:textOutline>
        </w:rPr>
        <w:t>ICG fluorescence cholangiography</w:t>
      </w:r>
    </w:p>
    <w:p>
      <w:pPr>
        <w:pStyle w:val="Default"/>
        <w:spacing w:before="0" w:line="360" w:lineRule="auto"/>
        <w:jc w:val="both"/>
        <w:rPr>
          <w:rFonts w:ascii="Times New Roman" w:cs="Times New Roman" w:hAnsi="Times New Roman" w:eastAsia="Times New Roman"/>
          <w:b w:val="1"/>
          <w:bCs w:val="1"/>
          <w:u w:val="single" w:color="000000"/>
          <w:lang w:val="it-IT"/>
          <w14:textOutline w14:w="12700" w14:cap="flat">
            <w14:noFill/>
            <w14:miter w14:lim="400000"/>
          </w14:textOutline>
        </w:rPr>
      </w:pPr>
    </w:p>
    <w:p>
      <w:pPr>
        <w:pStyle w:val="Default"/>
        <w:spacing w:before="0" w:line="360" w:lineRule="auto"/>
        <w:jc w:val="both"/>
        <w:rPr>
          <w:rFonts w:ascii="Times New Roman" w:cs="Times New Roman" w:hAnsi="Times New Roman" w:eastAsia="Times New Roman"/>
          <w:b w:val="1"/>
          <w:bCs w:val="1"/>
          <w:u w:val="single" w:color="000000"/>
          <w14:textOutline w14:w="12700" w14:cap="flat">
            <w14:noFill/>
            <w14:miter w14:lim="400000"/>
          </w14:textOutline>
        </w:rPr>
      </w:pPr>
      <w:r>
        <w:rPr>
          <w:rFonts w:ascii="Times New Roman" w:hAnsi="Times New Roman"/>
          <w:b w:val="1"/>
          <w:bCs w:val="1"/>
          <w:u w:color="000000"/>
          <w:rtl w:val="0"/>
          <w:lang w:val="it-IT"/>
          <w14:textOutline w14:w="12700" w14:cap="flat">
            <w14:noFill/>
            <w14:miter w14:lim="400000"/>
          </w14:textOutline>
        </w:rPr>
        <w:t>Recommendations 3.1</w:t>
      </w:r>
    </w:p>
    <w:p>
      <w:pPr>
        <w:pStyle w:val="Default"/>
        <w:spacing w:before="0" w:line="360" w:lineRule="auto"/>
        <w:jc w:val="both"/>
        <w:rPr>
          <w:rFonts w:ascii="Times New Roman" w:cs="Times New Roman" w:hAnsi="Times New Roman" w:eastAsia="Times New Roman"/>
          <w:b w:val="1"/>
          <w:bCs w:val="1"/>
          <w:u w:val="single" w:color="000000"/>
          <w:lang w:val="it-IT"/>
          <w14:textOutline w14:w="12700" w14:cap="flat">
            <w14:noFill/>
            <w14:miter w14:lim="400000"/>
          </w14:textOutline>
        </w:rPr>
      </w:pP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cs="Times New Roman" w:hAnsi="Times New Roman" w:eastAsia="Times New Roman"/>
          <w:kern w:val="0"/>
          <w:u w:color="000000"/>
          <w14:textOutline w14:w="12700" w14:cap="flat">
            <w14:noFill/>
            <w14:miter w14:lim="400000"/>
          </w14:textOutline>
        </w:rPr>
      </w:pPr>
      <w:r>
        <w:rPr>
          <w:rFonts w:ascii="Times New Roman" w:hAnsi="Times New Roman"/>
          <w:b w:val="1"/>
          <w:bCs w:val="1"/>
          <w:kern w:val="0"/>
          <w:u w:color="000000"/>
          <w:rtl w:val="0"/>
          <w:lang w:val="en-US"/>
          <w14:textOutline w14:w="12700" w14:cap="flat">
            <w14:noFill/>
            <w14:miter w14:lim="400000"/>
          </w14:textOutline>
        </w:rPr>
        <w:t>Timing of administration.</w:t>
      </w: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cs="Times New Roman" w:hAnsi="Times New Roman" w:eastAsia="Times New Roman"/>
          <w:i w:val="1"/>
          <w:iCs w:val="1"/>
          <w:kern w:val="0"/>
          <w:u w:color="000000"/>
          <w14:textOutline w14:w="12700" w14:cap="flat">
            <w14:noFill/>
            <w14:miter w14:lim="400000"/>
          </w14:textOutline>
        </w:rPr>
      </w:pPr>
      <w:r>
        <w:rPr>
          <w:rFonts w:ascii="Times New Roman" w:hAnsi="Times New Roman"/>
          <w:u w:color="000000"/>
          <w:rtl w:val="0"/>
          <w:lang w:val="en-US"/>
          <w14:textOutline w14:w="12700" w14:cap="flat">
            <w14:noFill/>
            <w14:miter w14:lim="400000"/>
          </w14:textOutline>
        </w:rPr>
        <w:t xml:space="preserve">WSES panel of Experts suggests to consider the intravenous administration </w:t>
      </w:r>
      <w:r>
        <w:rPr>
          <w:rFonts w:ascii="Times New Roman" w:hAnsi="Times New Roman"/>
          <w:u w:color="000000"/>
          <w:rtl w:val="0"/>
          <w:lang w:val="it-IT"/>
          <w14:textOutline w14:w="12700" w14:cap="flat">
            <w14:noFill/>
            <w14:miter w14:lim="400000"/>
          </w14:textOutline>
        </w:rPr>
        <w:t xml:space="preserve">of ICG </w:t>
      </w:r>
      <w:r>
        <w:rPr>
          <w:rFonts w:ascii="Times New Roman" w:hAnsi="Times New Roman"/>
          <w:u w:color="000000"/>
          <w:rtl w:val="0"/>
          <w:lang w:val="en-US"/>
          <w14:textOutline w14:w="12700" w14:cap="flat">
            <w14:noFill/>
            <w14:miter w14:lim="400000"/>
          </w14:textOutline>
        </w:rPr>
        <w:t xml:space="preserve">at the induction of general anesthesia before surgery. The ICG local gallbladder administration is an intraoperative option and it requires </w:t>
      </w:r>
      <w:r>
        <w:rPr>
          <w:rFonts w:ascii="Times New Roman" w:hAnsi="Times New Roman"/>
          <w:u w:color="000000"/>
          <w:rtl w:val="0"/>
          <w:lang w:val="it-IT"/>
          <w14:textOutline w14:w="12700" w14:cap="flat">
            <w14:noFill/>
            <w14:miter w14:lim="400000"/>
          </w14:textOutline>
        </w:rPr>
        <w:t xml:space="preserve">that </w:t>
      </w:r>
      <w:r>
        <w:rPr>
          <w:rFonts w:ascii="Times New Roman" w:hAnsi="Times New Roman"/>
          <w:u w:color="000000"/>
          <w:rtl w:val="0"/>
          <w:lang w:val="en-US"/>
          <w14:textOutline w14:w="12700" w14:cap="flat">
            <w14:noFill/>
            <w14:miter w14:lim="400000"/>
          </w14:textOutline>
        </w:rPr>
        <w:t>th</w:t>
      </w:r>
      <w:r>
        <w:rPr>
          <w:rFonts w:ascii="Times New Roman" w:hAnsi="Times New Roman"/>
          <w:u w:color="000000"/>
          <w:rtl w:val="0"/>
          <w:lang w:val="it-IT"/>
          <w14:textOutline w14:w="12700" w14:cap="flat">
            <w14:noFill/>
            <w14:miter w14:lim="400000"/>
          </w14:textOutline>
        </w:rPr>
        <w:t xml:space="preserve">e </w:t>
      </w:r>
      <w:r>
        <w:rPr>
          <w:rFonts w:ascii="Times New Roman" w:hAnsi="Times New Roman"/>
          <w:u w:color="000000"/>
          <w:rtl w:val="0"/>
          <w:lang w:val="en-US"/>
          <w14:textOutline w14:w="12700" w14:cap="flat">
            <w14:noFill/>
            <w14:miter w14:lim="400000"/>
          </w14:textOutline>
        </w:rPr>
        <w:t xml:space="preserve">ICG </w:t>
      </w:r>
      <w:r>
        <w:rPr>
          <w:rFonts w:ascii="Times New Roman" w:hAnsi="Times New Roman"/>
          <w:u w:color="000000"/>
          <w:rtl w:val="0"/>
          <w:lang w:val="it-IT"/>
          <w14:textOutline w14:w="12700" w14:cap="flat">
            <w14:noFill/>
            <w14:miter w14:lim="400000"/>
          </w14:textOutline>
        </w:rPr>
        <w:t>is</w:t>
      </w:r>
      <w:r>
        <w:rPr>
          <w:rFonts w:ascii="Times New Roman" w:hAnsi="Times New Roman"/>
          <w:u w:color="000000"/>
          <w:rtl w:val="0"/>
          <w:lang w:val="en-US"/>
          <w14:textOutline w14:w="12700" w14:cap="flat">
            <w14:noFill/>
            <w14:miter w14:lim="400000"/>
          </w14:textOutline>
        </w:rPr>
        <w:t xml:space="preserve"> administrated during the procedure before the dissection of the gallbladder. </w:t>
      </w:r>
      <w:r>
        <w:rPr>
          <w:rFonts w:ascii="Times New Roman" w:hAnsi="Times New Roman"/>
          <w:u w:color="000000"/>
          <w:rtl w:val="0"/>
          <w:lang w:val="it-IT"/>
          <w14:textOutline w14:w="12700" w14:cap="flat">
            <w14:noFill/>
            <w14:miter w14:lim="400000"/>
          </w14:textOutline>
        </w:rPr>
        <w:t>[</w:t>
      </w:r>
      <w:r>
        <w:rPr>
          <w:rFonts w:ascii="Times New Roman" w:hAnsi="Times New Roman"/>
          <w:u w:color="000000"/>
          <w:rtl w:val="0"/>
          <w:lang w:val="en-US"/>
          <w14:textOutline w14:w="12700" w14:cap="flat">
            <w14:noFill/>
            <w14:miter w14:lim="400000"/>
          </w14:textOutline>
        </w:rPr>
        <w:t>Moderate recommendation based on low quality evidence. 2C</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i w:val="1"/>
          <w:iCs w:val="1"/>
          <w:u w:color="ffffff"/>
          <w:rtl w:val="0"/>
          <w:lang w:val="it-IT"/>
          <w14:textOutline w14:w="12700" w14:cap="flat">
            <w14:noFill/>
            <w14:miter w14:lim="400000"/>
          </w14:textOutline>
        </w:rPr>
        <w:t xml:space="preserve">(totally disagree 0%; neutral 12.9%-4/31participants; </w:t>
      </w:r>
      <w:r>
        <w:rPr>
          <w:rFonts w:ascii="Times New Roman" w:hAnsi="Times New Roman"/>
          <w:b w:val="1"/>
          <w:bCs w:val="1"/>
          <w:i w:val="1"/>
          <w:iCs w:val="1"/>
          <w:u w:color="ffffff"/>
          <w:rtl w:val="0"/>
          <w:lang w:val="it-IT"/>
          <w14:textOutline w14:w="12700" w14:cap="flat">
            <w14:noFill/>
            <w14:miter w14:lim="400000"/>
          </w14:textOutline>
        </w:rPr>
        <w:t>agree 29%-9/31participants; totally agree 48.4%-15/31participants</w:t>
      </w:r>
      <w:r>
        <w:rPr>
          <w:rFonts w:ascii="Times New Roman" w:hAnsi="Times New Roman"/>
          <w:i w:val="1"/>
          <w:iCs w:val="1"/>
          <w:u w:color="ffffff"/>
          <w:rtl w:val="0"/>
          <w:lang w:val="it-IT"/>
          <w14:textOutline w14:w="12700" w14:cap="flat">
            <w14:noFill/>
            <w14:miter w14:lim="400000"/>
          </w14:textOutline>
        </w:rPr>
        <w:t>).</w:t>
      </w: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cs="Times New Roman" w:hAnsi="Times New Roman" w:eastAsia="Times New Roman"/>
          <w:i w:val="1"/>
          <w:iCs w:val="1"/>
          <w:kern w:val="0"/>
          <w:u w:color="000000"/>
          <w:lang w:val="en-US"/>
          <w14:textOutline w14:w="12700" w14:cap="flat">
            <w14:noFill/>
            <w14:miter w14:lim="400000"/>
          </w14:textOutline>
        </w:rPr>
      </w:pP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cs="Times New Roman" w:hAnsi="Times New Roman" w:eastAsia="Times New Roman"/>
          <w:b w:val="1"/>
          <w:bCs w:val="1"/>
          <w:kern w:val="0"/>
          <w:u w:color="000000"/>
          <w14:textOutline w14:w="12700" w14:cap="flat">
            <w14:noFill/>
            <w14:miter w14:lim="400000"/>
          </w14:textOutline>
        </w:rPr>
      </w:pPr>
      <w:r>
        <w:rPr>
          <w:rFonts w:ascii="Times New Roman" w:hAnsi="Times New Roman"/>
          <w:b w:val="1"/>
          <w:bCs w:val="1"/>
          <w:kern w:val="0"/>
          <w:u w:color="000000"/>
          <w:rtl w:val="0"/>
          <w:lang w:val="en-US"/>
          <w14:textOutline w14:w="12700" w14:cap="flat">
            <w14:noFill/>
            <w14:miter w14:lim="400000"/>
          </w14:textOutline>
        </w:rPr>
        <w:t>Dose of administration.</w:t>
      </w: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The WSES panel of Experts</w:t>
      </w:r>
      <w:r>
        <w:rPr>
          <w:rFonts w:ascii="Times New Roman" w:hAnsi="Times New Roman"/>
          <w:u w:color="000000"/>
          <w:rtl w:val="0"/>
          <w:lang w:val="en-US"/>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 xml:space="preserve">recommends </w:t>
      </w:r>
      <w:r>
        <w:rPr>
          <w:rFonts w:ascii="Times New Roman" w:hAnsi="Times New Roman"/>
          <w:u w:color="000000"/>
          <w:rtl w:val="0"/>
          <w:lang w:val="en-US"/>
          <w14:textOutline w14:w="12700" w14:cap="flat">
            <w14:noFill/>
            <w14:miter w14:lim="400000"/>
          </w14:textOutline>
        </w:rPr>
        <w:t xml:space="preserve">to consider the administration </w:t>
      </w:r>
      <w:r>
        <w:rPr>
          <w:rFonts w:ascii="Times New Roman" w:hAnsi="Times New Roman"/>
          <w:u w:color="000000"/>
          <w:rtl w:val="0"/>
          <w:lang w:val="it-IT"/>
          <w14:textOutline w14:w="12700" w14:cap="flat">
            <w14:noFill/>
            <w14:miter w14:lim="400000"/>
          </w14:textOutline>
        </w:rPr>
        <w:t xml:space="preserve">of a </w:t>
      </w:r>
      <w:r>
        <w:rPr>
          <w:rFonts w:ascii="Times New Roman" w:hAnsi="Times New Roman"/>
          <w:u w:color="000000"/>
          <w:rtl w:val="0"/>
          <w:lang w:val="en-US"/>
          <w14:textOutline w14:w="12700" w14:cap="flat">
            <w14:noFill/>
            <w14:miter w14:lim="400000"/>
          </w14:textOutline>
        </w:rPr>
        <w:t xml:space="preserve">5mg </w:t>
      </w:r>
      <w:r>
        <w:rPr>
          <w:rFonts w:ascii="Times New Roman" w:hAnsi="Times New Roman"/>
          <w:u w:color="000000"/>
          <w:rtl w:val="0"/>
          <w:lang w:val="it-IT"/>
          <w14:textOutline w14:w="12700" w14:cap="flat">
            <w14:noFill/>
            <w14:miter w14:lim="400000"/>
          </w14:textOutline>
        </w:rPr>
        <w:t xml:space="preserve">of ICG in a single IV dose in performing a fluorescent cholangiography. Additional doses have not to </w:t>
      </w:r>
      <w:r>
        <w:rPr>
          <w:rFonts w:ascii="Times New Roman" w:hAnsi="Times New Roman"/>
          <w:u w:color="000000"/>
          <w:rtl w:val="0"/>
          <w:lang w:val="en-US"/>
          <w14:textOutline w14:w="12700" w14:cap="flat">
            <w14:noFill/>
            <w14:miter w14:lim="400000"/>
          </w14:textOutline>
        </w:rPr>
        <w:t>overpass the maximum dose (2mg/kg)</w:t>
      </w:r>
      <w:r>
        <w:rPr>
          <w:rFonts w:ascii="Times New Roman" w:hAnsi="Times New Roman"/>
          <w:u w:color="000000"/>
          <w:rtl w:val="0"/>
          <w:lang w:val="it-IT"/>
          <w14:textOutline w14:w="12700" w14:cap="flat">
            <w14:noFill/>
            <w14:miter w14:lim="400000"/>
          </w14:textOutline>
        </w:rPr>
        <w:t xml:space="preserve"> described and they can improve visibility in obese patients presenting an inflamed cholecystitis.</w:t>
      </w:r>
      <w:r>
        <w:rPr>
          <w:rFonts w:ascii="Times New Roman" w:hAnsi="Times New Roman"/>
          <w:u w:color="000000"/>
          <w:rtl w:val="0"/>
          <w:lang w:val="en-US"/>
          <w14:textOutline w14:w="12700" w14:cap="flat">
            <w14:noFill/>
            <w14:miter w14:lim="400000"/>
          </w14:textOutline>
        </w:rPr>
        <w:t xml:space="preserve"> </w:t>
      </w:r>
      <w:r>
        <w:rPr>
          <w:rFonts w:ascii="Times New Roman" w:hAnsi="Times New Roman"/>
          <w:u w:color="000000"/>
          <w:rtl w:val="0"/>
          <w:lang w:val="it-IT"/>
          <w14:textOutline w14:w="12700" w14:cap="flat">
            <w14:noFill/>
            <w14:miter w14:lim="400000"/>
          </w14:textOutline>
        </w:rPr>
        <w:t xml:space="preserve">In case of  </w:t>
      </w:r>
      <w:r>
        <w:rPr>
          <w:rFonts w:ascii="Times New Roman" w:hAnsi="Times New Roman"/>
          <w:u w:color="000000"/>
          <w:rtl w:val="0"/>
          <w:lang w:val="en-US"/>
          <w14:textOutline w14:w="12700" w14:cap="flat">
            <w14:noFill/>
            <w14:miter w14:lim="400000"/>
          </w14:textOutline>
        </w:rPr>
        <w:t xml:space="preserve">local administration </w:t>
      </w:r>
      <w:r>
        <w:rPr>
          <w:rFonts w:ascii="Times New Roman" w:hAnsi="Times New Roman"/>
          <w:u w:color="000000"/>
          <w:rtl w:val="0"/>
          <w:lang w:val="it-IT"/>
          <w14:textOutline w14:w="12700" w14:cap="flat">
            <w14:noFill/>
            <w14:miter w14:lim="400000"/>
          </w14:textOutline>
        </w:rPr>
        <w:t>of ICG, it is reported to administrate</w:t>
      </w:r>
      <w:r>
        <w:rPr>
          <w:rFonts w:ascii="Times New Roman" w:hAnsi="Times New Roman"/>
          <w:u w:color="000000"/>
          <w:rtl w:val="0"/>
          <w:lang w:val="en-US"/>
          <w14:textOutline w14:w="12700" w14:cap="flat">
            <w14:noFill/>
            <w14:miter w14:lim="400000"/>
          </w14:textOutline>
        </w:rPr>
        <w:t xml:space="preserve"> 2.5mg/ml with a dilution </w:t>
      </w:r>
      <w:r>
        <w:rPr>
          <w:rFonts w:ascii="Times New Roman" w:hAnsi="Times New Roman"/>
          <w:u w:color="000000"/>
          <w:rtl w:val="0"/>
          <w:lang w:val="it-IT"/>
          <w14:textOutline w14:w="12700" w14:cap="flat">
            <w14:noFill/>
            <w14:miter w14:lim="400000"/>
          </w14:textOutline>
        </w:rPr>
        <w:t xml:space="preserve">of  </w:t>
      </w:r>
      <w:r>
        <w:rPr>
          <w:rFonts w:ascii="Times New Roman" w:hAnsi="Times New Roman"/>
          <w:u w:color="000000"/>
          <w:rtl w:val="0"/>
          <w:lang w:val="en-US"/>
          <w14:textOutline w14:w="12700" w14:cap="flat">
            <w14:noFill/>
            <w14:miter w14:lim="400000"/>
          </w14:textOutline>
        </w:rPr>
        <w:t>9 mL of bile mixed with 1 mL of a preparation of ICG and sterile water at a concentration of 0.25 mg/m</w:t>
      </w:r>
      <w:r>
        <w:rPr>
          <w:rFonts w:ascii="Times New Roman" w:hAnsi="Times New Roman"/>
          <w:u w:color="000000"/>
          <w:rtl w:val="0"/>
          <w:lang w:val="it-IT"/>
          <w14:textOutline w14:w="12700" w14:cap="flat">
            <w14:noFill/>
            <w14:miter w14:lim="400000"/>
          </w14:textOutline>
        </w:rPr>
        <w:t xml:space="preserve">L, directly in the gallbladder, before dissection </w:t>
      </w:r>
      <w:r>
        <w:rPr>
          <w:rFonts w:ascii="Times New Roman" w:hAnsi="Times New Roman"/>
          <w:u w:color="000000"/>
          <w:rtl w:val="0"/>
          <w:lang w:val="en-US"/>
          <w14:textOutline w14:w="12700" w14:cap="flat">
            <w14:noFill/>
            <w14:miter w14:lim="400000"/>
          </w14:textOutline>
        </w:rPr>
        <w:t>(ICG concentration = 0.025 mg/mL)</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u w:color="000000"/>
          <w:rtl w:val="0"/>
          <w:lang w:val="en-US"/>
          <w14:textOutline w14:w="12700" w14:cap="flat">
            <w14:noFill/>
            <w14:miter w14:lim="400000"/>
          </w14:textOutline>
        </w:rPr>
        <w:t>Moderate recommendation based on low quality evidence. 2C</w:t>
      </w:r>
      <w:r>
        <w:rPr>
          <w:rFonts w:ascii="Times New Roman" w:hAnsi="Times New Roman"/>
          <w:u w:color="000000"/>
          <w:rtl w:val="0"/>
          <w:lang w:val="it-IT"/>
          <w14:textOutline w14:w="12700" w14:cap="flat">
            <w14:noFill/>
            <w14:miter w14:lim="400000"/>
          </w14:textOutline>
        </w:rPr>
        <w:t xml:space="preserve">]. </w:t>
      </w:r>
      <w:r>
        <w:rPr>
          <w:rFonts w:ascii="Times New Roman" w:hAnsi="Times New Roman"/>
          <w:i w:val="1"/>
          <w:iCs w:val="1"/>
          <w:u w:color="ffffff"/>
          <w:rtl w:val="0"/>
          <w:lang w:val="it-IT"/>
          <w14:textOutline w14:w="12700" w14:cap="flat">
            <w14:noFill/>
            <w14:miter w14:lim="400000"/>
          </w14:textOutline>
        </w:rPr>
        <w:t xml:space="preserve">(totally disagree 0%; neutral 12.9%-4/31participants; </w:t>
      </w:r>
      <w:r>
        <w:rPr>
          <w:rFonts w:ascii="Times New Roman" w:hAnsi="Times New Roman"/>
          <w:b w:val="1"/>
          <w:bCs w:val="1"/>
          <w:i w:val="1"/>
          <w:iCs w:val="1"/>
          <w:u w:color="ffffff"/>
          <w:rtl w:val="0"/>
          <w:lang w:val="it-IT"/>
          <w14:textOutline w14:w="12700" w14:cap="flat">
            <w14:noFill/>
            <w14:miter w14:lim="400000"/>
          </w14:textOutline>
        </w:rPr>
        <w:t>agree 41.9%-13/31participants; totally agree 32.3%-10/31participants</w:t>
      </w:r>
      <w:r>
        <w:rPr>
          <w:rFonts w:ascii="Times New Roman" w:hAnsi="Times New Roman"/>
          <w:i w:val="1"/>
          <w:iCs w:val="1"/>
          <w:u w:color="ffffff"/>
          <w:rtl w:val="0"/>
          <w:lang w:val="it-IT"/>
          <w14:textOutline w14:w="12700" w14:cap="flat">
            <w14:noFill/>
            <w14:miter w14:lim="400000"/>
          </w14:textOutline>
        </w:rPr>
        <w:t>).</w:t>
      </w:r>
    </w:p>
    <w:p>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cs="Times New Roman" w:hAnsi="Times New Roman" w:eastAsia="Times New Roman"/>
          <w:u w:color="000000"/>
          <w:lang w:val="en-US"/>
          <w14:textOutline w14:w="12700" w14:cap="flat">
            <w14:noFill/>
            <w14:miter w14:lim="400000"/>
          </w14:textOutline>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ffffff"/>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Dilution of ICG.</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The WSES panel of experts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suggest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to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dilute ICG</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in performing fluorescent cholangiography</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with Sterile Water</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even if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few authors use albumin or saline solution</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m</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mendation based on low quality evidence. 2C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12.9%-4/31participants;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22.6%-7/31participants; totally agree 58.1%-18/31participants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Administration route</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The WSES panel of Experts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suggest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to consider either the intravenous or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intra-</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gallbladder administration</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of IGC in performing fluorescent cholangiography</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always taking in</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to account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the limitations of the chosen injection point in each scenario</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m</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mendation based on low quality evidence. 2C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19.4%-6/31participants;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29%-9/31participants; totally agree 51.6%-16/31participants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Time acquisition images.</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i w:val="1"/>
          <w:i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The WSES panel of Experts</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suggest to consider the acquisition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time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of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ICG fluorescence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images before starting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gallbladder</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dissection, during Calot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s dissection and before clipping any structure, although, anytime that the surgeons need it.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recommendation based on low quality evidence. 2C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12.9%-4/31participants;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22.6%-7/31participants; totally agree 58.1%-18/31participants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i w:val="1"/>
          <w:iCs w:val="1"/>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Quantitative and qualitative interpretation</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of ICG fluorescence cholangiography</w:t>
      </w:r>
    </w:p>
    <w:p>
      <w:pPr>
        <w:pStyle w:val="Default"/>
        <w:spacing w:before="0" w:after="240" w:line="360" w:lineRule="auto"/>
        <w:rPr>
          <w:rFonts w:ascii="Times New Roman" w:cs="Times New Roman" w:hAnsi="Times New Roman" w:eastAsia="Times New Roman"/>
          <w:u w:color="000000"/>
          <w14:textOutline w14:w="12700" w14:cap="flat">
            <w14:noFill/>
            <w14:miter w14:lim="400000"/>
          </w14:textOutline>
        </w:rPr>
      </w:pPr>
      <w:r>
        <w:rPr>
          <w:rFonts w:ascii="Times New Roman" w:hAnsi="Times New Roman"/>
          <w:u w:color="000000"/>
          <w:rtl w:val="0"/>
          <w:lang w:val="it-IT"/>
          <w14:textOutline w14:w="12700" w14:cap="flat">
            <w14:noFill/>
            <w14:miter w14:lim="400000"/>
          </w14:textOutline>
        </w:rPr>
        <w:t xml:space="preserve">The WSES Panel of Experts acknowledges the potential benefits of developing quantitative and qualitative methods for assessing ICG fluorescence cholangiography. However, given the current lack of robust data, no formal recommendation can be made. Future research should focus on establishing standardized protocols for the objective interpretation of ICG fluorescence images, which could improve the accuracy and utility of this technique in surgical settings. </w:t>
      </w:r>
      <w:r>
        <w:rPr>
          <w:rFonts w:ascii="Times New Roman" w:hAnsi="Times New Roman"/>
          <w:i w:val="1"/>
          <w:iCs w:val="1"/>
          <w:u w:color="ffffff"/>
          <w:rtl w:val="0"/>
          <w:lang w:val="it-IT"/>
          <w14:textOutline w14:w="12700" w14:cap="flat">
            <w14:noFill/>
            <w14:miter w14:lim="400000"/>
          </w14:textOutline>
        </w:rPr>
        <w:t xml:space="preserve">(totally disagree 0%; neutral 16.1%-5/31participants; </w:t>
      </w:r>
      <w:r>
        <w:rPr>
          <w:rFonts w:ascii="Times New Roman" w:hAnsi="Times New Roman"/>
          <w:b w:val="1"/>
          <w:bCs w:val="1"/>
          <w:i w:val="1"/>
          <w:iCs w:val="1"/>
          <w:u w:color="ffffff"/>
          <w:rtl w:val="0"/>
          <w:lang w:val="it-IT"/>
          <w14:textOutline w14:w="12700" w14:cap="flat">
            <w14:noFill/>
            <w14:miter w14:lim="400000"/>
          </w14:textOutline>
        </w:rPr>
        <w:t>agree 16.1%-5/31participants; totally agree 67.7%-21/31participants)</w:t>
      </w:r>
      <w:r>
        <w:rPr>
          <w:rFonts w:ascii="Times New Roman" w:hAnsi="Times New Roman"/>
          <w:i w:val="1"/>
          <w:iCs w:val="1"/>
          <w:u w:color="ffffff"/>
          <w:rtl w:val="0"/>
          <w:lang w:val="it-IT"/>
          <w14:textOutline w14:w="12700" w14:cap="flat">
            <w14:noFill/>
            <w14:miter w14:lim="400000"/>
          </w14:textOutline>
        </w:rPr>
        <w:t>.</w:t>
      </w:r>
    </w:p>
    <w:p>
      <w:pPr>
        <w:pStyle w:val="Default"/>
        <w:spacing w:before="0" w:after="240" w:line="360" w:lineRule="auto"/>
        <w:rPr>
          <w:rFonts w:ascii="Times New Roman" w:cs="Times New Roman" w:hAnsi="Times New Roman" w:eastAsia="Times New Roman"/>
          <w:u w:color="000000"/>
          <w:lang w:val="it-IT"/>
          <w14:textOutline w14:w="12700" w14:cap="flat">
            <w14:noFill/>
            <w14:miter w14:lim="400000"/>
          </w14:textOutline>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singl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single" w:color="000000"/>
          <w:shd w:val="nil" w:color="auto" w:fill="auto"/>
          <w:vertAlign w:val="baseline"/>
          <w:rtl w:val="0"/>
          <w:lang w:val="it-IT"/>
          <w14:textOutline w14:w="12700" w14:cap="flat">
            <w14:noFill/>
            <w14:miter w14:lim="400000"/>
          </w14:textOutline>
          <w14:textFill>
            <w14:solidFill>
              <w14:srgbClr w14:val="000000"/>
            </w14:solidFill>
          </w14:textFill>
        </w:rPr>
        <w:t>IGC fluorescence angiography in bowel viability evaluation</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single" w:color="000000"/>
          <w:shd w:val="nil" w:color="auto" w:fill="auto"/>
          <w:vertAlign w:val="baseline"/>
          <w:lang w:val="it-IT"/>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Recommendations 3.2</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sz w:val="20"/>
          <w:szCs w:val="2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Timing of administration.</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WSES panel of Experts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suggest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to consider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to</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administrat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e ICG in performing fluorescent angiography few minutes (1-2 minutes) before imaging acquisition,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during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surgical procedure</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preferably before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surgical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resection. The exact timing depends on several factors, including the patient</w:t>
      </w:r>
      <w:r>
        <w:rPr>
          <w:rFonts w:ascii="Arial Unicode MS" w:hAnsi="Arial Unicode MS" w:hint="default"/>
          <w:caps w:val="0"/>
          <w:smallCaps w:val="0"/>
          <w:strike w:val="0"/>
          <w:dstrike w:val="0"/>
          <w:outline w:val="0"/>
          <w:color w:val="000000"/>
          <w:spacing w:val="0"/>
          <w:kern w:val="0"/>
          <w:position w:val="0"/>
          <w:u w:val="none" w:color="000000"/>
          <w:shd w:val="nil" w:color="auto" w:fill="auto"/>
          <w:vertAlign w:val="baseline"/>
          <w:rtl w:val="1"/>
          <w:lang w:val="ar-SA" w:bidi="ar-SA"/>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 hemodynamic status, the type of tissue being evaluated, and the specific clinical scenario.</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recommendation based on low quality evidence. 2C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19.4%-6/31participants;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22.6%-7/31participants; totally agree 58.1%-18/31participants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i w:val="1"/>
          <w:iCs w:val="1"/>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Dose of administration.</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WSES panel of Experts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suggest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to consider the administration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of ICG in performing fluorescence angiography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as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as bolus of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5mg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in</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a single intravenous dose and do not overpass the maximum dose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recommended of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2mg/kg</w:t>
      </w:r>
      <w:r>
        <w:rPr>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or as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a weight-adjusted dose rang</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ing</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from 0.1 mg/kg to 0.5 mg/kg</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Dosing adjustments may be necessary depending on the patient's weight, clinical condition, and specific imaging objectives.</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recommendation based on low quality evidence. 2C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9.7%-3/31participants;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38.7%-12/31participants; totally agree 51.6%-16/31participants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Dilution of ICG.</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WSES panel of Experts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suggest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to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dilute ICG dose in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Sterile Water as it is described, even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if few authors reported to use</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albumin or saline solution.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recommendation based on low quality evidence. 2C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6.5%-2/31participants;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25.8%-8/31participants; totally agree 61.3%-19/31participants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Route of administration.</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The WSES panel of Experts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recommends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to consider the intravenous administration</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in performing an ICG angiography</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either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through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peripheral or central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catheter infusion</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recommendation based on low quality evidence. 2C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9.7%-3/31participants;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22.6%-7/31participants; totally agree 67.7%-21/31participants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Time acquisition images.</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i w:val="1"/>
          <w:i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WSES panel of Experts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suggest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to consider the</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ICG fluorescence images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acquisition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in performing fluorescent angiography in the time frame ranging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from 30 seconds (</w:t>
      </w:r>
      <w:r>
        <w:rPr>
          <w:rFonts w:ascii="Arial Unicode MS" w:hAnsi="Arial Unicode MS" w:hint="default"/>
          <w:caps w:val="0"/>
          <w:smallCaps w:val="0"/>
          <w:strike w:val="0"/>
          <w:dstrike w:val="0"/>
          <w:outline w:val="0"/>
          <w:color w:val="000000"/>
          <w:spacing w:val="0"/>
          <w:kern w:val="0"/>
          <w:position w:val="0"/>
          <w:u w:val="none" w:color="000000"/>
          <w:shd w:val="nil" w:color="auto" w:fill="auto"/>
          <w:vertAlign w:val="baseline"/>
          <w:rtl w:val="1"/>
          <w:lang w:val="ar-SA" w:bidi="ar-SA"/>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19 seconds) to 3 minutes as fluorescence typically appears within seconds and peaks within 1 to 2 minutes</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after IV administration</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providing an optimal window for assessing tissue perfusion</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before deciding to resect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recommendation based on low quality evidence. 2C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3.2%-1/31participants; neutral 9.7%-3/31participants;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29%-9/31participants; totally agree 58.1%-18/31participants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i w:val="1"/>
          <w:iCs w:val="1"/>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sz w:val="20"/>
          <w:szCs w:val="2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Quantitative and qualitative interpretation in the different clinical scenarios (acute mesenteric ischemia, bowel obstruction, incarcerated hernia and bowel anastomosis)</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The WSES Panel of Experts acknowledges that the current interpretation of ICG fluorescence in clinical scenarios such as acute mesenteric ischemia, bowel obstruction, incarcerated hernia, and bowel anastomosis is predominantly qualitative, relying heavily on the surgeon's visual assessment and experience. While this qualitative approach has been valuable in guiding intraoperative decisions, it is inherently subjective and may vary between practitioners.</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Given the emerging potential of quantitative methods, the Panel recommends further research and development in this area</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to establish standardized protocols for the quantitative interpretation of ICG fluorescence.</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6.5%-2/31participants;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38.7%-12/31participants; totally agree 54.8%-17/31participants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b w:val="1"/>
          <w:bCs w:val="1"/>
          <w:caps w:val="0"/>
          <w:smallCaps w:val="0"/>
          <w:strike w:val="0"/>
          <w:dstrike w:val="0"/>
          <w:outline w:val="0"/>
          <w:color w:val="000000"/>
          <w:spacing w:val="0"/>
          <w:kern w:val="0"/>
          <w:position w:val="0"/>
          <w:u w:val="none" w:color="ffffff"/>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Question 4: </w:t>
      </w:r>
    </w:p>
    <w:p>
      <w:pPr>
        <w:pStyle w:val="Default"/>
        <w:shd w:val="clear" w:color="auto" w:fill="ffffff"/>
        <w:spacing w:before="0" w:line="240" w:lineRule="auto"/>
        <w:rPr>
          <w:rFonts w:ascii="Times New Roman" w:cs="Times New Roman" w:hAnsi="Times New Roman" w:eastAsia="Times New Roman"/>
          <w:b w:val="1"/>
          <w:bCs w:val="1"/>
          <w:u w:color="000000"/>
          <w:lang w:val="en-US"/>
          <w14:textOutline w14:w="12700" w14:cap="flat">
            <w14:noFill/>
            <w14:miter w14:lim="400000"/>
          </w14:textOutline>
        </w:rPr>
      </w:pPr>
    </w:p>
    <w:p>
      <w:pPr>
        <w:pStyle w:val="Default"/>
        <w:shd w:val="clear" w:color="auto" w:fill="ffffff"/>
        <w:spacing w:before="0" w:line="360" w:lineRule="auto"/>
        <w:rPr>
          <w:rFonts w:ascii="Times New Roman" w:cs="Times New Roman" w:hAnsi="Times New Roman" w:eastAsia="Times New Roman"/>
          <w:b w:val="1"/>
          <w:bCs w:val="1"/>
          <w:u w:color="000000"/>
          <w14:textOutline w14:w="12700" w14:cap="flat">
            <w14:noFill/>
            <w14:miter w14:lim="400000"/>
          </w14:textOutline>
        </w:rPr>
      </w:pPr>
      <w:r>
        <w:rPr>
          <w:rFonts w:ascii="Times New Roman" w:hAnsi="Times New Roman"/>
          <w:b w:val="1"/>
          <w:bCs w:val="1"/>
          <w:u w:color="000000"/>
          <w:rtl w:val="0"/>
          <w:lang w:val="en-US"/>
          <w14:textOutline w14:w="12700" w14:cap="flat">
            <w14:noFill/>
            <w14:miter w14:lim="400000"/>
          </w14:textOutline>
        </w:rPr>
        <w:t>W</w:t>
      </w:r>
      <w:r>
        <w:rPr>
          <w:rFonts w:ascii="Times New Roman" w:hAnsi="Times New Roman"/>
          <w:b w:val="1"/>
          <w:bCs w:val="1"/>
          <w:u w:color="000000"/>
          <w:rtl w:val="0"/>
          <w:lang w:val="it-IT"/>
          <w14:textOutline w14:w="12700" w14:cap="flat">
            <w14:noFill/>
            <w14:miter w14:lim="400000"/>
          </w14:textOutline>
        </w:rPr>
        <w:t xml:space="preserve">hich are the advantages and disadvantages, </w:t>
      </w:r>
      <w:r>
        <w:rPr>
          <w:rFonts w:ascii="Times New Roman" w:hAnsi="Times New Roman"/>
          <w:b w:val="1"/>
          <w:bCs w:val="1"/>
          <w:u w:color="000000"/>
          <w:rtl w:val="0"/>
          <w:lang w:val="en-US"/>
          <w14:textOutline w14:w="12700" w14:cap="flat">
            <w14:noFill/>
            <w14:miter w14:lim="400000"/>
          </w14:textOutline>
        </w:rPr>
        <w:t>including absolute/relative contraindications, limitations and cost/effectiveness of ICG implementation in emergency and trauma surgery?</w:t>
      </w:r>
    </w:p>
    <w:p>
      <w:pPr>
        <w:pStyle w:val="Default"/>
        <w:spacing w:before="0" w:after="320" w:line="240" w:lineRule="auto"/>
        <w:rPr>
          <w:rFonts w:ascii="Times New Roman" w:cs="Times New Roman" w:hAnsi="Times New Roman" w:eastAsia="Times New Roman"/>
          <w:b w:val="1"/>
          <w:bCs w:val="1"/>
          <w:outline w:val="0"/>
          <w:color w:val="202124"/>
          <w:u w:color="202124"/>
          <w:shd w:val="clear" w:color="auto" w:fill="ffffff"/>
          <w:lang w:val="en-US"/>
          <w14:textFill>
            <w14:solidFill>
              <w14:srgbClr w14:val="202124"/>
            </w14:solidFill>
          </w14:textFill>
        </w:rPr>
      </w:pPr>
    </w:p>
    <w:p>
      <w:pPr>
        <w:pStyle w:val="Body"/>
        <w:rPr>
          <w:b w:val="1"/>
          <w:bCs w:val="1"/>
          <w:caps w:val="0"/>
          <w:smallCaps w:val="0"/>
          <w:strike w:val="0"/>
          <w:dstrike w:val="0"/>
          <w:outline w:val="0"/>
          <w:color w:val="000000"/>
          <w:spacing w:val="0"/>
          <w:kern w:val="0"/>
          <w:position w:val="0"/>
          <w:u w:val="none" w:color="ffffff"/>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Clinical a</w:t>
      </w:r>
      <w:r>
        <w:rPr>
          <w:b w:val="1"/>
          <w:bCs w:val="1"/>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dvantages/disadvantages and </w:t>
      </w:r>
      <w:r>
        <w:rPr>
          <w:b w:val="1"/>
          <w:b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absolute/relative </w:t>
      </w:r>
      <w:r>
        <w:rPr>
          <w:b w:val="1"/>
          <w:bCs w:val="1"/>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contraindications </w:t>
      </w:r>
      <w:r>
        <w:rPr>
          <w:b w:val="1"/>
          <w:b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 ICG fluorescence imaging implementation </w:t>
      </w:r>
      <w:r>
        <w:rPr>
          <w:b w:val="1"/>
          <w:bCs w:val="1"/>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in abdominal trauma surgery</w:t>
      </w:r>
    </w:p>
    <w:p>
      <w:pPr>
        <w:pStyle w:val="Body"/>
        <w:rPr>
          <w:i w:val="1"/>
          <w:iCs w:val="1"/>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 4.1</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Based on reported case-series, there are minimal disadvantages and contraindications to</w:t>
      </w:r>
      <w:r>
        <w:rPr>
          <w:i w:val="1"/>
          <w:i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ICG-fluorescence use in abdominal trauma surgery for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assessment of bowel viability and bowel anastomosis integrity in relation to bowel perfusion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QoE C</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(totally disagree 0%; neutral 9.7%-3/31participants;</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agree 29%-9/31participants; totally agree 58.1%-18/31participants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Recommendation</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4a</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The WSES panel of Experts suggests to consider ICG angiography as a valid tool in guiding surgery in the trauma setting, when it is available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recommendations, low level of evidence</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2B].</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25.8%-8/31participants;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22.6%-7/31participants; totally agree 51.6%-16/31participants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Limit</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s </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and cost</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effectiveness of ICG </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fluorescence imaging </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implementation in </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abdominal </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trauma surgery</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Statement</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4.3</w:t>
      </w:r>
    </w:p>
    <w:p>
      <w:pPr>
        <w:pStyle w:val="Body"/>
        <w:spacing w:line="360" w:lineRule="auto"/>
        <w:rPr>
          <w:caps w:val="0"/>
          <w:smallCaps w:val="0"/>
          <w:strike w:val="0"/>
          <w:dstrike w:val="0"/>
          <w:outline w:val="0"/>
          <w:color w:val="000000"/>
          <w:spacing w:val="0"/>
          <w:kern w:val="0"/>
          <w:position w:val="0"/>
          <w:u w:val="none" w:color="ffffff"/>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To the best of our knowledge, studies focusing on</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cost-effectiveness of ICG implementation in abdominal trauma surgery</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are lacking</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QoE D</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ffffff"/>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16.1%-5/31participants;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22.6%-7/31participants; totally agree 61.3%-19/31participants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caps w:val="0"/>
          <w:smallCaps w:val="0"/>
          <w:strike w:val="0"/>
          <w:dstrike w:val="0"/>
          <w:outline w:val="0"/>
          <w:color w:val="000000"/>
          <w:spacing w:val="0"/>
          <w:kern w:val="0"/>
          <w:position w:val="0"/>
          <w:u w:val="none" w:color="ffffff"/>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Recommendation</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4b</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WSES panel of Experts suggests to consider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the use of ICG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angiography </w:t>
      </w:r>
      <w:r>
        <w:rPr>
          <w:caps w:val="0"/>
          <w:smallCaps w:val="0"/>
          <w:strike w:val="0"/>
          <w:dstrike w:val="0"/>
          <w:outline w:val="0"/>
          <w:color w:val="000000"/>
          <w:spacing w:val="0"/>
          <w:kern w:val="0"/>
          <w:position w:val="0"/>
          <w:u w:val="none" w:color="000000"/>
          <w:shd w:val="nil" w:color="auto" w:fill="auto"/>
          <w:vertAlign w:val="baseline"/>
          <w:rtl w:val="0"/>
          <w:lang w:val="es-ES_tradnl"/>
          <w14:textOutline w14:w="12700" w14:cap="flat">
            <w14:noFill/>
            <w14:miter w14:lim="400000"/>
          </w14:textOutline>
          <w14:textFill>
            <w14:solidFill>
              <w14:srgbClr w14:val="000000"/>
            </w14:solidFill>
          </w14:textFill>
        </w:rPr>
        <w:t>in abdominal traum</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surgery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to support the subjective evaluation of the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bowel viability in situations such as mesenteric injury and hematoma and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to guide the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intraoperative decision-making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regarding the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extent of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bowel resection and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assessment of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anastomotic</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integrity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after intestinal/bowel resection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[Moderate recommendations, low level of evidence 2</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C</w:t>
      </w:r>
      <w:r>
        <w:rPr>
          <w:caps w:val="0"/>
          <w:smallCaps w:val="0"/>
          <w:strike w:val="0"/>
          <w:dstrike w:val="0"/>
          <w:outline w:val="0"/>
          <w:color w:val="000000"/>
          <w:spacing w:val="0"/>
          <w:kern w:val="0"/>
          <w:position w:val="0"/>
          <w:u w:val="none" w:color="000000"/>
          <w:shd w:val="nil" w:color="auto" w:fill="auto"/>
          <w:vertAlign w:val="baseline"/>
          <w:rtl w:val="0"/>
          <w:lang w:val="pt-PT"/>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(totally disagree 0%; neutral 16.1%-5/31participants;</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agree 29%-9/31participants; totally agree 51.6%-16/31participants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Clinical a</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dvantages and </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d</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isadvantages of ICG implementation </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imaging </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in emergency general surgery.</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 4.4</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ICG fluorescence angiography can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provide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information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about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bowel perfusion and assist in defining bowel resection margins, perfusion to bowel anastomosis, and bowel viability with little disadvantages</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in urgent surgical procedures (QoE C).</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16.1%-5/31participants;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32.3%-10/31participants; totally agree 51.6%-16/31participants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tatement 4.5</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ICG fluorescence angiography in mesenteric ischemia provide</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additional macroscopic evaluation of bowel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viability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that could potentially avoid extensive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and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inadequate bowel resection in the setting of edematous bowel with ecchymosis or situations where peristalsis cannot be assessed.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QoE C-D</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(totally disagree 0%; neutral 22.6%-7/31participants;</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agree 12.9%-4/31participants; totally agree 58.1%-18/31participants)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Statement 4.6</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he use of ICG cholangiography during laparoscopic cholecystectomy provides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enhanced</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visualization of the biliary tree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and it guides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dissection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with a critical view of safety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and identification of biliary anatomy. It is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effective</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in preventing bile duct injuries and can likely improve surgical confidence, thereby reducing operating times and lowering the threshold to proceed with emergency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laparoscopic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cholecystectomies in patient with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severe acute cholecystitis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QoE B</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22.6%-7/31participants;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12.9%-4/31participants; totally agree 58.1%-18/31participants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Recommendation</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4c</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The WSES panel of Experts recommends to perform an</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ICG cholangiography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in supporting laparoscopic cholecystectomy for acute cholecystitis, as it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has minimal disadvantages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and</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contraindications and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it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has reasonable cost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effectiveness</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when equipment and skills are available</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(Strong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recommendations</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based on</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moderate and low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level of evidence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1B-C</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(totally disagree 0%; neutral 12.9%-4/31participants;</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agree 12.9%-4/31participants; totally agree 67.7%-21/31participants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Recommendation</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4d</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The WSES panel of Experts recommends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use of ICG fluorescence angiography to assist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surgeons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assessment of bowel perfusion in emergency surgery situations such as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in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mesenteric ischemia, incarcerated and strangulated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hernias</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and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after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bowel resection</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when this tool and skills are available</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[Strong</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recommendations</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based on</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moderate and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low level of evidence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1C]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6.5%-2/31participants;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38.7%-12/31participants; totally agree 54.8%-17/31participant</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s).</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Limit</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and cost</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effectiveness of ICG fluorescence </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imaging</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in emergency general surgery</w:t>
      </w: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Statement</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4.7</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ICG fluorescence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imaging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has minimal limitations in the assessment of bowel perfusion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and anatomical structures during surgical dissection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except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for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th</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subjective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qualitative evaluation of images which quality depends on skills of the surgical staff in performing ICG fluorescence angiography and cholangiography</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QoE C-D</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(totally disagree 0%; neutral 16.1%-5/31participants;</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 agree 38.7%-12/31participants; totally agree 45.2%-14/31participants</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Recommendation</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4e</w:t>
      </w: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The WSES panel of Experts recommends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o implement 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he use of ICG in abdominal emergency general surgery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as it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can help assess</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ing</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bowel viability</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and visualising anatomical structures during difficult dissection</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with minimal cost and significant effectiveness</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when skills and equipment are available</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Strong</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recommendations</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based on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low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and very low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level of evidence 2</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C</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6.5%-2/31participants;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38.7%-12/31participants; totally agree 54.8%-17/31participants).</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Absolute and relative c</w:t>
      </w:r>
      <w:r>
        <w:rPr>
          <w:b w:val="1"/>
          <w:bCs w:val="1"/>
          <w:caps w:val="0"/>
          <w:smallCaps w:val="0"/>
          <w:strike w:val="0"/>
          <w:dstrike w:val="0"/>
          <w:outline w:val="0"/>
          <w:color w:val="000000"/>
          <w:spacing w:val="0"/>
          <w:kern w:val="0"/>
          <w:position w:val="0"/>
          <w:u w:val="none" w:color="000000"/>
          <w:shd w:val="nil" w:color="auto" w:fill="auto"/>
          <w:vertAlign w:val="baseline"/>
          <w:rtl w:val="0"/>
          <w:lang w:val="fr-FR"/>
          <w14:textOutline w14:w="12700" w14:cap="flat">
            <w14:noFill/>
            <w14:miter w14:lim="400000"/>
          </w14:textOutline>
          <w14:textFill>
            <w14:solidFill>
              <w14:srgbClr w14:val="000000"/>
            </w14:solidFill>
          </w14:textFill>
        </w:rPr>
        <w:t>ontraindications of</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w:t>
      </w: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ICG implementation in general and trauma surgery</w:t>
      </w: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S</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tatement 4.8</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caps w:val="0"/>
          <w:smallCaps w:val="0"/>
          <w:strike w:val="0"/>
          <w:dstrike w:val="0"/>
          <w:outline w:val="0"/>
          <w:color w:val="000000"/>
          <w:spacing w:val="0"/>
          <w:kern w:val="0"/>
          <w:position w:val="0"/>
          <w:u w:val="none" w:color="000000"/>
          <w:shd w:val="nil" w:color="auto" w:fill="auto"/>
          <w:vertAlign w:val="baseline"/>
          <w:rtl w:val="0"/>
          <w:lang w:val="fr-FR"/>
          <w14:textOutline w14:w="12700" w14:cap="flat">
            <w14:noFill/>
            <w14:miter w14:lim="400000"/>
          </w14:textOutline>
          <w14:textFill>
            <w14:solidFill>
              <w14:srgbClr w14:val="000000"/>
            </w14:solidFill>
          </w14:textFill>
        </w:rPr>
        <w:t>Indocyanine green fluorescence</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dye is water soluble, FDA approved, and safe for human use. The only known absolute contraindication is in patients with a documented allergy to iodides or iodinated imaging agents as it contains sodium iodide, which can lead to anaphylaxis. A relative contraindication is that radioactive iodine uptake studies should not be performed for at least a week after the use of ICG.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QoE B-C</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12.9%-4/31participants;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29%-9/31participants; totally agree 54.8%-17/31participants).</w:t>
      </w:r>
    </w:p>
    <w:p>
      <w:pPr>
        <w:pStyle w:val="Body"/>
        <w:spacing w:line="360" w:lineRule="auto"/>
        <w:rPr>
          <w:caps w:val="0"/>
          <w:smallCaps w:val="0"/>
          <w:strike w:val="0"/>
          <w:dstrike w:val="0"/>
          <w:outline w:val="0"/>
          <w:color w:val="000000"/>
          <w:spacing w:val="0"/>
          <w:kern w:val="0"/>
          <w:position w:val="0"/>
          <w:u w:val="none" w:color="000000"/>
          <w:shd w:val="nil" w:color="auto" w:fill="auto"/>
          <w:vertAlign w:val="baseline"/>
          <w:lang w:val="en-US"/>
          <w14:textOutline w14:w="12700" w14:cap="flat">
            <w14:noFill/>
            <w14:miter w14:lim="400000"/>
          </w14:textOutline>
          <w14:textFill>
            <w14:solidFill>
              <w14:srgbClr w14:val="000000"/>
            </w14:solidFill>
          </w14:textFill>
        </w:rPr>
      </w:pPr>
    </w:p>
    <w:p>
      <w:pPr>
        <w:pStyle w:val="Body"/>
        <w:spacing w:line="360" w:lineRule="auto"/>
        <w:rPr>
          <w:b w:val="1"/>
          <w:bCs w:val="1"/>
          <w:caps w:val="0"/>
          <w:smallCaps w:val="0"/>
          <w:strike w:val="0"/>
          <w:dstrike w:val="0"/>
          <w:outline w:val="0"/>
          <w:color w:val="000000"/>
          <w:spacing w:val="0"/>
          <w:kern w:val="0"/>
          <w:position w:val="0"/>
          <w:u w:val="none" w:color="000000"/>
          <w:shd w:val="nil" w:color="auto" w:fill="auto"/>
          <w:vertAlign w:val="baseline"/>
          <w14:textOutline w14:w="12700" w14:cap="flat">
            <w14:noFill/>
            <w14:miter w14:lim="400000"/>
          </w14:textOutline>
          <w14:textFill>
            <w14:solidFill>
              <w14:srgbClr w14:val="000000"/>
            </w14:solidFill>
          </w14:textFill>
        </w:rPr>
      </w:pPr>
      <w:r>
        <w:rPr>
          <w:b w:val="1"/>
          <w:bCs w:val="1"/>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Recommendation</w:t>
      </w:r>
      <w:r>
        <w:rPr>
          <w:b w:val="1"/>
          <w:bCs w:val="1"/>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4f</w:t>
      </w:r>
    </w:p>
    <w:p>
      <w:pPr>
        <w:pStyle w:val="Body"/>
        <w:spacing w:line="360" w:lineRule="auto"/>
      </w:pP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I</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ndocyanine green fluorescence dye has a high safety profile and can be applied repeatedly due to its short half-life</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T</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he WSES panel of Experts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recommends not to administrate ICG dye in patients with known allergy to iodides and iodinated imaging agents </w:t>
      </w:r>
      <w:r>
        <w:rPr>
          <w:caps w:val="0"/>
          <w:smallCaps w:val="0"/>
          <w:strike w:val="0"/>
          <w:dstrike w:val="0"/>
          <w:outline w:val="0"/>
          <w:color w:val="000000"/>
          <w:spacing w:val="0"/>
          <w:kern w:val="0"/>
          <w:position w:val="0"/>
          <w:u w:val="none" w:color="000000"/>
          <w:shd w:val="nil" w:color="auto" w:fill="auto"/>
          <w:vertAlign w:val="baseline"/>
          <w:rtl w:val="0"/>
          <w:lang w:val="da-DK"/>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Strong</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recommendation</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based on moderate and low </w:t>
      </w:r>
      <w:r>
        <w:rPr>
          <w:caps w:val="0"/>
          <w:smallCaps w:val="0"/>
          <w:strike w:val="0"/>
          <w:dstrike w:val="0"/>
          <w:outline w:val="0"/>
          <w:color w:val="000000"/>
          <w:spacing w:val="0"/>
          <w:kern w:val="0"/>
          <w:position w:val="0"/>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level of evidence </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1B-C</w:t>
      </w:r>
      <w:r>
        <w:rPr>
          <w:caps w:val="0"/>
          <w:smallCaps w:val="0"/>
          <w:strike w:val="0"/>
          <w:dstrike w:val="0"/>
          <w:outline w:val="0"/>
          <w:color w:val="000000"/>
          <w:spacing w:val="0"/>
          <w:kern w:val="0"/>
          <w:position w:val="0"/>
          <w:u w:val="none" w:color="000000"/>
          <w:shd w:val="nil" w:color="auto" w:fill="auto"/>
          <w:vertAlign w:val="baseline"/>
          <w:rtl w:val="0"/>
          <w:lang w:val="da-DK"/>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u w:val="none" w:color="000000"/>
          <w:shd w:val="nil" w:color="auto" w:fill="auto"/>
          <w:vertAlign w:val="baseline"/>
          <w:rtl w:val="0"/>
          <w:lang w:val="it-IT"/>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 xml:space="preserve">(totally disagree 0%; neutral 6.5%-2/31participants; </w:t>
      </w:r>
      <w:r>
        <w:rPr>
          <w:b w:val="1"/>
          <w:bCs w:val="1"/>
          <w:i w:val="1"/>
          <w:iCs w:val="1"/>
          <w:caps w:val="0"/>
          <w:smallCaps w:val="0"/>
          <w:strike w:val="0"/>
          <w:dstrike w:val="0"/>
          <w:outline w:val="0"/>
          <w:color w:val="000000"/>
          <w:spacing w:val="0"/>
          <w:kern w:val="0"/>
          <w:position w:val="0"/>
          <w:u w:val="none" w:color="ffffff"/>
          <w:shd w:val="nil" w:color="auto" w:fill="auto"/>
          <w:vertAlign w:val="baseline"/>
          <w:rtl w:val="0"/>
          <w:lang w:val="it-IT"/>
          <w14:textOutline w14:w="12700" w14:cap="flat">
            <w14:noFill/>
            <w14:miter w14:lim="400000"/>
          </w14:textOutline>
          <w14:textFill>
            <w14:solidFill>
              <w14:srgbClr w14:val="000000"/>
            </w14:solidFill>
          </w14:textFill>
        </w:rPr>
        <w:t>agree 22.6%-7/31participants; totally agree 67.7%-21/31participants).</w:t>
      </w:r>
    </w:p>
    <w:sectPr>
      <w:headerReference w:type="default" r:id="rId4"/>
      <w:footerReference w:type="default" r:id="rId5"/>
      <w:pgSz w:w="11900" w:h="16840"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5"/>
  </w:abstractNum>
  <w:abstractNum w:abstractNumId="1">
    <w:multiLevelType w:val="hybridMultilevel"/>
    <w:styleLink w:val="Imported Style 5"/>
    <w:lvl w:ilvl="0">
      <w:start w:val="1"/>
      <w:numFmt w:val="bullet"/>
      <w:suff w:val="tab"/>
      <w:lvlText w:val="·"/>
      <w:lvlJc w:val="left"/>
      <w:pPr>
        <w:ind w:left="174" w:hanging="174"/>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
      <w:lvlJc w:val="left"/>
      <w:pPr>
        <w:ind w:left="789" w:hanging="189"/>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ind w:left="1389" w:hanging="189"/>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1989" w:hanging="189"/>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
      <w:lvlJc w:val="left"/>
      <w:pPr>
        <w:ind w:left="2589" w:hanging="189"/>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3189" w:hanging="189"/>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3789" w:hanging="189"/>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
      <w:lvlJc w:val="left"/>
      <w:pPr>
        <w:ind w:left="4389" w:hanging="189"/>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4989" w:hanging="189"/>
      </w:pPr>
      <w:rPr>
        <w:rFonts w:ascii="Symbol" w:cs="Symbol" w:hAnsi="Symbol" w:eastAsia="Symbol"/>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noFill/>
      </w14:textOutline>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14:textOutline w14:w="12700" w14:cap="flat">
        <w14:noFill/>
        <w14:miter w14:lim="400000"/>
      </w14:textOutline>
      <w14:textFill>
        <w14:solidFill>
          <w14:srgbClr w14:val="000000"/>
        </w14:solidFill>
      </w14:textFill>
    </w:rPr>
  </w:style>
  <w:style w:type="numbering" w:styleId="Imported Style 5">
    <w:name w:val="Imported Style 5"/>
    <w:pPr>
      <w:numPr>
        <w:numId w:val="1"/>
      </w:numPr>
    </w:pPr>
  </w:style>
  <w:style w:type="paragraph" w:styleId="Body A">
    <w:name w:val="Body A"/>
    <w:next w:val="Body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14:textOutline w14:w="12700" w14:cap="flat">
        <w14:noFill/>
        <w14:miter w14:lim="400000"/>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