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B037CE" w14:textId="77777777" w:rsidR="00FF68F4" w:rsidRPr="0006231D" w:rsidRDefault="00FF68F4" w:rsidP="00FF68F4">
      <w:pPr>
        <w:pStyle w:val="Heading1"/>
      </w:pPr>
      <w:r w:rsidRPr="0006231D">
        <w:t>Supplementary appendix</w:t>
      </w:r>
    </w:p>
    <w:p w14:paraId="3959994D" w14:textId="77777777" w:rsidR="00FF68F4" w:rsidRPr="0006231D" w:rsidRDefault="00FF68F4" w:rsidP="00FF68F4">
      <w:pPr>
        <w:spacing w:line="480" w:lineRule="auto"/>
        <w:rPr>
          <w:rFonts w:asciiTheme="minorHAnsi" w:hAnsiTheme="minorHAnsi" w:cstheme="minorHAnsi"/>
        </w:rPr>
      </w:pPr>
    </w:p>
    <w:p w14:paraId="3D5AF30B" w14:textId="77777777" w:rsidR="00FF68F4" w:rsidRPr="0006231D" w:rsidRDefault="00FF68F4" w:rsidP="00FF68F4">
      <w:pPr>
        <w:spacing w:line="480" w:lineRule="auto"/>
        <w:rPr>
          <w:rFonts w:asciiTheme="minorHAnsi" w:hAnsiTheme="minorHAnsi" w:cstheme="minorHAnsi"/>
          <w:b/>
          <w:bCs/>
          <w:sz w:val="28"/>
          <w:szCs w:val="28"/>
        </w:rPr>
      </w:pPr>
      <w:r w:rsidRPr="0006231D">
        <w:rPr>
          <w:rFonts w:asciiTheme="minorHAnsi" w:hAnsiTheme="minorHAnsi" w:cstheme="minorHAnsi"/>
          <w:b/>
          <w:bCs/>
          <w:sz w:val="28"/>
          <w:szCs w:val="28"/>
        </w:rPr>
        <w:t>Methods</w:t>
      </w:r>
    </w:p>
    <w:p w14:paraId="652ABF31" w14:textId="77777777" w:rsidR="00FF68F4" w:rsidRPr="0006231D" w:rsidRDefault="00FF68F4" w:rsidP="00FF68F4">
      <w:pPr>
        <w:spacing w:line="480" w:lineRule="auto"/>
        <w:rPr>
          <w:rFonts w:asciiTheme="minorHAnsi" w:hAnsiTheme="minorHAnsi" w:cstheme="minorHAnsi"/>
          <w:b/>
          <w:bCs/>
          <w:i/>
          <w:iCs/>
        </w:rPr>
      </w:pPr>
      <w:r w:rsidRPr="0006231D">
        <w:rPr>
          <w:rFonts w:asciiTheme="minorHAnsi" w:hAnsiTheme="minorHAnsi" w:cstheme="minorHAnsi"/>
          <w:b/>
          <w:bCs/>
          <w:i/>
          <w:iCs/>
        </w:rPr>
        <w:t>Study design</w:t>
      </w:r>
    </w:p>
    <w:p w14:paraId="33F59E9B" w14:textId="77777777" w:rsidR="00FF68F4" w:rsidRDefault="00FF68F4" w:rsidP="00FF68F4">
      <w:pPr>
        <w:spacing w:line="480" w:lineRule="auto"/>
        <w:outlineLvl w:val="1"/>
        <w:rPr>
          <w:rFonts w:asciiTheme="minorHAnsi" w:eastAsia="Calibri" w:hAnsiTheme="minorHAnsi" w:cstheme="minorHAnsi"/>
          <w:bCs/>
          <w:iCs/>
          <w:lang w:val="en-US"/>
        </w:rPr>
      </w:pPr>
      <w:r>
        <w:rPr>
          <w:rFonts w:asciiTheme="minorHAnsi" w:eastAsia="Calibri" w:hAnsiTheme="minorHAnsi" w:cstheme="minorHAnsi"/>
          <w:bCs/>
          <w:iCs/>
          <w:lang w:val="en-US"/>
        </w:rPr>
        <w:t>Stage 1 (dose-escalation phase) determined the maximum tolerated dose (MTD) of tinostamustine, the optimal infusion time, and the recommended Phase II dose (RP2D). Patients with R/R hematological malignancies, including HL, were recruited using a standard 3+3 design, with five ascending cohorts receiving doses from 20 mg/m</w:t>
      </w:r>
      <w:r>
        <w:rPr>
          <w:rFonts w:asciiTheme="minorHAnsi" w:eastAsia="Calibri" w:hAnsiTheme="minorHAnsi" w:cstheme="minorHAnsi"/>
          <w:bCs/>
          <w:iCs/>
          <w:vertAlign w:val="superscript"/>
          <w:lang w:val="en-US"/>
        </w:rPr>
        <w:t>2</w:t>
      </w:r>
      <w:r>
        <w:rPr>
          <w:rFonts w:asciiTheme="minorHAnsi" w:eastAsia="Calibri" w:hAnsiTheme="minorHAnsi" w:cstheme="minorHAnsi"/>
          <w:bCs/>
          <w:iCs/>
          <w:lang w:val="en-US"/>
        </w:rPr>
        <w:t xml:space="preserve"> up to a maximum dose of 120 mg/m</w:t>
      </w:r>
      <w:r>
        <w:rPr>
          <w:rFonts w:asciiTheme="minorHAnsi" w:eastAsia="Calibri" w:hAnsiTheme="minorHAnsi" w:cstheme="minorHAnsi"/>
          <w:bCs/>
          <w:iCs/>
          <w:vertAlign w:val="superscript"/>
          <w:lang w:val="en-US"/>
        </w:rPr>
        <w:t>2</w:t>
      </w:r>
      <w:r w:rsidRPr="00CD2FD3">
        <w:rPr>
          <w:rFonts w:asciiTheme="minorHAnsi" w:eastAsia="Calibri" w:hAnsiTheme="minorHAnsi" w:cstheme="minorHAnsi"/>
          <w:bCs/>
          <w:iCs/>
          <w:lang w:val="en-US"/>
        </w:rPr>
        <w:t xml:space="preserve"> </w:t>
      </w:r>
      <w:r>
        <w:rPr>
          <w:rFonts w:asciiTheme="minorHAnsi" w:eastAsia="Calibri" w:hAnsiTheme="minorHAnsi" w:cstheme="minorHAnsi"/>
          <w:bCs/>
          <w:iCs/>
          <w:lang w:val="en-US"/>
        </w:rPr>
        <w:t>tinostamustine administered intravenously (IV) over 60 minutes; further dose cohorts were administered over 45 minutes (80 mg/m</w:t>
      </w:r>
      <w:r>
        <w:rPr>
          <w:rFonts w:asciiTheme="minorHAnsi" w:eastAsia="Calibri" w:hAnsiTheme="minorHAnsi" w:cstheme="minorHAnsi"/>
          <w:bCs/>
          <w:iCs/>
          <w:vertAlign w:val="superscript"/>
          <w:lang w:val="en-US"/>
        </w:rPr>
        <w:t>2</w:t>
      </w:r>
      <w:r>
        <w:rPr>
          <w:rFonts w:asciiTheme="minorHAnsi" w:eastAsia="Calibri" w:hAnsiTheme="minorHAnsi" w:cstheme="minorHAnsi"/>
          <w:bCs/>
          <w:iCs/>
          <w:lang w:val="en-US"/>
        </w:rPr>
        <w:t>) and 30 minutes (60 mg/m</w:t>
      </w:r>
      <w:r>
        <w:rPr>
          <w:rFonts w:asciiTheme="minorHAnsi" w:eastAsia="Calibri" w:hAnsiTheme="minorHAnsi" w:cstheme="minorHAnsi"/>
          <w:bCs/>
          <w:iCs/>
          <w:vertAlign w:val="superscript"/>
          <w:lang w:val="en-US"/>
        </w:rPr>
        <w:t>2</w:t>
      </w:r>
      <w:r>
        <w:rPr>
          <w:rFonts w:asciiTheme="minorHAnsi" w:eastAsia="Calibri" w:hAnsiTheme="minorHAnsi" w:cstheme="minorHAnsi"/>
          <w:bCs/>
          <w:iCs/>
          <w:lang w:val="en-US"/>
        </w:rPr>
        <w:t>, 80 mg/m</w:t>
      </w:r>
      <w:r>
        <w:rPr>
          <w:rFonts w:asciiTheme="minorHAnsi" w:eastAsia="Calibri" w:hAnsiTheme="minorHAnsi" w:cstheme="minorHAnsi"/>
          <w:bCs/>
          <w:iCs/>
          <w:vertAlign w:val="superscript"/>
          <w:lang w:val="en-US"/>
        </w:rPr>
        <w:t>2</w:t>
      </w:r>
      <w:r>
        <w:rPr>
          <w:rFonts w:asciiTheme="minorHAnsi" w:eastAsia="Calibri" w:hAnsiTheme="minorHAnsi" w:cstheme="minorHAnsi"/>
          <w:bCs/>
          <w:iCs/>
          <w:lang w:val="en-US"/>
        </w:rPr>
        <w:t>).</w:t>
      </w:r>
    </w:p>
    <w:p w14:paraId="70D2780C" w14:textId="77777777" w:rsidR="00FF68F4" w:rsidRDefault="00FF68F4" w:rsidP="00FF68F4">
      <w:pPr>
        <w:spacing w:line="480" w:lineRule="auto"/>
        <w:outlineLvl w:val="1"/>
        <w:rPr>
          <w:rFonts w:asciiTheme="minorHAnsi" w:eastAsia="Calibri" w:hAnsiTheme="minorHAnsi" w:cstheme="minorHAnsi"/>
          <w:bCs/>
          <w:iCs/>
          <w:lang w:val="en-US"/>
        </w:rPr>
      </w:pPr>
    </w:p>
    <w:p w14:paraId="55545919" w14:textId="77777777" w:rsidR="00FF68F4" w:rsidRDefault="00FF68F4" w:rsidP="00FF68F4">
      <w:pPr>
        <w:spacing w:line="480" w:lineRule="auto"/>
        <w:rPr>
          <w:rFonts w:asciiTheme="minorHAnsi" w:eastAsia="Calibri" w:hAnsiTheme="minorHAnsi" w:cstheme="minorHAnsi"/>
          <w:bCs/>
          <w:iCs/>
          <w:lang w:val="en-US"/>
        </w:rPr>
      </w:pPr>
      <w:r>
        <w:rPr>
          <w:rFonts w:asciiTheme="minorHAnsi" w:eastAsia="Calibri" w:hAnsiTheme="minorHAnsi" w:cstheme="minorHAnsi"/>
          <w:bCs/>
          <w:iCs/>
          <w:lang w:val="en-US"/>
        </w:rPr>
        <w:t>Stage 2 (expansion in cohorts of selected R/R hematological malignancies, two of which enrolled patients with HL) confirmed the safety and efficacy of the RP2D. For the first five patients entering Cohort 2, the RP2D of tinostamustine as initially determined in Stage 1 of the study, depended on baseline platelet count: 50 mg/m</w:t>
      </w:r>
      <w:r>
        <w:rPr>
          <w:rFonts w:asciiTheme="minorHAnsi" w:eastAsia="Calibri" w:hAnsiTheme="minorHAnsi" w:cstheme="minorHAnsi"/>
          <w:bCs/>
          <w:iCs/>
          <w:vertAlign w:val="superscript"/>
          <w:lang w:val="en-US"/>
        </w:rPr>
        <w:t>2</w:t>
      </w:r>
      <w:r>
        <w:rPr>
          <w:rFonts w:asciiTheme="minorHAnsi" w:eastAsia="Calibri" w:hAnsiTheme="minorHAnsi" w:cstheme="minorHAnsi"/>
          <w:bCs/>
          <w:iCs/>
          <w:lang w:val="en-US"/>
        </w:rPr>
        <w:t xml:space="preserve"> (&gt;75 x 10</w:t>
      </w:r>
      <w:r>
        <w:rPr>
          <w:rFonts w:asciiTheme="minorHAnsi" w:eastAsia="Calibri" w:hAnsiTheme="minorHAnsi" w:cstheme="minorHAnsi"/>
          <w:bCs/>
          <w:iCs/>
          <w:vertAlign w:val="superscript"/>
          <w:lang w:val="en-US"/>
        </w:rPr>
        <w:t>9</w:t>
      </w:r>
      <w:r>
        <w:rPr>
          <w:rFonts w:asciiTheme="minorHAnsi" w:eastAsia="Calibri" w:hAnsiTheme="minorHAnsi" w:cstheme="minorHAnsi"/>
          <w:bCs/>
          <w:iCs/>
          <w:lang w:val="en-US"/>
        </w:rPr>
        <w:t>/l to 100 x 10</w:t>
      </w:r>
      <w:r>
        <w:rPr>
          <w:rFonts w:asciiTheme="minorHAnsi" w:eastAsia="Calibri" w:hAnsiTheme="minorHAnsi" w:cstheme="minorHAnsi"/>
          <w:bCs/>
          <w:iCs/>
          <w:vertAlign w:val="superscript"/>
          <w:lang w:val="en-US"/>
        </w:rPr>
        <w:t>9</w:t>
      </w:r>
      <w:r>
        <w:rPr>
          <w:rFonts w:asciiTheme="minorHAnsi" w:eastAsia="Calibri" w:hAnsiTheme="minorHAnsi" w:cstheme="minorHAnsi"/>
          <w:bCs/>
          <w:iCs/>
          <w:lang w:val="en-US"/>
        </w:rPr>
        <w:t>/l platelets); 80 mg/m</w:t>
      </w:r>
      <w:r>
        <w:rPr>
          <w:rFonts w:asciiTheme="minorHAnsi" w:eastAsia="Calibri" w:hAnsiTheme="minorHAnsi" w:cstheme="minorHAnsi"/>
          <w:bCs/>
          <w:iCs/>
          <w:vertAlign w:val="superscript"/>
          <w:lang w:val="en-US"/>
        </w:rPr>
        <w:t>2</w:t>
      </w:r>
      <w:r>
        <w:rPr>
          <w:rFonts w:asciiTheme="minorHAnsi" w:eastAsia="Calibri" w:hAnsiTheme="minorHAnsi" w:cstheme="minorHAnsi"/>
          <w:bCs/>
          <w:iCs/>
          <w:lang w:val="en-US"/>
        </w:rPr>
        <w:t xml:space="preserve"> (&gt;100 x 10</w:t>
      </w:r>
      <w:r>
        <w:rPr>
          <w:rFonts w:asciiTheme="minorHAnsi" w:eastAsia="Calibri" w:hAnsiTheme="minorHAnsi" w:cstheme="minorHAnsi"/>
          <w:bCs/>
          <w:iCs/>
          <w:vertAlign w:val="superscript"/>
          <w:lang w:val="en-US"/>
        </w:rPr>
        <w:t>9</w:t>
      </w:r>
      <w:r>
        <w:rPr>
          <w:rFonts w:asciiTheme="minorHAnsi" w:eastAsia="Calibri" w:hAnsiTheme="minorHAnsi" w:cstheme="minorHAnsi"/>
          <w:bCs/>
          <w:iCs/>
          <w:lang w:val="en-US"/>
        </w:rPr>
        <w:t>/l to &lt;200 x 10</w:t>
      </w:r>
      <w:r>
        <w:rPr>
          <w:rFonts w:asciiTheme="minorHAnsi" w:eastAsia="Calibri" w:hAnsiTheme="minorHAnsi" w:cstheme="minorHAnsi"/>
          <w:bCs/>
          <w:iCs/>
          <w:vertAlign w:val="superscript"/>
          <w:lang w:val="en-US"/>
        </w:rPr>
        <w:t>9</w:t>
      </w:r>
      <w:r>
        <w:rPr>
          <w:rFonts w:asciiTheme="minorHAnsi" w:eastAsia="Calibri" w:hAnsiTheme="minorHAnsi" w:cstheme="minorHAnsi"/>
          <w:bCs/>
          <w:iCs/>
          <w:lang w:val="en-US"/>
        </w:rPr>
        <w:t>/l platelets), and 100 mg/m</w:t>
      </w:r>
      <w:r>
        <w:rPr>
          <w:rFonts w:asciiTheme="minorHAnsi" w:eastAsia="Calibri" w:hAnsiTheme="minorHAnsi" w:cstheme="minorHAnsi"/>
          <w:bCs/>
          <w:iCs/>
          <w:vertAlign w:val="superscript"/>
          <w:lang w:val="en-US"/>
        </w:rPr>
        <w:t>2</w:t>
      </w:r>
      <w:r>
        <w:rPr>
          <w:rFonts w:asciiTheme="minorHAnsi" w:eastAsia="Calibri" w:hAnsiTheme="minorHAnsi" w:cstheme="minorHAnsi"/>
          <w:bCs/>
          <w:iCs/>
          <w:lang w:val="en-US"/>
        </w:rPr>
        <w:t xml:space="preserve"> (≥200 x 10</w:t>
      </w:r>
      <w:r>
        <w:rPr>
          <w:rFonts w:asciiTheme="minorHAnsi" w:eastAsia="Calibri" w:hAnsiTheme="minorHAnsi" w:cstheme="minorHAnsi"/>
          <w:bCs/>
          <w:iCs/>
          <w:vertAlign w:val="superscript"/>
          <w:lang w:val="en-US"/>
        </w:rPr>
        <w:t>9</w:t>
      </w:r>
      <w:r>
        <w:rPr>
          <w:rFonts w:asciiTheme="minorHAnsi" w:eastAsia="Calibri" w:hAnsiTheme="minorHAnsi" w:cstheme="minorHAnsi"/>
          <w:bCs/>
          <w:iCs/>
          <w:lang w:val="en-US"/>
        </w:rPr>
        <w:t>/l platelets) over 60 minutes on Day 1 of a 21-day cycle. Subsequently, the RP2D and eligibility criteria were revised allowing enrollment of patients with ≥100 x 10</w:t>
      </w:r>
      <w:r>
        <w:rPr>
          <w:rFonts w:asciiTheme="minorHAnsi" w:eastAsia="Calibri" w:hAnsiTheme="minorHAnsi" w:cstheme="minorHAnsi"/>
          <w:bCs/>
          <w:iCs/>
          <w:vertAlign w:val="superscript"/>
          <w:lang w:val="en-US"/>
        </w:rPr>
        <w:t>9</w:t>
      </w:r>
      <w:r>
        <w:rPr>
          <w:rFonts w:asciiTheme="minorHAnsi" w:eastAsia="Calibri" w:hAnsiTheme="minorHAnsi" w:cstheme="minorHAnsi"/>
          <w:bCs/>
          <w:iCs/>
          <w:lang w:val="en-US"/>
        </w:rPr>
        <w:t>/l platelets (RP2D 100 mg/m</w:t>
      </w:r>
      <w:r>
        <w:rPr>
          <w:rFonts w:asciiTheme="minorHAnsi" w:eastAsia="Calibri" w:hAnsiTheme="minorHAnsi" w:cstheme="minorHAnsi"/>
          <w:bCs/>
          <w:iCs/>
          <w:vertAlign w:val="superscript"/>
          <w:lang w:val="en-US"/>
        </w:rPr>
        <w:t>2</w:t>
      </w:r>
      <w:r>
        <w:rPr>
          <w:rFonts w:asciiTheme="minorHAnsi" w:eastAsia="Calibri" w:hAnsiTheme="minorHAnsi" w:cstheme="minorHAnsi"/>
          <w:bCs/>
          <w:iCs/>
          <w:lang w:val="en-US"/>
        </w:rPr>
        <w:t xml:space="preserve"> tinostamustine over 60 minutes for the remaining nine patients in Cohort 2 and all six patients in Cohort 2a). From Cycle 2 onwards, if the platelet count was &lt;100,000/</w:t>
      </w:r>
      <w:proofErr w:type="spellStart"/>
      <w:r>
        <w:rPr>
          <w:rFonts w:asciiTheme="minorHAnsi" w:eastAsia="Calibri" w:hAnsiTheme="minorHAnsi" w:cstheme="minorHAnsi"/>
          <w:bCs/>
          <w:iCs/>
          <w:lang w:val="en-US"/>
        </w:rPr>
        <w:t>μl</w:t>
      </w:r>
      <w:proofErr w:type="spellEnd"/>
      <w:r>
        <w:rPr>
          <w:rFonts w:asciiTheme="minorHAnsi" w:eastAsia="Calibri" w:hAnsiTheme="minorHAnsi" w:cstheme="minorHAnsi"/>
          <w:bCs/>
          <w:iCs/>
          <w:lang w:val="en-US"/>
        </w:rPr>
        <w:t xml:space="preserve"> or &lt;65% of baseline level (Day 1 of the previous cycle; whichever is higher), the next cycle of treatment could be delayed by up to 14 days (standard supportive care was allowed). In the </w:t>
      </w:r>
      <w:r>
        <w:rPr>
          <w:rFonts w:asciiTheme="minorHAnsi" w:eastAsia="Calibri" w:hAnsiTheme="minorHAnsi" w:cstheme="minorHAnsi"/>
          <w:bCs/>
          <w:iCs/>
          <w:lang w:val="en-US"/>
        </w:rPr>
        <w:lastRenderedPageBreak/>
        <w:t>event of toxicity leading to dose delay, the tinostamustine dose was reduced to 80 mg/m</w:t>
      </w:r>
      <w:r>
        <w:rPr>
          <w:rFonts w:asciiTheme="minorHAnsi" w:eastAsia="Calibri" w:hAnsiTheme="minorHAnsi" w:cstheme="minorHAnsi"/>
          <w:bCs/>
          <w:iCs/>
          <w:vertAlign w:val="superscript"/>
          <w:lang w:val="en-US"/>
        </w:rPr>
        <w:t>2</w:t>
      </w:r>
      <w:r>
        <w:rPr>
          <w:rFonts w:asciiTheme="minorHAnsi" w:eastAsia="Calibri" w:hAnsiTheme="minorHAnsi" w:cstheme="minorHAnsi"/>
          <w:bCs/>
          <w:iCs/>
          <w:lang w:val="en-US"/>
        </w:rPr>
        <w:t>. If platelet toxicity was resolved, the initial dose of 100 mg/m</w:t>
      </w:r>
      <w:r>
        <w:rPr>
          <w:rFonts w:asciiTheme="minorHAnsi" w:eastAsia="Calibri" w:hAnsiTheme="minorHAnsi" w:cstheme="minorHAnsi"/>
          <w:bCs/>
          <w:iCs/>
          <w:vertAlign w:val="superscript"/>
          <w:lang w:val="en-US"/>
        </w:rPr>
        <w:t>2</w:t>
      </w:r>
      <w:r>
        <w:rPr>
          <w:rFonts w:asciiTheme="minorHAnsi" w:eastAsia="Calibri" w:hAnsiTheme="minorHAnsi" w:cstheme="minorHAnsi"/>
          <w:bCs/>
          <w:iCs/>
          <w:lang w:val="en-US"/>
        </w:rPr>
        <w:t xml:space="preserve"> could be administered at the next cycle at the investigators’ discretion. </w:t>
      </w:r>
    </w:p>
    <w:p w14:paraId="1FEAEDEC" w14:textId="77777777" w:rsidR="00FF68F4" w:rsidRDefault="00FF68F4" w:rsidP="00FF68F4">
      <w:pPr>
        <w:spacing w:line="480" w:lineRule="auto"/>
        <w:rPr>
          <w:rFonts w:asciiTheme="minorHAnsi" w:eastAsia="Calibri" w:hAnsiTheme="minorHAnsi" w:cstheme="minorHAnsi"/>
          <w:bCs/>
          <w:iCs/>
          <w:lang w:val="en-US"/>
        </w:rPr>
      </w:pPr>
    </w:p>
    <w:p w14:paraId="12B64869" w14:textId="77777777" w:rsidR="00FF68F4" w:rsidRDefault="00FF68F4" w:rsidP="00FF68F4">
      <w:pPr>
        <w:spacing w:line="480" w:lineRule="auto"/>
        <w:rPr>
          <w:rFonts w:asciiTheme="minorHAnsi" w:eastAsia="Calibri" w:hAnsiTheme="minorHAnsi" w:cstheme="minorHAnsi"/>
          <w:b/>
          <w:i/>
          <w:lang w:val="en-US"/>
        </w:rPr>
      </w:pPr>
      <w:r>
        <w:rPr>
          <w:rFonts w:asciiTheme="minorHAnsi" w:eastAsia="Calibri" w:hAnsiTheme="minorHAnsi" w:cstheme="minorHAnsi"/>
          <w:b/>
          <w:i/>
          <w:lang w:val="en-US"/>
        </w:rPr>
        <w:t>Endpoint definitions</w:t>
      </w:r>
    </w:p>
    <w:p w14:paraId="7604972B" w14:textId="77777777" w:rsidR="00FF68F4" w:rsidRDefault="00FF68F4" w:rsidP="00FF68F4">
      <w:pPr>
        <w:spacing w:line="480" w:lineRule="auto"/>
        <w:rPr>
          <w:rFonts w:asciiTheme="minorHAnsi" w:eastAsia="Calibri" w:hAnsiTheme="minorHAnsi" w:cstheme="minorHAnsi"/>
          <w:b/>
          <w:iCs/>
          <w:lang w:val="en-US"/>
        </w:rPr>
      </w:pPr>
      <w:r>
        <w:rPr>
          <w:rFonts w:asciiTheme="minorHAnsi" w:eastAsia="Calibri" w:hAnsiTheme="minorHAnsi" w:cstheme="minorHAnsi"/>
          <w:b/>
          <w:iCs/>
          <w:lang w:val="en-US"/>
        </w:rPr>
        <w:t>Stage 1</w:t>
      </w:r>
    </w:p>
    <w:p w14:paraId="29284136" w14:textId="77777777" w:rsidR="00FF68F4" w:rsidRDefault="00FF68F4" w:rsidP="00FF68F4">
      <w:pPr>
        <w:spacing w:line="480" w:lineRule="auto"/>
        <w:rPr>
          <w:rFonts w:asciiTheme="minorHAnsi" w:eastAsia="Calibri" w:hAnsiTheme="minorHAnsi" w:cstheme="minorHAnsi"/>
          <w:bCs/>
          <w:iCs/>
          <w:lang w:val="en-US"/>
        </w:rPr>
      </w:pPr>
      <w:r>
        <w:rPr>
          <w:rFonts w:asciiTheme="minorHAnsi" w:eastAsia="Calibri" w:hAnsiTheme="minorHAnsi" w:cstheme="minorHAnsi"/>
          <w:bCs/>
          <w:iCs/>
          <w:lang w:val="en-US"/>
        </w:rPr>
        <w:t>Dose-limiting toxicities (DLTs) were defined as: any Grade 3 or 4 non-hematological toxicity (excluding alopecia and easily correctable electrolyte abnormalities); nausea, vomiting or diarrhea lasting ≥10 days despite aggressive symptomatic treatment; Grade 4 neutropenia or thrombocytopenia for ≥7 days; any Grade ≥2 toxicity for &gt;3 weeks; or any toxicity resulting in a delay of the next dose administration (Cycle 2 Day 1 ≥14). The maximum tolerated dose (MTD) and the maximum administered dose (MAD) were determined by evaluating toxicities during the dose-escalation stage. The MTD was defined as the dose level below the MAD, with the MAD defined as the dose level at which two or more dose-limiting toxicities occurred in a 3- or 6-subject cohort. The RP2D was defined based on the safety, toxicity and pharmacokinetics of the various dose levels and considered DLTs and all tinostamustine-related Grade 2 toxicities, toxicities requiring dose modification (similar to DLTs but occurring subsequent to Cycle 1), the maximum dose delivered per administration in an infusion time, and the related maximum plasma concentration (Cmax), quality and duration of response to treatment.</w:t>
      </w:r>
    </w:p>
    <w:p w14:paraId="085A8060" w14:textId="77777777" w:rsidR="00FF68F4" w:rsidRDefault="00FF68F4" w:rsidP="00FF68F4">
      <w:pPr>
        <w:spacing w:line="480" w:lineRule="auto"/>
        <w:rPr>
          <w:rFonts w:asciiTheme="minorHAnsi" w:eastAsia="Calibri" w:hAnsiTheme="minorHAnsi" w:cstheme="minorHAnsi"/>
          <w:bCs/>
          <w:iCs/>
          <w:lang w:val="en-US"/>
        </w:rPr>
      </w:pPr>
    </w:p>
    <w:p w14:paraId="12FB887E" w14:textId="77777777" w:rsidR="00FF68F4" w:rsidRDefault="00FF68F4" w:rsidP="00FF68F4">
      <w:pPr>
        <w:spacing w:line="480" w:lineRule="auto"/>
        <w:rPr>
          <w:rFonts w:asciiTheme="minorHAnsi" w:eastAsia="Calibri" w:hAnsiTheme="minorHAnsi" w:cstheme="minorHAnsi"/>
          <w:b/>
          <w:iCs/>
          <w:lang w:val="en-US"/>
        </w:rPr>
      </w:pPr>
      <w:r>
        <w:rPr>
          <w:rFonts w:asciiTheme="minorHAnsi" w:eastAsia="Calibri" w:hAnsiTheme="minorHAnsi" w:cstheme="minorHAnsi"/>
          <w:b/>
          <w:iCs/>
          <w:lang w:val="en-US"/>
        </w:rPr>
        <w:t>Stage 2</w:t>
      </w:r>
    </w:p>
    <w:p w14:paraId="56B0044B" w14:textId="68BFCFAD" w:rsidR="00FF68F4" w:rsidRDefault="00FF68F4" w:rsidP="00FF68F4">
      <w:pPr>
        <w:spacing w:line="480" w:lineRule="auto"/>
        <w:outlineLvl w:val="1"/>
        <w:rPr>
          <w:rFonts w:asciiTheme="minorHAnsi" w:eastAsia="Calibri" w:hAnsiTheme="minorHAnsi" w:cstheme="minorHAnsi"/>
          <w:bCs/>
          <w:iCs/>
          <w:lang w:val="en-US"/>
        </w:rPr>
      </w:pPr>
      <w:r>
        <w:rPr>
          <w:rFonts w:asciiTheme="minorHAnsi" w:eastAsia="Calibri" w:hAnsiTheme="minorHAnsi" w:cstheme="minorHAnsi"/>
          <w:bCs/>
          <w:iCs/>
          <w:lang w:val="en-US"/>
        </w:rPr>
        <w:t xml:space="preserve">ORR was defined as complete response (CR) plus partial response (PR) and was evaluated from Cycle 3 until progression or toxicity using the Updated Recommendations for </w:t>
      </w:r>
      <w:r>
        <w:rPr>
          <w:rFonts w:asciiTheme="minorHAnsi" w:eastAsia="Calibri" w:hAnsiTheme="minorHAnsi" w:cstheme="minorHAnsi"/>
          <w:bCs/>
          <w:iCs/>
          <w:lang w:val="en-US"/>
        </w:rPr>
        <w:lastRenderedPageBreak/>
        <w:t xml:space="preserve">Evaluation, Staging, and Response Assessment for Hodgkin and Non-Hodgkin Lymphoma: the </w:t>
      </w:r>
      <w:proofErr w:type="spellStart"/>
      <w:r>
        <w:rPr>
          <w:rFonts w:asciiTheme="minorHAnsi" w:eastAsia="Calibri" w:hAnsiTheme="minorHAnsi" w:cstheme="minorHAnsi"/>
          <w:bCs/>
          <w:iCs/>
          <w:lang w:val="en-US"/>
        </w:rPr>
        <w:t>Lugano</w:t>
      </w:r>
      <w:proofErr w:type="spellEnd"/>
      <w:r>
        <w:rPr>
          <w:rFonts w:asciiTheme="minorHAnsi" w:eastAsia="Calibri" w:hAnsiTheme="minorHAnsi" w:cstheme="minorHAnsi"/>
          <w:bCs/>
          <w:iCs/>
          <w:lang w:val="en-US"/>
        </w:rPr>
        <w:t xml:space="preserve"> Classification.</w:t>
      </w:r>
      <w:r>
        <w:rPr>
          <w:rFonts w:asciiTheme="minorHAnsi" w:eastAsia="Calibri" w:hAnsiTheme="minorHAnsi" w:cstheme="minorHAnsi"/>
          <w:bCs/>
          <w:iCs/>
          <w:lang w:val="en-US"/>
        </w:rPr>
        <w:fldChar w:fldCharType="begin">
          <w:fldData xml:space="preserve">PEVuZE5vdGU+PENpdGU+PEF1dGhvcj5DaGVzb248L0F1dGhvcj48WWVhcj4yMDE0PC9ZZWFyPjxS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</w:fldData>
        </w:fldChar>
      </w:r>
      <w:r>
        <w:rPr>
          <w:rFonts w:asciiTheme="minorHAnsi" w:eastAsia="Calibri" w:hAnsiTheme="minorHAnsi" w:cstheme="minorHAnsi"/>
          <w:bCs/>
          <w:iCs/>
          <w:lang w:val="en-US"/>
        </w:rPr>
        <w:instrText xml:space="preserve"> ADDIN EN.CITE </w:instrText>
      </w:r>
      <w:r>
        <w:rPr>
          <w:rFonts w:asciiTheme="minorHAnsi" w:eastAsia="Calibri" w:hAnsiTheme="minorHAnsi" w:cstheme="minorHAnsi"/>
          <w:bCs/>
          <w:iCs/>
          <w:lang w:val="en-US"/>
        </w:rPr>
        <w:fldChar w:fldCharType="begin">
          <w:fldData xml:space="preserve">PEVuZE5vdGU+PENpdGU+PEF1dGhvcj5DaGVzb248L0F1dGhvcj48WWVhcj4yMDE0PC9ZZWFyPjxS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</w:fldData>
        </w:fldChar>
      </w:r>
      <w:r>
        <w:rPr>
          <w:rFonts w:asciiTheme="minorHAnsi" w:eastAsia="Calibri" w:hAnsiTheme="minorHAnsi" w:cstheme="minorHAnsi"/>
          <w:bCs/>
          <w:iCs/>
          <w:lang w:val="en-US"/>
        </w:rPr>
        <w:instrText xml:space="preserve"> ADDIN EN.CITE.DATA </w:instrText>
      </w:r>
      <w:r>
        <w:rPr>
          <w:rFonts w:asciiTheme="minorHAnsi" w:eastAsia="Calibri" w:hAnsiTheme="minorHAnsi" w:cstheme="minorHAnsi"/>
          <w:bCs/>
          <w:iCs/>
          <w:lang w:val="en-US"/>
        </w:rPr>
      </w:r>
      <w:r>
        <w:rPr>
          <w:rFonts w:asciiTheme="minorHAnsi" w:eastAsia="Calibri" w:hAnsiTheme="minorHAnsi" w:cstheme="minorHAnsi"/>
          <w:bCs/>
          <w:iCs/>
          <w:lang w:val="en-US"/>
        </w:rPr>
        <w:fldChar w:fldCharType="end"/>
      </w:r>
      <w:r>
        <w:rPr>
          <w:rFonts w:asciiTheme="minorHAnsi" w:eastAsia="Calibri" w:hAnsiTheme="minorHAnsi" w:cstheme="minorHAnsi"/>
          <w:bCs/>
          <w:iCs/>
          <w:lang w:val="en-US"/>
        </w:rPr>
      </w:r>
      <w:r>
        <w:rPr>
          <w:rFonts w:asciiTheme="minorHAnsi" w:eastAsia="Calibri" w:hAnsiTheme="minorHAnsi" w:cstheme="minorHAnsi"/>
          <w:bCs/>
          <w:iCs/>
          <w:lang w:val="en-US"/>
        </w:rPr>
        <w:fldChar w:fldCharType="separate"/>
      </w:r>
      <w:r w:rsidR="00657BDB">
        <w:rPr>
          <w:rFonts w:asciiTheme="minorHAnsi" w:eastAsia="Calibri" w:hAnsiTheme="minorHAnsi" w:cstheme="minorHAnsi"/>
          <w:bCs/>
          <w:iCs/>
          <w:noProof/>
          <w:vertAlign w:val="superscript"/>
          <w:lang w:val="en-US"/>
        </w:rPr>
        <w:t>1</w:t>
      </w:r>
      <w:r>
        <w:rPr>
          <w:rFonts w:asciiTheme="minorHAnsi" w:eastAsia="Calibri" w:hAnsiTheme="minorHAnsi" w:cstheme="minorHAnsi"/>
          <w:bCs/>
          <w:iCs/>
          <w:lang w:val="en-US"/>
        </w:rPr>
        <w:fldChar w:fldCharType="end"/>
      </w:r>
      <w:r>
        <w:rPr>
          <w:rFonts w:asciiTheme="minorHAnsi" w:eastAsia="Calibri" w:hAnsiTheme="minorHAnsi" w:cstheme="minorHAnsi"/>
          <w:bCs/>
          <w:iCs/>
          <w:lang w:val="en-US"/>
        </w:rPr>
        <w:t xml:space="preserve"> CBR was defined as CR plus PR plus stable disease (SD). A minimax 2-stage design methodology was used, and the proportion of treatment successes (ORR) required </w:t>
      </w:r>
      <w:proofErr w:type="gramStart"/>
      <w:r>
        <w:rPr>
          <w:rFonts w:asciiTheme="minorHAnsi" w:eastAsia="Calibri" w:hAnsiTheme="minorHAnsi" w:cstheme="minorHAnsi"/>
          <w:bCs/>
          <w:iCs/>
          <w:lang w:val="en-US"/>
        </w:rPr>
        <w:t>to warrant</w:t>
      </w:r>
      <w:proofErr w:type="gramEnd"/>
      <w:r>
        <w:rPr>
          <w:rFonts w:asciiTheme="minorHAnsi" w:eastAsia="Calibri" w:hAnsiTheme="minorHAnsi" w:cstheme="minorHAnsi"/>
          <w:bCs/>
          <w:iCs/>
          <w:lang w:val="en-US"/>
        </w:rPr>
        <w:t xml:space="preserve"> further investigation in patients with HL was set as 30% with 80% power, and a 1-sided 5% Type I error rate for each HL cohort.</w:t>
      </w:r>
    </w:p>
    <w:p w14:paraId="39A185C4" w14:textId="77777777" w:rsidR="00FF68F4" w:rsidRDefault="00FF68F4" w:rsidP="00FF68F4">
      <w:pPr>
        <w:spacing w:line="480" w:lineRule="auto"/>
        <w:outlineLvl w:val="1"/>
        <w:rPr>
          <w:rFonts w:asciiTheme="minorHAnsi" w:eastAsia="Calibri" w:hAnsiTheme="minorHAnsi" w:cstheme="minorHAnsi"/>
          <w:bCs/>
          <w:iCs/>
          <w:lang w:val="en-US"/>
        </w:rPr>
      </w:pPr>
    </w:p>
    <w:p w14:paraId="049585DA" w14:textId="77777777" w:rsidR="00FF68F4" w:rsidRDefault="00FF68F4" w:rsidP="00FF68F4">
      <w:pPr>
        <w:spacing w:line="480" w:lineRule="auto"/>
        <w:outlineLvl w:val="1"/>
        <w:rPr>
          <w:rFonts w:asciiTheme="minorHAnsi" w:eastAsia="Calibri" w:hAnsiTheme="minorHAnsi" w:cstheme="minorHAnsi"/>
          <w:bCs/>
          <w:iCs/>
          <w:lang w:val="en-US"/>
        </w:rPr>
      </w:pPr>
      <w:r>
        <w:rPr>
          <w:rFonts w:asciiTheme="minorHAnsi" w:eastAsia="Calibri" w:hAnsiTheme="minorHAnsi" w:cstheme="minorHAnsi"/>
          <w:bCs/>
          <w:iCs/>
          <w:lang w:val="en-US"/>
        </w:rPr>
        <w:t>PFS was defined as the number of days between the date of the first dose of treatment and the first date of disease progression or death. OS was defined as the number of days between the date of the first dose of treatment and the date of death.</w:t>
      </w:r>
    </w:p>
    <w:p w14:paraId="773CA0E8" w14:textId="77777777" w:rsidR="00FF68F4" w:rsidRDefault="00FF68F4" w:rsidP="00FF68F4">
      <w:pPr>
        <w:spacing w:line="480" w:lineRule="auto"/>
        <w:rPr>
          <w:rFonts w:asciiTheme="minorHAnsi" w:hAnsiTheme="minorHAnsi" w:cstheme="minorHAnsi"/>
          <w:lang w:val="en-US"/>
        </w:rPr>
      </w:pPr>
    </w:p>
    <w:p w14:paraId="6BF5E4A2" w14:textId="77777777" w:rsidR="00FF68F4" w:rsidRPr="00D87A2C" w:rsidRDefault="00FF68F4" w:rsidP="00FF68F4">
      <w:pPr>
        <w:spacing w:line="480" w:lineRule="auto"/>
        <w:rPr>
          <w:rFonts w:asciiTheme="minorHAnsi" w:hAnsiTheme="minorHAnsi" w:cstheme="minorHAnsi"/>
          <w:b/>
          <w:bCs/>
          <w:sz w:val="28"/>
          <w:szCs w:val="28"/>
        </w:rPr>
      </w:pPr>
      <w:r w:rsidRPr="00D87A2C">
        <w:rPr>
          <w:rFonts w:asciiTheme="minorHAnsi" w:hAnsiTheme="minorHAnsi" w:cstheme="minorHAnsi"/>
          <w:b/>
          <w:bCs/>
          <w:sz w:val="28"/>
          <w:szCs w:val="28"/>
        </w:rPr>
        <w:t>Cardiac safety assessment</w:t>
      </w:r>
    </w:p>
    <w:p w14:paraId="5350FA89" w14:textId="77777777" w:rsidR="00FF68F4" w:rsidRDefault="00FF68F4" w:rsidP="00FF68F4">
      <w:pPr>
        <w:spacing w:line="480" w:lineRule="auto"/>
        <w:rPr>
          <w:rFonts w:asciiTheme="minorHAnsi" w:hAnsiTheme="minorHAnsi" w:cstheme="minorHAnsi"/>
          <w:lang w:val="en-US"/>
        </w:rPr>
      </w:pPr>
      <w:r>
        <w:rPr>
          <w:rFonts w:asciiTheme="minorHAnsi" w:hAnsiTheme="minorHAnsi" w:cstheme="minorHAnsi"/>
          <w:lang w:val="en-US"/>
        </w:rPr>
        <w:t>A c</w:t>
      </w:r>
      <w:r w:rsidRPr="00945D6E">
        <w:rPr>
          <w:rFonts w:asciiTheme="minorHAnsi" w:hAnsiTheme="minorHAnsi" w:cstheme="minorHAnsi"/>
          <w:lang w:val="en-US"/>
        </w:rPr>
        <w:t xml:space="preserve">ardiac safety analysis performed on all patients enrolled to </w:t>
      </w:r>
      <w:r>
        <w:rPr>
          <w:rFonts w:asciiTheme="minorHAnsi" w:hAnsiTheme="minorHAnsi" w:cstheme="minorHAnsi"/>
          <w:lang w:val="en-US"/>
        </w:rPr>
        <w:t>t</w:t>
      </w:r>
      <w:r w:rsidRPr="00945D6E">
        <w:rPr>
          <w:rFonts w:asciiTheme="minorHAnsi" w:hAnsiTheme="minorHAnsi" w:cstheme="minorHAnsi"/>
          <w:lang w:val="en-US"/>
        </w:rPr>
        <w:t>inostamustine clinical trials confirmed the relationship between tinostamustine plasma levels and QTcF prolongation. This effect rapidly w</w:t>
      </w:r>
      <w:r>
        <w:rPr>
          <w:rFonts w:asciiTheme="minorHAnsi" w:hAnsiTheme="minorHAnsi" w:cstheme="minorHAnsi"/>
          <w:lang w:val="en-US"/>
        </w:rPr>
        <w:t>aned</w:t>
      </w:r>
      <w:r w:rsidRPr="00945D6E">
        <w:rPr>
          <w:rFonts w:asciiTheme="minorHAnsi" w:hAnsiTheme="minorHAnsi" w:cstheme="minorHAnsi"/>
          <w:lang w:val="en-US"/>
        </w:rPr>
        <w:t xml:space="preserve"> after </w:t>
      </w:r>
      <w:r>
        <w:rPr>
          <w:rFonts w:asciiTheme="minorHAnsi" w:hAnsiTheme="minorHAnsi" w:cstheme="minorHAnsi"/>
          <w:lang w:val="en-US"/>
        </w:rPr>
        <w:t xml:space="preserve">the </w:t>
      </w:r>
      <w:r w:rsidRPr="00945D6E">
        <w:rPr>
          <w:rFonts w:asciiTheme="minorHAnsi" w:hAnsiTheme="minorHAnsi" w:cstheme="minorHAnsi"/>
          <w:lang w:val="en-US"/>
        </w:rPr>
        <w:t xml:space="preserve">end of </w:t>
      </w:r>
      <w:r>
        <w:rPr>
          <w:rFonts w:asciiTheme="minorHAnsi" w:hAnsiTheme="minorHAnsi" w:cstheme="minorHAnsi"/>
          <w:lang w:val="en-US"/>
        </w:rPr>
        <w:t xml:space="preserve">the </w:t>
      </w:r>
      <w:r w:rsidRPr="00945D6E">
        <w:rPr>
          <w:rFonts w:asciiTheme="minorHAnsi" w:hAnsiTheme="minorHAnsi" w:cstheme="minorHAnsi"/>
          <w:lang w:val="en-US"/>
        </w:rPr>
        <w:t>infusion. Tinostamustine doses of up to 100</w:t>
      </w:r>
      <w:r>
        <w:rPr>
          <w:rFonts w:asciiTheme="minorHAnsi" w:hAnsiTheme="minorHAnsi" w:cstheme="minorHAnsi"/>
          <w:lang w:val="en-US"/>
        </w:rPr>
        <w:t> </w:t>
      </w:r>
      <w:r w:rsidRPr="00945D6E">
        <w:rPr>
          <w:rFonts w:asciiTheme="minorHAnsi" w:hAnsiTheme="minorHAnsi" w:cstheme="minorHAnsi"/>
          <w:lang w:val="en-US"/>
        </w:rPr>
        <w:t>mg/m</w:t>
      </w:r>
      <w:r w:rsidRPr="0006231D">
        <w:rPr>
          <w:rFonts w:asciiTheme="minorHAnsi" w:hAnsiTheme="minorHAnsi" w:cstheme="minorHAnsi"/>
          <w:vertAlign w:val="superscript"/>
          <w:lang w:val="en-US"/>
        </w:rPr>
        <w:t>2</w:t>
      </w:r>
      <w:r w:rsidRPr="00945D6E">
        <w:rPr>
          <w:rFonts w:asciiTheme="minorHAnsi" w:hAnsiTheme="minorHAnsi" w:cstheme="minorHAnsi"/>
          <w:lang w:val="en-US"/>
        </w:rPr>
        <w:t xml:space="preserve"> administered over 60 minutes with appropriate mitigation measures </w:t>
      </w:r>
      <w:r>
        <w:rPr>
          <w:rFonts w:asciiTheme="minorHAnsi" w:hAnsiTheme="minorHAnsi" w:cstheme="minorHAnsi"/>
          <w:lang w:val="en-US"/>
        </w:rPr>
        <w:t>we</w:t>
      </w:r>
      <w:r w:rsidRPr="00945D6E">
        <w:rPr>
          <w:rFonts w:asciiTheme="minorHAnsi" w:hAnsiTheme="minorHAnsi" w:cstheme="minorHAnsi"/>
          <w:lang w:val="en-US"/>
        </w:rPr>
        <w:t>re</w:t>
      </w:r>
      <w:r>
        <w:rPr>
          <w:rFonts w:asciiTheme="minorHAnsi" w:hAnsiTheme="minorHAnsi" w:cstheme="minorHAnsi"/>
          <w:lang w:val="en-US"/>
        </w:rPr>
        <w:t xml:space="preserve"> subsequently</w:t>
      </w:r>
      <w:r w:rsidRPr="00945D6E">
        <w:rPr>
          <w:rFonts w:asciiTheme="minorHAnsi" w:hAnsiTheme="minorHAnsi" w:cstheme="minorHAnsi"/>
          <w:lang w:val="en-US"/>
        </w:rPr>
        <w:t xml:space="preserve"> allowed. </w:t>
      </w:r>
      <w:r>
        <w:rPr>
          <w:rFonts w:asciiTheme="minorHAnsi" w:hAnsiTheme="minorHAnsi" w:cstheme="minorHAnsi"/>
          <w:lang w:val="en-US"/>
        </w:rPr>
        <w:t xml:space="preserve">Mitigation measures </w:t>
      </w:r>
      <w:r w:rsidRPr="00945D6E">
        <w:rPr>
          <w:rFonts w:asciiTheme="minorHAnsi" w:hAnsiTheme="minorHAnsi" w:cstheme="minorHAnsi"/>
          <w:lang w:val="en-US"/>
        </w:rPr>
        <w:t xml:space="preserve">include patient selection </w:t>
      </w:r>
      <w:r>
        <w:rPr>
          <w:rFonts w:asciiTheme="minorHAnsi" w:hAnsiTheme="minorHAnsi" w:cstheme="minorHAnsi"/>
          <w:lang w:val="en-US"/>
        </w:rPr>
        <w:t>(</w:t>
      </w:r>
      <w:r w:rsidRPr="00945D6E">
        <w:rPr>
          <w:rFonts w:asciiTheme="minorHAnsi" w:hAnsiTheme="minorHAnsi" w:cstheme="minorHAnsi"/>
          <w:lang w:val="en-US"/>
        </w:rPr>
        <w:t>avoiding patients with pre-existing QTc prolongation or who use other QT prolonging medications</w:t>
      </w:r>
      <w:r>
        <w:rPr>
          <w:rFonts w:asciiTheme="minorHAnsi" w:hAnsiTheme="minorHAnsi" w:cstheme="minorHAnsi"/>
          <w:lang w:val="en-US"/>
        </w:rPr>
        <w:t>)</w:t>
      </w:r>
      <w:r w:rsidRPr="00945D6E">
        <w:rPr>
          <w:rFonts w:asciiTheme="minorHAnsi" w:hAnsiTheme="minorHAnsi" w:cstheme="minorHAnsi"/>
          <w:lang w:val="en-US"/>
        </w:rPr>
        <w:t>, electrolyte monitoring</w:t>
      </w:r>
      <w:r>
        <w:rPr>
          <w:rFonts w:asciiTheme="minorHAnsi" w:hAnsiTheme="minorHAnsi" w:cstheme="minorHAnsi"/>
          <w:lang w:val="en-US"/>
        </w:rPr>
        <w:t>,</w:t>
      </w:r>
      <w:r w:rsidRPr="00945D6E">
        <w:rPr>
          <w:rFonts w:asciiTheme="minorHAnsi" w:hAnsiTheme="minorHAnsi" w:cstheme="minorHAnsi"/>
          <w:lang w:val="en-US"/>
        </w:rPr>
        <w:t xml:space="preserve"> and ECG prior to each dose. Following dosing, patients should remain in the infusion clinic for several hours to allow QTc prolongation to resolve to baseline values.</w:t>
      </w:r>
    </w:p>
    <w:p w14:paraId="64A831F5" w14:textId="77777777" w:rsidR="00FF68F4" w:rsidRDefault="00FF68F4" w:rsidP="00FF68F4">
      <w:pPr>
        <w:spacing w:line="480" w:lineRule="auto"/>
        <w:rPr>
          <w:rFonts w:asciiTheme="minorHAnsi" w:hAnsiTheme="minorHAnsi" w:cstheme="minorHAnsi"/>
        </w:rPr>
      </w:pPr>
    </w:p>
    <w:p w14:paraId="218F0A19" w14:textId="7E4F658F" w:rsidR="00657BDB" w:rsidRDefault="00657BDB" w:rsidP="00FF68F4">
      <w:pPr>
        <w:spacing w:line="480" w:lineRule="auto"/>
        <w:rPr>
          <w:rFonts w:asciiTheme="minorHAnsi" w:hAnsiTheme="minorHAnsi" w:cstheme="minorHAnsi"/>
        </w:rPr>
      </w:pPr>
      <w:r>
        <w:rPr>
          <w:rFonts w:asciiTheme="minorHAnsi" w:hAnsiTheme="minorHAnsi" w:cstheme="minorHAnsi"/>
        </w:rPr>
        <w:t>Reference</w:t>
      </w:r>
    </w:p>
    <w:p w14:paraId="35EFE270" w14:textId="4369A720" w:rsidR="00657BDB" w:rsidRPr="00657BDB" w:rsidRDefault="00657BDB" w:rsidP="00657BDB">
      <w:pPr>
        <w:pStyle w:val="ListParagraph"/>
        <w:numPr>
          <w:ilvl w:val="0"/>
          <w:numId w:val="1"/>
        </w:numPr>
        <w:spacing w:line="480" w:lineRule="auto"/>
        <w:rPr>
          <w:rFonts w:asciiTheme="minorHAnsi" w:hAnsiTheme="minorHAnsi" w:cstheme="minorHAnsi"/>
        </w:rPr>
      </w:pPr>
      <w:r>
        <w:rPr>
          <w:noProof/>
        </w:rPr>
        <w:t>Cheson BD, Fisher RI, Barrington SF, et al. Recommendations for initial evaluation, staging, and response assessment of Hodgkin and non-Hodgkin lymphoma: the Lugano classification</w:t>
      </w:r>
      <w:r w:rsidRPr="00657BDB">
        <w:rPr>
          <w:i/>
          <w:noProof/>
        </w:rPr>
        <w:t>.</w:t>
      </w:r>
      <w:r>
        <w:rPr>
          <w:noProof/>
        </w:rPr>
        <w:t xml:space="preserve"> </w:t>
      </w:r>
      <w:bookmarkStart w:id="0" w:name="_GoBack"/>
      <w:bookmarkEnd w:id="0"/>
      <w:r w:rsidRPr="00657BDB">
        <w:rPr>
          <w:i/>
          <w:noProof/>
        </w:rPr>
        <w:t>J Clin Oncol</w:t>
      </w:r>
      <w:r>
        <w:rPr>
          <w:noProof/>
        </w:rPr>
        <w:t>. 2014;32(27):3059-3068.</w:t>
      </w:r>
    </w:p>
    <w:p w14:paraId="78EAC045" w14:textId="77777777" w:rsidR="00DF0E30" w:rsidRDefault="00DF0E30"/>
    <w:sectPr w:rsidR="00DF0E30" w:rsidSect="00FF68F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FDF7065"/>
    <w:multiLevelType w:val="hybridMultilevel"/>
    <w:tmpl w:val="E16EF1F8"/>
    <w:lvl w:ilvl="0" w:tplc="0409000F">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68F4"/>
    <w:rsid w:val="002D4DE4"/>
    <w:rsid w:val="004F3518"/>
    <w:rsid w:val="00657BDB"/>
    <w:rsid w:val="008A5B68"/>
    <w:rsid w:val="00B70E60"/>
    <w:rsid w:val="00B818D6"/>
    <w:rsid w:val="00C078CD"/>
    <w:rsid w:val="00C33BFA"/>
    <w:rsid w:val="00DF0E30"/>
    <w:rsid w:val="00FF68F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94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68F4"/>
    <w:pPr>
      <w:spacing w:after="0" w:line="240" w:lineRule="auto"/>
    </w:pPr>
    <w:rPr>
      <w:rFonts w:ascii="Times New Roman" w:eastAsia="Times New Roman" w:hAnsi="Times New Roman" w:cs="Times New Roman"/>
      <w:sz w:val="24"/>
      <w:szCs w:val="24"/>
      <w:lang w:eastAsia="en-GB"/>
      <w14:ligatures w14:val="none"/>
    </w:rPr>
  </w:style>
  <w:style w:type="paragraph" w:styleId="Heading1">
    <w:name w:val="heading 1"/>
    <w:basedOn w:val="Normal"/>
    <w:next w:val="Normal"/>
    <w:link w:val="Heading1Char"/>
    <w:uiPriority w:val="9"/>
    <w:qFormat/>
    <w:rsid w:val="00FF68F4"/>
    <w:pPr>
      <w:keepNext/>
      <w:keepLines/>
      <w:spacing w:before="240" w:line="480" w:lineRule="auto"/>
      <w:outlineLvl w:val="0"/>
    </w:pPr>
    <w:rPr>
      <w:rFonts w:asciiTheme="minorHAnsi" w:hAnsiTheme="minorHAnsi" w:cstheme="minorHAnsi"/>
      <w:b/>
      <w:color w:val="000000"/>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68F4"/>
    <w:rPr>
      <w:rFonts w:eastAsia="Times New Roman" w:cstheme="minorHAnsi"/>
      <w:b/>
      <w:color w:val="000000"/>
      <w:sz w:val="32"/>
      <w:szCs w:val="32"/>
      <w:lang w:val="en-US" w:eastAsia="en-GB"/>
      <w14:ligatures w14:val="none"/>
    </w:rPr>
  </w:style>
  <w:style w:type="paragraph" w:styleId="ListParagraph">
    <w:name w:val="List Paragraph"/>
    <w:basedOn w:val="Normal"/>
    <w:uiPriority w:val="34"/>
    <w:qFormat/>
    <w:rsid w:val="00657BD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68F4"/>
    <w:pPr>
      <w:spacing w:after="0" w:line="240" w:lineRule="auto"/>
    </w:pPr>
    <w:rPr>
      <w:rFonts w:ascii="Times New Roman" w:eastAsia="Times New Roman" w:hAnsi="Times New Roman" w:cs="Times New Roman"/>
      <w:sz w:val="24"/>
      <w:szCs w:val="24"/>
      <w:lang w:eastAsia="en-GB"/>
      <w14:ligatures w14:val="none"/>
    </w:rPr>
  </w:style>
  <w:style w:type="paragraph" w:styleId="Heading1">
    <w:name w:val="heading 1"/>
    <w:basedOn w:val="Normal"/>
    <w:next w:val="Normal"/>
    <w:link w:val="Heading1Char"/>
    <w:uiPriority w:val="9"/>
    <w:qFormat/>
    <w:rsid w:val="00FF68F4"/>
    <w:pPr>
      <w:keepNext/>
      <w:keepLines/>
      <w:spacing w:before="240" w:line="480" w:lineRule="auto"/>
      <w:outlineLvl w:val="0"/>
    </w:pPr>
    <w:rPr>
      <w:rFonts w:asciiTheme="minorHAnsi" w:hAnsiTheme="minorHAnsi" w:cstheme="minorHAnsi"/>
      <w:b/>
      <w:color w:val="000000"/>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68F4"/>
    <w:rPr>
      <w:rFonts w:eastAsia="Times New Roman" w:cstheme="minorHAnsi"/>
      <w:b/>
      <w:color w:val="000000"/>
      <w:sz w:val="32"/>
      <w:szCs w:val="32"/>
      <w:lang w:val="en-US" w:eastAsia="en-GB"/>
      <w14:ligatures w14:val="none"/>
    </w:rPr>
  </w:style>
  <w:style w:type="paragraph" w:styleId="ListParagraph">
    <w:name w:val="List Paragraph"/>
    <w:basedOn w:val="Normal"/>
    <w:uiPriority w:val="34"/>
    <w:qFormat/>
    <w:rsid w:val="00657B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54b84d4-c5e5-4456-a430-1054d5bac243" xsi:nil="true"/>
    <lcf76f155ced4ddcb4097134ff3c332f xmlns="b2f837e0-b685-4d04-9904-4a685e0046d2">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B91D40E5872694396E6A233F59B3CF9" ma:contentTypeVersion="13" ma:contentTypeDescription="Create a new document." ma:contentTypeScope="" ma:versionID="182e02fb8abf44dfdcad5cd512d4e42f">
  <xsd:schema xmlns:xsd="http://www.w3.org/2001/XMLSchema" xmlns:xs="http://www.w3.org/2001/XMLSchema" xmlns:p="http://schemas.microsoft.com/office/2006/metadata/properties" xmlns:ns2="b2f837e0-b685-4d04-9904-4a685e0046d2" xmlns:ns3="b54b84d4-c5e5-4456-a430-1054d5bac243" targetNamespace="http://schemas.microsoft.com/office/2006/metadata/properties" ma:root="true" ma:fieldsID="aa4eb854bd17efa8ae3f5d9180484048" ns2:_="" ns3:_="">
    <xsd:import namespace="b2f837e0-b685-4d04-9904-4a685e0046d2"/>
    <xsd:import namespace="b54b84d4-c5e5-4456-a430-1054d5bac24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MediaServiceLocation" minOccurs="0"/>
                <xsd:element ref="ns2:lcf76f155ced4ddcb4097134ff3c332f" minOccurs="0"/>
                <xsd:element ref="ns3:TaxCatchAll"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f837e0-b685-4d04-9904-4a685e0046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fafcaaa8-e7a8-44c2-933f-ce44cd872c25"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54b84d4-c5e5-4456-a430-1054d5bac24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c877bb1-3586-425e-8850-0f147b7869d6}" ma:internalName="TaxCatchAll" ma:showField="CatchAllData" ma:web="b54b84d4-c5e5-4456-a430-1054d5bac24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99DAC68-5B99-4440-ABF6-F65ABAC9D7D8}">
  <ds:schemaRefs>
    <ds:schemaRef ds:uri="http://schemas.microsoft.com/office/2006/metadata/properties"/>
    <ds:schemaRef ds:uri="http://schemas.microsoft.com/office/infopath/2007/PartnerControls"/>
    <ds:schemaRef ds:uri="b54b84d4-c5e5-4456-a430-1054d5bac243"/>
    <ds:schemaRef ds:uri="b2f837e0-b685-4d04-9904-4a685e0046d2"/>
  </ds:schemaRefs>
</ds:datastoreItem>
</file>

<file path=customXml/itemProps2.xml><?xml version="1.0" encoding="utf-8"?>
<ds:datastoreItem xmlns:ds="http://schemas.openxmlformats.org/officeDocument/2006/customXml" ds:itemID="{C9C9C1A4-97BF-4B34-B78D-F544862F467C}">
  <ds:schemaRefs>
    <ds:schemaRef ds:uri="http://schemas.microsoft.com/sharepoint/v3/contenttype/forms"/>
  </ds:schemaRefs>
</ds:datastoreItem>
</file>

<file path=customXml/itemProps3.xml><?xml version="1.0" encoding="utf-8"?>
<ds:datastoreItem xmlns:ds="http://schemas.openxmlformats.org/officeDocument/2006/customXml" ds:itemID="{D5490171-294C-4984-B752-1684138D2A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f837e0-b685-4d04-9904-4a685e0046d2"/>
    <ds:schemaRef ds:uri="b54b84d4-c5e5-4456-a430-1054d5bac2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725</Words>
  <Characters>4134</Characters>
  <Application>Microsoft Office Word</Application>
  <DocSecurity>0</DocSecurity>
  <Lines>34</Lines>
  <Paragraphs>9</Paragraphs>
  <ScaleCrop>false</ScaleCrop>
  <Company/>
  <LinksUpToDate>false</LinksUpToDate>
  <CharactersWithSpaces>4850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Gough, Gina</dc:creator>
  <cp:keywords/>
  <dc:description/>
  <cp:lastModifiedBy>SWAMINATHAN N</cp:lastModifiedBy>
  <cp:revision>2</cp:revision>
  <dcterms:created xsi:type="dcterms:W3CDTF">2024-10-15T09:17:00Z</dcterms:created>
  <dcterms:modified xsi:type="dcterms:W3CDTF">2024-11-18T09:56:00Z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0x0101007B91D40E5872694396E6A233F59B3CF9</vt:lpwstr>
  </property>
</Properties>
</file>