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456B" w:rsidRPr="000F7880" w:rsidRDefault="005B456B" w:rsidP="005B456B">
      <w:pPr>
        <w:spacing w:before="120" w:after="120" w:line="240" w:lineRule="auto"/>
        <w:rPr>
          <w:rFonts w:eastAsia="Times New Roman" w:cs="Times New Roman"/>
          <w:b/>
          <w:caps/>
          <w:sz w:val="24"/>
          <w:szCs w:val="24"/>
          <w:lang w:val="en-US" w:eastAsia="it-IT"/>
        </w:rPr>
      </w:pPr>
      <w:r w:rsidRPr="000F7880">
        <w:rPr>
          <w:rFonts w:eastAsia="Times New Roman" w:cs="Times New Roman"/>
          <w:b/>
          <w:caps/>
          <w:sz w:val="24"/>
          <w:szCs w:val="24"/>
          <w:lang w:val="en-US" w:eastAsia="it-IT"/>
        </w:rPr>
        <w:t xml:space="preserve">Supplementary Materials 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09"/>
        <w:gridCol w:w="7969"/>
      </w:tblGrid>
      <w:tr w:rsidR="005B456B" w:rsidRPr="00A42EEE" w:rsidTr="00640EB3">
        <w:tc>
          <w:tcPr>
            <w:tcW w:w="1809" w:type="dxa"/>
          </w:tcPr>
          <w:p w:rsidR="005B456B" w:rsidRPr="008F61C2" w:rsidRDefault="005B456B" w:rsidP="00640EB3">
            <w:pPr>
              <w:spacing w:before="120" w:after="120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Legends to Figures</w:t>
            </w:r>
            <w:r w:rsidRPr="008F61C2">
              <w:rPr>
                <w:sz w:val="24"/>
                <w:szCs w:val="24"/>
                <w:lang w:val="en-US"/>
              </w:rPr>
              <w:t xml:space="preserve">  </w:t>
            </w:r>
          </w:p>
        </w:tc>
        <w:tc>
          <w:tcPr>
            <w:tcW w:w="7969" w:type="dxa"/>
          </w:tcPr>
          <w:p w:rsidR="005B456B" w:rsidRPr="008F61C2" w:rsidRDefault="005B456B" w:rsidP="00640EB3">
            <w:pPr>
              <w:spacing w:before="120" w:after="120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Legends to Figures 1 to 4</w:t>
            </w:r>
          </w:p>
        </w:tc>
      </w:tr>
      <w:tr w:rsidR="005B456B" w:rsidRPr="00A42EEE" w:rsidTr="00640EB3">
        <w:tc>
          <w:tcPr>
            <w:tcW w:w="1809" w:type="dxa"/>
          </w:tcPr>
          <w:p w:rsidR="005B456B" w:rsidRPr="00A42EEE" w:rsidRDefault="005B456B" w:rsidP="00640EB3">
            <w:pPr>
              <w:spacing w:before="120" w:after="120"/>
              <w:rPr>
                <w:sz w:val="16"/>
                <w:szCs w:val="16"/>
                <w:lang w:val="en-US"/>
              </w:rPr>
            </w:pPr>
          </w:p>
        </w:tc>
        <w:tc>
          <w:tcPr>
            <w:tcW w:w="7969" w:type="dxa"/>
          </w:tcPr>
          <w:p w:rsidR="005B456B" w:rsidRPr="00A42EEE" w:rsidRDefault="005B456B" w:rsidP="00640EB3">
            <w:pPr>
              <w:spacing w:before="120" w:after="120"/>
              <w:rPr>
                <w:sz w:val="16"/>
                <w:szCs w:val="16"/>
                <w:lang w:val="en-US"/>
              </w:rPr>
            </w:pPr>
          </w:p>
        </w:tc>
      </w:tr>
      <w:tr w:rsidR="005B456B" w:rsidRPr="005B456B" w:rsidTr="00640EB3">
        <w:tc>
          <w:tcPr>
            <w:tcW w:w="1809" w:type="dxa"/>
          </w:tcPr>
          <w:p w:rsidR="005B456B" w:rsidRPr="008F61C2" w:rsidRDefault="005B456B" w:rsidP="00640EB3">
            <w:pPr>
              <w:spacing w:before="120" w:after="120"/>
              <w:rPr>
                <w:sz w:val="24"/>
                <w:szCs w:val="24"/>
                <w:lang w:val="en-US"/>
              </w:rPr>
            </w:pPr>
            <w:r w:rsidRPr="008F61C2">
              <w:rPr>
                <w:sz w:val="24"/>
                <w:szCs w:val="24"/>
                <w:lang w:val="en-US"/>
              </w:rPr>
              <w:t xml:space="preserve">Supplementary Figure 1.  </w:t>
            </w:r>
          </w:p>
        </w:tc>
        <w:tc>
          <w:tcPr>
            <w:tcW w:w="7969" w:type="dxa"/>
          </w:tcPr>
          <w:p w:rsidR="005B456B" w:rsidRPr="008F61C2" w:rsidRDefault="005B456B" w:rsidP="00640EB3">
            <w:pPr>
              <w:spacing w:before="120" w:after="120"/>
              <w:rPr>
                <w:sz w:val="24"/>
                <w:szCs w:val="24"/>
                <w:lang w:val="en-US"/>
              </w:rPr>
            </w:pPr>
            <w:r w:rsidRPr="008F61C2">
              <w:rPr>
                <w:sz w:val="24"/>
                <w:szCs w:val="24"/>
                <w:lang w:val="en-US"/>
              </w:rPr>
              <w:t>Classification of phases of human HCC by PAM analysis</w:t>
            </w:r>
          </w:p>
        </w:tc>
      </w:tr>
      <w:tr w:rsidR="005B456B" w:rsidRPr="005B456B" w:rsidTr="00640EB3">
        <w:tc>
          <w:tcPr>
            <w:tcW w:w="1809" w:type="dxa"/>
          </w:tcPr>
          <w:p w:rsidR="005B456B" w:rsidRPr="008F61C2" w:rsidRDefault="005B456B" w:rsidP="00640EB3">
            <w:pPr>
              <w:spacing w:before="120" w:after="120"/>
              <w:rPr>
                <w:sz w:val="24"/>
                <w:szCs w:val="24"/>
                <w:lang w:val="en-US"/>
              </w:rPr>
            </w:pPr>
            <w:r w:rsidRPr="008F61C2">
              <w:rPr>
                <w:sz w:val="24"/>
                <w:szCs w:val="24"/>
                <w:lang w:val="en-US"/>
              </w:rPr>
              <w:t xml:space="preserve">Supplementary Figure 2.  </w:t>
            </w:r>
          </w:p>
        </w:tc>
        <w:tc>
          <w:tcPr>
            <w:tcW w:w="7969" w:type="dxa"/>
          </w:tcPr>
          <w:p w:rsidR="005B456B" w:rsidRPr="008F61C2" w:rsidRDefault="005B456B" w:rsidP="00640EB3">
            <w:pPr>
              <w:spacing w:before="120" w:after="120"/>
              <w:rPr>
                <w:sz w:val="24"/>
                <w:szCs w:val="24"/>
                <w:lang w:val="en-US"/>
              </w:rPr>
            </w:pPr>
            <w:r w:rsidRPr="008F61C2">
              <w:rPr>
                <w:sz w:val="24"/>
                <w:szCs w:val="24"/>
                <w:lang w:val="en-US"/>
              </w:rPr>
              <w:t>PCA diagrams based on miRNA signatures reported in Supplementary Tables 2 to 7</w:t>
            </w:r>
          </w:p>
        </w:tc>
      </w:tr>
      <w:tr w:rsidR="005B456B" w:rsidRPr="005B456B" w:rsidTr="00640EB3">
        <w:tc>
          <w:tcPr>
            <w:tcW w:w="1809" w:type="dxa"/>
          </w:tcPr>
          <w:p w:rsidR="005B456B" w:rsidRPr="008F61C2" w:rsidRDefault="005B456B" w:rsidP="00640EB3">
            <w:pPr>
              <w:spacing w:before="120" w:after="120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Supplementary Figure 3</w:t>
            </w:r>
            <w:r w:rsidRPr="008F61C2">
              <w:rPr>
                <w:sz w:val="24"/>
                <w:szCs w:val="24"/>
                <w:lang w:val="en-US"/>
              </w:rPr>
              <w:t xml:space="preserve">.  </w:t>
            </w:r>
          </w:p>
        </w:tc>
        <w:tc>
          <w:tcPr>
            <w:tcW w:w="7969" w:type="dxa"/>
          </w:tcPr>
          <w:p w:rsidR="005B456B" w:rsidRPr="008F61C2" w:rsidRDefault="005B456B" w:rsidP="00640EB3">
            <w:pPr>
              <w:spacing w:before="120" w:after="120"/>
              <w:rPr>
                <w:sz w:val="24"/>
                <w:szCs w:val="24"/>
                <w:lang w:val="en-US"/>
              </w:rPr>
            </w:pPr>
            <w:r w:rsidRPr="00C77878">
              <w:rPr>
                <w:sz w:val="24"/>
                <w:szCs w:val="24"/>
                <w:lang w:val="en-US"/>
              </w:rPr>
              <w:t>Confirmation of NGS data by droplet digital PCR analyses</w:t>
            </w:r>
          </w:p>
        </w:tc>
      </w:tr>
      <w:tr w:rsidR="005B456B" w:rsidRPr="005B456B" w:rsidTr="00640EB3">
        <w:tc>
          <w:tcPr>
            <w:tcW w:w="1809" w:type="dxa"/>
          </w:tcPr>
          <w:p w:rsidR="005B456B" w:rsidRPr="00A42EEE" w:rsidRDefault="005B456B" w:rsidP="00640EB3">
            <w:pPr>
              <w:spacing w:before="120" w:after="120"/>
              <w:rPr>
                <w:sz w:val="16"/>
                <w:szCs w:val="16"/>
                <w:lang w:val="en-US"/>
              </w:rPr>
            </w:pPr>
          </w:p>
        </w:tc>
        <w:tc>
          <w:tcPr>
            <w:tcW w:w="7969" w:type="dxa"/>
          </w:tcPr>
          <w:p w:rsidR="005B456B" w:rsidRPr="00A42EEE" w:rsidRDefault="005B456B" w:rsidP="00640EB3">
            <w:pPr>
              <w:spacing w:before="120" w:after="120"/>
              <w:rPr>
                <w:sz w:val="16"/>
                <w:szCs w:val="16"/>
                <w:lang w:val="en-US"/>
              </w:rPr>
            </w:pPr>
          </w:p>
        </w:tc>
      </w:tr>
      <w:tr w:rsidR="005B456B" w:rsidRPr="005B456B" w:rsidTr="00640EB3">
        <w:tc>
          <w:tcPr>
            <w:tcW w:w="1809" w:type="dxa"/>
          </w:tcPr>
          <w:p w:rsidR="005B456B" w:rsidRPr="00A22E7C" w:rsidRDefault="005B456B" w:rsidP="00640EB3">
            <w:pPr>
              <w:spacing w:before="120" w:after="120"/>
              <w:rPr>
                <w:sz w:val="24"/>
                <w:szCs w:val="24"/>
                <w:lang w:val="en-US"/>
              </w:rPr>
            </w:pPr>
            <w:r w:rsidRPr="00A22E7C">
              <w:rPr>
                <w:sz w:val="24"/>
                <w:szCs w:val="24"/>
                <w:lang w:val="en-US"/>
              </w:rPr>
              <w:t xml:space="preserve">Supplementary Table 1.  </w:t>
            </w:r>
          </w:p>
        </w:tc>
        <w:tc>
          <w:tcPr>
            <w:tcW w:w="7969" w:type="dxa"/>
          </w:tcPr>
          <w:p w:rsidR="005B456B" w:rsidRPr="004F2D90" w:rsidRDefault="005B456B" w:rsidP="00640EB3">
            <w:pPr>
              <w:spacing w:before="120" w:after="120"/>
              <w:rPr>
                <w:sz w:val="24"/>
                <w:szCs w:val="24"/>
                <w:lang w:val="en-US"/>
              </w:rPr>
            </w:pPr>
            <w:r w:rsidRPr="004F2D90">
              <w:rPr>
                <w:sz w:val="24"/>
                <w:szCs w:val="24"/>
                <w:lang w:val="en-US"/>
              </w:rPr>
              <w:t xml:space="preserve">Multi Group Comparison (ANOVA): differential serum miRNAs between </w:t>
            </w:r>
            <w:r>
              <w:rPr>
                <w:sz w:val="24"/>
                <w:szCs w:val="24"/>
                <w:lang w:val="en-US"/>
              </w:rPr>
              <w:t>Healthy</w:t>
            </w:r>
            <w:r w:rsidRPr="004F2D90">
              <w:rPr>
                <w:sz w:val="24"/>
                <w:szCs w:val="24"/>
                <w:lang w:val="en-US"/>
              </w:rPr>
              <w:t xml:space="preserve"> vs Cirrhosis vs HCC early vs HCC advanced</w:t>
            </w:r>
            <w:r>
              <w:rPr>
                <w:sz w:val="24"/>
                <w:szCs w:val="24"/>
                <w:lang w:val="en-US"/>
              </w:rPr>
              <w:t xml:space="preserve"> (p-value&lt;0.01)</w:t>
            </w:r>
          </w:p>
        </w:tc>
      </w:tr>
      <w:tr w:rsidR="005B456B" w:rsidRPr="005B456B" w:rsidTr="00640EB3">
        <w:tc>
          <w:tcPr>
            <w:tcW w:w="1809" w:type="dxa"/>
          </w:tcPr>
          <w:p w:rsidR="005B456B" w:rsidRPr="00A22E7C" w:rsidRDefault="005B456B" w:rsidP="00640EB3">
            <w:pPr>
              <w:spacing w:before="120" w:after="120"/>
              <w:rPr>
                <w:sz w:val="24"/>
                <w:szCs w:val="24"/>
                <w:lang w:val="en-US"/>
              </w:rPr>
            </w:pPr>
            <w:r w:rsidRPr="00A22E7C">
              <w:rPr>
                <w:sz w:val="24"/>
                <w:szCs w:val="24"/>
                <w:lang w:val="en-US"/>
              </w:rPr>
              <w:t xml:space="preserve">Supplementary Table 2.  </w:t>
            </w:r>
          </w:p>
        </w:tc>
        <w:tc>
          <w:tcPr>
            <w:tcW w:w="7969" w:type="dxa"/>
          </w:tcPr>
          <w:p w:rsidR="005B456B" w:rsidRPr="004F2D90" w:rsidRDefault="005B456B" w:rsidP="00640EB3">
            <w:pPr>
              <w:spacing w:before="120" w:after="120"/>
              <w:rPr>
                <w:sz w:val="24"/>
                <w:szCs w:val="24"/>
                <w:lang w:val="en-US"/>
              </w:rPr>
            </w:pPr>
            <w:r w:rsidRPr="004F2D90">
              <w:rPr>
                <w:sz w:val="24"/>
                <w:szCs w:val="24"/>
                <w:lang w:val="en-US"/>
              </w:rPr>
              <w:t>Two group comparison: differential serum miRNAs between patients with advanced HCC vs. cirrhosis</w:t>
            </w:r>
            <w:r>
              <w:rPr>
                <w:sz w:val="24"/>
                <w:szCs w:val="24"/>
                <w:lang w:val="en-US"/>
              </w:rPr>
              <w:t xml:space="preserve"> </w:t>
            </w:r>
            <w:r w:rsidRPr="001A3475">
              <w:rPr>
                <w:sz w:val="24"/>
                <w:szCs w:val="24"/>
                <w:lang w:val="en-US"/>
              </w:rPr>
              <w:t>(FC&gt;1.34 UP or DOWN, p-value&lt;0.01)</w:t>
            </w:r>
          </w:p>
        </w:tc>
      </w:tr>
      <w:tr w:rsidR="005B456B" w:rsidRPr="005B456B" w:rsidTr="00640EB3">
        <w:tc>
          <w:tcPr>
            <w:tcW w:w="1809" w:type="dxa"/>
          </w:tcPr>
          <w:p w:rsidR="005B456B" w:rsidRPr="00A22E7C" w:rsidRDefault="005B456B" w:rsidP="00640EB3">
            <w:pPr>
              <w:spacing w:before="120" w:after="120"/>
              <w:rPr>
                <w:sz w:val="24"/>
                <w:szCs w:val="24"/>
                <w:lang w:val="en-US"/>
              </w:rPr>
            </w:pPr>
            <w:r w:rsidRPr="00A22E7C">
              <w:rPr>
                <w:sz w:val="24"/>
                <w:szCs w:val="24"/>
                <w:lang w:val="en-US"/>
              </w:rPr>
              <w:t>Supplementary Table 3.</w:t>
            </w:r>
          </w:p>
        </w:tc>
        <w:tc>
          <w:tcPr>
            <w:tcW w:w="7969" w:type="dxa"/>
          </w:tcPr>
          <w:p w:rsidR="005B456B" w:rsidRPr="004F2D90" w:rsidRDefault="005B456B" w:rsidP="00640EB3">
            <w:pPr>
              <w:spacing w:before="120" w:after="120"/>
              <w:rPr>
                <w:sz w:val="24"/>
                <w:szCs w:val="24"/>
                <w:lang w:val="en-US"/>
              </w:rPr>
            </w:pPr>
            <w:r w:rsidRPr="008F61C2">
              <w:rPr>
                <w:sz w:val="24"/>
                <w:szCs w:val="24"/>
                <w:lang w:val="en-US"/>
              </w:rPr>
              <w:t>Two group comparison: differential serum miRNAs between patients with advanced HCC vs. early HCC (FC&gt;1.31 UP or DOWN, p-value&lt;0.01)</w:t>
            </w:r>
          </w:p>
        </w:tc>
      </w:tr>
      <w:tr w:rsidR="005B456B" w:rsidRPr="005B456B" w:rsidTr="00640EB3">
        <w:tc>
          <w:tcPr>
            <w:tcW w:w="1809" w:type="dxa"/>
          </w:tcPr>
          <w:p w:rsidR="005B456B" w:rsidRPr="00A22E7C" w:rsidRDefault="005B456B" w:rsidP="00640EB3">
            <w:pPr>
              <w:spacing w:before="120" w:after="120"/>
              <w:rPr>
                <w:sz w:val="24"/>
                <w:szCs w:val="24"/>
                <w:lang w:val="en-US"/>
              </w:rPr>
            </w:pPr>
            <w:r w:rsidRPr="00A22E7C">
              <w:rPr>
                <w:sz w:val="24"/>
                <w:szCs w:val="24"/>
                <w:lang w:val="en-US"/>
              </w:rPr>
              <w:t xml:space="preserve">Supplementary Table 4.  </w:t>
            </w:r>
          </w:p>
        </w:tc>
        <w:tc>
          <w:tcPr>
            <w:tcW w:w="7969" w:type="dxa"/>
          </w:tcPr>
          <w:p w:rsidR="005B456B" w:rsidRPr="004F2D90" w:rsidRDefault="005B456B" w:rsidP="00640EB3">
            <w:pPr>
              <w:spacing w:before="120" w:after="120"/>
              <w:rPr>
                <w:sz w:val="24"/>
                <w:szCs w:val="24"/>
                <w:lang w:val="en-US"/>
              </w:rPr>
            </w:pPr>
            <w:r w:rsidRPr="008F61C2">
              <w:rPr>
                <w:sz w:val="24"/>
                <w:szCs w:val="24"/>
                <w:lang w:val="en-US"/>
              </w:rPr>
              <w:t xml:space="preserve">Two group comparison: differential serum miRNAs between patients with advanced HCC vs. </w:t>
            </w:r>
            <w:r>
              <w:rPr>
                <w:sz w:val="24"/>
                <w:szCs w:val="24"/>
                <w:lang w:val="en-US"/>
              </w:rPr>
              <w:t>Healthy</w:t>
            </w:r>
            <w:r w:rsidRPr="008F61C2">
              <w:rPr>
                <w:sz w:val="24"/>
                <w:szCs w:val="24"/>
                <w:lang w:val="en-US"/>
              </w:rPr>
              <w:t xml:space="preserve"> individuals (FC&gt;1.32 UP or DOWN, p-value&lt;0.01)</w:t>
            </w:r>
          </w:p>
        </w:tc>
      </w:tr>
      <w:tr w:rsidR="005B456B" w:rsidRPr="005B456B" w:rsidTr="00640EB3">
        <w:tc>
          <w:tcPr>
            <w:tcW w:w="1809" w:type="dxa"/>
          </w:tcPr>
          <w:p w:rsidR="005B456B" w:rsidRPr="00A22E7C" w:rsidRDefault="005B456B" w:rsidP="00640EB3">
            <w:pPr>
              <w:spacing w:before="120" w:after="120"/>
              <w:rPr>
                <w:sz w:val="24"/>
                <w:szCs w:val="24"/>
                <w:lang w:val="en-US"/>
              </w:rPr>
            </w:pPr>
            <w:r w:rsidRPr="00A22E7C">
              <w:rPr>
                <w:sz w:val="24"/>
                <w:szCs w:val="24"/>
                <w:lang w:val="en-US"/>
              </w:rPr>
              <w:t xml:space="preserve">Supplementary Table 5.  </w:t>
            </w:r>
          </w:p>
        </w:tc>
        <w:tc>
          <w:tcPr>
            <w:tcW w:w="7969" w:type="dxa"/>
          </w:tcPr>
          <w:p w:rsidR="005B456B" w:rsidRPr="004F2D90" w:rsidRDefault="005B456B" w:rsidP="00640EB3">
            <w:pPr>
              <w:spacing w:before="120" w:after="120"/>
              <w:rPr>
                <w:sz w:val="24"/>
                <w:szCs w:val="24"/>
                <w:lang w:val="en-US"/>
              </w:rPr>
            </w:pPr>
            <w:r w:rsidRPr="008F61C2">
              <w:rPr>
                <w:sz w:val="24"/>
                <w:szCs w:val="24"/>
                <w:lang w:val="en-US"/>
              </w:rPr>
              <w:t xml:space="preserve">Two group comparison: differential serum miRNAs between patients with early HCC vs. </w:t>
            </w:r>
            <w:r>
              <w:rPr>
                <w:sz w:val="24"/>
                <w:szCs w:val="24"/>
                <w:lang w:val="en-US"/>
              </w:rPr>
              <w:t>Healthy</w:t>
            </w:r>
            <w:r w:rsidRPr="008F61C2">
              <w:rPr>
                <w:sz w:val="24"/>
                <w:szCs w:val="24"/>
                <w:lang w:val="en-US"/>
              </w:rPr>
              <w:t xml:space="preserve"> individuals (FC&gt;1.31 UP or DOWN, p-value&lt;0.01)</w:t>
            </w:r>
          </w:p>
        </w:tc>
      </w:tr>
      <w:tr w:rsidR="005B456B" w:rsidRPr="005B456B" w:rsidTr="00640EB3">
        <w:tc>
          <w:tcPr>
            <w:tcW w:w="1809" w:type="dxa"/>
          </w:tcPr>
          <w:p w:rsidR="005B456B" w:rsidRPr="00A22E7C" w:rsidRDefault="005B456B" w:rsidP="00640EB3">
            <w:pPr>
              <w:spacing w:before="120" w:after="120"/>
              <w:rPr>
                <w:sz w:val="24"/>
                <w:szCs w:val="24"/>
                <w:lang w:val="en-US"/>
              </w:rPr>
            </w:pPr>
            <w:r w:rsidRPr="00A22E7C">
              <w:rPr>
                <w:sz w:val="24"/>
                <w:szCs w:val="24"/>
                <w:lang w:val="en-US"/>
              </w:rPr>
              <w:t xml:space="preserve">Supplementary Table 6.  </w:t>
            </w:r>
          </w:p>
        </w:tc>
        <w:tc>
          <w:tcPr>
            <w:tcW w:w="7969" w:type="dxa"/>
          </w:tcPr>
          <w:p w:rsidR="005B456B" w:rsidRPr="004F2D90" w:rsidRDefault="005B456B" w:rsidP="00640EB3">
            <w:pPr>
              <w:spacing w:before="120" w:after="120"/>
              <w:rPr>
                <w:sz w:val="24"/>
                <w:szCs w:val="24"/>
                <w:lang w:val="en-US"/>
              </w:rPr>
            </w:pPr>
            <w:r w:rsidRPr="008F61C2">
              <w:rPr>
                <w:sz w:val="24"/>
                <w:szCs w:val="24"/>
                <w:lang w:val="en-US"/>
              </w:rPr>
              <w:t xml:space="preserve">Two group comparison: differential serum miRNAs between patients with cirrhosis vs. </w:t>
            </w:r>
            <w:r>
              <w:rPr>
                <w:sz w:val="24"/>
                <w:szCs w:val="24"/>
                <w:lang w:val="en-US"/>
              </w:rPr>
              <w:t>healthy</w:t>
            </w:r>
            <w:r w:rsidRPr="008F61C2">
              <w:rPr>
                <w:sz w:val="24"/>
                <w:szCs w:val="24"/>
                <w:lang w:val="en-US"/>
              </w:rPr>
              <w:t xml:space="preserve"> (FC&gt;1.21 UP or DOWN, p-value&lt;0.01)</w:t>
            </w:r>
          </w:p>
        </w:tc>
      </w:tr>
      <w:tr w:rsidR="005B456B" w:rsidRPr="005B456B" w:rsidTr="00640EB3">
        <w:tc>
          <w:tcPr>
            <w:tcW w:w="1809" w:type="dxa"/>
          </w:tcPr>
          <w:p w:rsidR="005B456B" w:rsidRPr="00A22E7C" w:rsidRDefault="005B456B" w:rsidP="00640EB3">
            <w:pPr>
              <w:spacing w:before="120" w:after="120"/>
              <w:rPr>
                <w:sz w:val="24"/>
                <w:szCs w:val="24"/>
                <w:lang w:val="en-US"/>
              </w:rPr>
            </w:pPr>
            <w:r w:rsidRPr="00A22E7C">
              <w:rPr>
                <w:sz w:val="24"/>
                <w:szCs w:val="24"/>
                <w:lang w:val="en-US"/>
              </w:rPr>
              <w:t xml:space="preserve">Supplementary Table 7.  </w:t>
            </w:r>
          </w:p>
        </w:tc>
        <w:tc>
          <w:tcPr>
            <w:tcW w:w="7969" w:type="dxa"/>
          </w:tcPr>
          <w:p w:rsidR="005B456B" w:rsidRPr="004F2D90" w:rsidRDefault="005B456B" w:rsidP="00640EB3">
            <w:pPr>
              <w:spacing w:before="120" w:after="120"/>
              <w:rPr>
                <w:sz w:val="24"/>
                <w:szCs w:val="24"/>
                <w:lang w:val="en-US"/>
              </w:rPr>
            </w:pPr>
            <w:r w:rsidRPr="008F61C2">
              <w:rPr>
                <w:sz w:val="24"/>
                <w:szCs w:val="24"/>
                <w:lang w:val="en-US"/>
              </w:rPr>
              <w:t>Two group comparison: differential serum miRNAs between patients with early HCC vs. cirrhosis (FC&gt;1.33 UP or DOWN, p-value&lt;0.01)</w:t>
            </w:r>
          </w:p>
        </w:tc>
      </w:tr>
      <w:tr w:rsidR="005B456B" w:rsidRPr="005B456B" w:rsidTr="00640EB3">
        <w:tc>
          <w:tcPr>
            <w:tcW w:w="1809" w:type="dxa"/>
          </w:tcPr>
          <w:p w:rsidR="005B456B" w:rsidRPr="00A22E7C" w:rsidRDefault="005B456B" w:rsidP="00640EB3">
            <w:pPr>
              <w:spacing w:before="120" w:after="120"/>
              <w:rPr>
                <w:sz w:val="24"/>
                <w:szCs w:val="24"/>
                <w:lang w:val="en-US"/>
              </w:rPr>
            </w:pPr>
            <w:r w:rsidRPr="00A22E7C">
              <w:rPr>
                <w:sz w:val="24"/>
                <w:szCs w:val="24"/>
                <w:lang w:val="en-US"/>
              </w:rPr>
              <w:t xml:space="preserve">Supplementary Table 8.  </w:t>
            </w:r>
          </w:p>
        </w:tc>
        <w:tc>
          <w:tcPr>
            <w:tcW w:w="7969" w:type="dxa"/>
          </w:tcPr>
          <w:p w:rsidR="005B456B" w:rsidRPr="004F2D90" w:rsidRDefault="005B456B" w:rsidP="00640EB3">
            <w:pPr>
              <w:spacing w:before="120" w:after="120"/>
              <w:rPr>
                <w:sz w:val="24"/>
                <w:szCs w:val="24"/>
                <w:lang w:val="en-US"/>
              </w:rPr>
            </w:pPr>
            <w:r w:rsidRPr="008F61C2">
              <w:rPr>
                <w:sz w:val="24"/>
                <w:szCs w:val="24"/>
                <w:lang w:val="en-US"/>
              </w:rPr>
              <w:t xml:space="preserve">Two group comparison: differential serum miRNAs between </w:t>
            </w:r>
            <w:proofErr w:type="spellStart"/>
            <w:r w:rsidRPr="008F61C2">
              <w:rPr>
                <w:sz w:val="24"/>
                <w:szCs w:val="24"/>
                <w:lang w:val="en-US"/>
              </w:rPr>
              <w:t>sorafenib</w:t>
            </w:r>
            <w:proofErr w:type="spellEnd"/>
            <w:r w:rsidRPr="008F61C2">
              <w:rPr>
                <w:sz w:val="24"/>
                <w:szCs w:val="24"/>
                <w:lang w:val="en-US"/>
              </w:rPr>
              <w:t xml:space="preserve"> Responder (R) vs Non-Responder (NR) patients  (FC&gt;1.35 UP or DOWN, p-value&lt;0.05)</w:t>
            </w:r>
          </w:p>
        </w:tc>
      </w:tr>
      <w:tr w:rsidR="005B456B" w:rsidRPr="005B456B" w:rsidTr="00640EB3">
        <w:tc>
          <w:tcPr>
            <w:tcW w:w="1809" w:type="dxa"/>
          </w:tcPr>
          <w:p w:rsidR="005B456B" w:rsidRPr="00A22E7C" w:rsidRDefault="005B456B" w:rsidP="00640EB3">
            <w:pPr>
              <w:spacing w:before="120" w:after="120"/>
              <w:rPr>
                <w:sz w:val="24"/>
                <w:szCs w:val="24"/>
                <w:lang w:val="en-US"/>
              </w:rPr>
            </w:pPr>
            <w:r w:rsidRPr="00A22E7C">
              <w:rPr>
                <w:sz w:val="24"/>
                <w:szCs w:val="24"/>
                <w:lang w:val="en-US"/>
              </w:rPr>
              <w:t>Supple</w:t>
            </w:r>
            <w:r>
              <w:rPr>
                <w:sz w:val="24"/>
                <w:szCs w:val="24"/>
                <w:lang w:val="en-US"/>
              </w:rPr>
              <w:t>mentary Table 9</w:t>
            </w:r>
            <w:r w:rsidRPr="00A22E7C">
              <w:rPr>
                <w:sz w:val="24"/>
                <w:szCs w:val="24"/>
                <w:lang w:val="en-US"/>
              </w:rPr>
              <w:t xml:space="preserve">.  </w:t>
            </w:r>
          </w:p>
        </w:tc>
        <w:tc>
          <w:tcPr>
            <w:tcW w:w="7969" w:type="dxa"/>
          </w:tcPr>
          <w:p w:rsidR="005B456B" w:rsidRPr="004F2D90" w:rsidRDefault="005B456B" w:rsidP="00640EB3">
            <w:pPr>
              <w:spacing w:before="120" w:after="120"/>
              <w:rPr>
                <w:sz w:val="24"/>
                <w:szCs w:val="24"/>
                <w:lang w:val="en-US"/>
              </w:rPr>
            </w:pPr>
            <w:r w:rsidRPr="004F2D90">
              <w:rPr>
                <w:sz w:val="24"/>
                <w:szCs w:val="24"/>
                <w:lang w:val="en-US"/>
              </w:rPr>
              <w:t>KEGG pathways enriched with the target genes of the differential miRNAs between patients with early HCC vs. Cirrhosis (</w:t>
            </w:r>
            <w:proofErr w:type="spellStart"/>
            <w:r w:rsidRPr="004F2D90">
              <w:rPr>
                <w:sz w:val="24"/>
                <w:szCs w:val="24"/>
                <w:lang w:val="en-US"/>
              </w:rPr>
              <w:t>miRNet</w:t>
            </w:r>
            <w:proofErr w:type="spellEnd"/>
            <w:r w:rsidRPr="004F2D90">
              <w:rPr>
                <w:sz w:val="24"/>
                <w:szCs w:val="24"/>
                <w:lang w:val="en-US"/>
              </w:rPr>
              <w:t xml:space="preserve"> - </w:t>
            </w:r>
            <w:proofErr w:type="spellStart"/>
            <w:r w:rsidRPr="004F2D90">
              <w:rPr>
                <w:sz w:val="24"/>
                <w:szCs w:val="24"/>
                <w:lang w:val="en-US"/>
              </w:rPr>
              <w:t>miRTarBase</w:t>
            </w:r>
            <w:proofErr w:type="spellEnd"/>
            <w:r w:rsidRPr="004F2D90">
              <w:rPr>
                <w:sz w:val="24"/>
                <w:szCs w:val="24"/>
                <w:lang w:val="en-US"/>
              </w:rPr>
              <w:t xml:space="preserve"> v. 8)</w:t>
            </w:r>
            <w:r>
              <w:rPr>
                <w:sz w:val="24"/>
                <w:szCs w:val="24"/>
                <w:lang w:val="en-US"/>
              </w:rPr>
              <w:t xml:space="preserve"> (p-value&lt;0.05)</w:t>
            </w:r>
          </w:p>
        </w:tc>
      </w:tr>
      <w:tr w:rsidR="005B456B" w:rsidRPr="005B456B" w:rsidTr="00640EB3">
        <w:tc>
          <w:tcPr>
            <w:tcW w:w="1809" w:type="dxa"/>
          </w:tcPr>
          <w:p w:rsidR="005B456B" w:rsidRPr="00A22E7C" w:rsidRDefault="005B456B" w:rsidP="00640EB3">
            <w:pPr>
              <w:spacing w:before="120" w:after="120"/>
              <w:rPr>
                <w:sz w:val="24"/>
                <w:szCs w:val="24"/>
                <w:lang w:val="en-US"/>
              </w:rPr>
            </w:pPr>
            <w:r w:rsidRPr="00A22E7C">
              <w:rPr>
                <w:sz w:val="24"/>
                <w:szCs w:val="24"/>
                <w:lang w:val="en-US"/>
              </w:rPr>
              <w:t>Supple</w:t>
            </w:r>
            <w:r>
              <w:rPr>
                <w:sz w:val="24"/>
                <w:szCs w:val="24"/>
                <w:lang w:val="en-US"/>
              </w:rPr>
              <w:t>mentary Table 10</w:t>
            </w:r>
            <w:r w:rsidRPr="00A22E7C">
              <w:rPr>
                <w:sz w:val="24"/>
                <w:szCs w:val="24"/>
                <w:lang w:val="en-US"/>
              </w:rPr>
              <w:t xml:space="preserve">.  </w:t>
            </w:r>
          </w:p>
        </w:tc>
        <w:tc>
          <w:tcPr>
            <w:tcW w:w="7969" w:type="dxa"/>
          </w:tcPr>
          <w:p w:rsidR="005B456B" w:rsidRPr="004F2D90" w:rsidRDefault="005B456B" w:rsidP="00640EB3">
            <w:pPr>
              <w:spacing w:before="120" w:after="120"/>
              <w:rPr>
                <w:sz w:val="24"/>
                <w:szCs w:val="24"/>
                <w:lang w:val="en-US"/>
              </w:rPr>
            </w:pPr>
            <w:r w:rsidRPr="004F2D90">
              <w:rPr>
                <w:sz w:val="24"/>
                <w:szCs w:val="24"/>
                <w:lang w:val="en-US"/>
              </w:rPr>
              <w:t xml:space="preserve">KEGG pathways enriched with the target genes of the differential miRNAs between </w:t>
            </w:r>
            <w:proofErr w:type="spellStart"/>
            <w:r w:rsidRPr="004F2D90">
              <w:rPr>
                <w:sz w:val="24"/>
                <w:szCs w:val="24"/>
                <w:lang w:val="en-US"/>
              </w:rPr>
              <w:t>Sorafenib</w:t>
            </w:r>
            <w:proofErr w:type="spellEnd"/>
            <w:r w:rsidRPr="004F2D90">
              <w:rPr>
                <w:sz w:val="24"/>
                <w:szCs w:val="24"/>
                <w:lang w:val="en-US"/>
              </w:rPr>
              <w:t xml:space="preserve"> Responder Vs Non-Responder patients (</w:t>
            </w:r>
            <w:proofErr w:type="spellStart"/>
            <w:r w:rsidRPr="004F2D90">
              <w:rPr>
                <w:sz w:val="24"/>
                <w:szCs w:val="24"/>
                <w:lang w:val="en-US"/>
              </w:rPr>
              <w:t>miRNet</w:t>
            </w:r>
            <w:proofErr w:type="spellEnd"/>
            <w:r w:rsidRPr="004F2D90">
              <w:rPr>
                <w:sz w:val="24"/>
                <w:szCs w:val="24"/>
                <w:lang w:val="en-US"/>
              </w:rPr>
              <w:t xml:space="preserve"> - </w:t>
            </w:r>
            <w:proofErr w:type="spellStart"/>
            <w:r w:rsidRPr="004F2D90">
              <w:rPr>
                <w:sz w:val="24"/>
                <w:szCs w:val="24"/>
                <w:lang w:val="en-US"/>
              </w:rPr>
              <w:t>miRTarBase</w:t>
            </w:r>
            <w:proofErr w:type="spellEnd"/>
            <w:r w:rsidRPr="004F2D90">
              <w:rPr>
                <w:sz w:val="24"/>
                <w:szCs w:val="24"/>
                <w:lang w:val="en-US"/>
              </w:rPr>
              <w:t xml:space="preserve"> v. 8)</w:t>
            </w:r>
            <w:r>
              <w:rPr>
                <w:sz w:val="24"/>
                <w:szCs w:val="24"/>
                <w:lang w:val="en-US"/>
              </w:rPr>
              <w:t xml:space="preserve"> (p-value&lt;0.05)</w:t>
            </w:r>
          </w:p>
        </w:tc>
      </w:tr>
    </w:tbl>
    <w:p w:rsidR="00275105" w:rsidRPr="005B456B" w:rsidRDefault="00275105">
      <w:pPr>
        <w:rPr>
          <w:lang w:val="en-GB"/>
        </w:rPr>
      </w:pPr>
      <w:bookmarkStart w:id="0" w:name="_GoBack"/>
      <w:bookmarkEnd w:id="0"/>
    </w:p>
    <w:sectPr w:rsidR="00275105" w:rsidRPr="005B456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456B"/>
    <w:rsid w:val="00275105"/>
    <w:rsid w:val="005B45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B456B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5B45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B456B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5B45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301</Words>
  <Characters>1716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Cristian</dc:creator>
  <cp:lastModifiedBy>Cristian</cp:lastModifiedBy>
  <cp:revision>1</cp:revision>
  <dcterms:created xsi:type="dcterms:W3CDTF">2024-07-10T07:55:00Z</dcterms:created>
  <dcterms:modified xsi:type="dcterms:W3CDTF">2024-07-10T07:56:00Z</dcterms:modified>
</cp:coreProperties>
</file>