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C0BB6FF" w14:textId="77777777" w:rsidR="00A07E69" w:rsidRPr="00523E9A" w:rsidRDefault="00A07E69" w:rsidP="00A07E69">
      <w:pPr>
        <w:tabs>
          <w:tab w:val="clear" w:pos="284"/>
        </w:tabs>
        <w:adjustRightInd w:val="0"/>
        <w:snapToGrid w:val="0"/>
        <w:spacing w:line="240" w:lineRule="auto"/>
        <w:ind w:firstLine="0"/>
        <w:jc w:val="center"/>
        <w:rPr>
          <w:b/>
          <w:bCs/>
          <w:shd w:val="clear" w:color="auto" w:fill="FFFFFF"/>
        </w:rPr>
      </w:pPr>
      <w:r w:rsidRPr="00523E9A">
        <w:rPr>
          <w:b/>
          <w:bCs/>
          <w:shd w:val="clear" w:color="auto" w:fill="FFFFFF"/>
        </w:rPr>
        <w:t>Appendix A</w:t>
      </w:r>
    </w:p>
    <w:p w14:paraId="58780C9B" w14:textId="7E4849FA" w:rsidR="00A07E69" w:rsidRPr="00F21B59" w:rsidRDefault="00A610FA" w:rsidP="00A07E69">
      <w:pPr>
        <w:tabs>
          <w:tab w:val="clear" w:pos="284"/>
        </w:tabs>
        <w:adjustRightInd w:val="0"/>
        <w:snapToGrid w:val="0"/>
        <w:spacing w:line="240" w:lineRule="auto"/>
        <w:ind w:firstLine="0"/>
        <w:jc w:val="center"/>
        <w:rPr>
          <w:b/>
          <w:bCs/>
          <w:color w:val="EE0000"/>
          <w:shd w:val="clear" w:color="auto" w:fill="FFFFFF"/>
        </w:rPr>
      </w:pPr>
      <w:r w:rsidRPr="00F21B59">
        <w:rPr>
          <w:b/>
          <w:bCs/>
          <w:color w:val="EE0000"/>
          <w:shd w:val="clear" w:color="auto" w:fill="FFFFFF"/>
        </w:rPr>
        <w:t xml:space="preserve">Respondent and </w:t>
      </w:r>
      <w:r w:rsidR="009A6CBA" w:rsidRPr="00F21B59">
        <w:rPr>
          <w:b/>
          <w:bCs/>
          <w:color w:val="EE0000"/>
          <w:shd w:val="clear" w:color="auto" w:fill="FFFFFF"/>
        </w:rPr>
        <w:t>Firm Profile</w:t>
      </w:r>
    </w:p>
    <w:p w14:paraId="10888A73" w14:textId="77777777" w:rsidR="00A07E69" w:rsidRPr="00F21B59" w:rsidRDefault="00A07E69" w:rsidP="00A07E69">
      <w:pPr>
        <w:tabs>
          <w:tab w:val="clear" w:pos="284"/>
        </w:tabs>
        <w:adjustRightInd w:val="0"/>
        <w:snapToGrid w:val="0"/>
        <w:spacing w:line="240" w:lineRule="auto"/>
        <w:ind w:firstLine="0"/>
        <w:rPr>
          <w:b/>
          <w:bCs/>
          <w:color w:val="EE0000"/>
          <w:shd w:val="clear" w:color="auto" w:fill="FFFFFF"/>
        </w:rPr>
      </w:pPr>
    </w:p>
    <w:p w14:paraId="6A8D3AD1" w14:textId="52EB27A7" w:rsidR="00A610FA" w:rsidRPr="00F21B59" w:rsidRDefault="00A610FA" w:rsidP="00F21B59">
      <w:pPr>
        <w:tabs>
          <w:tab w:val="clear" w:pos="284"/>
        </w:tabs>
        <w:suppressAutoHyphens/>
        <w:ind w:firstLine="720"/>
        <w:rPr>
          <w:color w:val="EE0000"/>
          <w:lang w:val="en-GB"/>
        </w:rPr>
      </w:pPr>
      <w:r w:rsidRPr="00F21B59">
        <w:rPr>
          <w:color w:val="EE0000"/>
          <w:lang w:val="en-GB"/>
        </w:rPr>
        <w:t xml:space="preserve">As for the profile of our respondents, a major proportion (approximately 65%) of our respondents held senior positions spanning director, senior director, president, and vice president in their firms. Additionally, while approximately 85% of the respondents had over 10 years of experience, close to 25% of the respondents had over 25 years of experience. These qualifications clearly establish that we have included key respondents in our study. However, we still included a question in the survey to assess how confident the respondents were in completing the survey; this was measured using a 5-point Likert scale question with endpoints of “not at all” and “significant”. The average score for this question was 4.04, suggesting that the respondents had not only the experience but also the required knowledge to participate in our study. </w:t>
      </w:r>
    </w:p>
    <w:p w14:paraId="68EB2C7E" w14:textId="74D6ABE4" w:rsidR="00A610FA" w:rsidRPr="00F21B59" w:rsidRDefault="00A610FA" w:rsidP="00F21B59">
      <w:pPr>
        <w:tabs>
          <w:tab w:val="clear" w:pos="284"/>
        </w:tabs>
        <w:suppressAutoHyphens/>
        <w:ind w:firstLine="720"/>
        <w:rPr>
          <w:color w:val="EE0000"/>
          <w:lang w:val="en-GB"/>
        </w:rPr>
      </w:pPr>
      <w:r w:rsidRPr="00F21B59">
        <w:rPr>
          <w:color w:val="EE0000"/>
          <w:lang w:val="en-GB"/>
        </w:rPr>
        <w:t xml:space="preserve">As evident from Table A-1, the firms were somewhat evenly distributed in terms of annual sales volume. When considering the number of employees, while our final sample included a considerable number of smaller firms (approximately 20%), it had a major proportion of large firms (i.e., approximately 60%). As for market share, approximately 40% of the firms had a larger share than their competition, while approximately 25% of the firms had a smaller share than their competition. As indicated earlier, the proportion of the different industries that were represented in our initial sampling frame, as well as the final sample, was found to be consistent. In summary, the profile of firms in our final sample suggests that our results could be generalizable to all firms that are part of the US manufacturing industries that were considered in our study. Finally, as for the supplier relationships that were considered in </w:t>
      </w:r>
      <w:r w:rsidRPr="00F21B59">
        <w:rPr>
          <w:color w:val="EE0000"/>
          <w:lang w:val="en-GB"/>
        </w:rPr>
        <w:lastRenderedPageBreak/>
        <w:t xml:space="preserve">our study, while around 20% of the relationships were less than 5 years long, more than 50% of the relationships were more than 10 years long. </w:t>
      </w:r>
    </w:p>
    <w:p w14:paraId="78AB405B" w14:textId="77777777" w:rsidR="00A610FA" w:rsidRPr="00523E9A" w:rsidRDefault="00A610FA" w:rsidP="00A610FA">
      <w:pPr>
        <w:tabs>
          <w:tab w:val="clear" w:pos="284"/>
          <w:tab w:val="center" w:pos="4532"/>
          <w:tab w:val="left" w:pos="7313"/>
        </w:tabs>
        <w:adjustRightInd w:val="0"/>
        <w:snapToGrid w:val="0"/>
        <w:spacing w:line="240" w:lineRule="auto"/>
        <w:ind w:firstLine="0"/>
        <w:jc w:val="center"/>
        <w:rPr>
          <w:rFonts w:eastAsia="PMingLiU"/>
          <w:b/>
          <w:kern w:val="0"/>
          <w:lang w:val="en-US" w:eastAsia="en-US"/>
        </w:rPr>
      </w:pPr>
    </w:p>
    <w:p w14:paraId="39213298" w14:textId="69659252" w:rsidR="00A610FA" w:rsidRPr="00523E9A" w:rsidRDefault="00A610FA" w:rsidP="00A610FA">
      <w:pPr>
        <w:tabs>
          <w:tab w:val="clear" w:pos="284"/>
          <w:tab w:val="center" w:pos="4532"/>
          <w:tab w:val="left" w:pos="7313"/>
        </w:tabs>
        <w:adjustRightInd w:val="0"/>
        <w:snapToGrid w:val="0"/>
        <w:spacing w:line="240" w:lineRule="auto"/>
        <w:ind w:firstLine="0"/>
        <w:jc w:val="center"/>
        <w:rPr>
          <w:rFonts w:eastAsia="PMingLiU"/>
          <w:b/>
          <w:kern w:val="0"/>
          <w:lang w:val="en-US" w:eastAsia="en-US"/>
        </w:rPr>
      </w:pPr>
      <w:r w:rsidRPr="00523E9A">
        <w:rPr>
          <w:rFonts w:eastAsia="PMingLiU"/>
          <w:b/>
          <w:kern w:val="0"/>
          <w:lang w:val="en-US" w:eastAsia="en-US"/>
        </w:rPr>
        <w:t>Table A-1: Firm Profile</w:t>
      </w:r>
    </w:p>
    <w:p w14:paraId="41035CA5" w14:textId="77777777" w:rsidR="00A610FA" w:rsidRPr="00523E9A" w:rsidRDefault="00A610FA" w:rsidP="00A07E69">
      <w:pPr>
        <w:tabs>
          <w:tab w:val="clear" w:pos="284"/>
        </w:tabs>
        <w:adjustRightInd w:val="0"/>
        <w:snapToGrid w:val="0"/>
        <w:spacing w:line="240" w:lineRule="auto"/>
        <w:ind w:firstLine="0"/>
        <w:rPr>
          <w:b/>
          <w:bCs/>
          <w:shd w:val="clear" w:color="auto" w:fill="FFFFFF"/>
        </w:rPr>
      </w:pPr>
    </w:p>
    <w:p w14:paraId="431E723D" w14:textId="26A7BDE8" w:rsidR="00A07E69" w:rsidRPr="00523E9A" w:rsidRDefault="00A07E69" w:rsidP="00A07E69">
      <w:pPr>
        <w:tabs>
          <w:tab w:val="clear" w:pos="284"/>
        </w:tabs>
        <w:adjustRightInd w:val="0"/>
        <w:snapToGrid w:val="0"/>
        <w:spacing w:line="240" w:lineRule="auto"/>
        <w:ind w:firstLine="0"/>
        <w:jc w:val="center"/>
        <w:rPr>
          <w:b/>
          <w:bCs/>
          <w:shd w:val="clear" w:color="auto" w:fill="FFFFFF"/>
        </w:rPr>
      </w:pPr>
      <w:r w:rsidRPr="00523E9A">
        <w:rPr>
          <w:noProof/>
        </w:rPr>
        <w:drawing>
          <wp:inline distT="0" distB="0" distL="0" distR="0" wp14:anchorId="6992FB23" wp14:editId="5FA4F528">
            <wp:extent cx="5731510" cy="5109845"/>
            <wp:effectExtent l="0" t="0" r="2540" b="0"/>
            <wp:docPr id="23163300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731510" cy="5109845"/>
                    </a:xfrm>
                    <a:prstGeom prst="rect">
                      <a:avLst/>
                    </a:prstGeom>
                    <a:noFill/>
                    <a:ln>
                      <a:noFill/>
                    </a:ln>
                  </pic:spPr>
                </pic:pic>
              </a:graphicData>
            </a:graphic>
          </wp:inline>
        </w:drawing>
      </w:r>
    </w:p>
    <w:p w14:paraId="28A5D856" w14:textId="77777777" w:rsidR="00A07E69" w:rsidRPr="00523E9A" w:rsidRDefault="00A07E69">
      <w:pPr>
        <w:tabs>
          <w:tab w:val="clear" w:pos="284"/>
        </w:tabs>
        <w:spacing w:line="240" w:lineRule="auto"/>
        <w:ind w:firstLine="0"/>
        <w:jc w:val="left"/>
        <w:rPr>
          <w:b/>
          <w:bCs/>
          <w:shd w:val="clear" w:color="auto" w:fill="FFFFFF"/>
        </w:rPr>
      </w:pPr>
      <w:r w:rsidRPr="00523E9A">
        <w:rPr>
          <w:b/>
          <w:bCs/>
          <w:shd w:val="clear" w:color="auto" w:fill="FFFFFF"/>
        </w:rPr>
        <w:br w:type="page"/>
      </w:r>
    </w:p>
    <w:p w14:paraId="72AB65BF" w14:textId="6E064E07" w:rsidR="00BA5A9D" w:rsidRPr="00523E9A" w:rsidRDefault="00B5550A" w:rsidP="00BA5A9D">
      <w:pPr>
        <w:tabs>
          <w:tab w:val="clear" w:pos="284"/>
        </w:tabs>
        <w:adjustRightInd w:val="0"/>
        <w:snapToGrid w:val="0"/>
        <w:spacing w:line="240" w:lineRule="auto"/>
        <w:ind w:firstLine="0"/>
        <w:jc w:val="center"/>
        <w:rPr>
          <w:b/>
          <w:bCs/>
          <w:shd w:val="clear" w:color="auto" w:fill="FFFFFF"/>
        </w:rPr>
      </w:pPr>
      <w:r w:rsidRPr="00523E9A">
        <w:rPr>
          <w:b/>
          <w:bCs/>
          <w:shd w:val="clear" w:color="auto" w:fill="FFFFFF"/>
        </w:rPr>
        <w:lastRenderedPageBreak/>
        <w:t xml:space="preserve">Appendix </w:t>
      </w:r>
      <w:r w:rsidR="00A07E69" w:rsidRPr="00523E9A">
        <w:rPr>
          <w:b/>
          <w:bCs/>
          <w:shd w:val="clear" w:color="auto" w:fill="FFFFFF"/>
        </w:rPr>
        <w:t>B</w:t>
      </w:r>
    </w:p>
    <w:p w14:paraId="45E7C886" w14:textId="6387FABF" w:rsidR="00B5550A" w:rsidRPr="00523E9A" w:rsidRDefault="00B5550A" w:rsidP="00BA5A9D">
      <w:pPr>
        <w:tabs>
          <w:tab w:val="clear" w:pos="284"/>
        </w:tabs>
        <w:adjustRightInd w:val="0"/>
        <w:snapToGrid w:val="0"/>
        <w:spacing w:line="240" w:lineRule="auto"/>
        <w:ind w:firstLine="0"/>
        <w:jc w:val="center"/>
        <w:rPr>
          <w:b/>
          <w:bCs/>
          <w:shd w:val="clear" w:color="auto" w:fill="FFFFFF"/>
        </w:rPr>
      </w:pPr>
      <w:r w:rsidRPr="00523E9A">
        <w:rPr>
          <w:b/>
          <w:bCs/>
          <w:shd w:val="clear" w:color="auto" w:fill="FFFFFF"/>
        </w:rPr>
        <w:t>Instrumental Variables</w:t>
      </w:r>
    </w:p>
    <w:p w14:paraId="0B803797" w14:textId="77777777" w:rsidR="00BA5A9D" w:rsidRPr="00523E9A" w:rsidRDefault="00BA5A9D" w:rsidP="00BA5A9D">
      <w:pPr>
        <w:tabs>
          <w:tab w:val="clear" w:pos="284"/>
        </w:tabs>
        <w:adjustRightInd w:val="0"/>
        <w:snapToGrid w:val="0"/>
        <w:spacing w:line="240" w:lineRule="auto"/>
        <w:ind w:firstLine="0"/>
        <w:jc w:val="center"/>
        <w:rPr>
          <w:b/>
          <w:bCs/>
          <w:shd w:val="clear" w:color="auto" w:fill="FFFFFF"/>
        </w:rPr>
      </w:pPr>
    </w:p>
    <w:p w14:paraId="6804A13B" w14:textId="15A97B99" w:rsidR="00B5550A" w:rsidRPr="00523E9A" w:rsidRDefault="00B5550A" w:rsidP="00B5550A">
      <w:pPr>
        <w:tabs>
          <w:tab w:val="clear" w:pos="284"/>
        </w:tabs>
        <w:ind w:firstLine="720"/>
        <w:rPr>
          <w:shd w:val="clear" w:color="auto" w:fill="FFFFFF"/>
        </w:rPr>
      </w:pPr>
      <w:r w:rsidRPr="00523E9A">
        <w:rPr>
          <w:lang w:val="en-GB"/>
        </w:rPr>
        <w:t>We used the “</w:t>
      </w:r>
      <w:r w:rsidR="0043271D" w:rsidRPr="00523E9A">
        <w:rPr>
          <w:lang w:val="en-GB"/>
        </w:rPr>
        <w:t>self-interest-seeking</w:t>
      </w:r>
      <w:r w:rsidRPr="00523E9A">
        <w:rPr>
          <w:lang w:val="en-GB"/>
        </w:rPr>
        <w:t xml:space="preserve"> </w:t>
      </w:r>
      <w:proofErr w:type="spellStart"/>
      <w:r w:rsidRPr="00523E9A">
        <w:rPr>
          <w:lang w:val="en-GB"/>
        </w:rPr>
        <w:t>behavior</w:t>
      </w:r>
      <w:proofErr w:type="spellEnd"/>
      <w:r w:rsidRPr="00523E9A">
        <w:rPr>
          <w:lang w:val="en-GB"/>
        </w:rPr>
        <w:t xml:space="preserve">” of the supplier as an instrument for trust. Given that such </w:t>
      </w:r>
      <w:proofErr w:type="spellStart"/>
      <w:r w:rsidRPr="00523E9A">
        <w:rPr>
          <w:lang w:val="en-GB"/>
        </w:rPr>
        <w:t>behavior</w:t>
      </w:r>
      <w:proofErr w:type="spellEnd"/>
      <w:r w:rsidRPr="00523E9A">
        <w:rPr>
          <w:lang w:val="en-GB"/>
        </w:rPr>
        <w:t xml:space="preserve"> could prompt distrust, it can significantly impede the development of social embeddedness in relationships </w:t>
      </w:r>
      <w:r w:rsidRPr="00523E9A">
        <w:rPr>
          <w:lang w:val="en-GB"/>
        </w:rPr>
        <w:fldChar w:fldCharType="begin"/>
      </w:r>
      <w:r w:rsidR="00B32E7B" w:rsidRPr="00523E9A">
        <w:rPr>
          <w:lang w:val="en-GB"/>
        </w:rPr>
        <w:instrText xml:space="preserve"> ADDIN EN.CITE &lt;EndNote&gt;&lt;Cite&gt;&lt;Author&gt;Granovetter&lt;/Author&gt;&lt;Year&gt;1985&lt;/Year&gt;&lt;RecNum&gt;280&lt;/RecNum&gt;&lt;DisplayText&gt;(Granovetter, 1985; Uzzi, 1996)&lt;/DisplayText&gt;&lt;record&gt;&lt;rec-number&gt;280&lt;/rec-number&gt;&lt;foreign-keys&gt;&lt;key app="EN" db-id="9w0szxwprfdzvge5s9gpzdt6pe959zzt5vpt" timestamp="1652772593"&gt;280&lt;/key&gt;&lt;/foreign-keys&gt;&lt;ref-type name="Journal Article"&gt;17&lt;/ref-type&gt;&lt;contributors&gt;&lt;authors&gt;&lt;author&gt;Granovetter, Mark&lt;/author&gt;&lt;/authors&gt;&lt;/contributors&gt;&lt;titles&gt;&lt;title&gt;Economic action and social structure: The problem of embeddedness&lt;/title&gt;&lt;secondary-title&gt;American Journal of Sociology&lt;/secondary-title&gt;&lt;/titles&gt;&lt;periodical&gt;&lt;full-title&gt;American Journal of Sociology&lt;/full-title&gt;&lt;/periodical&gt;&lt;pages&gt;481-510&lt;/pages&gt;&lt;volume&gt;91&lt;/volume&gt;&lt;number&gt;3&lt;/number&gt;&lt;dates&gt;&lt;year&gt;1985&lt;/year&gt;&lt;/dates&gt;&lt;isbn&gt;0002-9602&lt;/isbn&gt;&lt;urls&gt;&lt;/urls&gt;&lt;/record&gt;&lt;/Cite&gt;&lt;Cite&gt;&lt;Author&gt;Uzzi&lt;/Author&gt;&lt;Year&gt;1996&lt;/Year&gt;&lt;RecNum&gt;798&lt;/RecNum&gt;&lt;record&gt;&lt;rec-number&gt;798&lt;/rec-number&gt;&lt;foreign-keys&gt;&lt;key app="EN" db-id="9w0szxwprfdzvge5s9gpzdt6pe959zzt5vpt" timestamp="1652772593"&gt;798&lt;/key&gt;&lt;/foreign-keys&gt;&lt;ref-type name="Journal Article"&gt;17&lt;/ref-type&gt;&lt;contributors&gt;&lt;authors&gt;&lt;author&gt;Uzzi, Brian&lt;/author&gt;&lt;/authors&gt;&lt;/contributors&gt;&lt;titles&gt;&lt;title&gt;The sources and consequences of embeddedness for the economic performance of organizations: The network effect&lt;/title&gt;&lt;secondary-title&gt;American Sociological Review&lt;/secondary-title&gt;&lt;/titles&gt;&lt;periodical&gt;&lt;full-title&gt;American Sociological Review&lt;/full-title&gt;&lt;/periodical&gt;&lt;pages&gt;674-698&lt;/pages&gt;&lt;dates&gt;&lt;year&gt;1996&lt;/year&gt;&lt;/dates&gt;&lt;isbn&gt;0003-1224&lt;/isbn&gt;&lt;urls&gt;&lt;/urls&gt;&lt;/record&gt;&lt;/Cite&gt;&lt;/EndNote&gt;</w:instrText>
      </w:r>
      <w:r w:rsidRPr="00523E9A">
        <w:rPr>
          <w:lang w:val="en-GB"/>
        </w:rPr>
        <w:fldChar w:fldCharType="separate"/>
      </w:r>
      <w:r w:rsidR="00B32E7B" w:rsidRPr="00523E9A">
        <w:rPr>
          <w:noProof/>
          <w:lang w:val="en-GB"/>
        </w:rPr>
        <w:t>(Granovetter, 1985; Uzzi, 1996)</w:t>
      </w:r>
      <w:r w:rsidRPr="00523E9A">
        <w:rPr>
          <w:lang w:val="en-GB"/>
        </w:rPr>
        <w:fldChar w:fldCharType="end"/>
      </w:r>
      <w:r w:rsidRPr="00523E9A">
        <w:rPr>
          <w:lang w:val="en-GB"/>
        </w:rPr>
        <w:t xml:space="preserve">. Accordingly, such </w:t>
      </w:r>
      <w:proofErr w:type="spellStart"/>
      <w:r w:rsidRPr="00523E9A">
        <w:rPr>
          <w:lang w:val="en-GB"/>
        </w:rPr>
        <w:t>behavior</w:t>
      </w:r>
      <w:proofErr w:type="spellEnd"/>
      <w:r w:rsidRPr="00523E9A">
        <w:rPr>
          <w:lang w:val="en-GB"/>
        </w:rPr>
        <w:t xml:space="preserve"> could act as a significant deterrent to the development of trust in a relationship </w:t>
      </w:r>
      <w:r w:rsidRPr="00523E9A">
        <w:rPr>
          <w:lang w:val="en-GB"/>
        </w:rPr>
        <w:fldChar w:fldCharType="begin"/>
      </w:r>
      <w:r w:rsidR="00B32E7B" w:rsidRPr="00523E9A">
        <w:rPr>
          <w:lang w:val="en-GB"/>
        </w:rPr>
        <w:instrText xml:space="preserve"> ADDIN EN.CITE &lt;EndNote&gt;&lt;Cite&gt;&lt;Author&gt;Heide&lt;/Author&gt;&lt;Year&gt;1990&lt;/Year&gt;&lt;RecNum&gt;331&lt;/RecNum&gt;&lt;DisplayText&gt;(Heide &amp;amp; John, 1990; Jap &amp;amp; Anderson, 2003)&lt;/DisplayText&gt;&lt;record&gt;&lt;rec-number&gt;331&lt;/rec-number&gt;&lt;foreign-keys&gt;&lt;key app="EN" db-id="9w0szxwprfdzvge5s9gpzdt6pe959zzt5vpt" timestamp="1652772593"&gt;331&lt;/key&gt;&lt;/foreign-keys&gt;&lt;ref-type name="Journal Article"&gt;17&lt;/ref-type&gt;&lt;contributors&gt;&lt;authors&gt;&lt;author&gt;Heide, Jan B&lt;/author&gt;&lt;author&gt;John, George&lt;/author&gt;&lt;/authors&gt;&lt;/contributors&gt;&lt;titles&gt;&lt;title&gt;Alliances in industrial purchasing: The determinants of joint action in buyer-supplier relationships&lt;/title&gt;&lt;secondary-title&gt;Journal of Marketing Research&lt;/secondary-title&gt;&lt;/titles&gt;&lt;periodical&gt;&lt;full-title&gt;Journal of Marketing Research&lt;/full-title&gt;&lt;/periodical&gt;&lt;pages&gt;24-36&lt;/pages&gt;&lt;volume&gt;27&lt;/volume&gt;&lt;number&gt;1&lt;/number&gt;&lt;dates&gt;&lt;year&gt;1990&lt;/year&gt;&lt;/dates&gt;&lt;isbn&gt;0022-2437&lt;/isbn&gt;&lt;urls&gt;&lt;/urls&gt;&lt;/record&gt;&lt;/Cite&gt;&lt;Cite&gt;&lt;Author&gt;Jap&lt;/Author&gt;&lt;Year&gt;2003&lt;/Year&gt;&lt;RecNum&gt;362&lt;/RecNum&gt;&lt;record&gt;&lt;rec-number&gt;362&lt;/rec-number&gt;&lt;foreign-keys&gt;&lt;key app="EN" db-id="9w0szxwprfdzvge5s9gpzdt6pe959zzt5vpt" timestamp="1652772593"&gt;362&lt;/key&gt;&lt;/foreign-keys&gt;&lt;ref-type name="Journal Article"&gt;17&lt;/ref-type&gt;&lt;contributors&gt;&lt;authors&gt;&lt;author&gt;Jap, Sandy D&lt;/author&gt;&lt;author&gt;Anderson, Erin&lt;/author&gt;&lt;/authors&gt;&lt;/contributors&gt;&lt;titles&gt;&lt;title&gt;Safeguarding interorganizational performance and continuity under ex post opportunism&lt;/title&gt;&lt;secondary-title&gt;Management Science&lt;/secondary-title&gt;&lt;/titles&gt;&lt;periodical&gt;&lt;full-title&gt;Management Science&lt;/full-title&gt;&lt;/periodical&gt;&lt;pages&gt;1684-1701&lt;/pages&gt;&lt;volume&gt;49&lt;/volume&gt;&lt;number&gt;12&lt;/number&gt;&lt;dates&gt;&lt;year&gt;2003&lt;/year&gt;&lt;/dates&gt;&lt;isbn&gt;0025-1909&lt;/isbn&gt;&lt;urls&gt;&lt;/urls&gt;&lt;/record&gt;&lt;/Cite&gt;&lt;/EndNote&gt;</w:instrText>
      </w:r>
      <w:r w:rsidRPr="00523E9A">
        <w:rPr>
          <w:lang w:val="en-GB"/>
        </w:rPr>
        <w:fldChar w:fldCharType="separate"/>
      </w:r>
      <w:r w:rsidR="00B32E7B" w:rsidRPr="00523E9A">
        <w:rPr>
          <w:noProof/>
          <w:lang w:val="en-GB"/>
        </w:rPr>
        <w:t>(Heide &amp; John, 1990; Jap &amp; Anderson, 2003)</w:t>
      </w:r>
      <w:r w:rsidRPr="00523E9A">
        <w:rPr>
          <w:lang w:val="en-GB"/>
        </w:rPr>
        <w:fldChar w:fldCharType="end"/>
      </w:r>
      <w:r w:rsidRPr="00523E9A">
        <w:rPr>
          <w:lang w:val="en-GB"/>
        </w:rPr>
        <w:t xml:space="preserve">. As for interdependence, we used the “replaceability” of the supplier as the first instrument. Replaceability refers to the difficulty experienced by the buying firm to replace a supplier; among others, this difficulty could be driven by high switching costs as well as the absence of alternative suppliers </w:t>
      </w:r>
      <w:r w:rsidRPr="00523E9A">
        <w:rPr>
          <w:lang w:val="en-GB"/>
        </w:rPr>
        <w:fldChar w:fldCharType="begin"/>
      </w:r>
      <w:r w:rsidR="00B32E7B" w:rsidRPr="00523E9A">
        <w:rPr>
          <w:lang w:val="en-GB"/>
        </w:rPr>
        <w:instrText xml:space="preserve"> ADDIN EN.CITE &lt;EndNote&gt;&lt;Cite&gt;&lt;Author&gt;Buchanan&lt;/Author&gt;&lt;Year&gt;1992&lt;/Year&gt;&lt;RecNum&gt;98&lt;/RecNum&gt;&lt;DisplayText&gt;(Buchanan, 1992)&lt;/DisplayText&gt;&lt;record&gt;&lt;rec-number&gt;98&lt;/rec-number&gt;&lt;foreign-keys&gt;&lt;key app="EN" db-id="9w0szxwprfdzvge5s9gpzdt6pe959zzt5vpt" timestamp="1652772593"&gt;98&lt;/key&gt;&lt;/foreign-keys&gt;&lt;ref-type name="Journal Article"&gt;17&lt;/ref-type&gt;&lt;contributors&gt;&lt;authors&gt;&lt;author&gt;Buchanan, Lauranne&lt;/author&gt;&lt;/authors&gt;&lt;/contributors&gt;&lt;titles&gt;&lt;title&gt;Vertical trade relationships: the role of dependence and symmetry in attaining organizational goals&lt;/title&gt;&lt;secondary-title&gt;Journal of Marketing Research&lt;/secondary-title&gt;&lt;/titles&gt;&lt;periodical&gt;&lt;full-title&gt;Journal of Marketing Research&lt;/full-title&gt;&lt;/periodical&gt;&lt;pages&gt;65-75&lt;/pages&gt;&lt;volume&gt;29&lt;/volume&gt;&lt;number&gt;1&lt;/number&gt;&lt;dates&gt;&lt;year&gt;1992&lt;/year&gt;&lt;/dates&gt;&lt;isbn&gt;0022-2437&lt;/isbn&gt;&lt;urls&gt;&lt;/urls&gt;&lt;/record&gt;&lt;/Cite&gt;&lt;/EndNote&gt;</w:instrText>
      </w:r>
      <w:r w:rsidRPr="00523E9A">
        <w:rPr>
          <w:lang w:val="en-GB"/>
        </w:rPr>
        <w:fldChar w:fldCharType="separate"/>
      </w:r>
      <w:r w:rsidR="00B32E7B" w:rsidRPr="00523E9A">
        <w:rPr>
          <w:noProof/>
          <w:lang w:val="en-GB"/>
        </w:rPr>
        <w:t>(Buchanan, 1992)</w:t>
      </w:r>
      <w:r w:rsidRPr="00523E9A">
        <w:rPr>
          <w:lang w:val="en-GB"/>
        </w:rPr>
        <w:fldChar w:fldCharType="end"/>
      </w:r>
      <w:r w:rsidRPr="00523E9A">
        <w:rPr>
          <w:lang w:val="en-GB"/>
        </w:rPr>
        <w:t xml:space="preserve">. If the replaceability of the supplier is difficult, then there is </w:t>
      </w:r>
      <w:r w:rsidR="002E78CB" w:rsidRPr="00523E9A">
        <w:rPr>
          <w:lang w:val="en-GB"/>
        </w:rPr>
        <w:t xml:space="preserve">a </w:t>
      </w:r>
      <w:r w:rsidRPr="00523E9A">
        <w:rPr>
          <w:lang w:val="en-GB"/>
        </w:rPr>
        <w:t xml:space="preserve">higher chance that the buying firm would want to increase the level of interdependence in the relationship </w:t>
      </w:r>
      <w:r w:rsidRPr="00523E9A">
        <w:rPr>
          <w:lang w:val="en-GB"/>
        </w:rPr>
        <w:fldChar w:fldCharType="begin"/>
      </w:r>
      <w:r w:rsidR="00B32E7B" w:rsidRPr="00523E9A">
        <w:rPr>
          <w:lang w:val="en-GB"/>
        </w:rPr>
        <w:instrText xml:space="preserve"> ADDIN EN.CITE &lt;EndNote&gt;&lt;Cite&gt;&lt;Author&gt;Heide&lt;/Author&gt;&lt;Year&gt;1988&lt;/Year&gt;&lt;RecNum&gt;330&lt;/RecNum&gt;&lt;DisplayText&gt;(Geyskens et al., 1996; Heide &amp;amp; John, 1988)&lt;/DisplayText&gt;&lt;record&gt;&lt;rec-number&gt;330&lt;/rec-number&gt;&lt;foreign-keys&gt;&lt;key app="EN" db-id="9w0szxwprfdzvge5s9gpzdt6pe959zzt5vpt" timestamp="1652772593"&gt;330&lt;/key&gt;&lt;/foreign-keys&gt;&lt;ref-type name="Journal Article"&gt;17&lt;/ref-type&gt;&lt;contributors&gt;&lt;authors&gt;&lt;author&gt;Heide, Jan B&lt;/author&gt;&lt;author&gt;John, George&lt;/author&gt;&lt;/authors&gt;&lt;/contributors&gt;&lt;titles&gt;&lt;title&gt;The role of dependence balancing in safeguarding transaction-specific assets in conventional channels&lt;/title&gt;&lt;secondary-title&gt;Journal of Marketing&lt;/secondary-title&gt;&lt;/titles&gt;&lt;periodical&gt;&lt;full-title&gt;Journal of Marketing&lt;/full-title&gt;&lt;/periodical&gt;&lt;pages&gt;20-35&lt;/pages&gt;&lt;volume&gt;52&lt;/volume&gt;&lt;number&gt;1&lt;/number&gt;&lt;dates&gt;&lt;year&gt;1988&lt;/year&gt;&lt;/dates&gt;&lt;isbn&gt;0022-2429&lt;/isbn&gt;&lt;urls&gt;&lt;/urls&gt;&lt;/record&gt;&lt;/Cite&gt;&lt;Cite&gt;&lt;Author&gt;Geyskens&lt;/Author&gt;&lt;Year&gt;1996&lt;/Year&gt;&lt;RecNum&gt;257&lt;/RecNum&gt;&lt;record&gt;&lt;rec-number&gt;257&lt;/rec-number&gt;&lt;foreign-keys&gt;&lt;key app="EN" db-id="9w0szxwprfdzvge5s9gpzdt6pe959zzt5vpt" timestamp="1652772593"&gt;257&lt;/key&gt;&lt;/foreign-keys&gt;&lt;ref-type name="Journal Article"&gt;17&lt;/ref-type&gt;&lt;contributors&gt;&lt;authors&gt;&lt;author&gt;Geyskens, Inge&lt;/author&gt;&lt;author&gt;Steenkamp, Jan-Benedict EM&lt;/author&gt;&lt;author&gt;Scheer, Lisa K&lt;/author&gt;&lt;author&gt;Kumar, Nirmalya&lt;/author&gt;&lt;/authors&gt;&lt;/contributors&gt;&lt;titles&gt;&lt;title&gt;The effects of trust and interdependence on relationship commitment: A trans-Atlantic study&lt;/title&gt;&lt;secondary-title&gt;International Journal of Research in Marketing&lt;/secondary-title&gt;&lt;/titles&gt;&lt;periodical&gt;&lt;full-title&gt;International Journal of Research in Marketing&lt;/full-title&gt;&lt;/periodical&gt;&lt;pages&gt;303-317&lt;/pages&gt;&lt;volume&gt;13&lt;/volume&gt;&lt;number&gt;4&lt;/number&gt;&lt;dates&gt;&lt;year&gt;1996&lt;/year&gt;&lt;/dates&gt;&lt;urls&gt;&lt;/urls&gt;&lt;/record&gt;&lt;/Cite&gt;&lt;/EndNote&gt;</w:instrText>
      </w:r>
      <w:r w:rsidRPr="00523E9A">
        <w:rPr>
          <w:lang w:val="en-GB"/>
        </w:rPr>
        <w:fldChar w:fldCharType="separate"/>
      </w:r>
      <w:r w:rsidR="00B32E7B" w:rsidRPr="00523E9A">
        <w:rPr>
          <w:noProof/>
          <w:lang w:val="en-GB"/>
        </w:rPr>
        <w:t>(Geyskens et al., 1996; Heide &amp; John, 1988)</w:t>
      </w:r>
      <w:r w:rsidRPr="00523E9A">
        <w:rPr>
          <w:lang w:val="en-GB"/>
        </w:rPr>
        <w:fldChar w:fldCharType="end"/>
      </w:r>
      <w:r w:rsidRPr="00523E9A">
        <w:rPr>
          <w:lang w:val="en-GB"/>
        </w:rPr>
        <w:t xml:space="preserve">. In addition, we used “loyalty” towards the supplier as an instrument for both trust and interdependence. Loyalty, in general, implies that the buying firm is deeply committed to the relationship and is keen on overcoming any obstacles that might prevent such a commitment </w:t>
      </w:r>
      <w:r w:rsidRPr="00523E9A">
        <w:rPr>
          <w:lang w:val="en-GB"/>
        </w:rPr>
        <w:fldChar w:fldCharType="begin"/>
      </w:r>
      <w:r w:rsidR="00B32E7B" w:rsidRPr="00523E9A">
        <w:rPr>
          <w:lang w:val="en-GB"/>
        </w:rPr>
        <w:instrText xml:space="preserve"> ADDIN EN.CITE &lt;EndNote&gt;&lt;Cite&gt;&lt;Author&gt;Oliver&lt;/Author&gt;&lt;Year&gt;1999&lt;/Year&gt;&lt;RecNum&gt;591&lt;/RecNum&gt;&lt;DisplayText&gt;(Oliver, 1999; Scheer et al., 2010)&lt;/DisplayText&gt;&lt;record&gt;&lt;rec-number&gt;591&lt;/rec-number&gt;&lt;foreign-keys&gt;&lt;key app="EN" db-id="9w0szxwprfdzvge5s9gpzdt6pe959zzt5vpt" timestamp="1652772593"&gt;591&lt;/key&gt;&lt;/foreign-keys&gt;&lt;ref-type name="Journal Article"&gt;17&lt;/ref-type&gt;&lt;contributors&gt;&lt;authors&gt;&lt;author&gt;Oliver, Richard L&lt;/author&gt;&lt;/authors&gt;&lt;/contributors&gt;&lt;titles&gt;&lt;title&gt;Whence consumer loyalty?&lt;/title&gt;&lt;secondary-title&gt;Journal of Marketing&lt;/secondary-title&gt;&lt;/titles&gt;&lt;periodical&gt;&lt;full-title&gt;Journal of Marketing&lt;/full-title&gt;&lt;/periodical&gt;&lt;pages&gt;33-44&lt;/pages&gt;&lt;volume&gt;63&lt;/volume&gt;&lt;number&gt;4_suppl1&lt;/number&gt;&lt;dates&gt;&lt;year&gt;1999&lt;/year&gt;&lt;/dates&gt;&lt;isbn&gt;0022-2429&lt;/isbn&gt;&lt;urls&gt;&lt;/urls&gt;&lt;/record&gt;&lt;/Cite&gt;&lt;Cite&gt;&lt;Author&gt;Scheer&lt;/Author&gt;&lt;Year&gt;2010&lt;/Year&gt;&lt;RecNum&gt;705&lt;/RecNum&gt;&lt;record&gt;&lt;rec-number&gt;705&lt;/rec-number&gt;&lt;foreign-keys&gt;&lt;key app="EN" db-id="9w0szxwprfdzvge5s9gpzdt6pe959zzt5vpt" timestamp="1652772593"&gt;705&lt;/key&gt;&lt;/foreign-keys&gt;&lt;ref-type name="Journal Article"&gt;17&lt;/ref-type&gt;&lt;contributors&gt;&lt;authors&gt;&lt;author&gt;Scheer, Lisa K&lt;/author&gt;&lt;author&gt;Miao, C Fred&lt;/author&gt;&lt;author&gt;Garrett, Jason&lt;/author&gt;&lt;/authors&gt;&lt;/contributors&gt;&lt;titles&gt;&lt;title&gt;The effects of supplier capabilities on industrial customers’ loyalty: The role of dependence&lt;/title&gt;&lt;secondary-title&gt;Journal of the Academy of Marketing Science&lt;/secondary-title&gt;&lt;/titles&gt;&lt;periodical&gt;&lt;full-title&gt;Journal of the Academy of Marketing Science&lt;/full-title&gt;&lt;/periodical&gt;&lt;pages&gt;90-104&lt;/pages&gt;&lt;volume&gt;38&lt;/volume&gt;&lt;number&gt;1&lt;/number&gt;&lt;dates&gt;&lt;year&gt;2010&lt;/year&gt;&lt;/dates&gt;&lt;isbn&gt;0092-0703&lt;/isbn&gt;&lt;urls&gt;&lt;/urls&gt;&lt;/record&gt;&lt;/Cite&gt;&lt;/EndNote&gt;</w:instrText>
      </w:r>
      <w:r w:rsidRPr="00523E9A">
        <w:rPr>
          <w:lang w:val="en-GB"/>
        </w:rPr>
        <w:fldChar w:fldCharType="separate"/>
      </w:r>
      <w:r w:rsidR="00B32E7B" w:rsidRPr="00523E9A">
        <w:rPr>
          <w:noProof/>
          <w:lang w:val="en-GB"/>
        </w:rPr>
        <w:t>(Oliver, 1999; Scheer et al., 2010)</w:t>
      </w:r>
      <w:r w:rsidRPr="00523E9A">
        <w:rPr>
          <w:lang w:val="en-GB"/>
        </w:rPr>
        <w:fldChar w:fldCharType="end"/>
      </w:r>
      <w:r w:rsidRPr="00523E9A">
        <w:rPr>
          <w:lang w:val="en-GB"/>
        </w:rPr>
        <w:t xml:space="preserve">. Given that it signifies the degree to which the buying firm wants to retain the services of the supplier way into the future, it also personifies the notion of continuity forwarded by </w:t>
      </w:r>
      <w:r w:rsidRPr="00523E9A">
        <w:rPr>
          <w:lang w:val="en-GB"/>
        </w:rPr>
        <w:fldChar w:fldCharType="begin"/>
      </w:r>
      <w:r w:rsidR="00B32E7B" w:rsidRPr="00523E9A">
        <w:rPr>
          <w:lang w:val="en-GB"/>
        </w:rPr>
        <w:instrText xml:space="preserve"> ADDIN EN.CITE &lt;EndNote&gt;&lt;Cite AuthorYear="1"&gt;&lt;Author&gt;Heide&lt;/Author&gt;&lt;Year&gt;1990&lt;/Year&gt;&lt;RecNum&gt;331&lt;/RecNum&gt;&lt;DisplayText&gt;Heide and John (1990)&lt;/DisplayText&gt;&lt;record&gt;&lt;rec-number&gt;331&lt;/rec-number&gt;&lt;foreign-keys&gt;&lt;key app="EN" db-id="9w0szxwprfdzvge5s9gpzdt6pe959zzt5vpt" timestamp="1652772593"&gt;331&lt;/key&gt;&lt;/foreign-keys&gt;&lt;ref-type name="Journal Article"&gt;17&lt;/ref-type&gt;&lt;contributors&gt;&lt;authors&gt;&lt;author&gt;Heide, Jan B&lt;/author&gt;&lt;author&gt;John, George&lt;/author&gt;&lt;/authors&gt;&lt;/contributors&gt;&lt;titles&gt;&lt;title&gt;Alliances in industrial purchasing: The determinants of joint action in buyer-supplier relationships&lt;/title&gt;&lt;secondary-title&gt;Journal of Marketing Research&lt;/secondary-title&gt;&lt;/titles&gt;&lt;periodical&gt;&lt;full-title&gt;Journal of Marketing Research&lt;/full-title&gt;&lt;/periodical&gt;&lt;pages&gt;24-36&lt;/pages&gt;&lt;volume&gt;27&lt;/volume&gt;&lt;number&gt;1&lt;/number&gt;&lt;dates&gt;&lt;year&gt;1990&lt;/year&gt;&lt;/dates&gt;&lt;isbn&gt;0022-2437&lt;/isbn&gt;&lt;urls&gt;&lt;/urls&gt;&lt;/record&gt;&lt;/Cite&gt;&lt;/EndNote&gt;</w:instrText>
      </w:r>
      <w:r w:rsidRPr="00523E9A">
        <w:rPr>
          <w:lang w:val="en-GB"/>
        </w:rPr>
        <w:fldChar w:fldCharType="separate"/>
      </w:r>
      <w:r w:rsidR="00B32E7B" w:rsidRPr="00523E9A">
        <w:rPr>
          <w:noProof/>
          <w:lang w:val="en-GB"/>
        </w:rPr>
        <w:t>Heide and John (1990)</w:t>
      </w:r>
      <w:r w:rsidRPr="00523E9A">
        <w:rPr>
          <w:lang w:val="en-GB"/>
        </w:rPr>
        <w:fldChar w:fldCharType="end"/>
      </w:r>
      <w:r w:rsidRPr="00523E9A">
        <w:rPr>
          <w:lang w:val="en-GB"/>
        </w:rPr>
        <w:t xml:space="preserve">). Accordingly, loyalty has the potential to result in increased levels of both trust and interdependence in the relationship </w:t>
      </w:r>
      <w:r w:rsidRPr="00523E9A">
        <w:rPr>
          <w:lang w:val="en-GB"/>
        </w:rPr>
        <w:fldChar w:fldCharType="begin"/>
      </w:r>
      <w:r w:rsidR="00B32E7B" w:rsidRPr="00523E9A">
        <w:rPr>
          <w:lang w:val="en-GB"/>
        </w:rPr>
        <w:instrText xml:space="preserve"> ADDIN EN.CITE &lt;EndNote&gt;&lt;Cite&gt;&lt;Author&gt;Hald&lt;/Author&gt;&lt;Year&gt;2009&lt;/Year&gt;&lt;RecNum&gt;307&lt;/RecNum&gt;&lt;DisplayText&gt;(Hald et al., 2009)&lt;/DisplayText&gt;&lt;record&gt;&lt;rec-number&gt;307&lt;/rec-number&gt;&lt;foreign-keys&gt;&lt;key app="EN" db-id="9w0szxwprfdzvge5s9gpzdt6pe959zzt5vpt" timestamp="1652772593"&gt;307&lt;/key&gt;&lt;/foreign-keys&gt;&lt;ref-type name="Journal Article"&gt;17&lt;/ref-type&gt;&lt;contributors&gt;&lt;authors&gt;&lt;author&gt;Hald, Kim Sundtoft&lt;/author&gt;&lt;author&gt;Cordón, Carlos&lt;/author&gt;&lt;author&gt;Vollmann, Thomas E&lt;/author&gt;&lt;/authors&gt;&lt;/contributors&gt;&lt;titles&gt;&lt;title&gt;Towards an understanding of attraction in buyer–supplier relationships&lt;/title&gt;&lt;secondary-title&gt;Industrial Marketing Management&lt;/secondary-title&gt;&lt;/titles&gt;&lt;periodical&gt;&lt;full-title&gt;Industrial Marketing Management&lt;/full-title&gt;&lt;/periodical&gt;&lt;pages&gt;960-970&lt;/pages&gt;&lt;volume&gt;38&lt;/volume&gt;&lt;number&gt;8&lt;/number&gt;&lt;dates&gt;&lt;year&gt;2009&lt;/year&gt;&lt;/dates&gt;&lt;isbn&gt;0019-8501&lt;/isbn&gt;&lt;urls&gt;&lt;/urls&gt;&lt;/record&gt;&lt;/Cite&gt;&lt;/EndNote&gt;</w:instrText>
      </w:r>
      <w:r w:rsidRPr="00523E9A">
        <w:rPr>
          <w:lang w:val="en-GB"/>
        </w:rPr>
        <w:fldChar w:fldCharType="separate"/>
      </w:r>
      <w:r w:rsidR="00B32E7B" w:rsidRPr="00523E9A">
        <w:rPr>
          <w:noProof/>
          <w:lang w:val="en-GB"/>
        </w:rPr>
        <w:t>(Hald et al., 2009)</w:t>
      </w:r>
      <w:r w:rsidRPr="00523E9A">
        <w:rPr>
          <w:lang w:val="en-GB"/>
        </w:rPr>
        <w:fldChar w:fldCharType="end"/>
      </w:r>
      <w:r w:rsidRPr="00523E9A">
        <w:rPr>
          <w:lang w:val="en-GB"/>
        </w:rPr>
        <w:t>. We measured loyalty using the question “we will not switch from this supplier at any cost</w:t>
      </w:r>
      <w:r w:rsidR="0043271D" w:rsidRPr="00523E9A">
        <w:rPr>
          <w:lang w:val="en-GB"/>
        </w:rPr>
        <w:t>.</w:t>
      </w:r>
      <w:r w:rsidRPr="00523E9A">
        <w:rPr>
          <w:lang w:val="en-GB"/>
        </w:rPr>
        <w:t xml:space="preserve">” All three instruments were measured using a 5-point Likert scale with </w:t>
      </w:r>
      <w:r w:rsidR="0043271D" w:rsidRPr="00523E9A">
        <w:rPr>
          <w:lang w:val="en-GB"/>
        </w:rPr>
        <w:t>endpoints of “strongly disagree” to “strongly agree.”</w:t>
      </w:r>
    </w:p>
    <w:p w14:paraId="4B4C8276" w14:textId="0BF529A4" w:rsidR="00627D50" w:rsidRPr="00523E9A" w:rsidRDefault="00627D50">
      <w:pPr>
        <w:tabs>
          <w:tab w:val="clear" w:pos="284"/>
        </w:tabs>
        <w:spacing w:line="240" w:lineRule="auto"/>
        <w:ind w:firstLine="0"/>
        <w:jc w:val="left"/>
        <w:rPr>
          <w:b/>
          <w:bCs/>
          <w:shd w:val="clear" w:color="auto" w:fill="FFFFFF"/>
        </w:rPr>
      </w:pPr>
    </w:p>
    <w:p w14:paraId="03733D9D" w14:textId="77777777" w:rsidR="00B32E7B" w:rsidRPr="00523E9A" w:rsidRDefault="00B32E7B">
      <w:pPr>
        <w:tabs>
          <w:tab w:val="clear" w:pos="284"/>
        </w:tabs>
        <w:spacing w:line="240" w:lineRule="auto"/>
        <w:ind w:firstLine="0"/>
        <w:jc w:val="left"/>
        <w:rPr>
          <w:b/>
          <w:bCs/>
          <w:shd w:val="clear" w:color="auto" w:fill="FFFFFF"/>
        </w:rPr>
      </w:pPr>
      <w:r w:rsidRPr="00523E9A">
        <w:rPr>
          <w:b/>
          <w:bCs/>
          <w:shd w:val="clear" w:color="auto" w:fill="FFFFFF"/>
        </w:rPr>
        <w:br w:type="page"/>
      </w:r>
    </w:p>
    <w:p w14:paraId="19104A0A" w14:textId="40A675CB" w:rsidR="00BA5A9D" w:rsidRPr="00523E9A" w:rsidRDefault="001C444C" w:rsidP="00BA5A9D">
      <w:pPr>
        <w:tabs>
          <w:tab w:val="clear" w:pos="284"/>
        </w:tabs>
        <w:adjustRightInd w:val="0"/>
        <w:snapToGrid w:val="0"/>
        <w:spacing w:line="240" w:lineRule="auto"/>
        <w:ind w:firstLine="0"/>
        <w:jc w:val="center"/>
        <w:rPr>
          <w:b/>
          <w:bCs/>
          <w:shd w:val="clear" w:color="auto" w:fill="FFFFFF"/>
        </w:rPr>
      </w:pPr>
      <w:r w:rsidRPr="00523E9A">
        <w:rPr>
          <w:b/>
          <w:bCs/>
          <w:shd w:val="clear" w:color="auto" w:fill="FFFFFF"/>
        </w:rPr>
        <w:lastRenderedPageBreak/>
        <w:t xml:space="preserve">Appendix </w:t>
      </w:r>
      <w:r w:rsidR="00A07E69" w:rsidRPr="00523E9A">
        <w:rPr>
          <w:b/>
          <w:bCs/>
          <w:shd w:val="clear" w:color="auto" w:fill="FFFFFF"/>
        </w:rPr>
        <w:t>C</w:t>
      </w:r>
    </w:p>
    <w:p w14:paraId="06133EE8" w14:textId="54FD6B75" w:rsidR="001C444C" w:rsidRPr="00523E9A" w:rsidRDefault="001C444C" w:rsidP="00BA5A9D">
      <w:pPr>
        <w:tabs>
          <w:tab w:val="clear" w:pos="284"/>
        </w:tabs>
        <w:adjustRightInd w:val="0"/>
        <w:snapToGrid w:val="0"/>
        <w:spacing w:line="240" w:lineRule="auto"/>
        <w:ind w:firstLine="0"/>
        <w:jc w:val="center"/>
        <w:rPr>
          <w:b/>
          <w:bCs/>
          <w:shd w:val="clear" w:color="auto" w:fill="FFFFFF"/>
        </w:rPr>
      </w:pPr>
      <w:r w:rsidRPr="00523E9A">
        <w:rPr>
          <w:b/>
          <w:bCs/>
          <w:shd w:val="clear" w:color="auto" w:fill="FFFFFF"/>
        </w:rPr>
        <w:t>Polynomial Regression Analysis</w:t>
      </w:r>
    </w:p>
    <w:p w14:paraId="7465CE48" w14:textId="77777777" w:rsidR="00BA5A9D" w:rsidRPr="00523E9A" w:rsidRDefault="00BA5A9D" w:rsidP="00BA5A9D">
      <w:pPr>
        <w:tabs>
          <w:tab w:val="clear" w:pos="284"/>
        </w:tabs>
        <w:adjustRightInd w:val="0"/>
        <w:snapToGrid w:val="0"/>
        <w:spacing w:line="240" w:lineRule="auto"/>
        <w:ind w:firstLine="0"/>
        <w:jc w:val="center"/>
        <w:rPr>
          <w:b/>
          <w:bCs/>
          <w:shd w:val="clear" w:color="auto" w:fill="FFFFFF"/>
        </w:rPr>
      </w:pPr>
    </w:p>
    <w:p w14:paraId="44A2F9C0" w14:textId="60CB739B" w:rsidR="001C444C" w:rsidRPr="00523E9A" w:rsidRDefault="001C444C" w:rsidP="00A33288">
      <w:pPr>
        <w:pStyle w:val="BodyTextIndent"/>
        <w:tabs>
          <w:tab w:val="clear" w:pos="284"/>
          <w:tab w:val="left" w:pos="540"/>
        </w:tabs>
        <w:suppressAutoHyphens/>
        <w:spacing w:after="0"/>
        <w:ind w:left="0" w:firstLine="567"/>
      </w:pPr>
      <w:r w:rsidRPr="00523E9A">
        <w:t>We tested the first hypothesis (H</w:t>
      </w:r>
      <w:r w:rsidRPr="00523E9A">
        <w:rPr>
          <w:vertAlign w:val="subscript"/>
        </w:rPr>
        <w:t>1</w:t>
      </w:r>
      <w:r w:rsidRPr="00523E9A">
        <w:t xml:space="preserve">) based on the </w:t>
      </w:r>
      <w:r w:rsidR="00700EE7" w:rsidRPr="00523E9A">
        <w:t xml:space="preserve">statistics of the </w:t>
      </w:r>
      <w:r w:rsidRPr="00523E9A">
        <w:t xml:space="preserve">response surfaces </w:t>
      </w:r>
      <w:r w:rsidRPr="00523E9A">
        <w:fldChar w:fldCharType="begin"/>
      </w:r>
      <w:r w:rsidR="00B32E7B" w:rsidRPr="00523E9A">
        <w:instrText xml:space="preserve"> ADDIN EN.CITE &lt;EndNote&gt;&lt;Cite&gt;&lt;Author&gt;Edwards&lt;/Author&gt;&lt;Year&gt;1993&lt;/Year&gt;&lt;RecNum&gt;329&lt;/RecNum&gt;&lt;DisplayText&gt;(Edwards &amp;amp; Parry, 1993; Myers et al., 2009)&lt;/DisplayText&gt;&lt;record&gt;&lt;rec-number&gt;329&lt;/rec-number&gt;&lt;foreign-keys&gt;&lt;key app="EN" db-id="awd2e92tmzfaw9e2zz2pdpvcwdde0w9ttztt" timestamp="1599315886"&gt;329&lt;/key&gt;&lt;/foreign-keys&gt;&lt;ref-type name="Journal Article"&gt;17&lt;/ref-type&gt;&lt;contributors&gt;&lt;authors&gt;&lt;author&gt;Edwards, Jeffrey R&lt;/author&gt;&lt;author&gt;Parry, Mark E&lt;/author&gt;&lt;/authors&gt;&lt;/contributors&gt;&lt;titles&gt;&lt;title&gt;On the use of polynomial regression equations as an alternative to difference scores in organizational research&lt;/title&gt;&lt;secondary-title&gt;Academy of Management journal&lt;/secondary-title&gt;&lt;/titles&gt;&lt;periodical&gt;&lt;full-title&gt;Academy of Management Journal&lt;/full-title&gt;&lt;/periodical&gt;&lt;pages&gt;1577-1613&lt;/pages&gt;&lt;volume&gt;36&lt;/volume&gt;&lt;number&gt;6&lt;/number&gt;&lt;dates&gt;&lt;year&gt;1993&lt;/year&gt;&lt;/dates&gt;&lt;isbn&gt;0001-4273&lt;/isbn&gt;&lt;urls&gt;&lt;/urls&gt;&lt;/record&gt;&lt;/Cite&gt;&lt;Cite&gt;&lt;Author&gt;Myers&lt;/Author&gt;&lt;Year&gt;2009&lt;/Year&gt;&lt;RecNum&gt;569&lt;/RecNum&gt;&lt;record&gt;&lt;rec-number&gt;569&lt;/rec-number&gt;&lt;foreign-keys&gt;&lt;key app="EN" db-id="9w0szxwprfdzvge5s9gpzdt6pe959zzt5vpt" timestamp="1652772593"&gt;569&lt;/key&gt;&lt;/foreign-keys&gt;&lt;ref-type name="Book"&gt;6&lt;/ref-type&gt;&lt;contributors&gt;&lt;authors&gt;&lt;author&gt;Myers, R.H.&lt;/author&gt;&lt;author&gt;Montgomery, D.C. &lt;/author&gt;&lt;author&gt;Anderson-Cook, C.M.&lt;/author&gt;&lt;/authors&gt;&lt;/contributors&gt;&lt;titles&gt;&lt;title&gt;Response surface methodology: Process and product optimization using designed experiments&lt;/title&gt;&lt;/titles&gt;&lt;dates&gt;&lt;year&gt;2009&lt;/year&gt;&lt;/dates&gt;&lt;pub-location&gt;New York, NY&lt;/pub-location&gt;&lt;publisher&gt;Wiley&lt;/publisher&gt;&lt;urls&gt;&lt;/urls&gt;&lt;/record&gt;&lt;/Cite&gt;&lt;/EndNote&gt;</w:instrText>
      </w:r>
      <w:r w:rsidRPr="00523E9A">
        <w:fldChar w:fldCharType="separate"/>
      </w:r>
      <w:r w:rsidR="00B32E7B" w:rsidRPr="00523E9A">
        <w:rPr>
          <w:noProof/>
        </w:rPr>
        <w:t>(Edwards &amp; Parry, 1993; Myers et al., 2009)</w:t>
      </w:r>
      <w:r w:rsidRPr="00523E9A">
        <w:fldChar w:fldCharType="end"/>
      </w:r>
      <w:r w:rsidRPr="00523E9A">
        <w:t>. In general, the polynomial regression involves the following quadratic equation:</w:t>
      </w:r>
    </w:p>
    <w:p w14:paraId="22EEBECE" w14:textId="77777777" w:rsidR="001C444C" w:rsidRPr="00523E9A" w:rsidRDefault="001C444C" w:rsidP="00A33288">
      <w:pPr>
        <w:pStyle w:val="BodyText"/>
        <w:suppressAutoHyphens/>
        <w:spacing w:after="0" w:line="480" w:lineRule="auto"/>
        <w:ind w:left="720" w:firstLine="720"/>
      </w:pPr>
      <w:r w:rsidRPr="00523E9A">
        <w:t>IP = b</w:t>
      </w:r>
      <w:r w:rsidRPr="00523E9A">
        <w:rPr>
          <w:vertAlign w:val="subscript"/>
        </w:rPr>
        <w:t>0</w:t>
      </w:r>
      <w:r w:rsidRPr="00523E9A">
        <w:t xml:space="preserve"> + b</w:t>
      </w:r>
      <w:r w:rsidRPr="00523E9A">
        <w:rPr>
          <w:vertAlign w:val="subscript"/>
        </w:rPr>
        <w:t xml:space="preserve">1 </w:t>
      </w:r>
      <w:r w:rsidRPr="00523E9A">
        <w:t>T + b</w:t>
      </w:r>
      <w:r w:rsidRPr="00523E9A">
        <w:rPr>
          <w:vertAlign w:val="subscript"/>
        </w:rPr>
        <w:t xml:space="preserve">2 </w:t>
      </w:r>
      <w:r w:rsidRPr="00523E9A">
        <w:t>I+ b</w:t>
      </w:r>
      <w:r w:rsidRPr="00523E9A">
        <w:rPr>
          <w:vertAlign w:val="subscript"/>
        </w:rPr>
        <w:t xml:space="preserve">3 </w:t>
      </w:r>
      <w:r w:rsidRPr="00523E9A">
        <w:t>T</w:t>
      </w:r>
      <w:r w:rsidRPr="00523E9A">
        <w:rPr>
          <w:vertAlign w:val="superscript"/>
        </w:rPr>
        <w:t>2</w:t>
      </w:r>
      <w:r w:rsidRPr="00523E9A">
        <w:t>+ b</w:t>
      </w:r>
      <w:r w:rsidRPr="00523E9A">
        <w:rPr>
          <w:vertAlign w:val="subscript"/>
        </w:rPr>
        <w:t xml:space="preserve">4 </w:t>
      </w:r>
      <w:r w:rsidRPr="00523E9A">
        <w:t>TI+ b</w:t>
      </w:r>
      <w:r w:rsidRPr="00523E9A">
        <w:rPr>
          <w:vertAlign w:val="subscript"/>
        </w:rPr>
        <w:t xml:space="preserve">5 </w:t>
      </w:r>
      <w:r w:rsidRPr="00523E9A">
        <w:t>I</w:t>
      </w:r>
      <w:r w:rsidRPr="00523E9A">
        <w:rPr>
          <w:vertAlign w:val="superscript"/>
        </w:rPr>
        <w:t>2</w:t>
      </w:r>
      <w:r w:rsidRPr="00523E9A">
        <w:t>+ e</w:t>
      </w:r>
      <w:r w:rsidRPr="00523E9A">
        <w:tab/>
      </w:r>
      <w:r w:rsidRPr="00523E9A">
        <w:tab/>
      </w:r>
      <w:r w:rsidRPr="00523E9A">
        <w:tab/>
        <w:t xml:space="preserve">  (1)</w:t>
      </w:r>
    </w:p>
    <w:p w14:paraId="68488D92" w14:textId="290912A3" w:rsidR="001C444C" w:rsidRPr="00523E9A" w:rsidRDefault="001C444C" w:rsidP="00A33288">
      <w:pPr>
        <w:pStyle w:val="BodyTextIndent"/>
        <w:tabs>
          <w:tab w:val="clear" w:pos="284"/>
        </w:tabs>
        <w:suppressAutoHyphens/>
        <w:spacing w:after="0"/>
        <w:ind w:left="0" w:firstLine="567"/>
      </w:pPr>
      <w:r w:rsidRPr="00523E9A">
        <w:t xml:space="preserve">In Equation 1, IP represents innovation partnership, T represents trust, and I represents interdependence. Since the hypotheses refer to the coexistence of trust and interdependence, we focused specifically on the symmetry (T = I) and asymmetry (T = -I) lines </w:t>
      </w:r>
      <w:r w:rsidRPr="00523E9A">
        <w:fldChar w:fldCharType="begin"/>
      </w:r>
      <w:r w:rsidR="00B32E7B" w:rsidRPr="00523E9A">
        <w:instrText xml:space="preserve"> ADDIN EN.CITE &lt;EndNote&gt;&lt;Cite&gt;&lt;Author&gt;Edwards&lt;/Author&gt;&lt;Year&gt;1993&lt;/Year&gt;&lt;RecNum&gt;329&lt;/RecNum&gt;&lt;DisplayText&gt;(Edwards &amp;amp; Parry, 1993; Lambert et al., 2003)&lt;/DisplayText&gt;&lt;record&gt;&lt;rec-number&gt;329&lt;/rec-number&gt;&lt;foreign-keys&gt;&lt;key app="EN" db-id="awd2e92tmzfaw9e2zz2pdpvcwdde0w9ttztt" timestamp="1599315886"&gt;329&lt;/key&gt;&lt;/foreign-keys&gt;&lt;ref-type name="Journal Article"&gt;17&lt;/ref-type&gt;&lt;contributors&gt;&lt;authors&gt;&lt;author&gt;Edwards, Jeffrey R&lt;/author&gt;&lt;author&gt;Parry, Mark E&lt;/author&gt;&lt;/authors&gt;&lt;/contributors&gt;&lt;titles&gt;&lt;title&gt;On the use of polynomial regression equations as an alternative to difference scores in organizational research&lt;/title&gt;&lt;secondary-title&gt;Academy of Management journal&lt;/secondary-title&gt;&lt;/titles&gt;&lt;periodical&gt;&lt;full-title&gt;Academy of Management Journal&lt;/full-title&gt;&lt;/periodical&gt;&lt;pages&gt;1577-1613&lt;/pages&gt;&lt;volume&gt;36&lt;/volume&gt;&lt;number&gt;6&lt;/number&gt;&lt;dates&gt;&lt;year&gt;1993&lt;/year&gt;&lt;/dates&gt;&lt;isbn&gt;0001-4273&lt;/isbn&gt;&lt;urls&gt;&lt;/urls&gt;&lt;/record&gt;&lt;/Cite&gt;&lt;Cite&gt;&lt;Author&gt;Lambert&lt;/Author&gt;&lt;Year&gt;2003&lt;/Year&gt;&lt;RecNum&gt;435&lt;/RecNum&gt;&lt;record&gt;&lt;rec-number&gt;435&lt;/rec-number&gt;&lt;foreign-keys&gt;&lt;key app="EN" db-id="9w0szxwprfdzvge5s9gpzdt6pe959zzt5vpt" timestamp="1652772593"&gt;435&lt;/key&gt;&lt;/foreign-keys&gt;&lt;ref-type name="Journal Article"&gt;17&lt;/ref-type&gt;&lt;contributors&gt;&lt;authors&gt;&lt;author&gt;Lambert, Lisa Schurer&lt;/author&gt;&lt;author&gt;Edwards, Jeffrey R&lt;/author&gt;&lt;author&gt;Cable, Daniel M&lt;/author&gt;&lt;/authors&gt;&lt;/contributors&gt;&lt;titles&gt;&lt;title&gt;Breach and fulfillment of the psychological contract: A comparison of traditional and expanded views&lt;/title&gt;&lt;secondary-title&gt;Personnel Psychology&lt;/secondary-title&gt;&lt;/titles&gt;&lt;periodical&gt;&lt;full-title&gt;Personnel Psychology&lt;/full-title&gt;&lt;/periodical&gt;&lt;pages&gt;895-934&lt;/pages&gt;&lt;volume&gt;56&lt;/volume&gt;&lt;number&gt;4&lt;/number&gt;&lt;dates&gt;&lt;year&gt;2003&lt;/year&gt;&lt;/dates&gt;&lt;isbn&gt;0031-5826&lt;/isbn&gt;&lt;urls&gt;&lt;/urls&gt;&lt;/record&gt;&lt;/Cite&gt;&lt;/EndNote&gt;</w:instrText>
      </w:r>
      <w:r w:rsidRPr="00523E9A">
        <w:fldChar w:fldCharType="separate"/>
      </w:r>
      <w:r w:rsidR="00B32E7B" w:rsidRPr="00523E9A">
        <w:rPr>
          <w:noProof/>
        </w:rPr>
        <w:t>(Edwards &amp; Parry, 1993; Lambert et al., 2003)</w:t>
      </w:r>
      <w:r w:rsidRPr="00523E9A">
        <w:fldChar w:fldCharType="end"/>
      </w:r>
      <w:r w:rsidRPr="00523E9A">
        <w:t xml:space="preserve">. While both T and I are equal in value </w:t>
      </w:r>
      <w:r w:rsidR="0043271D" w:rsidRPr="00523E9A">
        <w:t>and sign along the symmetry line,</w:t>
      </w:r>
      <w:r w:rsidRPr="00523E9A">
        <w:t xml:space="preserve"> they are equal but have opposite signs along the asymmetry line. Substituting the formula for the respective lines in Equation 1 (i.e., ‘T = I‘ for symmetry and ‘T = -I‘ for asymmetry) will result in equations 2 and 3. In equation 2, the slope of the symmetry line is given by the term (b</w:t>
      </w:r>
      <w:r w:rsidRPr="00523E9A">
        <w:rPr>
          <w:vertAlign w:val="subscript"/>
        </w:rPr>
        <w:t>1</w:t>
      </w:r>
      <w:r w:rsidRPr="00523E9A">
        <w:t xml:space="preserve"> + b</w:t>
      </w:r>
      <w:r w:rsidRPr="00523E9A">
        <w:rPr>
          <w:vertAlign w:val="subscript"/>
        </w:rPr>
        <w:t>2</w:t>
      </w:r>
      <w:r w:rsidRPr="00523E9A">
        <w:t>)</w:t>
      </w:r>
      <w:r w:rsidR="0043271D" w:rsidRPr="00523E9A">
        <w:t>,</w:t>
      </w:r>
      <w:r w:rsidRPr="00523E9A">
        <w:t xml:space="preserve"> and the curvature is given by the term (b</w:t>
      </w:r>
      <w:r w:rsidRPr="00523E9A">
        <w:rPr>
          <w:vertAlign w:val="subscript"/>
        </w:rPr>
        <w:t>3</w:t>
      </w:r>
      <w:r w:rsidRPr="00523E9A">
        <w:t xml:space="preserve"> + b</w:t>
      </w:r>
      <w:r w:rsidRPr="00523E9A">
        <w:rPr>
          <w:vertAlign w:val="subscript"/>
        </w:rPr>
        <w:t>4</w:t>
      </w:r>
      <w:r w:rsidRPr="00523E9A">
        <w:t xml:space="preserve"> + b</w:t>
      </w:r>
      <w:r w:rsidRPr="00523E9A">
        <w:rPr>
          <w:vertAlign w:val="subscript"/>
        </w:rPr>
        <w:t>5</w:t>
      </w:r>
      <w:r w:rsidRPr="00523E9A">
        <w:t>). In equation 3, the slope of the asymmetry line is given by the term (b</w:t>
      </w:r>
      <w:r w:rsidRPr="00523E9A">
        <w:rPr>
          <w:vertAlign w:val="subscript"/>
        </w:rPr>
        <w:t>1</w:t>
      </w:r>
      <w:r w:rsidRPr="00523E9A">
        <w:t xml:space="preserve"> – b</w:t>
      </w:r>
      <w:r w:rsidRPr="00523E9A">
        <w:rPr>
          <w:vertAlign w:val="subscript"/>
        </w:rPr>
        <w:t>2</w:t>
      </w:r>
      <w:r w:rsidRPr="00523E9A">
        <w:t>)</w:t>
      </w:r>
      <w:r w:rsidR="0043271D" w:rsidRPr="00523E9A">
        <w:t>,</w:t>
      </w:r>
      <w:r w:rsidRPr="00523E9A">
        <w:t xml:space="preserve"> and the curvature is given by the term (b</w:t>
      </w:r>
      <w:r w:rsidRPr="00523E9A">
        <w:rPr>
          <w:vertAlign w:val="subscript"/>
        </w:rPr>
        <w:t>3</w:t>
      </w:r>
      <w:r w:rsidRPr="00523E9A">
        <w:t xml:space="preserve"> – b</w:t>
      </w:r>
      <w:r w:rsidRPr="00523E9A">
        <w:rPr>
          <w:vertAlign w:val="subscript"/>
        </w:rPr>
        <w:t>4</w:t>
      </w:r>
      <w:r w:rsidRPr="00523E9A">
        <w:t xml:space="preserve"> + b</w:t>
      </w:r>
      <w:r w:rsidRPr="00523E9A">
        <w:rPr>
          <w:vertAlign w:val="subscript"/>
        </w:rPr>
        <w:t>5</w:t>
      </w:r>
      <w:r w:rsidRPr="00523E9A">
        <w:t xml:space="preserve">) </w:t>
      </w:r>
      <w:r w:rsidRPr="00523E9A">
        <w:fldChar w:fldCharType="begin"/>
      </w:r>
      <w:r w:rsidR="00B32E7B" w:rsidRPr="00523E9A">
        <w:instrText xml:space="preserve"> ADDIN EN.CITE &lt;EndNote&gt;&lt;Cite&gt;&lt;Author&gt;Edwards&lt;/Author&gt;&lt;Year&gt;1993&lt;/Year&gt;&lt;RecNum&gt;329&lt;/RecNum&gt;&lt;DisplayText&gt;(Edwards &amp;amp; Parry, 1993)&lt;/DisplayText&gt;&lt;record&gt;&lt;rec-number&gt;329&lt;/rec-number&gt;&lt;foreign-keys&gt;&lt;key app="EN" db-id="awd2e92tmzfaw9e2zz2pdpvcwdde0w9ttztt" timestamp="1599315886"&gt;329&lt;/key&gt;&lt;/foreign-keys&gt;&lt;ref-type name="Journal Article"&gt;17&lt;/ref-type&gt;&lt;contributors&gt;&lt;authors&gt;&lt;author&gt;Edwards, Jeffrey R&lt;/author&gt;&lt;author&gt;Parry, Mark E&lt;/author&gt;&lt;/authors&gt;&lt;/contributors&gt;&lt;titles&gt;&lt;title&gt;On the use of polynomial regression equations as an alternative to difference scores in organizational research&lt;/title&gt;&lt;secondary-title&gt;Academy of Management journal&lt;/secondary-title&gt;&lt;/titles&gt;&lt;periodical&gt;&lt;full-title&gt;Academy of Management Journal&lt;/full-title&gt;&lt;/periodical&gt;&lt;pages&gt;1577-1613&lt;/pages&gt;&lt;volume&gt;36&lt;/volume&gt;&lt;number&gt;6&lt;/number&gt;&lt;dates&gt;&lt;year&gt;1993&lt;/year&gt;&lt;/dates&gt;&lt;isbn&gt;0001-4273&lt;/isbn&gt;&lt;urls&gt;&lt;/urls&gt;&lt;/record&gt;&lt;/Cite&gt;&lt;/EndNote&gt;</w:instrText>
      </w:r>
      <w:r w:rsidRPr="00523E9A">
        <w:fldChar w:fldCharType="separate"/>
      </w:r>
      <w:r w:rsidR="00B32E7B" w:rsidRPr="00523E9A">
        <w:rPr>
          <w:noProof/>
        </w:rPr>
        <w:t>(Edwards &amp; Parry, 1993)</w:t>
      </w:r>
      <w:r w:rsidRPr="00523E9A">
        <w:fldChar w:fldCharType="end"/>
      </w:r>
      <w:r w:rsidRPr="00523E9A">
        <w:t>.</w:t>
      </w:r>
    </w:p>
    <w:p w14:paraId="45632EC9" w14:textId="0211AD26" w:rsidR="001C444C" w:rsidRPr="00523E9A" w:rsidRDefault="001C444C" w:rsidP="00A33288">
      <w:pPr>
        <w:pStyle w:val="BodyText"/>
        <w:suppressAutoHyphens/>
        <w:spacing w:after="0" w:line="480" w:lineRule="auto"/>
        <w:ind w:left="720" w:firstLine="696"/>
      </w:pPr>
      <w:r w:rsidRPr="00523E9A">
        <w:t>IP = b</w:t>
      </w:r>
      <w:r w:rsidRPr="00523E9A">
        <w:rPr>
          <w:vertAlign w:val="subscript"/>
        </w:rPr>
        <w:t>0</w:t>
      </w:r>
      <w:r w:rsidRPr="00523E9A">
        <w:t xml:space="preserve"> + (b</w:t>
      </w:r>
      <w:r w:rsidRPr="00523E9A">
        <w:rPr>
          <w:vertAlign w:val="subscript"/>
        </w:rPr>
        <w:t>1</w:t>
      </w:r>
      <w:r w:rsidRPr="00523E9A">
        <w:t>+ b</w:t>
      </w:r>
      <w:r w:rsidRPr="00523E9A">
        <w:rPr>
          <w:vertAlign w:val="subscript"/>
        </w:rPr>
        <w:t>2</w:t>
      </w:r>
      <w:r w:rsidRPr="00523E9A">
        <w:t xml:space="preserve">) </w:t>
      </w:r>
      <w:r w:rsidR="00C974D6" w:rsidRPr="00523E9A">
        <w:t>T</w:t>
      </w:r>
      <w:r w:rsidRPr="00523E9A">
        <w:t xml:space="preserve"> + (b</w:t>
      </w:r>
      <w:r w:rsidRPr="00523E9A">
        <w:rPr>
          <w:vertAlign w:val="subscript"/>
        </w:rPr>
        <w:t>3</w:t>
      </w:r>
      <w:r w:rsidRPr="00523E9A">
        <w:t xml:space="preserve"> + b</w:t>
      </w:r>
      <w:r w:rsidRPr="00523E9A">
        <w:rPr>
          <w:vertAlign w:val="subscript"/>
        </w:rPr>
        <w:t xml:space="preserve">4 </w:t>
      </w:r>
      <w:r w:rsidRPr="00523E9A">
        <w:t>+ b</w:t>
      </w:r>
      <w:r w:rsidRPr="00523E9A">
        <w:rPr>
          <w:vertAlign w:val="subscript"/>
        </w:rPr>
        <w:t>5</w:t>
      </w:r>
      <w:r w:rsidRPr="00523E9A">
        <w:t>) T</w:t>
      </w:r>
      <w:r w:rsidRPr="00523E9A">
        <w:rPr>
          <w:vertAlign w:val="superscript"/>
        </w:rPr>
        <w:t>2</w:t>
      </w:r>
      <w:r w:rsidRPr="00523E9A">
        <w:t>+ e</w:t>
      </w:r>
      <w:r w:rsidRPr="00523E9A">
        <w:tab/>
      </w:r>
      <w:r w:rsidRPr="00523E9A">
        <w:tab/>
      </w:r>
      <w:r w:rsidRPr="00523E9A">
        <w:tab/>
      </w:r>
      <w:r w:rsidRPr="00523E9A">
        <w:tab/>
        <w:t xml:space="preserve">  </w:t>
      </w:r>
      <w:r w:rsidRPr="00523E9A">
        <w:tab/>
        <w:t xml:space="preserve">  (2)</w:t>
      </w:r>
    </w:p>
    <w:p w14:paraId="60C53BB6" w14:textId="7B2C3FC7" w:rsidR="001C444C" w:rsidRPr="00523E9A" w:rsidRDefault="001C444C" w:rsidP="00A33288">
      <w:pPr>
        <w:pStyle w:val="BodyText"/>
        <w:suppressAutoHyphens/>
        <w:spacing w:after="0" w:line="480" w:lineRule="auto"/>
        <w:ind w:left="1440"/>
      </w:pPr>
      <w:r w:rsidRPr="00523E9A">
        <w:t>IP = b</w:t>
      </w:r>
      <w:r w:rsidRPr="00523E9A">
        <w:rPr>
          <w:vertAlign w:val="subscript"/>
        </w:rPr>
        <w:t>0</w:t>
      </w:r>
      <w:r w:rsidRPr="00523E9A">
        <w:t xml:space="preserve"> + (b</w:t>
      </w:r>
      <w:r w:rsidRPr="00523E9A">
        <w:rPr>
          <w:vertAlign w:val="subscript"/>
        </w:rPr>
        <w:t>1</w:t>
      </w:r>
      <w:r w:rsidRPr="00523E9A">
        <w:t>- b</w:t>
      </w:r>
      <w:r w:rsidRPr="00523E9A">
        <w:rPr>
          <w:vertAlign w:val="subscript"/>
        </w:rPr>
        <w:t>2</w:t>
      </w:r>
      <w:r w:rsidRPr="00523E9A">
        <w:t xml:space="preserve">) </w:t>
      </w:r>
      <w:r w:rsidR="00C974D6" w:rsidRPr="00523E9A">
        <w:t>T</w:t>
      </w:r>
      <w:r w:rsidRPr="00523E9A">
        <w:t xml:space="preserve"> + (b</w:t>
      </w:r>
      <w:r w:rsidRPr="00523E9A">
        <w:rPr>
          <w:vertAlign w:val="subscript"/>
        </w:rPr>
        <w:t>3</w:t>
      </w:r>
      <w:r w:rsidRPr="00523E9A">
        <w:t xml:space="preserve"> - b</w:t>
      </w:r>
      <w:r w:rsidRPr="00523E9A">
        <w:rPr>
          <w:vertAlign w:val="subscript"/>
        </w:rPr>
        <w:t xml:space="preserve">4 </w:t>
      </w:r>
      <w:r w:rsidRPr="00523E9A">
        <w:t>+ b</w:t>
      </w:r>
      <w:r w:rsidRPr="00523E9A">
        <w:rPr>
          <w:vertAlign w:val="subscript"/>
        </w:rPr>
        <w:t>5</w:t>
      </w:r>
      <w:r w:rsidRPr="00523E9A">
        <w:t>) T</w:t>
      </w:r>
      <w:r w:rsidRPr="00523E9A">
        <w:rPr>
          <w:vertAlign w:val="superscript"/>
        </w:rPr>
        <w:t>2</w:t>
      </w:r>
      <w:r w:rsidRPr="00523E9A">
        <w:t>+ e</w:t>
      </w:r>
      <w:r w:rsidRPr="00523E9A">
        <w:tab/>
      </w:r>
      <w:r w:rsidRPr="00523E9A">
        <w:tab/>
      </w:r>
      <w:r w:rsidRPr="00523E9A">
        <w:tab/>
      </w:r>
      <w:r w:rsidRPr="00523E9A">
        <w:tab/>
      </w:r>
      <w:r w:rsidRPr="00523E9A">
        <w:tab/>
        <w:t xml:space="preserve">  (3)</w:t>
      </w:r>
    </w:p>
    <w:p w14:paraId="79E88071" w14:textId="77777777" w:rsidR="00A33288" w:rsidRPr="00523E9A" w:rsidRDefault="00A33288">
      <w:pPr>
        <w:tabs>
          <w:tab w:val="clear" w:pos="284"/>
        </w:tabs>
        <w:spacing w:line="240" w:lineRule="auto"/>
        <w:ind w:firstLine="0"/>
        <w:jc w:val="left"/>
        <w:rPr>
          <w:b/>
          <w:bCs/>
          <w:shd w:val="clear" w:color="auto" w:fill="FFFFFF"/>
        </w:rPr>
      </w:pPr>
      <w:r w:rsidRPr="00523E9A">
        <w:rPr>
          <w:b/>
          <w:bCs/>
          <w:shd w:val="clear" w:color="auto" w:fill="FFFFFF"/>
        </w:rPr>
        <w:br w:type="page"/>
      </w:r>
    </w:p>
    <w:p w14:paraId="7FF9AC18" w14:textId="579F7781" w:rsidR="00BA5A9D" w:rsidRPr="00523E9A" w:rsidRDefault="001C444C" w:rsidP="00BA5A9D">
      <w:pPr>
        <w:tabs>
          <w:tab w:val="clear" w:pos="284"/>
        </w:tabs>
        <w:adjustRightInd w:val="0"/>
        <w:snapToGrid w:val="0"/>
        <w:spacing w:line="240" w:lineRule="auto"/>
        <w:ind w:firstLine="0"/>
        <w:jc w:val="center"/>
        <w:rPr>
          <w:b/>
          <w:bCs/>
          <w:shd w:val="clear" w:color="auto" w:fill="FFFFFF"/>
        </w:rPr>
      </w:pPr>
      <w:r w:rsidRPr="00523E9A">
        <w:rPr>
          <w:b/>
          <w:bCs/>
          <w:shd w:val="clear" w:color="auto" w:fill="FFFFFF"/>
        </w:rPr>
        <w:lastRenderedPageBreak/>
        <w:t xml:space="preserve">Appendix </w:t>
      </w:r>
      <w:r w:rsidR="00A07E69" w:rsidRPr="00523E9A">
        <w:rPr>
          <w:b/>
          <w:bCs/>
          <w:shd w:val="clear" w:color="auto" w:fill="FFFFFF"/>
        </w:rPr>
        <w:t>D</w:t>
      </w:r>
    </w:p>
    <w:p w14:paraId="52793DDE" w14:textId="32D712D1" w:rsidR="001C444C" w:rsidRPr="00523E9A" w:rsidRDefault="001C444C" w:rsidP="00BA5A9D">
      <w:pPr>
        <w:tabs>
          <w:tab w:val="clear" w:pos="284"/>
        </w:tabs>
        <w:adjustRightInd w:val="0"/>
        <w:snapToGrid w:val="0"/>
        <w:spacing w:line="240" w:lineRule="auto"/>
        <w:ind w:firstLine="0"/>
        <w:jc w:val="center"/>
        <w:rPr>
          <w:b/>
          <w:bCs/>
          <w:shd w:val="clear" w:color="auto" w:fill="FFFFFF"/>
        </w:rPr>
      </w:pPr>
      <w:r w:rsidRPr="00523E9A">
        <w:rPr>
          <w:b/>
          <w:bCs/>
          <w:shd w:val="clear" w:color="auto" w:fill="FFFFFF"/>
        </w:rPr>
        <w:t>Moderated Polynomial Regression Analysis</w:t>
      </w:r>
    </w:p>
    <w:p w14:paraId="0BD69BF3" w14:textId="77777777" w:rsidR="00BA5A9D" w:rsidRPr="00523E9A" w:rsidRDefault="00BA5A9D" w:rsidP="00BA5A9D">
      <w:pPr>
        <w:tabs>
          <w:tab w:val="clear" w:pos="284"/>
        </w:tabs>
        <w:adjustRightInd w:val="0"/>
        <w:snapToGrid w:val="0"/>
        <w:spacing w:line="240" w:lineRule="auto"/>
        <w:ind w:firstLine="0"/>
        <w:jc w:val="center"/>
        <w:rPr>
          <w:b/>
          <w:bCs/>
          <w:shd w:val="clear" w:color="auto" w:fill="FFFFFF"/>
        </w:rPr>
      </w:pPr>
    </w:p>
    <w:p w14:paraId="1D48AD26" w14:textId="4F53269A" w:rsidR="001C444C" w:rsidRPr="00523E9A" w:rsidRDefault="001C444C" w:rsidP="00A33288">
      <w:pPr>
        <w:pStyle w:val="BodyTextIndent"/>
        <w:tabs>
          <w:tab w:val="clear" w:pos="284"/>
          <w:tab w:val="left" w:pos="540"/>
        </w:tabs>
        <w:suppressAutoHyphens/>
        <w:spacing w:after="0"/>
        <w:ind w:left="0" w:firstLine="0"/>
      </w:pPr>
      <w:r w:rsidRPr="00523E9A">
        <w:tab/>
        <w:t xml:space="preserve">We adopted the moderated polynomial regression procedure suggested by </w:t>
      </w:r>
      <w:r w:rsidRPr="00523E9A">
        <w:fldChar w:fldCharType="begin"/>
      </w:r>
      <w:r w:rsidR="00B32E7B" w:rsidRPr="00523E9A">
        <w:instrText xml:space="preserve"> ADDIN EN.CITE &lt;EndNote&gt;&lt;Cite AuthorYear="1"&gt;&lt;Author&gt;Edwards&lt;/Author&gt;&lt;Year&gt;2014&lt;/Year&gt;&lt;RecNum&gt;420&lt;/RecNum&gt;&lt;DisplayText&gt;Edwards (2014)&lt;/DisplayText&gt;&lt;record&gt;&lt;rec-number&gt;420&lt;/rec-number&gt;&lt;foreign-keys&gt;&lt;key app="EN" db-id="awd2e92tmzfaw9e2zz2pdpvcwdde0w9ttztt" timestamp="1599497598"&gt;420&lt;/key&gt;&lt;/foreign-keys&gt;&lt;ref-type name="Web Page"&gt;12&lt;/ref-type&gt;&lt;contributors&gt;&lt;authors&gt;&lt;author&gt;Edwards, J.R.&lt;/author&gt;&lt;/authors&gt;&lt;/contributors&gt;&lt;titles&gt;&lt;title&gt;Moderated polynomial regression&lt;/title&gt;&lt;/titles&gt;&lt;volume&gt;2020&lt;/volume&gt;&lt;number&gt;07 September 2020&lt;/number&gt;&lt;dates&gt;&lt;year&gt;2014&lt;/year&gt;&lt;/dates&gt;&lt;urls&gt;&lt;related-urls&gt;&lt;url&gt;http://public.kenan-flagler.unc.edu/faculty/edwardsj/ModeratedPolynomialRegression.htm&lt;/url&gt;&lt;/related-urls&gt;&lt;/urls&gt;&lt;/record&gt;&lt;/Cite&gt;&lt;/EndNote&gt;</w:instrText>
      </w:r>
      <w:r w:rsidRPr="00523E9A">
        <w:fldChar w:fldCharType="separate"/>
      </w:r>
      <w:r w:rsidR="00B32E7B" w:rsidRPr="00523E9A">
        <w:rPr>
          <w:noProof/>
        </w:rPr>
        <w:t>Edwards (2014)</w:t>
      </w:r>
      <w:r w:rsidRPr="00523E9A">
        <w:fldChar w:fldCharType="end"/>
      </w:r>
      <w:r w:rsidRPr="00523E9A">
        <w:t xml:space="preserve"> to test hypotheses H</w:t>
      </w:r>
      <w:r w:rsidRPr="00523E9A">
        <w:rPr>
          <w:vertAlign w:val="subscript"/>
        </w:rPr>
        <w:t>2</w:t>
      </w:r>
      <w:r w:rsidRPr="00523E9A">
        <w:t xml:space="preserve"> and H</w:t>
      </w:r>
      <w:r w:rsidRPr="00523E9A">
        <w:rPr>
          <w:vertAlign w:val="subscript"/>
        </w:rPr>
        <w:t>3</w:t>
      </w:r>
      <w:r w:rsidRPr="00523E9A">
        <w:t xml:space="preserve">. Using the principles of moderated regression </w:t>
      </w:r>
      <w:r w:rsidRPr="00523E9A">
        <w:fldChar w:fldCharType="begin"/>
      </w:r>
      <w:r w:rsidR="00B32E7B" w:rsidRPr="00523E9A">
        <w:instrText xml:space="preserve"> ADDIN EN.CITE &lt;EndNote&gt;&lt;Cite&gt;&lt;Author&gt;Aiken&lt;/Author&gt;&lt;Year&gt;1991&lt;/Year&gt;&lt;RecNum&gt;9&lt;/RecNum&gt;&lt;DisplayText&gt;(Aiken et al., 1991)&lt;/DisplayText&gt;&lt;record&gt;&lt;rec-number&gt;9&lt;/rec-number&gt;&lt;foreign-keys&gt;&lt;key app="EN" db-id="9w0szxwprfdzvge5s9gpzdt6pe959zzt5vpt" timestamp="1652772593"&gt;9&lt;/key&gt;&lt;/foreign-keys&gt;&lt;ref-type name="Book"&gt;6&lt;/ref-type&gt;&lt;contributors&gt;&lt;authors&gt;&lt;author&gt;Aiken, Leona S&lt;/author&gt;&lt;author&gt;West, Stephen G&lt;/author&gt;&lt;author&gt;Reno, Raymond R&lt;/author&gt;&lt;/authors&gt;&lt;/contributors&gt;&lt;titles&gt;&lt;title&gt;Multiple regression: Testing and interpreting interactions&lt;/title&gt;&lt;/titles&gt;&lt;dates&gt;&lt;year&gt;1991&lt;/year&gt;&lt;/dates&gt;&lt;publisher&gt;sage&lt;/publisher&gt;&lt;isbn&gt;0761907122&lt;/isbn&gt;&lt;urls&gt;&lt;/urls&gt;&lt;/record&gt;&lt;/Cite&gt;&lt;/EndNote&gt;</w:instrText>
      </w:r>
      <w:r w:rsidRPr="00523E9A">
        <w:fldChar w:fldCharType="separate"/>
      </w:r>
      <w:r w:rsidR="00B32E7B" w:rsidRPr="00523E9A">
        <w:rPr>
          <w:noProof/>
        </w:rPr>
        <w:t>(Aiken et al., 1991)</w:t>
      </w:r>
      <w:r w:rsidRPr="00523E9A">
        <w:fldChar w:fldCharType="end"/>
      </w:r>
      <w:r w:rsidRPr="00523E9A">
        <w:t>, we multiplied the first order (T, I), interaction (TI)</w:t>
      </w:r>
      <w:r w:rsidR="002E78CB" w:rsidRPr="00523E9A">
        <w:t>,</w:t>
      </w:r>
      <w:r w:rsidRPr="00523E9A">
        <w:t xml:space="preserve"> and curvilinear (T</w:t>
      </w:r>
      <w:r w:rsidRPr="00523E9A">
        <w:rPr>
          <w:vertAlign w:val="superscript"/>
        </w:rPr>
        <w:t>2</w:t>
      </w:r>
      <w:r w:rsidRPr="00523E9A">
        <w:t xml:space="preserve"> and I</w:t>
      </w:r>
      <w:r w:rsidRPr="00523E9A">
        <w:rPr>
          <w:vertAlign w:val="superscript"/>
        </w:rPr>
        <w:t>2</w:t>
      </w:r>
      <w:r w:rsidRPr="00523E9A">
        <w:t>) terms with the moderator and entered the moderator variable along with these newly created terms into equation 1 to result in equation 4 presented below:</w:t>
      </w:r>
    </w:p>
    <w:p w14:paraId="666A4C5C" w14:textId="77777777" w:rsidR="001C444C" w:rsidRPr="00523E9A" w:rsidRDefault="001C444C" w:rsidP="00A33288">
      <w:pPr>
        <w:pStyle w:val="BodyText"/>
        <w:suppressAutoHyphens/>
        <w:spacing w:after="0"/>
        <w:ind w:left="720" w:firstLine="720"/>
      </w:pPr>
      <w:r w:rsidRPr="00523E9A">
        <w:t>IP = b</w:t>
      </w:r>
      <w:r w:rsidRPr="00523E9A">
        <w:rPr>
          <w:vertAlign w:val="subscript"/>
        </w:rPr>
        <w:t>0</w:t>
      </w:r>
      <w:r w:rsidRPr="00523E9A">
        <w:t xml:space="preserve"> + b</w:t>
      </w:r>
      <w:r w:rsidRPr="00523E9A">
        <w:rPr>
          <w:vertAlign w:val="subscript"/>
        </w:rPr>
        <w:t xml:space="preserve">1 </w:t>
      </w:r>
      <w:r w:rsidRPr="00523E9A">
        <w:t>T + b</w:t>
      </w:r>
      <w:r w:rsidRPr="00523E9A">
        <w:rPr>
          <w:vertAlign w:val="subscript"/>
        </w:rPr>
        <w:t xml:space="preserve">2 </w:t>
      </w:r>
      <w:r w:rsidRPr="00523E9A">
        <w:t>I+ b</w:t>
      </w:r>
      <w:r w:rsidRPr="00523E9A">
        <w:rPr>
          <w:vertAlign w:val="subscript"/>
        </w:rPr>
        <w:t xml:space="preserve">3 </w:t>
      </w:r>
      <w:r w:rsidRPr="00523E9A">
        <w:t>T</w:t>
      </w:r>
      <w:r w:rsidRPr="00523E9A">
        <w:rPr>
          <w:vertAlign w:val="superscript"/>
        </w:rPr>
        <w:t>2</w:t>
      </w:r>
      <w:r w:rsidRPr="00523E9A">
        <w:t>+ b</w:t>
      </w:r>
      <w:r w:rsidRPr="00523E9A">
        <w:rPr>
          <w:vertAlign w:val="subscript"/>
        </w:rPr>
        <w:t xml:space="preserve">4 </w:t>
      </w:r>
      <w:r w:rsidRPr="00523E9A">
        <w:t>TI+ b</w:t>
      </w:r>
      <w:r w:rsidRPr="00523E9A">
        <w:rPr>
          <w:vertAlign w:val="subscript"/>
        </w:rPr>
        <w:t xml:space="preserve">5 </w:t>
      </w:r>
      <w:r w:rsidRPr="00523E9A">
        <w:t>I</w:t>
      </w:r>
      <w:r w:rsidRPr="00523E9A">
        <w:rPr>
          <w:vertAlign w:val="superscript"/>
        </w:rPr>
        <w:t>2</w:t>
      </w:r>
      <w:r w:rsidRPr="00523E9A">
        <w:t>+ b</w:t>
      </w:r>
      <w:r w:rsidRPr="00523E9A">
        <w:rPr>
          <w:vertAlign w:val="subscript"/>
        </w:rPr>
        <w:t xml:space="preserve">6 </w:t>
      </w:r>
      <w:r w:rsidRPr="00523E9A">
        <w:t>M +</w:t>
      </w:r>
    </w:p>
    <w:p w14:paraId="17004542" w14:textId="10B60C11" w:rsidR="001C444C" w:rsidRPr="00523E9A" w:rsidRDefault="001C444C" w:rsidP="00A33288">
      <w:pPr>
        <w:pStyle w:val="BodyText"/>
        <w:suppressAutoHyphens/>
        <w:spacing w:after="0"/>
        <w:ind w:left="720" w:firstLine="720"/>
      </w:pPr>
      <w:r w:rsidRPr="00523E9A">
        <w:t xml:space="preserve">     b</w:t>
      </w:r>
      <w:r w:rsidRPr="00523E9A">
        <w:rPr>
          <w:vertAlign w:val="subscript"/>
        </w:rPr>
        <w:t xml:space="preserve">7 </w:t>
      </w:r>
      <w:r w:rsidRPr="00523E9A">
        <w:t>MT + b</w:t>
      </w:r>
      <w:r w:rsidRPr="00523E9A">
        <w:rPr>
          <w:vertAlign w:val="subscript"/>
        </w:rPr>
        <w:t xml:space="preserve">8 </w:t>
      </w:r>
      <w:r w:rsidRPr="00523E9A">
        <w:t>MI+ b</w:t>
      </w:r>
      <w:r w:rsidRPr="00523E9A">
        <w:rPr>
          <w:vertAlign w:val="subscript"/>
        </w:rPr>
        <w:t xml:space="preserve">9 </w:t>
      </w:r>
      <w:r w:rsidRPr="00523E9A">
        <w:t>MT</w:t>
      </w:r>
      <w:r w:rsidRPr="00523E9A">
        <w:rPr>
          <w:vertAlign w:val="superscript"/>
        </w:rPr>
        <w:t>2</w:t>
      </w:r>
      <w:r w:rsidRPr="00523E9A">
        <w:t>+ b</w:t>
      </w:r>
      <w:r w:rsidRPr="00523E9A">
        <w:rPr>
          <w:vertAlign w:val="subscript"/>
        </w:rPr>
        <w:t xml:space="preserve">10 </w:t>
      </w:r>
      <w:r w:rsidRPr="00523E9A">
        <w:t>MTI + b</w:t>
      </w:r>
      <w:r w:rsidRPr="00523E9A">
        <w:rPr>
          <w:vertAlign w:val="subscript"/>
        </w:rPr>
        <w:t xml:space="preserve">11 </w:t>
      </w:r>
      <w:r w:rsidRPr="00523E9A">
        <w:t>MI</w:t>
      </w:r>
      <w:r w:rsidRPr="00523E9A">
        <w:rPr>
          <w:vertAlign w:val="superscript"/>
        </w:rPr>
        <w:t>2</w:t>
      </w:r>
      <w:r w:rsidRPr="00523E9A">
        <w:t>+ e</w:t>
      </w:r>
      <w:r w:rsidRPr="00523E9A">
        <w:tab/>
      </w:r>
      <w:r w:rsidRPr="00523E9A">
        <w:tab/>
      </w:r>
      <w:r w:rsidRPr="00523E9A">
        <w:tab/>
        <w:t xml:space="preserve">  (4)</w:t>
      </w:r>
    </w:p>
    <w:p w14:paraId="0BB8C6BC" w14:textId="5C1CCF67" w:rsidR="001C444C" w:rsidRPr="00523E9A" w:rsidRDefault="001C444C" w:rsidP="00A33288">
      <w:pPr>
        <w:pStyle w:val="BodyTextIndent"/>
        <w:tabs>
          <w:tab w:val="clear" w:pos="284"/>
        </w:tabs>
        <w:suppressAutoHyphens/>
        <w:spacing w:after="0"/>
        <w:ind w:left="0" w:firstLine="567"/>
      </w:pPr>
      <w:r w:rsidRPr="00523E9A">
        <w:t>In equation 4, M represents the moderator (i.e., either bargaining power or relationship length)</w:t>
      </w:r>
      <w:r w:rsidR="0043271D" w:rsidRPr="00523E9A">
        <w:t>,</w:t>
      </w:r>
      <w:r w:rsidRPr="00523E9A">
        <w:t xml:space="preserve"> and M’s moderating effect can be determined using the five terms MT, MI, MT</w:t>
      </w:r>
      <w:r w:rsidRPr="00523E9A">
        <w:rPr>
          <w:vertAlign w:val="superscript"/>
        </w:rPr>
        <w:t>2</w:t>
      </w:r>
      <w:r w:rsidRPr="00523E9A">
        <w:t>, MTI, and MI</w:t>
      </w:r>
      <w:r w:rsidRPr="00523E9A">
        <w:rPr>
          <w:vertAlign w:val="superscript"/>
        </w:rPr>
        <w:t>2</w:t>
      </w:r>
      <w:r w:rsidRPr="00523E9A">
        <w:t xml:space="preserve">. The significance of the moderation effect is initially assessed by looking at the change in R-square – i.e., </w:t>
      </w:r>
      <w:r w:rsidRPr="00523E9A">
        <w:rPr>
          <w:rFonts w:eastAsia="PMingLiU"/>
          <w:spacing w:val="-3"/>
          <w:kern w:val="0"/>
          <w:lang w:val="en-US" w:eastAsia="en-US"/>
        </w:rPr>
        <w:t>ΔR</w:t>
      </w:r>
      <w:r w:rsidRPr="00523E9A">
        <w:rPr>
          <w:rFonts w:eastAsia="PMingLiU"/>
          <w:spacing w:val="-3"/>
          <w:kern w:val="0"/>
          <w:vertAlign w:val="superscript"/>
          <w:lang w:val="en-US" w:eastAsia="en-US"/>
        </w:rPr>
        <w:t>2</w:t>
      </w:r>
      <w:r w:rsidRPr="00523E9A">
        <w:rPr>
          <w:rFonts w:ascii="CG Times (W1)" w:hAnsi="CG Times (W1)"/>
        </w:rPr>
        <w:t xml:space="preserve"> </w:t>
      </w:r>
      <w:r w:rsidRPr="00523E9A">
        <w:fldChar w:fldCharType="begin"/>
      </w:r>
      <w:r w:rsidR="00B32E7B" w:rsidRPr="00523E9A">
        <w:instrText xml:space="preserve"> ADDIN EN.CITE &lt;EndNote&gt;&lt;Cite&gt;&lt;Author&gt;Edwards&lt;/Author&gt;&lt;Year&gt;2014&lt;/Year&gt;&lt;RecNum&gt;420&lt;/RecNum&gt;&lt;DisplayText&gt;(Edwards, 2014)&lt;/DisplayText&gt;&lt;record&gt;&lt;rec-number&gt;420&lt;/rec-number&gt;&lt;foreign-keys&gt;&lt;key app="EN" db-id="awd2e92tmzfaw9e2zz2pdpvcwdde0w9ttztt" timestamp="1599497598"&gt;420&lt;/key&gt;&lt;/foreign-keys&gt;&lt;ref-type name="Web Page"&gt;12&lt;/ref-type&gt;&lt;contributors&gt;&lt;authors&gt;&lt;author&gt;Edwards, J.R.&lt;/author&gt;&lt;/authors&gt;&lt;/contributors&gt;&lt;titles&gt;&lt;title&gt;Moderated polynomial regression&lt;/title&gt;&lt;/titles&gt;&lt;volume&gt;2020&lt;/volume&gt;&lt;number&gt;07 September 2020&lt;/number&gt;&lt;dates&gt;&lt;year&gt;2014&lt;/year&gt;&lt;/dates&gt;&lt;urls&gt;&lt;related-urls&gt;&lt;url&gt;http://public.kenan-flagler.unc.edu/faculty/edwardsj/ModeratedPolynomialRegression.htm&lt;/url&gt;&lt;/related-urls&gt;&lt;/urls&gt;&lt;/record&gt;&lt;/Cite&gt;&lt;/EndNote&gt;</w:instrText>
      </w:r>
      <w:r w:rsidRPr="00523E9A">
        <w:fldChar w:fldCharType="separate"/>
      </w:r>
      <w:r w:rsidR="00B32E7B" w:rsidRPr="00523E9A">
        <w:rPr>
          <w:noProof/>
        </w:rPr>
        <w:t>(Edwards, 2014)</w:t>
      </w:r>
      <w:r w:rsidRPr="00523E9A">
        <w:fldChar w:fldCharType="end"/>
      </w:r>
      <w:r w:rsidRPr="00523E9A">
        <w:t xml:space="preserve">. Just like </w:t>
      </w:r>
      <w:r w:rsidR="002E78CB" w:rsidRPr="00523E9A">
        <w:t xml:space="preserve">in </w:t>
      </w:r>
      <w:r w:rsidRPr="00523E9A">
        <w:t>the case of equation 1, we can replace T = I and T = -I in equation 4 to get the equations (</w:t>
      </w:r>
      <w:r w:rsidR="0043271D" w:rsidRPr="00523E9A">
        <w:t>eq</w:t>
      </w:r>
      <w:r w:rsidRPr="00523E9A">
        <w:t xml:space="preserve">. 5 and 6) for the symmetry and asymmetry lines that </w:t>
      </w:r>
      <w:r w:rsidR="002E78CB" w:rsidRPr="00523E9A">
        <w:t xml:space="preserve">involve </w:t>
      </w:r>
      <w:r w:rsidRPr="00523E9A">
        <w:t xml:space="preserve">the moderator M. </w:t>
      </w:r>
    </w:p>
    <w:p w14:paraId="651F426B" w14:textId="77777777" w:rsidR="001C444C" w:rsidRPr="00523E9A" w:rsidRDefault="001C444C" w:rsidP="00A33288">
      <w:pPr>
        <w:pStyle w:val="BodyText"/>
        <w:suppressAutoHyphens/>
        <w:spacing w:after="0"/>
        <w:ind w:left="720" w:firstLine="696"/>
      </w:pPr>
      <w:r w:rsidRPr="00523E9A">
        <w:t>IP = b</w:t>
      </w:r>
      <w:r w:rsidRPr="00523E9A">
        <w:rPr>
          <w:vertAlign w:val="subscript"/>
        </w:rPr>
        <w:t>0</w:t>
      </w:r>
      <w:r w:rsidRPr="00523E9A">
        <w:t xml:space="preserve"> + (b</w:t>
      </w:r>
      <w:r w:rsidRPr="00523E9A">
        <w:rPr>
          <w:vertAlign w:val="subscript"/>
        </w:rPr>
        <w:t>1</w:t>
      </w:r>
      <w:r w:rsidRPr="00523E9A">
        <w:t>+ b</w:t>
      </w:r>
      <w:r w:rsidRPr="00523E9A">
        <w:rPr>
          <w:vertAlign w:val="subscript"/>
        </w:rPr>
        <w:t>2</w:t>
      </w:r>
      <w:r w:rsidRPr="00523E9A">
        <w:t>) T + (b</w:t>
      </w:r>
      <w:r w:rsidRPr="00523E9A">
        <w:rPr>
          <w:vertAlign w:val="subscript"/>
        </w:rPr>
        <w:t>3</w:t>
      </w:r>
      <w:r w:rsidRPr="00523E9A">
        <w:t xml:space="preserve"> + b</w:t>
      </w:r>
      <w:r w:rsidRPr="00523E9A">
        <w:rPr>
          <w:vertAlign w:val="subscript"/>
        </w:rPr>
        <w:t xml:space="preserve">4 </w:t>
      </w:r>
      <w:r w:rsidRPr="00523E9A">
        <w:t>+ b</w:t>
      </w:r>
      <w:r w:rsidRPr="00523E9A">
        <w:rPr>
          <w:vertAlign w:val="subscript"/>
        </w:rPr>
        <w:t>5</w:t>
      </w:r>
      <w:r w:rsidRPr="00523E9A">
        <w:t>) T</w:t>
      </w:r>
      <w:r w:rsidRPr="00523E9A">
        <w:rPr>
          <w:vertAlign w:val="superscript"/>
        </w:rPr>
        <w:t>2</w:t>
      </w:r>
      <w:r w:rsidRPr="00523E9A">
        <w:t xml:space="preserve">+ </w:t>
      </w:r>
    </w:p>
    <w:p w14:paraId="7B43DEBB" w14:textId="493CF887" w:rsidR="001C444C" w:rsidRPr="00523E9A" w:rsidRDefault="001C444C" w:rsidP="00A33288">
      <w:pPr>
        <w:pStyle w:val="BodyText"/>
        <w:suppressAutoHyphens/>
        <w:spacing w:after="0"/>
        <w:ind w:left="720" w:firstLine="696"/>
      </w:pPr>
      <w:r w:rsidRPr="00523E9A">
        <w:t xml:space="preserve">     b</w:t>
      </w:r>
      <w:r w:rsidRPr="00523E9A">
        <w:rPr>
          <w:vertAlign w:val="subscript"/>
        </w:rPr>
        <w:t>6</w:t>
      </w:r>
      <w:r w:rsidRPr="00523E9A">
        <w:t>W + (b</w:t>
      </w:r>
      <w:r w:rsidRPr="00523E9A">
        <w:rPr>
          <w:vertAlign w:val="subscript"/>
        </w:rPr>
        <w:t xml:space="preserve">7 </w:t>
      </w:r>
      <w:r w:rsidRPr="00523E9A">
        <w:t>+ b</w:t>
      </w:r>
      <w:r w:rsidRPr="00523E9A">
        <w:rPr>
          <w:vertAlign w:val="subscript"/>
        </w:rPr>
        <w:t>8</w:t>
      </w:r>
      <w:r w:rsidRPr="00523E9A">
        <w:t>) MT + (b</w:t>
      </w:r>
      <w:r w:rsidRPr="00523E9A">
        <w:rPr>
          <w:vertAlign w:val="subscript"/>
        </w:rPr>
        <w:t>9</w:t>
      </w:r>
      <w:r w:rsidRPr="00523E9A">
        <w:t xml:space="preserve"> + b</w:t>
      </w:r>
      <w:r w:rsidRPr="00523E9A">
        <w:rPr>
          <w:vertAlign w:val="subscript"/>
        </w:rPr>
        <w:t xml:space="preserve">10 </w:t>
      </w:r>
      <w:r w:rsidRPr="00523E9A">
        <w:t>+ b</w:t>
      </w:r>
      <w:r w:rsidRPr="00523E9A">
        <w:rPr>
          <w:vertAlign w:val="subscript"/>
        </w:rPr>
        <w:t>11</w:t>
      </w:r>
      <w:r w:rsidRPr="00523E9A">
        <w:t>) MT</w:t>
      </w:r>
      <w:r w:rsidRPr="00523E9A">
        <w:rPr>
          <w:vertAlign w:val="superscript"/>
        </w:rPr>
        <w:t>2</w:t>
      </w:r>
      <w:r w:rsidRPr="00523E9A">
        <w:t>+ e</w:t>
      </w:r>
      <w:r w:rsidRPr="00523E9A">
        <w:tab/>
      </w:r>
      <w:r w:rsidRPr="00523E9A">
        <w:tab/>
      </w:r>
      <w:r w:rsidRPr="00523E9A">
        <w:tab/>
      </w:r>
      <w:r w:rsidRPr="00523E9A">
        <w:tab/>
        <w:t xml:space="preserve"> (5)</w:t>
      </w:r>
    </w:p>
    <w:p w14:paraId="75C4A04B" w14:textId="77777777" w:rsidR="001C444C" w:rsidRPr="00523E9A" w:rsidRDefault="001C444C" w:rsidP="00A33288">
      <w:pPr>
        <w:pStyle w:val="BodyText"/>
        <w:suppressAutoHyphens/>
        <w:spacing w:after="0"/>
        <w:ind w:left="720" w:firstLine="696"/>
      </w:pPr>
    </w:p>
    <w:p w14:paraId="134660E6" w14:textId="77777777" w:rsidR="001C444C" w:rsidRPr="00523E9A" w:rsidRDefault="001C444C" w:rsidP="00A33288">
      <w:pPr>
        <w:pStyle w:val="BodyText"/>
        <w:suppressAutoHyphens/>
        <w:spacing w:after="0"/>
        <w:ind w:left="696" w:firstLine="720"/>
      </w:pPr>
      <w:r w:rsidRPr="00523E9A">
        <w:t>IP = b</w:t>
      </w:r>
      <w:r w:rsidRPr="00523E9A">
        <w:rPr>
          <w:vertAlign w:val="subscript"/>
        </w:rPr>
        <w:t>0</w:t>
      </w:r>
      <w:r w:rsidRPr="00523E9A">
        <w:t xml:space="preserve"> + (b</w:t>
      </w:r>
      <w:r w:rsidRPr="00523E9A">
        <w:rPr>
          <w:vertAlign w:val="subscript"/>
        </w:rPr>
        <w:t xml:space="preserve">1 </w:t>
      </w:r>
      <w:r w:rsidRPr="00523E9A">
        <w:t>- b</w:t>
      </w:r>
      <w:r w:rsidRPr="00523E9A">
        <w:rPr>
          <w:vertAlign w:val="subscript"/>
        </w:rPr>
        <w:t>2</w:t>
      </w:r>
      <w:r w:rsidRPr="00523E9A">
        <w:t>) T + (b</w:t>
      </w:r>
      <w:r w:rsidRPr="00523E9A">
        <w:rPr>
          <w:vertAlign w:val="subscript"/>
        </w:rPr>
        <w:t>3</w:t>
      </w:r>
      <w:r w:rsidRPr="00523E9A">
        <w:t xml:space="preserve"> - b</w:t>
      </w:r>
      <w:r w:rsidRPr="00523E9A">
        <w:rPr>
          <w:vertAlign w:val="subscript"/>
        </w:rPr>
        <w:t xml:space="preserve">4 </w:t>
      </w:r>
      <w:r w:rsidRPr="00523E9A">
        <w:t>+ b</w:t>
      </w:r>
      <w:r w:rsidRPr="00523E9A">
        <w:rPr>
          <w:vertAlign w:val="subscript"/>
        </w:rPr>
        <w:t>5</w:t>
      </w:r>
      <w:r w:rsidRPr="00523E9A">
        <w:t>) T</w:t>
      </w:r>
      <w:r w:rsidRPr="00523E9A">
        <w:rPr>
          <w:vertAlign w:val="superscript"/>
        </w:rPr>
        <w:t>2</w:t>
      </w:r>
      <w:r w:rsidRPr="00523E9A">
        <w:t xml:space="preserve">+ </w:t>
      </w:r>
    </w:p>
    <w:p w14:paraId="0E001094" w14:textId="26F69528" w:rsidR="001C444C" w:rsidRPr="00523E9A" w:rsidRDefault="001C444C" w:rsidP="00A33288">
      <w:pPr>
        <w:pStyle w:val="BodyText"/>
        <w:suppressAutoHyphens/>
        <w:spacing w:after="0"/>
        <w:ind w:left="720" w:firstLine="696"/>
      </w:pPr>
      <w:r w:rsidRPr="00523E9A">
        <w:t xml:space="preserve">     b</w:t>
      </w:r>
      <w:r w:rsidRPr="00523E9A">
        <w:rPr>
          <w:vertAlign w:val="subscript"/>
        </w:rPr>
        <w:t>6</w:t>
      </w:r>
      <w:r w:rsidRPr="00523E9A">
        <w:t>W + (b</w:t>
      </w:r>
      <w:r w:rsidRPr="00523E9A">
        <w:rPr>
          <w:vertAlign w:val="subscript"/>
        </w:rPr>
        <w:t xml:space="preserve">7 </w:t>
      </w:r>
      <w:r w:rsidRPr="00523E9A">
        <w:t>- b</w:t>
      </w:r>
      <w:r w:rsidRPr="00523E9A">
        <w:rPr>
          <w:vertAlign w:val="subscript"/>
        </w:rPr>
        <w:t>8</w:t>
      </w:r>
      <w:r w:rsidRPr="00523E9A">
        <w:t>) MT + (b</w:t>
      </w:r>
      <w:r w:rsidRPr="00523E9A">
        <w:rPr>
          <w:vertAlign w:val="subscript"/>
        </w:rPr>
        <w:t>9</w:t>
      </w:r>
      <w:r w:rsidRPr="00523E9A">
        <w:t xml:space="preserve"> - b</w:t>
      </w:r>
      <w:r w:rsidRPr="00523E9A">
        <w:rPr>
          <w:vertAlign w:val="subscript"/>
        </w:rPr>
        <w:t xml:space="preserve">10 </w:t>
      </w:r>
      <w:r w:rsidRPr="00523E9A">
        <w:t>+ b</w:t>
      </w:r>
      <w:r w:rsidRPr="00523E9A">
        <w:rPr>
          <w:vertAlign w:val="subscript"/>
        </w:rPr>
        <w:t>11</w:t>
      </w:r>
      <w:r w:rsidRPr="00523E9A">
        <w:t>) MT</w:t>
      </w:r>
      <w:r w:rsidRPr="00523E9A">
        <w:rPr>
          <w:vertAlign w:val="superscript"/>
        </w:rPr>
        <w:t>2</w:t>
      </w:r>
      <w:r w:rsidRPr="00523E9A">
        <w:t>+ e</w:t>
      </w:r>
      <w:r w:rsidRPr="00523E9A">
        <w:tab/>
      </w:r>
      <w:r w:rsidRPr="00523E9A">
        <w:tab/>
      </w:r>
      <w:r w:rsidRPr="00523E9A">
        <w:tab/>
      </w:r>
      <w:r w:rsidRPr="00523E9A">
        <w:tab/>
        <w:t xml:space="preserve"> (6)</w:t>
      </w:r>
    </w:p>
    <w:p w14:paraId="1F54BA11" w14:textId="77777777" w:rsidR="001C444C" w:rsidRPr="00523E9A" w:rsidRDefault="001C444C" w:rsidP="00A33288">
      <w:pPr>
        <w:pStyle w:val="BodyTextIndent"/>
        <w:tabs>
          <w:tab w:val="clear" w:pos="284"/>
        </w:tabs>
        <w:suppressAutoHyphens/>
        <w:spacing w:after="0"/>
        <w:ind w:left="0" w:firstLine="567"/>
      </w:pPr>
      <w:r w:rsidRPr="00523E9A">
        <w:t>The terms in the above two equations could be rearranged to get the equations similar to equations 2 and 3 (i.e., having three terms representing a constant, slope, and curvature):</w:t>
      </w:r>
    </w:p>
    <w:p w14:paraId="224BC989" w14:textId="77777777" w:rsidR="001C444C" w:rsidRPr="00523E9A" w:rsidRDefault="001C444C" w:rsidP="00A33288">
      <w:pPr>
        <w:pStyle w:val="BodyText"/>
        <w:suppressAutoHyphens/>
        <w:spacing w:after="0"/>
        <w:ind w:left="720" w:firstLine="691"/>
      </w:pPr>
      <w:r w:rsidRPr="00523E9A">
        <w:t>IP = (b</w:t>
      </w:r>
      <w:r w:rsidRPr="00523E9A">
        <w:rPr>
          <w:vertAlign w:val="subscript"/>
        </w:rPr>
        <w:t>0</w:t>
      </w:r>
      <w:r w:rsidRPr="00523E9A">
        <w:t xml:space="preserve"> + b</w:t>
      </w:r>
      <w:r w:rsidRPr="00523E9A">
        <w:rPr>
          <w:vertAlign w:val="subscript"/>
        </w:rPr>
        <w:t>6</w:t>
      </w:r>
      <w:r w:rsidRPr="00523E9A">
        <w:t>M) + [(b</w:t>
      </w:r>
      <w:r w:rsidRPr="00523E9A">
        <w:rPr>
          <w:vertAlign w:val="subscript"/>
        </w:rPr>
        <w:t>1</w:t>
      </w:r>
      <w:r w:rsidRPr="00523E9A">
        <w:t>+ b</w:t>
      </w:r>
      <w:r w:rsidRPr="00523E9A">
        <w:rPr>
          <w:vertAlign w:val="subscript"/>
        </w:rPr>
        <w:t>2</w:t>
      </w:r>
      <w:r w:rsidRPr="00523E9A">
        <w:t>) + (b</w:t>
      </w:r>
      <w:r w:rsidRPr="00523E9A">
        <w:rPr>
          <w:vertAlign w:val="subscript"/>
        </w:rPr>
        <w:t xml:space="preserve">7 </w:t>
      </w:r>
      <w:r w:rsidRPr="00523E9A">
        <w:t>+ b</w:t>
      </w:r>
      <w:r w:rsidRPr="00523E9A">
        <w:rPr>
          <w:vertAlign w:val="subscript"/>
        </w:rPr>
        <w:t>8</w:t>
      </w:r>
      <w:r w:rsidRPr="00523E9A">
        <w:t xml:space="preserve">)M] T + </w:t>
      </w:r>
    </w:p>
    <w:p w14:paraId="507F627D" w14:textId="71C13D11" w:rsidR="001C444C" w:rsidRPr="00523E9A" w:rsidRDefault="001C444C" w:rsidP="00A33288">
      <w:pPr>
        <w:pStyle w:val="BodyText"/>
        <w:suppressAutoHyphens/>
        <w:spacing w:after="0"/>
        <w:ind w:left="720" w:firstLine="691"/>
      </w:pPr>
      <w:r w:rsidRPr="00523E9A">
        <w:t xml:space="preserve">     [(b</w:t>
      </w:r>
      <w:r w:rsidRPr="00523E9A">
        <w:rPr>
          <w:vertAlign w:val="subscript"/>
        </w:rPr>
        <w:t>3</w:t>
      </w:r>
      <w:r w:rsidRPr="00523E9A">
        <w:t xml:space="preserve"> + b</w:t>
      </w:r>
      <w:r w:rsidRPr="00523E9A">
        <w:rPr>
          <w:vertAlign w:val="subscript"/>
        </w:rPr>
        <w:t xml:space="preserve">4 </w:t>
      </w:r>
      <w:r w:rsidRPr="00523E9A">
        <w:t>+ b</w:t>
      </w:r>
      <w:r w:rsidRPr="00523E9A">
        <w:rPr>
          <w:vertAlign w:val="subscript"/>
        </w:rPr>
        <w:t>5</w:t>
      </w:r>
      <w:r w:rsidRPr="00523E9A">
        <w:t>) + (b</w:t>
      </w:r>
      <w:r w:rsidRPr="00523E9A">
        <w:rPr>
          <w:vertAlign w:val="subscript"/>
        </w:rPr>
        <w:t>9</w:t>
      </w:r>
      <w:r w:rsidRPr="00523E9A">
        <w:t xml:space="preserve"> + b</w:t>
      </w:r>
      <w:r w:rsidRPr="00523E9A">
        <w:rPr>
          <w:vertAlign w:val="subscript"/>
        </w:rPr>
        <w:t xml:space="preserve">10 </w:t>
      </w:r>
      <w:r w:rsidRPr="00523E9A">
        <w:t>+ b</w:t>
      </w:r>
      <w:r w:rsidRPr="00523E9A">
        <w:rPr>
          <w:vertAlign w:val="subscript"/>
        </w:rPr>
        <w:t>11</w:t>
      </w:r>
      <w:r w:rsidRPr="00523E9A">
        <w:t>)M] T</w:t>
      </w:r>
      <w:r w:rsidRPr="00523E9A">
        <w:rPr>
          <w:vertAlign w:val="superscript"/>
        </w:rPr>
        <w:t xml:space="preserve">2 </w:t>
      </w:r>
      <w:r w:rsidRPr="00523E9A">
        <w:t>+ e</w:t>
      </w:r>
      <w:r w:rsidRPr="00523E9A">
        <w:tab/>
      </w:r>
      <w:r w:rsidRPr="00523E9A">
        <w:tab/>
      </w:r>
      <w:r w:rsidRPr="00523E9A">
        <w:tab/>
      </w:r>
      <w:r w:rsidRPr="00523E9A">
        <w:tab/>
        <w:t xml:space="preserve"> (7)</w:t>
      </w:r>
    </w:p>
    <w:p w14:paraId="41F22775" w14:textId="77777777" w:rsidR="001C444C" w:rsidRPr="00523E9A" w:rsidRDefault="001C444C" w:rsidP="00A33288">
      <w:pPr>
        <w:pStyle w:val="BodyText"/>
        <w:suppressAutoHyphens/>
        <w:spacing w:after="0"/>
        <w:ind w:left="720" w:firstLine="691"/>
      </w:pPr>
    </w:p>
    <w:p w14:paraId="01E08960" w14:textId="77777777" w:rsidR="001C444C" w:rsidRPr="00523E9A" w:rsidRDefault="001C444C" w:rsidP="00A33288">
      <w:pPr>
        <w:pStyle w:val="BodyText"/>
        <w:suppressAutoHyphens/>
        <w:spacing w:after="0"/>
        <w:ind w:left="720" w:firstLine="691"/>
      </w:pPr>
      <w:r w:rsidRPr="00523E9A">
        <w:t>IP = (b</w:t>
      </w:r>
      <w:r w:rsidRPr="00523E9A">
        <w:rPr>
          <w:vertAlign w:val="subscript"/>
        </w:rPr>
        <w:t>0</w:t>
      </w:r>
      <w:r w:rsidRPr="00523E9A">
        <w:t xml:space="preserve"> + b</w:t>
      </w:r>
      <w:r w:rsidRPr="00523E9A">
        <w:rPr>
          <w:vertAlign w:val="subscript"/>
        </w:rPr>
        <w:t>6</w:t>
      </w:r>
      <w:r w:rsidRPr="00523E9A">
        <w:t>M) + [(b</w:t>
      </w:r>
      <w:r w:rsidRPr="00523E9A">
        <w:rPr>
          <w:vertAlign w:val="subscript"/>
        </w:rPr>
        <w:t xml:space="preserve">1 </w:t>
      </w:r>
      <w:r w:rsidRPr="00523E9A">
        <w:t>- b</w:t>
      </w:r>
      <w:r w:rsidRPr="00523E9A">
        <w:rPr>
          <w:vertAlign w:val="subscript"/>
        </w:rPr>
        <w:t>2</w:t>
      </w:r>
      <w:r w:rsidRPr="00523E9A">
        <w:t>) + (b</w:t>
      </w:r>
      <w:r w:rsidRPr="00523E9A">
        <w:rPr>
          <w:vertAlign w:val="subscript"/>
        </w:rPr>
        <w:t>7</w:t>
      </w:r>
      <w:r w:rsidRPr="00523E9A">
        <w:t xml:space="preserve"> - b</w:t>
      </w:r>
      <w:r w:rsidRPr="00523E9A">
        <w:rPr>
          <w:vertAlign w:val="subscript"/>
        </w:rPr>
        <w:t>8</w:t>
      </w:r>
      <w:r w:rsidRPr="00523E9A">
        <w:t xml:space="preserve">)M] T + </w:t>
      </w:r>
    </w:p>
    <w:p w14:paraId="1E02E17F" w14:textId="1D50B84E" w:rsidR="001C444C" w:rsidRPr="00523E9A" w:rsidRDefault="001C444C" w:rsidP="00A33288">
      <w:pPr>
        <w:pStyle w:val="BodyText"/>
        <w:suppressAutoHyphens/>
        <w:spacing w:after="0"/>
        <w:ind w:left="720" w:firstLine="691"/>
      </w:pPr>
      <w:r w:rsidRPr="00523E9A">
        <w:t xml:space="preserve">     [(b</w:t>
      </w:r>
      <w:r w:rsidRPr="00523E9A">
        <w:rPr>
          <w:vertAlign w:val="subscript"/>
        </w:rPr>
        <w:t>3</w:t>
      </w:r>
      <w:r w:rsidRPr="00523E9A">
        <w:t xml:space="preserve"> - b</w:t>
      </w:r>
      <w:r w:rsidRPr="00523E9A">
        <w:rPr>
          <w:vertAlign w:val="subscript"/>
        </w:rPr>
        <w:t xml:space="preserve">4 </w:t>
      </w:r>
      <w:r w:rsidRPr="00523E9A">
        <w:t>+ b</w:t>
      </w:r>
      <w:r w:rsidRPr="00523E9A">
        <w:rPr>
          <w:vertAlign w:val="subscript"/>
        </w:rPr>
        <w:t>5</w:t>
      </w:r>
      <w:r w:rsidRPr="00523E9A">
        <w:t>) + (b</w:t>
      </w:r>
      <w:r w:rsidRPr="00523E9A">
        <w:rPr>
          <w:vertAlign w:val="subscript"/>
        </w:rPr>
        <w:t>9</w:t>
      </w:r>
      <w:r w:rsidRPr="00523E9A">
        <w:t xml:space="preserve"> - b</w:t>
      </w:r>
      <w:r w:rsidRPr="00523E9A">
        <w:rPr>
          <w:vertAlign w:val="subscript"/>
        </w:rPr>
        <w:t xml:space="preserve">10 </w:t>
      </w:r>
      <w:r w:rsidRPr="00523E9A">
        <w:t>+ b</w:t>
      </w:r>
      <w:r w:rsidRPr="00523E9A">
        <w:rPr>
          <w:vertAlign w:val="subscript"/>
        </w:rPr>
        <w:t>11</w:t>
      </w:r>
      <w:r w:rsidRPr="00523E9A">
        <w:t>)M] T</w:t>
      </w:r>
      <w:r w:rsidRPr="00523E9A">
        <w:rPr>
          <w:vertAlign w:val="superscript"/>
        </w:rPr>
        <w:t xml:space="preserve">2 </w:t>
      </w:r>
      <w:r w:rsidRPr="00523E9A">
        <w:t>+ e</w:t>
      </w:r>
      <w:r w:rsidRPr="00523E9A">
        <w:tab/>
      </w:r>
      <w:r w:rsidRPr="00523E9A">
        <w:tab/>
      </w:r>
      <w:r w:rsidRPr="00523E9A">
        <w:tab/>
      </w:r>
      <w:r w:rsidRPr="00523E9A">
        <w:tab/>
        <w:t xml:space="preserve"> (8)</w:t>
      </w:r>
    </w:p>
    <w:p w14:paraId="753A7482" w14:textId="77777777" w:rsidR="00A33288" w:rsidRPr="00523E9A" w:rsidRDefault="00A33288" w:rsidP="00A33288">
      <w:pPr>
        <w:tabs>
          <w:tab w:val="clear" w:pos="284"/>
        </w:tabs>
        <w:ind w:firstLine="720"/>
      </w:pPr>
    </w:p>
    <w:p w14:paraId="3EB83A93" w14:textId="7FE7FEC1" w:rsidR="001C444C" w:rsidRPr="00523E9A" w:rsidRDefault="001C444C" w:rsidP="00A33288">
      <w:pPr>
        <w:tabs>
          <w:tab w:val="clear" w:pos="284"/>
        </w:tabs>
        <w:ind w:firstLine="720"/>
        <w:rPr>
          <w:b/>
          <w:bCs/>
          <w:shd w:val="clear" w:color="auto" w:fill="FFFFFF"/>
        </w:rPr>
      </w:pPr>
      <w:r w:rsidRPr="00523E9A">
        <w:lastRenderedPageBreak/>
        <w:t>In equation 7, the slope of the symmetry line is represented by the term [(b</w:t>
      </w:r>
      <w:r w:rsidRPr="00523E9A">
        <w:rPr>
          <w:vertAlign w:val="subscript"/>
        </w:rPr>
        <w:t>1</w:t>
      </w:r>
      <w:r w:rsidRPr="00523E9A">
        <w:t>+ b</w:t>
      </w:r>
      <w:r w:rsidRPr="00523E9A">
        <w:rPr>
          <w:vertAlign w:val="subscript"/>
        </w:rPr>
        <w:t>2</w:t>
      </w:r>
      <w:r w:rsidRPr="00523E9A">
        <w:t>) + (b</w:t>
      </w:r>
      <w:r w:rsidRPr="00523E9A">
        <w:rPr>
          <w:vertAlign w:val="subscript"/>
        </w:rPr>
        <w:t xml:space="preserve">7 </w:t>
      </w:r>
      <w:r w:rsidRPr="00523E9A">
        <w:t>+ b</w:t>
      </w:r>
      <w:r w:rsidRPr="00523E9A">
        <w:rPr>
          <w:vertAlign w:val="subscript"/>
        </w:rPr>
        <w:t>8</w:t>
      </w:r>
      <w:r w:rsidRPr="00523E9A">
        <w:t>)M]</w:t>
      </w:r>
      <w:r w:rsidR="0043271D" w:rsidRPr="00523E9A">
        <w:t>,</w:t>
      </w:r>
      <w:r w:rsidRPr="00523E9A">
        <w:t xml:space="preserve"> and the curvature is represented by the term [(b</w:t>
      </w:r>
      <w:r w:rsidRPr="00523E9A">
        <w:rPr>
          <w:vertAlign w:val="subscript"/>
        </w:rPr>
        <w:t>3</w:t>
      </w:r>
      <w:r w:rsidRPr="00523E9A">
        <w:t xml:space="preserve"> + b</w:t>
      </w:r>
      <w:r w:rsidRPr="00523E9A">
        <w:rPr>
          <w:vertAlign w:val="subscript"/>
        </w:rPr>
        <w:t xml:space="preserve">4 </w:t>
      </w:r>
      <w:r w:rsidRPr="00523E9A">
        <w:t>+ b</w:t>
      </w:r>
      <w:r w:rsidRPr="00523E9A">
        <w:rPr>
          <w:vertAlign w:val="subscript"/>
        </w:rPr>
        <w:t>5</w:t>
      </w:r>
      <w:r w:rsidRPr="00523E9A">
        <w:t>) + (b</w:t>
      </w:r>
      <w:r w:rsidRPr="00523E9A">
        <w:rPr>
          <w:vertAlign w:val="subscript"/>
        </w:rPr>
        <w:t>9</w:t>
      </w:r>
      <w:r w:rsidRPr="00523E9A">
        <w:t xml:space="preserve"> + b</w:t>
      </w:r>
      <w:r w:rsidRPr="00523E9A">
        <w:rPr>
          <w:vertAlign w:val="subscript"/>
        </w:rPr>
        <w:t xml:space="preserve">10 </w:t>
      </w:r>
      <w:r w:rsidRPr="00523E9A">
        <w:t>+ b</w:t>
      </w:r>
      <w:r w:rsidRPr="00523E9A">
        <w:rPr>
          <w:vertAlign w:val="subscript"/>
        </w:rPr>
        <w:t>11</w:t>
      </w:r>
      <w:r w:rsidRPr="00523E9A">
        <w:t>)M]. In equation 8,  the slope of the asymmetry line is represented by the term [(b</w:t>
      </w:r>
      <w:r w:rsidRPr="00523E9A">
        <w:rPr>
          <w:vertAlign w:val="subscript"/>
        </w:rPr>
        <w:t xml:space="preserve">1 </w:t>
      </w:r>
      <w:r w:rsidRPr="00523E9A">
        <w:t>- b</w:t>
      </w:r>
      <w:r w:rsidRPr="00523E9A">
        <w:rPr>
          <w:vertAlign w:val="subscript"/>
        </w:rPr>
        <w:t>2</w:t>
      </w:r>
      <w:r w:rsidRPr="00523E9A">
        <w:t>) + (b</w:t>
      </w:r>
      <w:r w:rsidRPr="00523E9A">
        <w:rPr>
          <w:vertAlign w:val="subscript"/>
        </w:rPr>
        <w:t>7</w:t>
      </w:r>
      <w:r w:rsidRPr="00523E9A">
        <w:t xml:space="preserve"> - b</w:t>
      </w:r>
      <w:r w:rsidRPr="00523E9A">
        <w:rPr>
          <w:vertAlign w:val="subscript"/>
        </w:rPr>
        <w:t>8</w:t>
      </w:r>
      <w:r w:rsidRPr="00523E9A">
        <w:t>)M] and the curvature is represented by the term [(b</w:t>
      </w:r>
      <w:r w:rsidRPr="00523E9A">
        <w:rPr>
          <w:vertAlign w:val="subscript"/>
        </w:rPr>
        <w:t>3</w:t>
      </w:r>
      <w:r w:rsidRPr="00523E9A">
        <w:t xml:space="preserve"> - b</w:t>
      </w:r>
      <w:r w:rsidRPr="00523E9A">
        <w:rPr>
          <w:vertAlign w:val="subscript"/>
        </w:rPr>
        <w:t xml:space="preserve">4 </w:t>
      </w:r>
      <w:r w:rsidRPr="00523E9A">
        <w:t>+ b</w:t>
      </w:r>
      <w:r w:rsidRPr="00523E9A">
        <w:rPr>
          <w:vertAlign w:val="subscript"/>
        </w:rPr>
        <w:t>5</w:t>
      </w:r>
      <w:r w:rsidRPr="00523E9A">
        <w:t>) + (b</w:t>
      </w:r>
      <w:r w:rsidRPr="00523E9A">
        <w:rPr>
          <w:vertAlign w:val="subscript"/>
        </w:rPr>
        <w:t>9</w:t>
      </w:r>
      <w:r w:rsidRPr="00523E9A">
        <w:t xml:space="preserve"> - b</w:t>
      </w:r>
      <w:r w:rsidRPr="00523E9A">
        <w:rPr>
          <w:vertAlign w:val="subscript"/>
        </w:rPr>
        <w:t xml:space="preserve">10 </w:t>
      </w:r>
      <w:r w:rsidRPr="00523E9A">
        <w:t>+ b</w:t>
      </w:r>
      <w:r w:rsidRPr="00523E9A">
        <w:rPr>
          <w:vertAlign w:val="subscript"/>
        </w:rPr>
        <w:t>11</w:t>
      </w:r>
      <w:r w:rsidRPr="00523E9A">
        <w:t xml:space="preserve">)M]. We can assess the significance of the slope and curvature by substituting meaningful values for M in equations 7 and 8. Specifically, we can </w:t>
      </w:r>
      <w:r w:rsidR="00700EE7" w:rsidRPr="00523E9A">
        <w:t xml:space="preserve">get low and high values of M by </w:t>
      </w:r>
      <w:r w:rsidRPr="00523E9A">
        <w:t>substitut</w:t>
      </w:r>
      <w:r w:rsidR="00700EE7" w:rsidRPr="00523E9A">
        <w:t>ing</w:t>
      </w:r>
      <w:r w:rsidRPr="00523E9A">
        <w:t xml:space="preserve"> </w:t>
      </w:r>
      <w:r w:rsidR="002E78CB" w:rsidRPr="00523E9A">
        <w:t xml:space="preserve">the </w:t>
      </w:r>
      <w:r w:rsidRPr="00523E9A">
        <w:t xml:space="preserve">mean value of W minus standard deviation </w:t>
      </w:r>
      <w:r w:rsidR="00700EE7" w:rsidRPr="00523E9A">
        <w:t xml:space="preserve">and </w:t>
      </w:r>
      <w:r w:rsidR="002E78CB" w:rsidRPr="00523E9A">
        <w:t xml:space="preserve">the </w:t>
      </w:r>
      <w:r w:rsidR="00700EE7" w:rsidRPr="00523E9A">
        <w:t>mean value of W plus standard deviation</w:t>
      </w:r>
      <w:r w:rsidR="0043271D" w:rsidRPr="00523E9A">
        <w:t>,</w:t>
      </w:r>
      <w:r w:rsidR="00700EE7" w:rsidRPr="00523E9A">
        <w:t xml:space="preserve"> respectively</w:t>
      </w:r>
      <w:r w:rsidRPr="00523E9A">
        <w:t>. Additionally, we can visualize the moderation effect by creating the response surfaces at low and high values of the moderator M. These response surfaces could also provide a subjective assessment of the moderation effect.</w:t>
      </w:r>
    </w:p>
    <w:p w14:paraId="3CABFD6F" w14:textId="77777777" w:rsidR="001C444C" w:rsidRPr="00523E9A" w:rsidRDefault="001C444C" w:rsidP="00A33288">
      <w:pPr>
        <w:tabs>
          <w:tab w:val="clear" w:pos="284"/>
        </w:tabs>
        <w:ind w:firstLine="0"/>
        <w:jc w:val="left"/>
        <w:rPr>
          <w:b/>
          <w:bCs/>
          <w:shd w:val="clear" w:color="auto" w:fill="FFFFFF"/>
        </w:rPr>
      </w:pPr>
    </w:p>
    <w:p w14:paraId="05EBD9C4" w14:textId="77777777" w:rsidR="00A33288" w:rsidRPr="00523E9A" w:rsidRDefault="00A33288">
      <w:pPr>
        <w:tabs>
          <w:tab w:val="clear" w:pos="284"/>
        </w:tabs>
        <w:spacing w:line="240" w:lineRule="auto"/>
        <w:ind w:firstLine="0"/>
        <w:jc w:val="left"/>
        <w:rPr>
          <w:b/>
          <w:bCs/>
          <w:shd w:val="clear" w:color="auto" w:fill="FFFFFF"/>
        </w:rPr>
      </w:pPr>
      <w:r w:rsidRPr="00523E9A">
        <w:rPr>
          <w:b/>
          <w:bCs/>
          <w:shd w:val="clear" w:color="auto" w:fill="FFFFFF"/>
        </w:rPr>
        <w:br w:type="page"/>
      </w:r>
    </w:p>
    <w:p w14:paraId="79A584B0" w14:textId="0CD2EF08" w:rsidR="00BA5A9D" w:rsidRPr="00523E9A" w:rsidRDefault="001C444C" w:rsidP="00BA5A9D">
      <w:pPr>
        <w:tabs>
          <w:tab w:val="clear" w:pos="284"/>
        </w:tabs>
        <w:adjustRightInd w:val="0"/>
        <w:snapToGrid w:val="0"/>
        <w:spacing w:line="240" w:lineRule="auto"/>
        <w:ind w:firstLine="0"/>
        <w:jc w:val="center"/>
        <w:rPr>
          <w:b/>
          <w:bCs/>
          <w:shd w:val="clear" w:color="auto" w:fill="FFFFFF"/>
        </w:rPr>
      </w:pPr>
      <w:r w:rsidRPr="00523E9A">
        <w:rPr>
          <w:b/>
          <w:bCs/>
          <w:shd w:val="clear" w:color="auto" w:fill="FFFFFF"/>
        </w:rPr>
        <w:lastRenderedPageBreak/>
        <w:t xml:space="preserve">Appendix </w:t>
      </w:r>
      <w:r w:rsidR="00A07E69" w:rsidRPr="00523E9A">
        <w:rPr>
          <w:b/>
          <w:bCs/>
          <w:shd w:val="clear" w:color="auto" w:fill="FFFFFF"/>
        </w:rPr>
        <w:t>E</w:t>
      </w:r>
    </w:p>
    <w:p w14:paraId="32158FAF" w14:textId="2426A570" w:rsidR="001C444C" w:rsidRPr="00523E9A" w:rsidRDefault="001C444C" w:rsidP="00BA5A9D">
      <w:pPr>
        <w:tabs>
          <w:tab w:val="clear" w:pos="284"/>
        </w:tabs>
        <w:adjustRightInd w:val="0"/>
        <w:snapToGrid w:val="0"/>
        <w:spacing w:line="240" w:lineRule="auto"/>
        <w:ind w:firstLine="0"/>
        <w:jc w:val="center"/>
        <w:rPr>
          <w:b/>
          <w:bCs/>
          <w:shd w:val="clear" w:color="auto" w:fill="FFFFFF"/>
        </w:rPr>
      </w:pPr>
      <w:r w:rsidRPr="00523E9A">
        <w:rPr>
          <w:b/>
          <w:bCs/>
          <w:shd w:val="clear" w:color="auto" w:fill="FFFFFF"/>
        </w:rPr>
        <w:t>Robustness Checks</w:t>
      </w:r>
    </w:p>
    <w:p w14:paraId="01032686" w14:textId="77777777" w:rsidR="00BA5A9D" w:rsidRPr="00523E9A" w:rsidRDefault="00BA5A9D" w:rsidP="00BA5A9D">
      <w:pPr>
        <w:tabs>
          <w:tab w:val="clear" w:pos="284"/>
        </w:tabs>
        <w:adjustRightInd w:val="0"/>
        <w:snapToGrid w:val="0"/>
        <w:spacing w:line="240" w:lineRule="auto"/>
        <w:ind w:firstLine="0"/>
        <w:jc w:val="center"/>
        <w:rPr>
          <w:b/>
          <w:bCs/>
          <w:shd w:val="clear" w:color="auto" w:fill="FFFFFF"/>
        </w:rPr>
      </w:pPr>
    </w:p>
    <w:p w14:paraId="33C64080" w14:textId="584D9A9A" w:rsidR="001C444C" w:rsidRPr="00523E9A" w:rsidRDefault="001C444C" w:rsidP="00A33288">
      <w:pPr>
        <w:tabs>
          <w:tab w:val="clear" w:pos="284"/>
        </w:tabs>
        <w:ind w:firstLine="720"/>
        <w:rPr>
          <w:rFonts w:eastAsia="Times New Roman"/>
          <w:kern w:val="0"/>
          <w:lang w:eastAsia="en-US"/>
        </w:rPr>
      </w:pPr>
      <w:r w:rsidRPr="00523E9A">
        <w:rPr>
          <w:rFonts w:eastAsia="Times New Roman"/>
          <w:kern w:val="0"/>
          <w:lang w:eastAsia="en-US"/>
        </w:rPr>
        <w:t xml:space="preserve">Given the potential issues pertaining to endogeneity, we </w:t>
      </w:r>
      <w:r w:rsidR="00700EE7" w:rsidRPr="00523E9A">
        <w:rPr>
          <w:rFonts w:eastAsia="Times New Roman"/>
          <w:kern w:val="0"/>
          <w:lang w:eastAsia="en-US"/>
        </w:rPr>
        <w:t xml:space="preserve">included valid instruments and tested using </w:t>
      </w:r>
      <w:r w:rsidRPr="00523E9A">
        <w:rPr>
          <w:rFonts w:eastAsia="Times New Roman"/>
          <w:kern w:val="0"/>
          <w:lang w:eastAsia="en-US"/>
        </w:rPr>
        <w:t xml:space="preserve">the two-stage hierarchical OLS </w:t>
      </w:r>
      <w:r w:rsidR="00700EE7" w:rsidRPr="00523E9A">
        <w:rPr>
          <w:rFonts w:eastAsia="Times New Roman"/>
          <w:kern w:val="0"/>
          <w:lang w:eastAsia="en-US"/>
        </w:rPr>
        <w:t xml:space="preserve">regression models </w:t>
      </w:r>
      <w:r w:rsidRPr="00523E9A">
        <w:rPr>
          <w:rFonts w:eastAsia="Times New Roman"/>
          <w:kern w:val="0"/>
          <w:lang w:eastAsia="en-US"/>
        </w:rPr>
        <w:fldChar w:fldCharType="begin"/>
      </w:r>
      <w:r w:rsidR="00B32E7B" w:rsidRPr="00523E9A">
        <w:rPr>
          <w:rFonts w:eastAsia="Times New Roman"/>
          <w:kern w:val="0"/>
          <w:lang w:eastAsia="en-US"/>
        </w:rPr>
        <w:instrText xml:space="preserve"> ADDIN EN.CITE &lt;EndNote&gt;&lt;Cite&gt;&lt;Author&gt;Hamilton&lt;/Author&gt;&lt;Year&gt;2003&lt;/Year&gt;&lt;RecNum&gt;311&lt;/RecNum&gt;&lt;DisplayText&gt;(Hamilton &amp;amp; Nickerson, 2003)&lt;/DisplayText&gt;&lt;record&gt;&lt;rec-number&gt;311&lt;/rec-number&gt;&lt;foreign-keys&gt;&lt;key app="EN" db-id="9w0szxwprfdzvge5s9gpzdt6pe959zzt5vpt" timestamp="1652772593"&gt;311&lt;/key&gt;&lt;/foreign-keys&gt;&lt;ref-type name="Journal Article"&gt;17&lt;/ref-type&gt;&lt;contributors&gt;&lt;authors&gt;&lt;author&gt;Hamilton, Barton H.&lt;/author&gt;&lt;author&gt;Nickerson, Jackson A.&lt;/author&gt;&lt;/authors&gt;&lt;/contributors&gt;&lt;titles&gt;&lt;title&gt;Correcting for endogeneity in strategic management research&lt;/title&gt;&lt;secondary-title&gt;Strategic Organization&lt;/secondary-title&gt;&lt;/titles&gt;&lt;periodical&gt;&lt;full-title&gt;Strategic Organization&lt;/full-title&gt;&lt;/periodical&gt;&lt;pages&gt;51-78&lt;/pages&gt;&lt;volume&gt;1&lt;/volume&gt;&lt;number&gt;1&lt;/number&gt;&lt;keywords&gt;&lt;keyword&gt;Endogeneity&lt;/keyword&gt;&lt;keyword&gt;Strategy Choice&lt;/keyword&gt;&lt;keyword&gt;Unobserved Heterogeneity&lt;/keyword&gt;&lt;keyword&gt;Business&lt;/keyword&gt;&lt;/keywords&gt;&lt;dates&gt;&lt;year&gt;2003&lt;/year&gt;&lt;/dates&gt;&lt;pub-location&gt;Thousand Oaks, CA&lt;/pub-location&gt;&lt;isbn&gt;1476-1270&lt;/isbn&gt;&lt;urls&gt;&lt;/urls&gt;&lt;/record&gt;&lt;/Cite&gt;&lt;/EndNote&gt;</w:instrText>
      </w:r>
      <w:r w:rsidRPr="00523E9A">
        <w:rPr>
          <w:rFonts w:eastAsia="Times New Roman"/>
          <w:kern w:val="0"/>
          <w:lang w:eastAsia="en-US"/>
        </w:rPr>
        <w:fldChar w:fldCharType="separate"/>
      </w:r>
      <w:r w:rsidR="00B32E7B" w:rsidRPr="00523E9A">
        <w:rPr>
          <w:rFonts w:eastAsia="Times New Roman"/>
          <w:noProof/>
          <w:kern w:val="0"/>
          <w:lang w:eastAsia="en-US"/>
        </w:rPr>
        <w:t>(Hamilton &amp; Nickerson, 2003)</w:t>
      </w:r>
      <w:r w:rsidRPr="00523E9A">
        <w:rPr>
          <w:rFonts w:eastAsia="Times New Roman"/>
          <w:kern w:val="0"/>
          <w:lang w:eastAsia="en-US"/>
        </w:rPr>
        <w:fldChar w:fldCharType="end"/>
      </w:r>
      <w:r w:rsidRPr="00523E9A">
        <w:rPr>
          <w:rFonts w:eastAsia="Times New Roman"/>
          <w:kern w:val="0"/>
          <w:lang w:eastAsia="en-US"/>
        </w:rPr>
        <w:t xml:space="preserve">. </w:t>
      </w:r>
      <w:r w:rsidR="002E78CB" w:rsidRPr="00523E9A">
        <w:rPr>
          <w:rFonts w:eastAsia="Times New Roman"/>
          <w:kern w:val="0"/>
          <w:lang w:eastAsia="en-US"/>
        </w:rPr>
        <w:t>However</w:t>
      </w:r>
      <w:r w:rsidR="0043271D" w:rsidRPr="00523E9A">
        <w:rPr>
          <w:rFonts w:eastAsia="Times New Roman"/>
          <w:kern w:val="0"/>
          <w:lang w:eastAsia="en-US"/>
        </w:rPr>
        <w:t>,</w:t>
      </w:r>
      <w:r w:rsidR="002E78CB" w:rsidRPr="00523E9A">
        <w:rPr>
          <w:rFonts w:eastAsia="Times New Roman"/>
          <w:kern w:val="0"/>
          <w:lang w:eastAsia="en-US"/>
        </w:rPr>
        <w:t xml:space="preserve"> </w:t>
      </w:r>
      <w:r w:rsidR="00700EE7" w:rsidRPr="00523E9A">
        <w:rPr>
          <w:rFonts w:eastAsia="Times New Roman"/>
          <w:kern w:val="0"/>
          <w:lang w:eastAsia="en-US"/>
        </w:rPr>
        <w:t xml:space="preserve">given that the </w:t>
      </w:r>
      <w:r w:rsidRPr="00523E9A">
        <w:rPr>
          <w:rFonts w:eastAsia="Times New Roman"/>
          <w:kern w:val="0"/>
          <w:lang w:eastAsia="en-US"/>
        </w:rPr>
        <w:t xml:space="preserve">OLS </w:t>
      </w:r>
      <w:r w:rsidR="00700EE7" w:rsidRPr="00523E9A">
        <w:rPr>
          <w:rFonts w:eastAsia="Times New Roman"/>
          <w:kern w:val="0"/>
          <w:lang w:eastAsia="en-US"/>
        </w:rPr>
        <w:t xml:space="preserve">approach is </w:t>
      </w:r>
      <w:r w:rsidRPr="00523E9A">
        <w:rPr>
          <w:rFonts w:eastAsia="Times New Roman"/>
          <w:kern w:val="0"/>
          <w:lang w:eastAsia="en-US"/>
        </w:rPr>
        <w:t>biased</w:t>
      </w:r>
      <w:r w:rsidR="00700EE7" w:rsidRPr="00523E9A">
        <w:rPr>
          <w:rFonts w:eastAsia="Times New Roman"/>
          <w:kern w:val="0"/>
          <w:lang w:eastAsia="en-US"/>
        </w:rPr>
        <w:t xml:space="preserve"> in the presence of endogeneity</w:t>
      </w:r>
      <w:r w:rsidRPr="00523E9A">
        <w:rPr>
          <w:rFonts w:eastAsia="Times New Roman"/>
          <w:kern w:val="0"/>
          <w:lang w:eastAsia="en-US"/>
        </w:rPr>
        <w:t xml:space="preserve">, we </w:t>
      </w:r>
      <w:r w:rsidR="00700EE7" w:rsidRPr="00523E9A">
        <w:rPr>
          <w:rFonts w:eastAsia="Times New Roman"/>
          <w:kern w:val="0"/>
          <w:lang w:eastAsia="en-US"/>
        </w:rPr>
        <w:t xml:space="preserve">used other estimation approaches </w:t>
      </w:r>
      <w:r w:rsidRPr="00523E9A">
        <w:rPr>
          <w:rFonts w:eastAsia="Times New Roman"/>
          <w:kern w:val="0"/>
          <w:lang w:eastAsia="en-US"/>
        </w:rPr>
        <w:t xml:space="preserve">to ensure the robustness of our results. First, we used the two-stage least squares (2SLS) estimator and ran multiple models to </w:t>
      </w:r>
      <w:r w:rsidR="0043271D" w:rsidRPr="00523E9A">
        <w:rPr>
          <w:rFonts w:eastAsia="Times New Roman"/>
          <w:kern w:val="0"/>
          <w:lang w:eastAsia="en-US"/>
        </w:rPr>
        <w:t>assess not only the appropriateness of our instruments</w:t>
      </w:r>
      <w:r w:rsidRPr="00523E9A">
        <w:rPr>
          <w:rFonts w:eastAsia="Times New Roman"/>
          <w:kern w:val="0"/>
          <w:lang w:eastAsia="en-US"/>
        </w:rPr>
        <w:t xml:space="preserve"> but also the results of our polynomial regression. Before testing our polynomial regression model using the 2SLS estimator, we assessed the appropriateness of the instruments individually for trust and interdependence. </w:t>
      </w:r>
    </w:p>
    <w:p w14:paraId="787C4CB1" w14:textId="540B5C69" w:rsidR="001C444C" w:rsidRPr="00523E9A" w:rsidRDefault="001C444C" w:rsidP="00A33288">
      <w:pPr>
        <w:tabs>
          <w:tab w:val="clear" w:pos="284"/>
        </w:tabs>
        <w:ind w:firstLine="720"/>
        <w:rPr>
          <w:lang w:val="en-GB"/>
        </w:rPr>
      </w:pPr>
      <w:r w:rsidRPr="00523E9A">
        <w:rPr>
          <w:rFonts w:eastAsia="Times New Roman"/>
          <w:kern w:val="0"/>
          <w:lang w:eastAsia="en-US"/>
        </w:rPr>
        <w:t xml:space="preserve">We regressed (1) innovation partnership on trust and the control variables using </w:t>
      </w:r>
      <w:r w:rsidR="0043271D" w:rsidRPr="00523E9A">
        <w:rPr>
          <w:lang w:val="en-GB"/>
        </w:rPr>
        <w:t>self-interest-seeking</w:t>
      </w:r>
      <w:r w:rsidRPr="00523E9A">
        <w:rPr>
          <w:lang w:val="en-GB"/>
        </w:rPr>
        <w:t xml:space="preserve"> </w:t>
      </w:r>
      <w:proofErr w:type="spellStart"/>
      <w:r w:rsidRPr="00523E9A">
        <w:rPr>
          <w:lang w:val="en-GB"/>
        </w:rPr>
        <w:t>behavior</w:t>
      </w:r>
      <w:proofErr w:type="spellEnd"/>
      <w:r w:rsidRPr="00523E9A">
        <w:rPr>
          <w:lang w:val="en-GB"/>
        </w:rPr>
        <w:t xml:space="preserve"> and loyalty as instruments, and (2) </w:t>
      </w:r>
      <w:r w:rsidRPr="00523E9A">
        <w:rPr>
          <w:rFonts w:eastAsia="Times New Roman"/>
          <w:kern w:val="0"/>
          <w:lang w:eastAsia="en-US"/>
        </w:rPr>
        <w:t xml:space="preserve">innovation partnership on interdependence and the control variables using </w:t>
      </w:r>
      <w:r w:rsidRPr="00523E9A">
        <w:rPr>
          <w:lang w:val="en-GB"/>
        </w:rPr>
        <w:t xml:space="preserve">replaceability of the supplier and loyalty as instruments. The statistics for </w:t>
      </w:r>
      <w:proofErr w:type="spellStart"/>
      <w:r w:rsidRPr="00523E9A">
        <w:rPr>
          <w:lang w:val="en-GB"/>
        </w:rPr>
        <w:t>underidentification</w:t>
      </w:r>
      <w:proofErr w:type="spellEnd"/>
      <w:r w:rsidRPr="00523E9A">
        <w:rPr>
          <w:lang w:val="en-GB"/>
        </w:rPr>
        <w:t xml:space="preserve"> – Anderson canonical correlation and </w:t>
      </w:r>
      <w:proofErr w:type="spellStart"/>
      <w:r w:rsidRPr="00523E9A">
        <w:rPr>
          <w:lang w:val="en-GB"/>
        </w:rPr>
        <w:t>Kleibergen</w:t>
      </w:r>
      <w:proofErr w:type="spellEnd"/>
      <w:r w:rsidRPr="00523E9A">
        <w:rPr>
          <w:lang w:val="en-GB"/>
        </w:rPr>
        <w:t xml:space="preserve">-Paap LM statistics – were significant for both models, supporting the relevance and validity of our instruments. The Cragg-Donald Wald F statistics for both models </w:t>
      </w:r>
      <w:r w:rsidR="002E78CB" w:rsidRPr="00523E9A">
        <w:rPr>
          <w:lang w:val="en-GB"/>
        </w:rPr>
        <w:t xml:space="preserve">were </w:t>
      </w:r>
      <w:r w:rsidRPr="00523E9A">
        <w:rPr>
          <w:lang w:val="en-GB"/>
        </w:rPr>
        <w:t xml:space="preserve">higher than the critical values suggested by </w:t>
      </w:r>
      <w:r w:rsidRPr="00523E9A">
        <w:rPr>
          <w:lang w:val="en-GB"/>
        </w:rPr>
        <w:fldChar w:fldCharType="begin"/>
      </w:r>
      <w:r w:rsidR="00B32E7B" w:rsidRPr="00523E9A">
        <w:rPr>
          <w:lang w:val="en-GB"/>
        </w:rPr>
        <w:instrText xml:space="preserve"> ADDIN EN.CITE &lt;EndNote&gt;&lt;Cite&gt;&lt;Author&gt;Stock&lt;/Author&gt;&lt;Year&gt;2005&lt;/Year&gt;&lt;RecNum&gt;765&lt;/RecNum&gt;&lt;DisplayText&gt;(Stock &amp;amp; Yogo, 2005)&lt;/DisplayText&gt;&lt;record&gt;&lt;rec-number&gt;765&lt;/rec-number&gt;&lt;foreign-keys&gt;&lt;key app="EN" db-id="9w0szxwprfdzvge5s9gpzdt6pe959zzt5vpt" timestamp="1652772593"&gt;765&lt;/key&gt;&lt;/foreign-keys&gt;&lt;ref-type name="Book Section"&gt;5&lt;/ref-type&gt;&lt;contributors&gt;&lt;authors&gt;&lt;author&gt;Stock, J.&lt;/author&gt;&lt;author&gt;Yogo, M.&lt;/author&gt;&lt;/authors&gt;&lt;secondary-authors&gt;&lt;author&gt;Andrews, D.&lt;/author&gt;&lt;/secondary-authors&gt;&lt;/contributors&gt;&lt;titles&gt;&lt;title&gt;Testing for weak instruments in linear IV regression.&lt;/title&gt;&lt;secondary-title&gt;Identification and inference for econometric models&lt;/secondary-title&gt;&lt;/titles&gt;&lt;pages&gt;80-108&lt;/pages&gt;&lt;dates&gt;&lt;year&gt;2005&lt;/year&gt;&lt;/dates&gt;&lt;pub-location&gt;New York, NY&lt;/pub-location&gt;&lt;publisher&gt;Cambridge University Press&lt;/publisher&gt;&lt;urls&gt;&lt;/urls&gt;&lt;/record&gt;&lt;/Cite&gt;&lt;/EndNote&gt;</w:instrText>
      </w:r>
      <w:r w:rsidRPr="00523E9A">
        <w:rPr>
          <w:lang w:val="en-GB"/>
        </w:rPr>
        <w:fldChar w:fldCharType="separate"/>
      </w:r>
      <w:r w:rsidR="00B32E7B" w:rsidRPr="00523E9A">
        <w:rPr>
          <w:noProof/>
          <w:lang w:val="en-GB"/>
        </w:rPr>
        <w:t>(Stock &amp; Yogo, 2005)</w:t>
      </w:r>
      <w:r w:rsidRPr="00523E9A">
        <w:rPr>
          <w:lang w:val="en-GB"/>
        </w:rPr>
        <w:fldChar w:fldCharType="end"/>
      </w:r>
      <w:r w:rsidRPr="00523E9A">
        <w:rPr>
          <w:lang w:val="en-GB"/>
        </w:rPr>
        <w:t>, thereby suggesting that our instruments are strong. The overidentification restriction tests – Hansen-</w:t>
      </w:r>
      <w:proofErr w:type="spellStart"/>
      <w:r w:rsidRPr="00523E9A">
        <w:rPr>
          <w:lang w:val="en-GB"/>
        </w:rPr>
        <w:t>Sargan</w:t>
      </w:r>
      <w:proofErr w:type="spellEnd"/>
      <w:r w:rsidRPr="00523E9A">
        <w:rPr>
          <w:lang w:val="en-GB"/>
        </w:rPr>
        <w:t xml:space="preserve"> statistics – were nonsignificant for both models, suggesting that the instruments were not correlated to the respective error terms </w:t>
      </w:r>
      <w:r w:rsidRPr="00523E9A">
        <w:rPr>
          <w:lang w:val="en-GB"/>
        </w:rPr>
        <w:fldChar w:fldCharType="begin"/>
      </w:r>
      <w:r w:rsidR="00B32E7B" w:rsidRPr="00523E9A">
        <w:rPr>
          <w:lang w:val="en-GB"/>
        </w:rPr>
        <w:instrText xml:space="preserve"> ADDIN EN.CITE &lt;EndNote&gt;&lt;Cite&gt;&lt;Author&gt;Antonakis&lt;/Author&gt;&lt;Year&gt;2010&lt;/Year&gt;&lt;RecNum&gt;27&lt;/RecNum&gt;&lt;DisplayText&gt;(Antonakis et al., 2010)&lt;/DisplayText&gt;&lt;record&gt;&lt;rec-number&gt;27&lt;/rec-number&gt;&lt;foreign-keys&gt;&lt;key app="EN" db-id="9w0szxwprfdzvge5s9gpzdt6pe959zzt5vpt" timestamp="1652772593"&gt;27&lt;/key&gt;&lt;/foreign-keys&gt;&lt;ref-type name="Journal Article"&gt;17&lt;/ref-type&gt;&lt;contributors&gt;&lt;authors&gt;&lt;author&gt;Antonakis, John&lt;/author&gt;&lt;author&gt;Bendahan, Samuel&lt;/author&gt;&lt;author&gt;Jacquart, Philippe&lt;/author&gt;&lt;author&gt;Lalive, Rafael&lt;/author&gt;&lt;/authors&gt;&lt;/contributors&gt;&lt;titles&gt;&lt;title&gt;On making causal claims: A review and recommendations&lt;/title&gt;&lt;secondary-title&gt;The Leadership Quarterly&lt;/secondary-title&gt;&lt;/titles&gt;&lt;periodical&gt;&lt;full-title&gt;The Leadership Quarterly&lt;/full-title&gt;&lt;/periodical&gt;&lt;pages&gt;1086-1120&lt;/pages&gt;&lt;volume&gt;21&lt;/volume&gt;&lt;number&gt;6&lt;/number&gt;&lt;keywords&gt;&lt;keyword&gt;Causality&lt;/keyword&gt;&lt;keyword&gt;Quasi-Experimentation&lt;/keyword&gt;&lt;keyword&gt;Instrumental Variables&lt;/keyword&gt;&lt;keyword&gt;Common-Method Bias&lt;/keyword&gt;&lt;keyword&gt;Difference-in-Differences&lt;/keyword&gt;&lt;keyword&gt;Simultaneous Equations&lt;/keyword&gt;&lt;keyword&gt;Monte Carlo Simulations&lt;/keyword&gt;&lt;keyword&gt;Regression Discontinuity&lt;/keyword&gt;&lt;keyword&gt;Mediation&lt;/keyword&gt;&lt;keyword&gt;Business&lt;/keyword&gt;&lt;keyword&gt;Political Science&lt;/keyword&gt;&lt;/keywords&gt;&lt;dates&gt;&lt;year&gt;2010&lt;/year&gt;&lt;/dates&gt;&lt;isbn&gt;1048-9843&lt;/isbn&gt;&lt;urls&gt;&lt;/urls&gt;&lt;/record&gt;&lt;/Cite&gt;&lt;/EndNote&gt;</w:instrText>
      </w:r>
      <w:r w:rsidRPr="00523E9A">
        <w:rPr>
          <w:lang w:val="en-GB"/>
        </w:rPr>
        <w:fldChar w:fldCharType="separate"/>
      </w:r>
      <w:r w:rsidR="00B32E7B" w:rsidRPr="00523E9A">
        <w:rPr>
          <w:noProof/>
          <w:lang w:val="en-GB"/>
        </w:rPr>
        <w:t>(Antonakis et al., 2010)</w:t>
      </w:r>
      <w:r w:rsidRPr="00523E9A">
        <w:rPr>
          <w:lang w:val="en-GB"/>
        </w:rPr>
        <w:fldChar w:fldCharType="end"/>
      </w:r>
      <w:r w:rsidRPr="00523E9A">
        <w:rPr>
          <w:lang w:val="en-GB"/>
        </w:rPr>
        <w:t xml:space="preserve">. These preliminary results provide evidence that the instrumental variables we used were statistically sound. </w:t>
      </w:r>
    </w:p>
    <w:p w14:paraId="64228DED" w14:textId="3A4A0706" w:rsidR="001C444C" w:rsidRPr="00523E9A" w:rsidRDefault="001C444C" w:rsidP="00A33288">
      <w:pPr>
        <w:tabs>
          <w:tab w:val="clear" w:pos="284"/>
        </w:tabs>
        <w:ind w:firstLine="720"/>
        <w:rPr>
          <w:lang w:val="en-GB"/>
        </w:rPr>
      </w:pPr>
      <w:r w:rsidRPr="00523E9A">
        <w:rPr>
          <w:lang w:val="en-GB"/>
        </w:rPr>
        <w:t xml:space="preserve">Next, we assessed our polynomial regression model (Model 1 in Table 3) using two different 2SLS models. Initially, we tested a model (Model 2SLS-1) using the forbidden </w:t>
      </w:r>
      <w:r w:rsidRPr="00523E9A">
        <w:rPr>
          <w:lang w:val="en-GB"/>
        </w:rPr>
        <w:lastRenderedPageBreak/>
        <w:t xml:space="preserve">regression approach. As defined by </w:t>
      </w:r>
      <w:r w:rsidRPr="00523E9A">
        <w:rPr>
          <w:lang w:val="en-GB"/>
        </w:rPr>
        <w:fldChar w:fldCharType="begin"/>
      </w:r>
      <w:r w:rsidR="00B32E7B" w:rsidRPr="00523E9A">
        <w:rPr>
          <w:lang w:val="en-GB"/>
        </w:rPr>
        <w:instrText xml:space="preserve"> ADDIN EN.CITE &lt;EndNote&gt;&lt;Cite AuthorYear="1"&gt;&lt;Author&gt;Wooldridge&lt;/Author&gt;&lt;Year&gt;2002&lt;/Year&gt;&lt;RecNum&gt;863&lt;/RecNum&gt;&lt;DisplayText&gt;Wooldridge (2002)&lt;/DisplayText&gt;&lt;record&gt;&lt;rec-number&gt;863&lt;/rec-number&gt;&lt;foreign-keys&gt;&lt;key app="EN" db-id="9w0szxwprfdzvge5s9gpzdt6pe959zzt5vpt" timestamp="1652772593"&gt;863&lt;/key&gt;&lt;/foreign-keys&gt;&lt;ref-type name="Book"&gt;6&lt;/ref-type&gt;&lt;contributors&gt;&lt;authors&gt;&lt;author&gt;Wooldridge, Jeffrey M&lt;/author&gt;&lt;/authors&gt;&lt;/contributors&gt;&lt;titles&gt;&lt;title&gt;Econometric analysis of cross section and panel data&lt;/title&gt;&lt;/titles&gt;&lt;dates&gt;&lt;year&gt;2002&lt;/year&gt;&lt;/dates&gt;&lt;publisher&gt;MIT press&lt;/publisher&gt;&lt;isbn&gt;0262296799&lt;/isbn&gt;&lt;urls&gt;&lt;/urls&gt;&lt;/record&gt;&lt;/Cite&gt;&lt;/EndNote&gt;</w:instrText>
      </w:r>
      <w:r w:rsidRPr="00523E9A">
        <w:rPr>
          <w:lang w:val="en-GB"/>
        </w:rPr>
        <w:fldChar w:fldCharType="separate"/>
      </w:r>
      <w:r w:rsidR="00B32E7B" w:rsidRPr="00523E9A">
        <w:rPr>
          <w:noProof/>
          <w:lang w:val="en-GB"/>
        </w:rPr>
        <w:t>Wooldridge (2002)</w:t>
      </w:r>
      <w:r w:rsidRPr="00523E9A">
        <w:rPr>
          <w:lang w:val="en-GB"/>
        </w:rPr>
        <w:fldChar w:fldCharType="end"/>
      </w:r>
      <w:r w:rsidRPr="00523E9A">
        <w:rPr>
          <w:lang w:val="en-GB"/>
        </w:rPr>
        <w:t xml:space="preserve">), forbidden regression replaces “a nonlinear function of an endogenous explanatory variable with the same nonlinear function of fitted values from a first-stage estimation” (p. 236). Specifically, we used the predicted values of trust and interdependence from the first stage to create the interaction and curvilinear instruments; we used </w:t>
      </w:r>
      <w:r w:rsidR="0043271D" w:rsidRPr="00523E9A">
        <w:rPr>
          <w:lang w:val="en-GB"/>
        </w:rPr>
        <w:t>self-interest-seeking</w:t>
      </w:r>
      <w:r w:rsidRPr="00523E9A">
        <w:rPr>
          <w:lang w:val="en-GB"/>
        </w:rPr>
        <w:t xml:space="preserve"> </w:t>
      </w:r>
      <w:proofErr w:type="spellStart"/>
      <w:r w:rsidRPr="00523E9A">
        <w:rPr>
          <w:lang w:val="en-GB"/>
        </w:rPr>
        <w:t>behavior</w:t>
      </w:r>
      <w:proofErr w:type="spellEnd"/>
      <w:r w:rsidRPr="00523E9A">
        <w:rPr>
          <w:lang w:val="en-GB"/>
        </w:rPr>
        <w:t xml:space="preserve"> (A), replaceability of the supplier (B), loyalty (C), X</w:t>
      </w:r>
      <w:r w:rsidRPr="00523E9A">
        <w:rPr>
          <w:vertAlign w:val="superscript"/>
          <w:lang w:val="en-GB"/>
        </w:rPr>
        <w:t>2</w:t>
      </w:r>
      <w:r w:rsidRPr="00523E9A">
        <w:rPr>
          <w:lang w:val="en-GB"/>
        </w:rPr>
        <w:t>, XY, and Y</w:t>
      </w:r>
      <w:r w:rsidRPr="00523E9A">
        <w:rPr>
          <w:vertAlign w:val="superscript"/>
          <w:lang w:val="en-GB"/>
        </w:rPr>
        <w:t>2</w:t>
      </w:r>
      <w:r w:rsidRPr="00523E9A">
        <w:rPr>
          <w:lang w:val="en-GB"/>
        </w:rPr>
        <w:t xml:space="preserve"> as instruments. Alternatively, we tested another model (Model 2SLS-2) wherein we instrumented the interaction and curvilinear terms separately; specifically, we used A, B, C, A</w:t>
      </w:r>
      <w:r w:rsidRPr="00523E9A">
        <w:rPr>
          <w:vertAlign w:val="superscript"/>
          <w:lang w:val="en-GB"/>
        </w:rPr>
        <w:t>2</w:t>
      </w:r>
      <w:r w:rsidRPr="00523E9A">
        <w:rPr>
          <w:lang w:val="en-GB"/>
        </w:rPr>
        <w:t>, B</w:t>
      </w:r>
      <w:r w:rsidRPr="00523E9A">
        <w:rPr>
          <w:vertAlign w:val="superscript"/>
          <w:lang w:val="en-GB"/>
        </w:rPr>
        <w:t>2</w:t>
      </w:r>
      <w:r w:rsidRPr="00523E9A">
        <w:rPr>
          <w:lang w:val="en-GB"/>
        </w:rPr>
        <w:t>, C</w:t>
      </w:r>
      <w:r w:rsidRPr="00523E9A">
        <w:rPr>
          <w:vertAlign w:val="superscript"/>
          <w:lang w:val="en-GB"/>
        </w:rPr>
        <w:t>2</w:t>
      </w:r>
      <w:r w:rsidRPr="00523E9A">
        <w:rPr>
          <w:lang w:val="en-GB"/>
        </w:rPr>
        <w:t>, AB, AC, and BC as instruments. For both models</w:t>
      </w:r>
      <w:r w:rsidR="002E78CB" w:rsidRPr="00523E9A">
        <w:rPr>
          <w:lang w:val="en-GB"/>
        </w:rPr>
        <w:t>,</w:t>
      </w:r>
      <w:r w:rsidRPr="00523E9A">
        <w:rPr>
          <w:lang w:val="en-GB"/>
        </w:rPr>
        <w:t xml:space="preserve"> we found (1) the statistics for </w:t>
      </w:r>
      <w:proofErr w:type="spellStart"/>
      <w:r w:rsidRPr="00523E9A">
        <w:rPr>
          <w:lang w:val="en-GB"/>
        </w:rPr>
        <w:t>underidentification</w:t>
      </w:r>
      <w:proofErr w:type="spellEnd"/>
      <w:r w:rsidRPr="00523E9A">
        <w:rPr>
          <w:lang w:val="en-GB"/>
        </w:rPr>
        <w:t xml:space="preserve"> to be significant and (2) the statistics for overidentification restriction to be nonsignificant. </w:t>
      </w:r>
      <w:r w:rsidR="002E78CB" w:rsidRPr="00523E9A">
        <w:rPr>
          <w:lang w:val="en-GB"/>
        </w:rPr>
        <w:t>However</w:t>
      </w:r>
      <w:r w:rsidR="0043271D" w:rsidRPr="00523E9A">
        <w:rPr>
          <w:lang w:val="en-GB"/>
        </w:rPr>
        <w:t>,</w:t>
      </w:r>
      <w:r w:rsidR="002E78CB" w:rsidRPr="00523E9A">
        <w:rPr>
          <w:lang w:val="en-GB"/>
        </w:rPr>
        <w:t xml:space="preserve"> </w:t>
      </w:r>
      <w:r w:rsidRPr="00523E9A">
        <w:rPr>
          <w:lang w:val="en-GB"/>
        </w:rPr>
        <w:t xml:space="preserve">given that the number of endogenous variables </w:t>
      </w:r>
      <w:r w:rsidR="002E78CB" w:rsidRPr="00523E9A">
        <w:rPr>
          <w:lang w:val="en-GB"/>
        </w:rPr>
        <w:t xml:space="preserve">was </w:t>
      </w:r>
      <w:r w:rsidRPr="00523E9A">
        <w:rPr>
          <w:lang w:val="en-GB"/>
        </w:rPr>
        <w:t xml:space="preserve">quite high, there were no specific critical values for relative bias and size distortions to establish the strength of the instruments </w:t>
      </w:r>
      <w:r w:rsidRPr="00523E9A">
        <w:rPr>
          <w:lang w:val="en-GB"/>
        </w:rPr>
        <w:fldChar w:fldCharType="begin"/>
      </w:r>
      <w:r w:rsidR="00B32E7B" w:rsidRPr="00523E9A">
        <w:rPr>
          <w:lang w:val="en-GB"/>
        </w:rPr>
        <w:instrText xml:space="preserve"> ADDIN EN.CITE &lt;EndNote&gt;&lt;Cite&gt;&lt;Author&gt;Stock&lt;/Author&gt;&lt;Year&gt;2005&lt;/Year&gt;&lt;RecNum&gt;765&lt;/RecNum&gt;&lt;DisplayText&gt;(Stock &amp;amp; Yogo, 2005)&lt;/DisplayText&gt;&lt;record&gt;&lt;rec-number&gt;765&lt;/rec-number&gt;&lt;foreign-keys&gt;&lt;key app="EN" db-id="9w0szxwprfdzvge5s9gpzdt6pe959zzt5vpt" timestamp="1652772593"&gt;765&lt;/key&gt;&lt;/foreign-keys&gt;&lt;ref-type name="Book Section"&gt;5&lt;/ref-type&gt;&lt;contributors&gt;&lt;authors&gt;&lt;author&gt;Stock, J.&lt;/author&gt;&lt;author&gt;Yogo, M.&lt;/author&gt;&lt;/authors&gt;&lt;secondary-authors&gt;&lt;author&gt;Andrews, D.&lt;/author&gt;&lt;/secondary-authors&gt;&lt;/contributors&gt;&lt;titles&gt;&lt;title&gt;Testing for weak instruments in linear IV regression.&lt;/title&gt;&lt;secondary-title&gt;Identification and inference for econometric models&lt;/secondary-title&gt;&lt;/titles&gt;&lt;pages&gt;80-108&lt;/pages&gt;&lt;dates&gt;&lt;year&gt;2005&lt;/year&gt;&lt;/dates&gt;&lt;pub-location&gt;New York, NY&lt;/pub-location&gt;&lt;publisher&gt;Cambridge University Press&lt;/publisher&gt;&lt;urls&gt;&lt;/urls&gt;&lt;/record&gt;&lt;/Cite&gt;&lt;/EndNote&gt;</w:instrText>
      </w:r>
      <w:r w:rsidRPr="00523E9A">
        <w:rPr>
          <w:lang w:val="en-GB"/>
        </w:rPr>
        <w:fldChar w:fldCharType="separate"/>
      </w:r>
      <w:r w:rsidR="00B32E7B" w:rsidRPr="00523E9A">
        <w:rPr>
          <w:noProof/>
          <w:lang w:val="en-GB"/>
        </w:rPr>
        <w:t>(Stock &amp; Yogo, 2005)</w:t>
      </w:r>
      <w:r w:rsidRPr="00523E9A">
        <w:rPr>
          <w:lang w:val="en-GB"/>
        </w:rPr>
        <w:fldChar w:fldCharType="end"/>
      </w:r>
      <w:r w:rsidRPr="00523E9A">
        <w:rPr>
          <w:lang w:val="en-GB"/>
        </w:rPr>
        <w:t xml:space="preserve">. Instead, we used the “weak instrument robust inference” methods – Anderson-Rubin (AR) test </w:t>
      </w:r>
      <w:r w:rsidRPr="00523E9A">
        <w:rPr>
          <w:lang w:val="en-GB"/>
        </w:rPr>
        <w:fldChar w:fldCharType="begin"/>
      </w:r>
      <w:r w:rsidR="00B32E7B" w:rsidRPr="00523E9A">
        <w:rPr>
          <w:lang w:val="en-GB"/>
        </w:rPr>
        <w:instrText xml:space="preserve"> ADDIN EN.CITE &lt;EndNote&gt;&lt;Cite&gt;&lt;Author&gt;Anderson&lt;/Author&gt;&lt;Year&gt;1949&lt;/Year&gt;&lt;RecNum&gt;24&lt;/RecNum&gt;&lt;DisplayText&gt;(Anderson &amp;amp; Rubin, 1949)&lt;/DisplayText&gt;&lt;record&gt;&lt;rec-number&gt;24&lt;/rec-number&gt;&lt;foreign-keys&gt;&lt;key app="EN" db-id="9w0szxwprfdzvge5s9gpzdt6pe959zzt5vpt" timestamp="1652772593"&gt;24&lt;/key&gt;&lt;/foreign-keys&gt;&lt;ref-type name="Journal Article"&gt;17&lt;/ref-type&gt;&lt;contributors&gt;&lt;authors&gt;&lt;author&gt;Anderson, Theodore W&lt;/author&gt;&lt;author&gt;Rubin, Herman&lt;/author&gt;&lt;/authors&gt;&lt;/contributors&gt;&lt;titles&gt;&lt;title&gt;Estimation of the parameters of a single equation in a complete system of stochastic equations&lt;/title&gt;&lt;secondary-title&gt;The Annals of Mathematical Statistics&lt;/secondary-title&gt;&lt;/titles&gt;&lt;periodical&gt;&lt;full-title&gt;The Annals of Mathematical Statistics&lt;/full-title&gt;&lt;/periodical&gt;&lt;pages&gt;46-63&lt;/pages&gt;&lt;volume&gt;20&lt;/volume&gt;&lt;number&gt;1&lt;/number&gt;&lt;dates&gt;&lt;year&gt;1949&lt;/year&gt;&lt;/dates&gt;&lt;isbn&gt;0003-4851&lt;/isbn&gt;&lt;urls&gt;&lt;/urls&gt;&lt;/record&gt;&lt;/Cite&gt;&lt;/EndNote&gt;</w:instrText>
      </w:r>
      <w:r w:rsidRPr="00523E9A">
        <w:rPr>
          <w:lang w:val="en-GB"/>
        </w:rPr>
        <w:fldChar w:fldCharType="separate"/>
      </w:r>
      <w:r w:rsidR="00B32E7B" w:rsidRPr="00523E9A">
        <w:rPr>
          <w:noProof/>
          <w:lang w:val="en-GB"/>
        </w:rPr>
        <w:t>(Anderson &amp; Rubin, 1949)</w:t>
      </w:r>
      <w:r w:rsidRPr="00523E9A">
        <w:rPr>
          <w:lang w:val="en-GB"/>
        </w:rPr>
        <w:fldChar w:fldCharType="end"/>
      </w:r>
      <w:r w:rsidRPr="00523E9A">
        <w:rPr>
          <w:lang w:val="en-GB"/>
        </w:rPr>
        <w:t xml:space="preserve"> and Stock-Wright LM S statistic </w:t>
      </w:r>
      <w:r w:rsidRPr="00523E9A">
        <w:rPr>
          <w:lang w:val="en-GB"/>
        </w:rPr>
        <w:fldChar w:fldCharType="begin"/>
      </w:r>
      <w:r w:rsidR="00B32E7B" w:rsidRPr="00523E9A">
        <w:rPr>
          <w:lang w:val="en-GB"/>
        </w:rPr>
        <w:instrText xml:space="preserve"> ADDIN EN.CITE &lt;EndNote&gt;&lt;Cite&gt;&lt;Author&gt;Stock&lt;/Author&gt;&lt;Year&gt;2000&lt;/Year&gt;&lt;RecNum&gt;766&lt;/RecNum&gt;&lt;DisplayText&gt;(Stock &amp;amp; Wright, 2000)&lt;/DisplayText&gt;&lt;record&gt;&lt;rec-number&gt;766&lt;/rec-number&gt;&lt;foreign-keys&gt;&lt;key app="EN" db-id="9w0szxwprfdzvge5s9gpzdt6pe959zzt5vpt" timestamp="1652772593"&gt;766&lt;/key&gt;&lt;/foreign-keys&gt;&lt;ref-type name="Journal Article"&gt;17&lt;/ref-type&gt;&lt;contributors&gt;&lt;authors&gt;&lt;author&gt;Stock, James H&lt;/author&gt;&lt;author&gt;Wright, Jonathan H&lt;/author&gt;&lt;/authors&gt;&lt;/contributors&gt;&lt;titles&gt;&lt;title&gt;GMM with weak identification&lt;/title&gt;&lt;secondary-title&gt;Econometrica&lt;/secondary-title&gt;&lt;/titles&gt;&lt;periodical&gt;&lt;full-title&gt;Econometrica&lt;/full-title&gt;&lt;/periodical&gt;&lt;pages&gt;1055-1096&lt;/pages&gt;&lt;volume&gt;68&lt;/volume&gt;&lt;number&gt;5&lt;/number&gt;&lt;dates&gt;&lt;year&gt;2000&lt;/year&gt;&lt;/dates&gt;&lt;isbn&gt;0012-9682&lt;/isbn&gt;&lt;urls&gt;&lt;/urls&gt;&lt;/record&gt;&lt;/Cite&gt;&lt;/EndNote&gt;</w:instrText>
      </w:r>
      <w:r w:rsidRPr="00523E9A">
        <w:rPr>
          <w:lang w:val="en-GB"/>
        </w:rPr>
        <w:fldChar w:fldCharType="separate"/>
      </w:r>
      <w:r w:rsidR="00B32E7B" w:rsidRPr="00523E9A">
        <w:rPr>
          <w:noProof/>
          <w:lang w:val="en-GB"/>
        </w:rPr>
        <w:t>(Stock &amp; Wright, 2000)</w:t>
      </w:r>
      <w:r w:rsidRPr="00523E9A">
        <w:rPr>
          <w:lang w:val="en-GB"/>
        </w:rPr>
        <w:fldChar w:fldCharType="end"/>
      </w:r>
      <w:r w:rsidRPr="00523E9A">
        <w:rPr>
          <w:lang w:val="en-GB"/>
        </w:rPr>
        <w:t xml:space="preserve"> – to assess the combined strength of the instruments. Both these tests were found to be significant, establishing the combined strength of the instruments in the two models. Then</w:t>
      </w:r>
      <w:r w:rsidR="0043271D" w:rsidRPr="00523E9A">
        <w:rPr>
          <w:lang w:val="en-GB"/>
        </w:rPr>
        <w:t>,</w:t>
      </w:r>
      <w:r w:rsidRPr="00523E9A">
        <w:rPr>
          <w:lang w:val="en-GB"/>
        </w:rPr>
        <w:t xml:space="preserve"> we assessed the significance of the slope and curvature along the symmetry and asymmetry lines. In both models, only the slope along the asymmetry line was found to be significant (Model 2SLS-1 – at p &lt; 0.05; Model 2SLS-2 – at p &lt; 0.01). These results were consistent with </w:t>
      </w:r>
      <w:r w:rsidR="00700EE7" w:rsidRPr="00523E9A">
        <w:rPr>
          <w:lang w:val="en-GB"/>
        </w:rPr>
        <w:t xml:space="preserve">our original </w:t>
      </w:r>
      <w:r w:rsidRPr="00523E9A">
        <w:rPr>
          <w:lang w:val="en-GB"/>
        </w:rPr>
        <w:t xml:space="preserve">approach.  </w:t>
      </w:r>
    </w:p>
    <w:p w14:paraId="1DF7DF19" w14:textId="44FC4F37" w:rsidR="00C11B86" w:rsidRPr="00523E9A" w:rsidRDefault="00C11B86" w:rsidP="00A33288">
      <w:pPr>
        <w:tabs>
          <w:tab w:val="clear" w:pos="284"/>
        </w:tabs>
        <w:ind w:firstLine="720"/>
        <w:rPr>
          <w:lang w:val="en-GB"/>
        </w:rPr>
      </w:pPr>
      <w:r w:rsidRPr="00523E9A">
        <w:rPr>
          <w:lang w:val="en-GB"/>
        </w:rPr>
        <w:t>Second</w:t>
      </w:r>
      <w:r w:rsidR="001C444C" w:rsidRPr="00523E9A">
        <w:rPr>
          <w:lang w:val="en-GB"/>
        </w:rPr>
        <w:t xml:space="preserve">, </w:t>
      </w:r>
      <w:r w:rsidR="00700EE7" w:rsidRPr="00523E9A">
        <w:rPr>
          <w:lang w:val="en-GB"/>
        </w:rPr>
        <w:t xml:space="preserve">given its ability to account for bias due to omitted variables, </w:t>
      </w:r>
      <w:r w:rsidR="001C444C" w:rsidRPr="00523E9A">
        <w:rPr>
          <w:lang w:val="en-GB"/>
        </w:rPr>
        <w:t xml:space="preserve">we </w:t>
      </w:r>
      <w:r w:rsidR="00700EE7" w:rsidRPr="00523E9A">
        <w:rPr>
          <w:lang w:val="en-GB"/>
        </w:rPr>
        <w:t xml:space="preserve">also used </w:t>
      </w:r>
      <w:r w:rsidR="001C444C" w:rsidRPr="00523E9A">
        <w:rPr>
          <w:lang w:val="en-GB"/>
        </w:rPr>
        <w:t>the three-stage least squares (3SLS) estimation approach</w:t>
      </w:r>
      <w:r w:rsidR="00700EE7" w:rsidRPr="00523E9A">
        <w:rPr>
          <w:lang w:val="en-GB"/>
        </w:rPr>
        <w:t xml:space="preserve"> to establish the robustness of our results</w:t>
      </w:r>
      <w:r w:rsidR="001C444C" w:rsidRPr="00523E9A">
        <w:rPr>
          <w:lang w:val="en-GB"/>
        </w:rPr>
        <w:t xml:space="preserve"> </w:t>
      </w:r>
      <w:r w:rsidR="001C444C" w:rsidRPr="00523E9A">
        <w:rPr>
          <w:lang w:val="en-GB"/>
        </w:rPr>
        <w:fldChar w:fldCharType="begin"/>
      </w:r>
      <w:r w:rsidR="00B32E7B" w:rsidRPr="00523E9A">
        <w:rPr>
          <w:lang w:val="en-GB"/>
        </w:rPr>
        <w:instrText xml:space="preserve"> ADDIN EN.CITE &lt;EndNote&gt;&lt;Cite&gt;&lt;Author&gt;Zellner&lt;/Author&gt;&lt;Year&gt;1962&lt;/Year&gt;&lt;RecNum&gt;890&lt;/RecNum&gt;&lt;DisplayText&gt;(Zellner &amp;amp; Theil, 1962)&lt;/DisplayText&gt;&lt;record&gt;&lt;rec-number&gt;890&lt;/rec-number&gt;&lt;foreign-keys&gt;&lt;key app="EN" db-id="9w0szxwprfdzvge5s9gpzdt6pe959zzt5vpt" timestamp="1652772593"&gt;890&lt;/key&gt;&lt;/foreign-keys&gt;&lt;ref-type name="Journal Article"&gt;17&lt;/ref-type&gt;&lt;contributors&gt;&lt;authors&gt;&lt;author&gt;Zellner, Arnold&lt;/author&gt;&lt;author&gt;Theil, H.&lt;/author&gt;&lt;/authors&gt;&lt;/contributors&gt;&lt;titles&gt;&lt;title&gt;Three-stage least squares: Simultaneous estimation of simultaneous equations&lt;/title&gt;&lt;secondary-title&gt;Econometrica&lt;/secondary-title&gt;&lt;/titles&gt;&lt;periodical&gt;&lt;full-title&gt;Econometrica&lt;/full-title&gt;&lt;/periodical&gt;&lt;pages&gt;54-78&lt;/pages&gt;&lt;volume&gt;30&lt;/volume&gt;&lt;number&gt;1&lt;/number&gt;&lt;keywords&gt;&lt;keyword&gt;Information science -- Information analysis -- Data analysis&lt;/keyword&gt;&lt;keyword&gt;Mathematics -- Pure mathematics -- Linear algebra&lt;/keyword&gt;&lt;keyword&gt;Mathematics -- Applied mathematics -- Statistics&lt;/keyword&gt;&lt;keyword&gt;Mathematics -- Pure mathematics -- Algebra&lt;/keyword&gt;&lt;keyword&gt;Mathematics -- Mathematical procedures -- Public administration&lt;/keyword&gt;&lt;keyword&gt;Political science -- Government -- Algebra&lt;/keyword&gt;&lt;keyword&gt;Mathematics -- Pure mathematics -- Statistics&lt;/keyword&gt;&lt;/keywords&gt;&lt;dates&gt;&lt;year&gt;1962&lt;/year&gt;&lt;/dates&gt;&lt;isbn&gt;00129682&lt;/isbn&gt;&lt;urls&gt;&lt;/urls&gt;&lt;electronic-resource-num&gt;10.2307/1911287&lt;/electronic-resource-num&gt;&lt;/record&gt;&lt;/Cite&gt;&lt;/EndNote&gt;</w:instrText>
      </w:r>
      <w:r w:rsidR="001C444C" w:rsidRPr="00523E9A">
        <w:rPr>
          <w:lang w:val="en-GB"/>
        </w:rPr>
        <w:fldChar w:fldCharType="separate"/>
      </w:r>
      <w:r w:rsidR="00B32E7B" w:rsidRPr="00523E9A">
        <w:rPr>
          <w:noProof/>
          <w:lang w:val="en-GB"/>
        </w:rPr>
        <w:t>(Zellner &amp; Theil, 1962)</w:t>
      </w:r>
      <w:r w:rsidR="001C444C" w:rsidRPr="00523E9A">
        <w:rPr>
          <w:lang w:val="en-GB"/>
        </w:rPr>
        <w:fldChar w:fldCharType="end"/>
      </w:r>
      <w:r w:rsidR="001C444C" w:rsidRPr="00523E9A">
        <w:rPr>
          <w:lang w:val="en-GB"/>
        </w:rPr>
        <w:t xml:space="preserve">. Like Model 2SLS-2, we instrumented the interaction and curvilinear </w:t>
      </w:r>
      <w:r w:rsidR="001C444C" w:rsidRPr="00523E9A">
        <w:rPr>
          <w:lang w:val="en-GB"/>
        </w:rPr>
        <w:lastRenderedPageBreak/>
        <w:t xml:space="preserve">terms separately using the first-order instruments (i.e., A, B, and C) in this analysis. Subsequently, we assessed the significance of the </w:t>
      </w:r>
      <w:r w:rsidR="00700EE7" w:rsidRPr="00523E9A">
        <w:rPr>
          <w:lang w:val="en-GB"/>
        </w:rPr>
        <w:t>response surface statistics</w:t>
      </w:r>
      <w:r w:rsidR="001C444C" w:rsidRPr="00523E9A">
        <w:rPr>
          <w:lang w:val="en-GB"/>
        </w:rPr>
        <w:t xml:space="preserve">. Consistent with our original finding, we found only the asymmetry line slope to be significant at p &lt; 0.01. </w:t>
      </w:r>
    </w:p>
    <w:p w14:paraId="01C6B8F4" w14:textId="47C3DFAC" w:rsidR="001C444C" w:rsidRPr="00523E9A" w:rsidRDefault="00C11B86" w:rsidP="00A33288">
      <w:pPr>
        <w:tabs>
          <w:tab w:val="clear" w:pos="284"/>
        </w:tabs>
        <w:ind w:firstLine="720"/>
        <w:rPr>
          <w:shd w:val="clear" w:color="auto" w:fill="FFFFFF"/>
        </w:rPr>
      </w:pPr>
      <w:r w:rsidRPr="00523E9A">
        <w:rPr>
          <w:lang w:val="en-GB"/>
        </w:rPr>
        <w:t xml:space="preserve">Finally, </w:t>
      </w:r>
      <w:r w:rsidR="00A30A6E" w:rsidRPr="00523E9A">
        <w:rPr>
          <w:lang w:val="en-GB"/>
        </w:rPr>
        <w:t xml:space="preserve">since we had created the latent theoretical constructs by using the summated average of the underlying indicators, our results might be biased since the summated average approach represents a constrained version of a factor analysis </w:t>
      </w:r>
      <w:r w:rsidR="00A30A6E" w:rsidRPr="00523E9A">
        <w:rPr>
          <w:lang w:val="en-GB"/>
        </w:rPr>
        <w:fldChar w:fldCharType="begin"/>
      </w:r>
      <w:r w:rsidR="00A30A6E" w:rsidRPr="00523E9A">
        <w:rPr>
          <w:lang w:val="en-GB"/>
        </w:rPr>
        <w:instrText xml:space="preserve"> ADDIN EN.CITE &lt;EndNote&gt;&lt;Cite&gt;&lt;Author&gt;McNeish&lt;/Author&gt;&lt;Year&gt;2020&lt;/Year&gt;&lt;RecNum&gt;1989&lt;/RecNum&gt;&lt;DisplayText&gt;(McNeish &amp;amp; Wolf, 2020)&lt;/DisplayText&gt;&lt;record&gt;&lt;rec-number&gt;1989&lt;/rec-number&gt;&lt;foreign-keys&gt;&lt;key app="EN" db-id="9w0szxwprfdzvge5s9gpzdt6pe959zzt5vpt" timestamp="1742644563"&gt;1989&lt;/key&gt;&lt;/foreign-keys&gt;&lt;ref-type name="Journal Article"&gt;17&lt;/ref-type&gt;&lt;contributors&gt;&lt;authors&gt;&lt;author&gt;McNeish, Daniel&lt;/author&gt;&lt;author&gt;Wolf, Melissa Gordon&lt;/author&gt;&lt;/authors&gt;&lt;/contributors&gt;&lt;titles&gt;&lt;title&gt;Thinking twice about sum scores&lt;/title&gt;&lt;secondary-title&gt;Behavior Research Methods&lt;/secondary-title&gt;&lt;/titles&gt;&lt;periodical&gt;&lt;full-title&gt;Behavior Research Methods&lt;/full-title&gt;&lt;/periodical&gt;&lt;pages&gt;2287-2305&lt;/pages&gt;&lt;volume&gt;52&lt;/volume&gt;&lt;dates&gt;&lt;year&gt;2020&lt;/year&gt;&lt;/dates&gt;&lt;urls&gt;&lt;/urls&gt;&lt;/record&gt;&lt;/Cite&gt;&lt;/EndNote&gt;</w:instrText>
      </w:r>
      <w:r w:rsidR="00A30A6E" w:rsidRPr="00523E9A">
        <w:rPr>
          <w:lang w:val="en-GB"/>
        </w:rPr>
        <w:fldChar w:fldCharType="separate"/>
      </w:r>
      <w:r w:rsidR="00A30A6E" w:rsidRPr="00523E9A">
        <w:rPr>
          <w:noProof/>
          <w:lang w:val="en-GB"/>
        </w:rPr>
        <w:t>(McNeish &amp; Wolf, 2020)</w:t>
      </w:r>
      <w:r w:rsidR="00A30A6E" w:rsidRPr="00523E9A">
        <w:rPr>
          <w:lang w:val="en-GB"/>
        </w:rPr>
        <w:fldChar w:fldCharType="end"/>
      </w:r>
      <w:r w:rsidR="00A30A6E" w:rsidRPr="00523E9A">
        <w:rPr>
          <w:lang w:val="en-GB"/>
        </w:rPr>
        <w:t xml:space="preserve">. Therefore, to further establish the robustness of our results, we used the congeneric model to develop an optimal weighted average of the underlying items. Specifically, we used the online Congeneric Latent Construct Estimator tool to generate the scores for the latent theoretical  constructs </w:t>
      </w:r>
      <w:r w:rsidR="00A30A6E" w:rsidRPr="00523E9A">
        <w:rPr>
          <w:lang w:val="en-GB"/>
        </w:rPr>
        <w:fldChar w:fldCharType="begin"/>
      </w:r>
      <w:r w:rsidR="00A30A6E" w:rsidRPr="00523E9A">
        <w:rPr>
          <w:lang w:val="en-GB"/>
        </w:rPr>
        <w:instrText xml:space="preserve"> ADDIN EN.CITE &lt;EndNote&gt;&lt;Cite&gt;&lt;Author&gt;Marzi&lt;/Author&gt;&lt;Year&gt;2023&lt;/Year&gt;&lt;RecNum&gt;1991&lt;/RecNum&gt;&lt;DisplayText&gt;(Marzi et al., 2023)&lt;/DisplayText&gt;&lt;record&gt;&lt;rec-number&gt;1991&lt;/rec-number&gt;&lt;foreign-keys&gt;&lt;key app="EN" db-id="9w0szxwprfdzvge5s9gpzdt6pe959zzt5vpt" timestamp="1742645486"&gt;1991&lt;/key&gt;&lt;/foreign-keys&gt;&lt;ref-type name="Journal Article"&gt;17&lt;/ref-type&gt;&lt;contributors&gt;&lt;authors&gt;&lt;author&gt;Marzi, Giacomo&lt;/author&gt;&lt;author&gt;Balzano, Marco&lt;/author&gt;&lt;author&gt;Egidi, Leonardo&lt;/author&gt;&lt;author&gt;Magrini, Alessandro&lt;/author&gt;&lt;/authors&gt;&lt;/contributors&gt;&lt;titles&gt;&lt;title&gt;CLC estimator: A tool for latent construct estimation via congeneric approaches in survey research&lt;/title&gt;&lt;secondary-title&gt;Multivariate Behavioral Research&lt;/secondary-title&gt;&lt;/titles&gt;&lt;periodical&gt;&lt;full-title&gt;Multivariate Behavioral Research&lt;/full-title&gt;&lt;/periodical&gt;&lt;pages&gt;1160-1164&lt;/pages&gt;&lt;volume&gt;58&lt;/volume&gt;&lt;number&gt;6&lt;/number&gt;&lt;dates&gt;&lt;year&gt;2023&lt;/year&gt;&lt;/dates&gt;&lt;isbn&gt;0027-3171&lt;/isbn&gt;&lt;urls&gt;&lt;/urls&gt;&lt;/record&gt;&lt;/Cite&gt;&lt;/EndNote&gt;</w:instrText>
      </w:r>
      <w:r w:rsidR="00A30A6E" w:rsidRPr="00523E9A">
        <w:rPr>
          <w:lang w:val="en-GB"/>
        </w:rPr>
        <w:fldChar w:fldCharType="separate"/>
      </w:r>
      <w:r w:rsidR="00A30A6E" w:rsidRPr="00523E9A">
        <w:rPr>
          <w:noProof/>
          <w:lang w:val="en-GB"/>
        </w:rPr>
        <w:t>(Marzi et al., 2023)</w:t>
      </w:r>
      <w:r w:rsidR="00A30A6E" w:rsidRPr="00523E9A">
        <w:rPr>
          <w:lang w:val="en-GB"/>
        </w:rPr>
        <w:fldChar w:fldCharType="end"/>
      </w:r>
      <w:r w:rsidR="00A30A6E" w:rsidRPr="00523E9A">
        <w:rPr>
          <w:lang w:val="en-GB"/>
        </w:rPr>
        <w:t xml:space="preserve">. </w:t>
      </w:r>
      <w:r w:rsidR="00CC779D" w:rsidRPr="00523E9A">
        <w:rPr>
          <w:lang w:val="en-GB"/>
        </w:rPr>
        <w:t>Subsequently, we reran the analysis using the</w:t>
      </w:r>
      <w:r w:rsidR="00AF4D1B" w:rsidRPr="00523E9A">
        <w:rPr>
          <w:lang w:val="en-GB"/>
        </w:rPr>
        <w:t xml:space="preserve"> weighted average scores; the results of this analysis are included in Tables E-1 and E-2. As evident from Table E-2 (Model 1), while the slope along the asymmetry line was significant </w:t>
      </w:r>
      <w:r w:rsidR="00AF4D1B" w:rsidRPr="00523E9A">
        <w:t xml:space="preserve">(-0.939; </w:t>
      </w:r>
      <w:r w:rsidR="00AF4D1B" w:rsidRPr="00523E9A">
        <w:rPr>
          <w:i/>
        </w:rPr>
        <w:t xml:space="preserve">p </w:t>
      </w:r>
      <w:r w:rsidR="00AF4D1B" w:rsidRPr="00523E9A">
        <w:t>&lt; 0.05)</w:t>
      </w:r>
      <w:r w:rsidR="00AF4D1B" w:rsidRPr="00523E9A">
        <w:rPr>
          <w:lang w:val="en-GB"/>
        </w:rPr>
        <w:t xml:space="preserve">, the slope along the symmetry line was not significant </w:t>
      </w:r>
      <w:r w:rsidR="00AF4D1B" w:rsidRPr="00523E9A">
        <w:t xml:space="preserve">(0.071; </w:t>
      </w:r>
      <w:r w:rsidR="00AF4D1B" w:rsidRPr="00523E9A">
        <w:rPr>
          <w:i/>
        </w:rPr>
        <w:t>ns</w:t>
      </w:r>
      <w:r w:rsidR="00AF4D1B" w:rsidRPr="00523E9A">
        <w:t>)</w:t>
      </w:r>
      <w:r w:rsidR="00AF4D1B" w:rsidRPr="00523E9A">
        <w:rPr>
          <w:lang w:val="en-GB"/>
        </w:rPr>
        <w:t xml:space="preserve">. Therefore, as was the case in our original analysis, while </w:t>
      </w:r>
      <w:r w:rsidR="00AF4D1B" w:rsidRPr="00523E9A">
        <w:t>H</w:t>
      </w:r>
      <w:r w:rsidR="00AF4D1B" w:rsidRPr="00523E9A">
        <w:rPr>
          <w:vertAlign w:val="subscript"/>
        </w:rPr>
        <w:t>1a</w:t>
      </w:r>
      <w:r w:rsidR="00AF4D1B" w:rsidRPr="00523E9A">
        <w:rPr>
          <w:lang w:val="en-GB"/>
        </w:rPr>
        <w:t xml:space="preserve"> was supported, </w:t>
      </w:r>
      <w:r w:rsidR="00AF4D1B" w:rsidRPr="00523E9A">
        <w:t>H</w:t>
      </w:r>
      <w:r w:rsidR="00AF4D1B" w:rsidRPr="00523E9A">
        <w:rPr>
          <w:vertAlign w:val="subscript"/>
        </w:rPr>
        <w:t>1b</w:t>
      </w:r>
      <w:r w:rsidR="00AF4D1B" w:rsidRPr="00523E9A">
        <w:rPr>
          <w:lang w:val="en-GB"/>
        </w:rPr>
        <w:t xml:space="preserve"> was not. </w:t>
      </w:r>
      <w:r w:rsidR="00426B0E" w:rsidRPr="00523E9A">
        <w:rPr>
          <w:lang w:val="en-GB"/>
        </w:rPr>
        <w:t xml:space="preserve">In the case of moderation-related hypotheses, while bargaining power was found to be a significant moderator (i.e., </w:t>
      </w:r>
      <w:r w:rsidR="00426B0E" w:rsidRPr="00523E9A">
        <w:t>H</w:t>
      </w:r>
      <w:r w:rsidR="00426B0E" w:rsidRPr="00523E9A">
        <w:rPr>
          <w:vertAlign w:val="subscript"/>
        </w:rPr>
        <w:t>2</w:t>
      </w:r>
      <w:r w:rsidR="00426B0E" w:rsidRPr="00523E9A">
        <w:t xml:space="preserve"> </w:t>
      </w:r>
      <w:r w:rsidR="00426B0E" w:rsidRPr="00523E9A">
        <w:rPr>
          <w:lang w:val="en-GB"/>
        </w:rPr>
        <w:t xml:space="preserve">was supported), relationship length (i.e., </w:t>
      </w:r>
      <w:r w:rsidR="00426B0E" w:rsidRPr="00523E9A">
        <w:t>H</w:t>
      </w:r>
      <w:r w:rsidR="00426B0E" w:rsidRPr="00523E9A">
        <w:rPr>
          <w:vertAlign w:val="subscript"/>
        </w:rPr>
        <w:t>3</w:t>
      </w:r>
      <w:r w:rsidR="00426B0E" w:rsidRPr="00523E9A">
        <w:t xml:space="preserve"> </w:t>
      </w:r>
      <w:r w:rsidR="00426B0E" w:rsidRPr="00523E9A">
        <w:rPr>
          <w:lang w:val="en-GB"/>
        </w:rPr>
        <w:t>was not supported) was not. Specifically, i</w:t>
      </w:r>
      <w:r w:rsidR="00426B0E" w:rsidRPr="00523E9A">
        <w:rPr>
          <w:rFonts w:ascii="CG Times (W1)" w:hAnsi="CG Times (W1)"/>
        </w:rPr>
        <w:t xml:space="preserve">n the case of bargaining power (please refer to Model 2B in Table E-1), the </w:t>
      </w:r>
      <w:r w:rsidR="00426B0E" w:rsidRPr="00523E9A">
        <w:rPr>
          <w:rFonts w:eastAsia="PMingLiU"/>
          <w:spacing w:val="-3"/>
          <w:kern w:val="0"/>
          <w:lang w:val="en-US" w:eastAsia="en-US"/>
        </w:rPr>
        <w:t>ΔR</w:t>
      </w:r>
      <w:r w:rsidR="00426B0E" w:rsidRPr="00523E9A">
        <w:rPr>
          <w:rFonts w:eastAsia="PMingLiU"/>
          <w:spacing w:val="-3"/>
          <w:kern w:val="0"/>
          <w:vertAlign w:val="superscript"/>
          <w:lang w:val="en-US" w:eastAsia="en-US"/>
        </w:rPr>
        <w:t>2</w:t>
      </w:r>
      <w:r w:rsidR="00426B0E" w:rsidRPr="00523E9A">
        <w:rPr>
          <w:rFonts w:ascii="CG Times (W1)" w:hAnsi="CG Times (W1)"/>
        </w:rPr>
        <w:t xml:space="preserve"> (</w:t>
      </w:r>
      <w:r w:rsidR="00426B0E" w:rsidRPr="00523E9A">
        <w:rPr>
          <w:sz w:val="22"/>
          <w:szCs w:val="22"/>
          <w:lang w:val="en-US"/>
        </w:rPr>
        <w:t xml:space="preserve">0.087; </w:t>
      </w:r>
      <w:r w:rsidR="00426B0E" w:rsidRPr="00523E9A">
        <w:rPr>
          <w:i/>
        </w:rPr>
        <w:t xml:space="preserve">p </w:t>
      </w:r>
      <w:r w:rsidR="00426B0E" w:rsidRPr="00523E9A">
        <w:t>&lt; 0.01</w:t>
      </w:r>
      <w:r w:rsidR="00426B0E" w:rsidRPr="00523E9A">
        <w:rPr>
          <w:rFonts w:ascii="CG Times (W1)" w:hAnsi="CG Times (W1)"/>
        </w:rPr>
        <w:t xml:space="preserve">) was significant; alternatively, as evident in the results for Model 3B in Table E-1, the </w:t>
      </w:r>
      <w:r w:rsidR="00426B0E" w:rsidRPr="00523E9A">
        <w:rPr>
          <w:rFonts w:eastAsia="PMingLiU"/>
          <w:spacing w:val="-3"/>
          <w:kern w:val="0"/>
          <w:lang w:val="en-US" w:eastAsia="en-US"/>
        </w:rPr>
        <w:t>ΔR</w:t>
      </w:r>
      <w:r w:rsidR="00426B0E" w:rsidRPr="00523E9A">
        <w:rPr>
          <w:rFonts w:eastAsia="PMingLiU"/>
          <w:spacing w:val="-3"/>
          <w:kern w:val="0"/>
          <w:vertAlign w:val="superscript"/>
          <w:lang w:val="en-US" w:eastAsia="en-US"/>
        </w:rPr>
        <w:t>2</w:t>
      </w:r>
      <w:r w:rsidR="00426B0E" w:rsidRPr="00523E9A">
        <w:rPr>
          <w:rFonts w:ascii="CG Times (W1)" w:hAnsi="CG Times (W1)"/>
        </w:rPr>
        <w:t xml:space="preserve"> (</w:t>
      </w:r>
      <w:r w:rsidR="00426B0E" w:rsidRPr="00523E9A">
        <w:rPr>
          <w:sz w:val="22"/>
          <w:szCs w:val="22"/>
          <w:lang w:val="en-US"/>
        </w:rPr>
        <w:t xml:space="preserve">0.026; </w:t>
      </w:r>
      <w:r w:rsidR="00426B0E" w:rsidRPr="00523E9A">
        <w:rPr>
          <w:i/>
        </w:rPr>
        <w:t>ns</w:t>
      </w:r>
      <w:r w:rsidR="00426B0E" w:rsidRPr="00523E9A">
        <w:rPr>
          <w:rFonts w:ascii="CG Times (W1)" w:hAnsi="CG Times (W1)"/>
        </w:rPr>
        <w:t xml:space="preserve">) for relationship length was found </w:t>
      </w:r>
      <w:proofErr w:type="gramStart"/>
      <w:r w:rsidR="00426B0E" w:rsidRPr="00523E9A">
        <w:rPr>
          <w:rFonts w:ascii="CG Times (W1)" w:hAnsi="CG Times (W1)"/>
        </w:rPr>
        <w:t>to</w:t>
      </w:r>
      <w:proofErr w:type="gramEnd"/>
      <w:r w:rsidR="00426B0E" w:rsidRPr="00523E9A">
        <w:rPr>
          <w:rFonts w:ascii="CG Times (W1)" w:hAnsi="CG Times (W1)"/>
        </w:rPr>
        <w:t xml:space="preserve"> insignificant. </w:t>
      </w:r>
      <w:r w:rsidR="001C444C" w:rsidRPr="00523E9A">
        <w:rPr>
          <w:lang w:val="en-GB"/>
        </w:rPr>
        <w:t xml:space="preserve">Overall, </w:t>
      </w:r>
      <w:r w:rsidR="00AF4D1B" w:rsidRPr="00523E9A">
        <w:rPr>
          <w:lang w:val="en-GB"/>
        </w:rPr>
        <w:t xml:space="preserve">though </w:t>
      </w:r>
      <w:r w:rsidR="00426B0E" w:rsidRPr="00523E9A">
        <w:rPr>
          <w:lang w:val="en-GB"/>
        </w:rPr>
        <w:t xml:space="preserve">the </w:t>
      </w:r>
      <w:r w:rsidR="00AF4D1B" w:rsidRPr="00523E9A">
        <w:rPr>
          <w:lang w:val="en-GB"/>
        </w:rPr>
        <w:t xml:space="preserve">coefficients and the significance of some of these coefficients are slightly different, the support (or non-support) for the hypotheses </w:t>
      </w:r>
      <w:r w:rsidR="00426B0E" w:rsidRPr="00523E9A">
        <w:rPr>
          <w:lang w:val="en-GB"/>
        </w:rPr>
        <w:t>was</w:t>
      </w:r>
      <w:r w:rsidR="00AF4D1B" w:rsidRPr="00523E9A">
        <w:rPr>
          <w:lang w:val="en-GB"/>
        </w:rPr>
        <w:t xml:space="preserve"> consistent with our original analysis. Overall, all </w:t>
      </w:r>
      <w:r w:rsidR="001C444C" w:rsidRPr="00523E9A">
        <w:rPr>
          <w:lang w:val="en-GB"/>
        </w:rPr>
        <w:t>these alternate tests establish the robustness of our results.</w:t>
      </w:r>
    </w:p>
    <w:p w14:paraId="1CD620B7" w14:textId="1EF74432" w:rsidR="00AF4D1B" w:rsidRPr="00523E9A" w:rsidRDefault="00AF4D1B">
      <w:pPr>
        <w:tabs>
          <w:tab w:val="clear" w:pos="284"/>
        </w:tabs>
        <w:spacing w:line="240" w:lineRule="auto"/>
        <w:ind w:firstLine="0"/>
        <w:jc w:val="left"/>
        <w:rPr>
          <w:bCs/>
        </w:rPr>
      </w:pPr>
    </w:p>
    <w:p w14:paraId="5DB1CB45" w14:textId="46707829" w:rsidR="00AF4D1B" w:rsidRPr="00523E9A" w:rsidRDefault="00AF4D1B" w:rsidP="00AF4D1B">
      <w:pPr>
        <w:tabs>
          <w:tab w:val="clear" w:pos="284"/>
          <w:tab w:val="center" w:pos="4532"/>
          <w:tab w:val="left" w:pos="7313"/>
        </w:tabs>
        <w:adjustRightInd w:val="0"/>
        <w:snapToGrid w:val="0"/>
        <w:spacing w:line="240" w:lineRule="auto"/>
        <w:ind w:firstLine="0"/>
        <w:jc w:val="center"/>
        <w:rPr>
          <w:rFonts w:eastAsia="PMingLiU"/>
          <w:b/>
          <w:kern w:val="0"/>
          <w:lang w:val="en-US" w:eastAsia="en-US"/>
        </w:rPr>
      </w:pPr>
      <w:r w:rsidRPr="00523E9A">
        <w:rPr>
          <w:rFonts w:eastAsia="PMingLiU"/>
          <w:b/>
          <w:kern w:val="0"/>
          <w:lang w:val="en-US" w:eastAsia="en-US"/>
        </w:rPr>
        <w:t>Table E-1: Results of polynomial regression</w:t>
      </w:r>
    </w:p>
    <w:p w14:paraId="7DC814FA" w14:textId="77777777" w:rsidR="00AF4D1B" w:rsidRPr="00523E9A" w:rsidRDefault="00AF4D1B" w:rsidP="00AF4D1B">
      <w:pPr>
        <w:tabs>
          <w:tab w:val="clear" w:pos="284"/>
          <w:tab w:val="center" w:pos="4532"/>
          <w:tab w:val="left" w:pos="7313"/>
        </w:tabs>
        <w:adjustRightInd w:val="0"/>
        <w:snapToGrid w:val="0"/>
        <w:spacing w:line="240" w:lineRule="auto"/>
        <w:ind w:firstLine="0"/>
        <w:jc w:val="center"/>
        <w:rPr>
          <w:rFonts w:eastAsia="PMingLiU"/>
          <w:b/>
          <w:kern w:val="0"/>
          <w:lang w:val="en-US" w:eastAsia="en-US"/>
        </w:rPr>
      </w:pPr>
    </w:p>
    <w:p w14:paraId="1D815741" w14:textId="6EF5CB1D" w:rsidR="00AF4D1B" w:rsidRPr="00523E9A" w:rsidRDefault="008A733A">
      <w:pPr>
        <w:tabs>
          <w:tab w:val="clear" w:pos="284"/>
        </w:tabs>
        <w:spacing w:line="240" w:lineRule="auto"/>
        <w:ind w:firstLine="0"/>
        <w:jc w:val="left"/>
        <w:rPr>
          <w:rFonts w:eastAsia="PMingLiU"/>
          <w:b/>
          <w:kern w:val="0"/>
          <w:lang w:val="en-US" w:eastAsia="en-US"/>
        </w:rPr>
      </w:pPr>
      <w:r w:rsidRPr="008A733A">
        <w:drawing>
          <wp:inline distT="0" distB="0" distL="0" distR="0" wp14:anchorId="444C2D36" wp14:editId="10911F25">
            <wp:extent cx="5731510" cy="7486650"/>
            <wp:effectExtent l="0" t="0" r="2540" b="0"/>
            <wp:docPr id="31919158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31510" cy="7486650"/>
                    </a:xfrm>
                    <a:prstGeom prst="rect">
                      <a:avLst/>
                    </a:prstGeom>
                    <a:noFill/>
                    <a:ln>
                      <a:noFill/>
                    </a:ln>
                  </pic:spPr>
                </pic:pic>
              </a:graphicData>
            </a:graphic>
          </wp:inline>
        </w:drawing>
      </w:r>
    </w:p>
    <w:p w14:paraId="2E43346A" w14:textId="77777777" w:rsidR="00AF4D1B" w:rsidRPr="00523E9A" w:rsidRDefault="00AF4D1B">
      <w:pPr>
        <w:tabs>
          <w:tab w:val="clear" w:pos="284"/>
        </w:tabs>
        <w:spacing w:line="240" w:lineRule="auto"/>
        <w:ind w:firstLine="0"/>
        <w:jc w:val="left"/>
        <w:rPr>
          <w:rFonts w:eastAsia="PMingLiU"/>
          <w:b/>
          <w:kern w:val="0"/>
          <w:lang w:val="en-US" w:eastAsia="en-US"/>
        </w:rPr>
      </w:pPr>
    </w:p>
    <w:p w14:paraId="1ECE5BB4" w14:textId="77777777" w:rsidR="00516656" w:rsidRPr="00523E9A" w:rsidRDefault="00516656">
      <w:pPr>
        <w:tabs>
          <w:tab w:val="clear" w:pos="284"/>
        </w:tabs>
        <w:spacing w:line="240" w:lineRule="auto"/>
        <w:ind w:firstLine="0"/>
        <w:jc w:val="left"/>
        <w:rPr>
          <w:rFonts w:eastAsia="PMingLiU"/>
          <w:b/>
          <w:kern w:val="0"/>
          <w:lang w:val="en-US" w:eastAsia="en-US"/>
        </w:rPr>
      </w:pPr>
      <w:r w:rsidRPr="00523E9A">
        <w:rPr>
          <w:rFonts w:eastAsia="PMingLiU"/>
          <w:b/>
          <w:kern w:val="0"/>
          <w:lang w:val="en-US" w:eastAsia="en-US"/>
        </w:rPr>
        <w:br w:type="page"/>
      </w:r>
    </w:p>
    <w:p w14:paraId="02D174E2" w14:textId="580A50E6" w:rsidR="00AF4D1B" w:rsidRPr="00523E9A" w:rsidRDefault="00AF4D1B" w:rsidP="00AF4D1B">
      <w:pPr>
        <w:tabs>
          <w:tab w:val="clear" w:pos="284"/>
          <w:tab w:val="center" w:pos="4532"/>
          <w:tab w:val="left" w:pos="7313"/>
        </w:tabs>
        <w:adjustRightInd w:val="0"/>
        <w:snapToGrid w:val="0"/>
        <w:spacing w:line="240" w:lineRule="auto"/>
        <w:ind w:firstLine="0"/>
        <w:jc w:val="center"/>
        <w:rPr>
          <w:rFonts w:eastAsia="PMingLiU"/>
          <w:b/>
          <w:kern w:val="0"/>
          <w:lang w:val="en-US" w:eastAsia="en-US"/>
        </w:rPr>
      </w:pPr>
      <w:r w:rsidRPr="00523E9A">
        <w:rPr>
          <w:rFonts w:eastAsia="PMingLiU"/>
          <w:b/>
          <w:kern w:val="0"/>
          <w:lang w:val="en-US" w:eastAsia="en-US"/>
        </w:rPr>
        <w:lastRenderedPageBreak/>
        <w:t xml:space="preserve">Table E-2: Response Surface </w:t>
      </w:r>
    </w:p>
    <w:p w14:paraId="3FB2167F" w14:textId="67541BC3" w:rsidR="00DD467E" w:rsidRPr="00523E9A" w:rsidRDefault="00516656">
      <w:pPr>
        <w:tabs>
          <w:tab w:val="clear" w:pos="284"/>
        </w:tabs>
        <w:spacing w:line="240" w:lineRule="auto"/>
        <w:ind w:firstLine="0"/>
        <w:jc w:val="left"/>
        <w:rPr>
          <w:bCs/>
        </w:rPr>
      </w:pPr>
      <w:r w:rsidRPr="00523E9A">
        <w:rPr>
          <w:noProof/>
        </w:rPr>
        <w:drawing>
          <wp:inline distT="0" distB="0" distL="0" distR="0" wp14:anchorId="42DD5B04" wp14:editId="0B85690A">
            <wp:extent cx="5731510" cy="2550160"/>
            <wp:effectExtent l="0" t="0" r="2540" b="2540"/>
            <wp:docPr id="129799719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31510" cy="2550160"/>
                    </a:xfrm>
                    <a:prstGeom prst="rect">
                      <a:avLst/>
                    </a:prstGeom>
                    <a:noFill/>
                    <a:ln>
                      <a:noFill/>
                    </a:ln>
                  </pic:spPr>
                </pic:pic>
              </a:graphicData>
            </a:graphic>
          </wp:inline>
        </w:drawing>
      </w:r>
      <w:r w:rsidR="00DD467E" w:rsidRPr="00523E9A">
        <w:rPr>
          <w:bCs/>
        </w:rPr>
        <w:br w:type="page"/>
      </w:r>
    </w:p>
    <w:p w14:paraId="15368DDC" w14:textId="1D1A6DBE" w:rsidR="00BA5A9D" w:rsidRPr="00523E9A" w:rsidRDefault="00DD467E" w:rsidP="00BA5A9D">
      <w:pPr>
        <w:tabs>
          <w:tab w:val="clear" w:pos="284"/>
        </w:tabs>
        <w:adjustRightInd w:val="0"/>
        <w:snapToGrid w:val="0"/>
        <w:spacing w:line="240" w:lineRule="auto"/>
        <w:ind w:firstLine="0"/>
        <w:jc w:val="center"/>
        <w:rPr>
          <w:b/>
          <w:bCs/>
          <w:shd w:val="clear" w:color="auto" w:fill="FFFFFF"/>
        </w:rPr>
      </w:pPr>
      <w:r w:rsidRPr="00523E9A">
        <w:rPr>
          <w:b/>
          <w:bCs/>
          <w:shd w:val="clear" w:color="auto" w:fill="FFFFFF"/>
        </w:rPr>
        <w:lastRenderedPageBreak/>
        <w:t xml:space="preserve">Appendix </w:t>
      </w:r>
      <w:r w:rsidR="00A07E69" w:rsidRPr="00523E9A">
        <w:rPr>
          <w:b/>
          <w:bCs/>
          <w:shd w:val="clear" w:color="auto" w:fill="FFFFFF"/>
        </w:rPr>
        <w:t>F</w:t>
      </w:r>
    </w:p>
    <w:p w14:paraId="5EC61C99" w14:textId="09F19D92" w:rsidR="00DD467E" w:rsidRPr="00523E9A" w:rsidRDefault="00DD467E" w:rsidP="00BA5A9D">
      <w:pPr>
        <w:tabs>
          <w:tab w:val="clear" w:pos="284"/>
        </w:tabs>
        <w:adjustRightInd w:val="0"/>
        <w:snapToGrid w:val="0"/>
        <w:spacing w:line="240" w:lineRule="auto"/>
        <w:ind w:firstLine="0"/>
        <w:jc w:val="center"/>
        <w:rPr>
          <w:b/>
          <w:bCs/>
          <w:shd w:val="clear" w:color="auto" w:fill="FFFFFF"/>
        </w:rPr>
      </w:pPr>
      <w:r w:rsidRPr="00523E9A">
        <w:rPr>
          <w:b/>
          <w:bCs/>
          <w:shd w:val="clear" w:color="auto" w:fill="FFFFFF"/>
        </w:rPr>
        <w:t>Post-hoc Analysis</w:t>
      </w:r>
    </w:p>
    <w:p w14:paraId="62003A5D" w14:textId="77777777" w:rsidR="00BA5A9D" w:rsidRPr="00523E9A" w:rsidRDefault="00BA5A9D" w:rsidP="00BA5A9D">
      <w:pPr>
        <w:tabs>
          <w:tab w:val="clear" w:pos="284"/>
        </w:tabs>
        <w:adjustRightInd w:val="0"/>
        <w:snapToGrid w:val="0"/>
        <w:spacing w:line="240" w:lineRule="auto"/>
        <w:ind w:firstLine="0"/>
        <w:jc w:val="center"/>
        <w:rPr>
          <w:b/>
          <w:bCs/>
          <w:shd w:val="clear" w:color="auto" w:fill="FFFFFF"/>
        </w:rPr>
      </w:pPr>
    </w:p>
    <w:p w14:paraId="6097F4D2" w14:textId="444017E6" w:rsidR="00DD467E" w:rsidRPr="00523E9A" w:rsidRDefault="00DD467E" w:rsidP="00DD467E">
      <w:pPr>
        <w:tabs>
          <w:tab w:val="clear" w:pos="284"/>
        </w:tabs>
        <w:spacing w:after="120"/>
        <w:ind w:firstLine="720"/>
      </w:pPr>
      <w:r w:rsidRPr="00523E9A">
        <w:rPr>
          <w:rFonts w:eastAsia="Times New Roman"/>
        </w:rPr>
        <w:t xml:space="preserve">To shed further light on the moderation effects of bargaining power and relationship length, we introduced the terms related to both moderators in a single polynomial model. This analysis helped us to evaluate the combined effect of these moderators. The results from this model </w:t>
      </w:r>
      <w:r w:rsidR="002E78CB" w:rsidRPr="00523E9A">
        <w:rPr>
          <w:rFonts w:eastAsia="Times New Roman"/>
        </w:rPr>
        <w:t xml:space="preserve">are </w:t>
      </w:r>
      <w:r w:rsidRPr="00523E9A">
        <w:rPr>
          <w:rFonts w:eastAsia="Times New Roman"/>
        </w:rPr>
        <w:t xml:space="preserve">presented in Table 4 (Model 4). </w:t>
      </w:r>
      <w:r w:rsidRPr="00523E9A">
        <w:t xml:space="preserve">The response surfaces for the low and high values of both bargaining power and relationship length are presented in Figure </w:t>
      </w:r>
      <w:r w:rsidR="00A07E69" w:rsidRPr="00523E9A">
        <w:t>F-</w:t>
      </w:r>
      <w:r w:rsidRPr="00523E9A">
        <w:t xml:space="preserve">1 below. The response surfaces present some intriguing insights; each combination of bargaining power and relationship length seems to present a completely different response surface. Specifically, interdependence plays a dominant role whenever bargaining power is equally shared (i.e., low). But when bargaining power is not equally shared (i.e., high) and the relationship length is shorter, trust seems to play a dominant role in driving innovation partnership; though the slope was nonsignificant, this is the only case where the slope along the asymmetry line is positive. Additionally, in this case, as trust increases as interdependence decreases (i.e., asymmetry line), the initial positive effect subsequently turns negative after a certain point (i.e., curvature along the asymmetry line is negative though insignificant). In general, this additional analysis shows that these two moderators could, together, provide different contexts within which the combined effects of trust and interdependence could be different. </w:t>
      </w:r>
    </w:p>
    <w:p w14:paraId="322DD989" w14:textId="77777777" w:rsidR="00DD467E" w:rsidRPr="00523E9A" w:rsidRDefault="00DD467E">
      <w:pPr>
        <w:tabs>
          <w:tab w:val="clear" w:pos="284"/>
        </w:tabs>
        <w:spacing w:line="240" w:lineRule="auto"/>
        <w:ind w:firstLine="0"/>
        <w:jc w:val="left"/>
        <w:rPr>
          <w:b/>
        </w:rPr>
      </w:pPr>
      <w:r w:rsidRPr="00523E9A">
        <w:rPr>
          <w:b/>
        </w:rPr>
        <w:br w:type="page"/>
      </w:r>
    </w:p>
    <w:p w14:paraId="2FD31336" w14:textId="0F2CCC8F" w:rsidR="00DD467E" w:rsidRPr="001B31B2" w:rsidRDefault="00DD467E" w:rsidP="00DD467E">
      <w:pPr>
        <w:tabs>
          <w:tab w:val="clear" w:pos="284"/>
        </w:tabs>
        <w:adjustRightInd w:val="0"/>
        <w:snapToGrid w:val="0"/>
        <w:spacing w:line="240" w:lineRule="auto"/>
        <w:ind w:firstLine="0"/>
        <w:jc w:val="center"/>
        <w:rPr>
          <w:b/>
        </w:rPr>
      </w:pPr>
      <w:r w:rsidRPr="001B31B2">
        <w:rPr>
          <w:b/>
        </w:rPr>
        <w:lastRenderedPageBreak/>
        <w:t xml:space="preserve">Figure </w:t>
      </w:r>
      <w:r w:rsidR="00A07E69">
        <w:rPr>
          <w:b/>
        </w:rPr>
        <w:t>F</w:t>
      </w:r>
      <w:r w:rsidR="00C974D6">
        <w:rPr>
          <w:b/>
        </w:rPr>
        <w:t>-</w:t>
      </w:r>
      <w:r>
        <w:rPr>
          <w:b/>
        </w:rPr>
        <w:t>1</w:t>
      </w:r>
      <w:r w:rsidRPr="001B31B2">
        <w:rPr>
          <w:b/>
        </w:rPr>
        <w:t xml:space="preserve">: Joint effects of Trust and </w:t>
      </w:r>
      <w:r>
        <w:rPr>
          <w:b/>
        </w:rPr>
        <w:t>Interd</w:t>
      </w:r>
      <w:r w:rsidRPr="001B31B2">
        <w:rPr>
          <w:b/>
        </w:rPr>
        <w:t>ependence on Innovation Partnership.</w:t>
      </w:r>
    </w:p>
    <w:p w14:paraId="4F94CE57" w14:textId="77777777" w:rsidR="00DD467E" w:rsidRPr="001B31B2" w:rsidRDefault="00DD467E" w:rsidP="00DD467E">
      <w:pPr>
        <w:tabs>
          <w:tab w:val="clear" w:pos="284"/>
        </w:tabs>
        <w:adjustRightInd w:val="0"/>
        <w:snapToGrid w:val="0"/>
        <w:spacing w:line="240" w:lineRule="auto"/>
        <w:ind w:firstLine="0"/>
        <w:jc w:val="center"/>
        <w:rPr>
          <w:b/>
        </w:rPr>
      </w:pPr>
      <w:r w:rsidRPr="001B31B2">
        <w:rPr>
          <w:b/>
          <w:i/>
        </w:rPr>
        <w:t xml:space="preserve"> (</w:t>
      </w:r>
      <w:r>
        <w:rPr>
          <w:b/>
          <w:i/>
        </w:rPr>
        <w:t>Power and Relationship Length</w:t>
      </w:r>
      <w:r w:rsidRPr="001B31B2">
        <w:rPr>
          <w:b/>
          <w:i/>
        </w:rPr>
        <w:t>)</w:t>
      </w:r>
    </w:p>
    <w:p w14:paraId="1ABCC3A3" w14:textId="77777777" w:rsidR="00DD467E" w:rsidRDefault="00DD467E" w:rsidP="00DD467E">
      <w:pPr>
        <w:tabs>
          <w:tab w:val="clear" w:pos="284"/>
        </w:tabs>
        <w:adjustRightInd w:val="0"/>
        <w:snapToGrid w:val="0"/>
        <w:spacing w:line="240" w:lineRule="auto"/>
        <w:ind w:firstLine="0"/>
        <w:jc w:val="left"/>
        <w:rPr>
          <w:rFonts w:ascii="Arial" w:hAnsi="Arial" w:cs="Arial"/>
          <w:color w:val="222222"/>
          <w:sz w:val="20"/>
          <w:szCs w:val="20"/>
          <w:shd w:val="clear" w:color="auto" w:fill="FFFFFF"/>
        </w:rPr>
      </w:pPr>
    </w:p>
    <w:p w14:paraId="56AA0A7F" w14:textId="15F01060" w:rsidR="00DD467E" w:rsidRDefault="00303AFE" w:rsidP="00DD467E">
      <w:pPr>
        <w:tabs>
          <w:tab w:val="clear" w:pos="284"/>
        </w:tabs>
        <w:adjustRightInd w:val="0"/>
        <w:snapToGrid w:val="0"/>
        <w:spacing w:line="240" w:lineRule="auto"/>
        <w:ind w:firstLine="0"/>
        <w:jc w:val="left"/>
        <w:rPr>
          <w:rFonts w:ascii="Arial" w:hAnsi="Arial" w:cs="Arial"/>
          <w:color w:val="222222"/>
          <w:sz w:val="20"/>
          <w:szCs w:val="20"/>
          <w:shd w:val="clear" w:color="auto" w:fill="FFFFFF"/>
        </w:rPr>
      </w:pPr>
      <w:r>
        <w:rPr>
          <w:rFonts w:ascii="Arial" w:hAnsi="Arial" w:cs="Arial"/>
          <w:noProof/>
          <w:color w:val="222222"/>
          <w:sz w:val="20"/>
          <w:szCs w:val="20"/>
          <w:shd w:val="clear" w:color="auto" w:fill="FFFFFF"/>
        </w:rPr>
        <w:drawing>
          <wp:inline distT="0" distB="0" distL="0" distR="0" wp14:anchorId="2D0580F4" wp14:editId="297F5BC3">
            <wp:extent cx="5654040" cy="4983480"/>
            <wp:effectExtent l="0" t="0" r="3810" b="762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654040" cy="4983480"/>
                    </a:xfrm>
                    <a:prstGeom prst="rect">
                      <a:avLst/>
                    </a:prstGeom>
                    <a:noFill/>
                  </pic:spPr>
                </pic:pic>
              </a:graphicData>
            </a:graphic>
          </wp:inline>
        </w:drawing>
      </w:r>
    </w:p>
    <w:p w14:paraId="54619283" w14:textId="77777777" w:rsidR="00DD467E" w:rsidRPr="0046664C" w:rsidRDefault="00DD467E" w:rsidP="00DD467E">
      <w:pPr>
        <w:tabs>
          <w:tab w:val="clear" w:pos="284"/>
        </w:tabs>
        <w:spacing w:after="160" w:line="259" w:lineRule="auto"/>
        <w:ind w:firstLine="0"/>
        <w:jc w:val="left"/>
        <w:rPr>
          <w:rFonts w:ascii="Arial" w:hAnsi="Arial" w:cs="Arial"/>
          <w:color w:val="222222"/>
          <w:sz w:val="20"/>
          <w:szCs w:val="20"/>
          <w:shd w:val="clear" w:color="auto" w:fill="FFFFFF"/>
        </w:rPr>
      </w:pPr>
    </w:p>
    <w:p w14:paraId="19B57F69" w14:textId="77777777" w:rsidR="001C444C" w:rsidRPr="005D36D4" w:rsidRDefault="001C444C" w:rsidP="001C444C">
      <w:pPr>
        <w:tabs>
          <w:tab w:val="clear" w:pos="284"/>
          <w:tab w:val="left" w:pos="567"/>
        </w:tabs>
        <w:autoSpaceDE w:val="0"/>
        <w:autoSpaceDN w:val="0"/>
        <w:adjustRightInd w:val="0"/>
        <w:ind w:firstLine="0"/>
        <w:rPr>
          <w:bCs/>
        </w:rPr>
      </w:pPr>
    </w:p>
    <w:p w14:paraId="21E73355" w14:textId="73DF8890" w:rsidR="001C444C" w:rsidRDefault="001C444C" w:rsidP="001C444C">
      <w:pPr>
        <w:rPr>
          <w:b/>
          <w:lang w:val="en-GB"/>
        </w:rPr>
      </w:pPr>
      <w:r>
        <w:rPr>
          <w:b/>
          <w:lang w:val="en-GB"/>
        </w:rPr>
        <w:br w:type="page"/>
      </w:r>
    </w:p>
    <w:p w14:paraId="6F27E51C" w14:textId="10DE0222" w:rsidR="002A356E" w:rsidRPr="002A356E" w:rsidRDefault="002A356E" w:rsidP="002A356E">
      <w:pPr>
        <w:pStyle w:val="EndNoteBibliography"/>
        <w:tabs>
          <w:tab w:val="clear" w:pos="284"/>
        </w:tabs>
        <w:ind w:left="360" w:hanging="360"/>
        <w:jc w:val="center"/>
        <w:rPr>
          <w:b/>
          <w:bCs/>
          <w:sz w:val="22"/>
          <w:szCs w:val="22"/>
        </w:rPr>
      </w:pPr>
      <w:r w:rsidRPr="002A356E">
        <w:rPr>
          <w:b/>
          <w:bCs/>
          <w:sz w:val="22"/>
          <w:szCs w:val="22"/>
        </w:rPr>
        <w:lastRenderedPageBreak/>
        <w:t>REFERENCES</w:t>
      </w:r>
    </w:p>
    <w:p w14:paraId="300499E9" w14:textId="77777777" w:rsidR="002A356E" w:rsidRDefault="002A356E" w:rsidP="002A356E">
      <w:pPr>
        <w:pStyle w:val="EndNoteBibliography"/>
        <w:tabs>
          <w:tab w:val="clear" w:pos="284"/>
        </w:tabs>
        <w:ind w:left="360" w:hanging="360"/>
        <w:rPr>
          <w:sz w:val="22"/>
          <w:szCs w:val="22"/>
        </w:rPr>
      </w:pPr>
    </w:p>
    <w:p w14:paraId="1AECCB7B" w14:textId="77777777" w:rsidR="00A30A6E" w:rsidRPr="00575764" w:rsidRDefault="001C444C" w:rsidP="00F21B59">
      <w:pPr>
        <w:pStyle w:val="EndNoteBibliography"/>
        <w:tabs>
          <w:tab w:val="clear" w:pos="284"/>
        </w:tabs>
        <w:adjustRightInd w:val="0"/>
        <w:snapToGrid w:val="0"/>
        <w:ind w:left="360" w:hanging="360"/>
        <w:rPr>
          <w:sz w:val="22"/>
          <w:szCs w:val="22"/>
        </w:rPr>
      </w:pPr>
      <w:r w:rsidRPr="00C1244A">
        <w:rPr>
          <w:sz w:val="22"/>
          <w:szCs w:val="22"/>
        </w:rPr>
        <w:fldChar w:fldCharType="begin"/>
      </w:r>
      <w:r w:rsidRPr="00C1244A">
        <w:rPr>
          <w:sz w:val="22"/>
          <w:szCs w:val="22"/>
        </w:rPr>
        <w:instrText xml:space="preserve"> ADDIN EN.REFLIST </w:instrText>
      </w:r>
      <w:r w:rsidRPr="00C1244A">
        <w:rPr>
          <w:sz w:val="22"/>
          <w:szCs w:val="22"/>
        </w:rPr>
        <w:fldChar w:fldCharType="separate"/>
      </w:r>
      <w:r w:rsidR="00A30A6E" w:rsidRPr="00575764">
        <w:rPr>
          <w:sz w:val="22"/>
          <w:szCs w:val="22"/>
        </w:rPr>
        <w:t xml:space="preserve">Aiken, L. S., West, S. G., &amp; Reno, R. R. (1991). </w:t>
      </w:r>
      <w:r w:rsidR="00A30A6E" w:rsidRPr="00575764">
        <w:rPr>
          <w:i/>
          <w:sz w:val="22"/>
          <w:szCs w:val="22"/>
        </w:rPr>
        <w:t>Multiple regression: Testing and interpreting interactions</w:t>
      </w:r>
      <w:r w:rsidR="00A30A6E" w:rsidRPr="00575764">
        <w:rPr>
          <w:sz w:val="22"/>
          <w:szCs w:val="22"/>
        </w:rPr>
        <w:t xml:space="preserve">. sage. </w:t>
      </w:r>
    </w:p>
    <w:p w14:paraId="784E26B0" w14:textId="77777777" w:rsidR="00A30A6E" w:rsidRPr="00575764" w:rsidRDefault="00A30A6E" w:rsidP="00F21B59">
      <w:pPr>
        <w:pStyle w:val="EndNoteBibliography"/>
        <w:tabs>
          <w:tab w:val="clear" w:pos="284"/>
        </w:tabs>
        <w:adjustRightInd w:val="0"/>
        <w:snapToGrid w:val="0"/>
        <w:ind w:left="360" w:hanging="360"/>
        <w:rPr>
          <w:sz w:val="22"/>
          <w:szCs w:val="22"/>
        </w:rPr>
      </w:pPr>
      <w:r w:rsidRPr="00575764">
        <w:rPr>
          <w:sz w:val="22"/>
          <w:szCs w:val="22"/>
        </w:rPr>
        <w:t xml:space="preserve">Anderson, T. W., &amp; Rubin, H. (1949). Estimation of the parameters of a single equation in a complete system of stochastic equations. </w:t>
      </w:r>
      <w:r w:rsidRPr="00575764">
        <w:rPr>
          <w:i/>
          <w:sz w:val="22"/>
          <w:szCs w:val="22"/>
        </w:rPr>
        <w:t>The Annals of Mathematical Statistics</w:t>
      </w:r>
      <w:r w:rsidRPr="00575764">
        <w:rPr>
          <w:sz w:val="22"/>
          <w:szCs w:val="22"/>
        </w:rPr>
        <w:t>,</w:t>
      </w:r>
      <w:r w:rsidRPr="00575764">
        <w:rPr>
          <w:i/>
          <w:sz w:val="22"/>
          <w:szCs w:val="22"/>
        </w:rPr>
        <w:t xml:space="preserve"> 20</w:t>
      </w:r>
      <w:r w:rsidRPr="00575764">
        <w:rPr>
          <w:sz w:val="22"/>
          <w:szCs w:val="22"/>
        </w:rPr>
        <w:t xml:space="preserve">(1), 46-63. </w:t>
      </w:r>
    </w:p>
    <w:p w14:paraId="528E26E0" w14:textId="77777777" w:rsidR="00A30A6E" w:rsidRPr="00575764" w:rsidRDefault="00A30A6E" w:rsidP="00F21B59">
      <w:pPr>
        <w:pStyle w:val="EndNoteBibliography"/>
        <w:tabs>
          <w:tab w:val="clear" w:pos="284"/>
        </w:tabs>
        <w:adjustRightInd w:val="0"/>
        <w:snapToGrid w:val="0"/>
        <w:ind w:left="360" w:hanging="360"/>
        <w:rPr>
          <w:sz w:val="22"/>
          <w:szCs w:val="22"/>
        </w:rPr>
      </w:pPr>
      <w:r w:rsidRPr="00575764">
        <w:rPr>
          <w:sz w:val="22"/>
          <w:szCs w:val="22"/>
        </w:rPr>
        <w:t xml:space="preserve">Antonakis, J., Bendahan, S., Jacquart, P., &amp; Lalive, R. (2010). On making causal claims: A review and recommendations. </w:t>
      </w:r>
      <w:r w:rsidRPr="00575764">
        <w:rPr>
          <w:i/>
          <w:sz w:val="22"/>
          <w:szCs w:val="22"/>
        </w:rPr>
        <w:t>The Leadership Quarterly</w:t>
      </w:r>
      <w:r w:rsidRPr="00575764">
        <w:rPr>
          <w:sz w:val="22"/>
          <w:szCs w:val="22"/>
        </w:rPr>
        <w:t>,</w:t>
      </w:r>
      <w:r w:rsidRPr="00575764">
        <w:rPr>
          <w:i/>
          <w:sz w:val="22"/>
          <w:szCs w:val="22"/>
        </w:rPr>
        <w:t xml:space="preserve"> 21</w:t>
      </w:r>
      <w:r w:rsidRPr="00575764">
        <w:rPr>
          <w:sz w:val="22"/>
          <w:szCs w:val="22"/>
        </w:rPr>
        <w:t xml:space="preserve">(6), 1086-1120. </w:t>
      </w:r>
    </w:p>
    <w:p w14:paraId="661C7943" w14:textId="77777777" w:rsidR="00A30A6E" w:rsidRPr="00575764" w:rsidRDefault="00A30A6E" w:rsidP="00F21B59">
      <w:pPr>
        <w:pStyle w:val="EndNoteBibliography"/>
        <w:tabs>
          <w:tab w:val="clear" w:pos="284"/>
        </w:tabs>
        <w:adjustRightInd w:val="0"/>
        <w:snapToGrid w:val="0"/>
        <w:ind w:left="360" w:hanging="360"/>
        <w:rPr>
          <w:sz w:val="22"/>
          <w:szCs w:val="22"/>
        </w:rPr>
      </w:pPr>
      <w:r w:rsidRPr="00575764">
        <w:rPr>
          <w:sz w:val="22"/>
          <w:szCs w:val="22"/>
        </w:rPr>
        <w:t xml:space="preserve">Buchanan, L. (1992). Vertical trade relationships: the role of dependence and symmetry in attaining organizational goals. </w:t>
      </w:r>
      <w:r w:rsidRPr="00575764">
        <w:rPr>
          <w:i/>
          <w:sz w:val="22"/>
          <w:szCs w:val="22"/>
        </w:rPr>
        <w:t>Journal of Marketing Research</w:t>
      </w:r>
      <w:r w:rsidRPr="00575764">
        <w:rPr>
          <w:sz w:val="22"/>
          <w:szCs w:val="22"/>
        </w:rPr>
        <w:t>,</w:t>
      </w:r>
      <w:r w:rsidRPr="00575764">
        <w:rPr>
          <w:i/>
          <w:sz w:val="22"/>
          <w:szCs w:val="22"/>
        </w:rPr>
        <w:t xml:space="preserve"> 29</w:t>
      </w:r>
      <w:r w:rsidRPr="00575764">
        <w:rPr>
          <w:sz w:val="22"/>
          <w:szCs w:val="22"/>
        </w:rPr>
        <w:t xml:space="preserve">(1), 65-75. </w:t>
      </w:r>
    </w:p>
    <w:p w14:paraId="347EB8E9" w14:textId="7947D9EC" w:rsidR="00A30A6E" w:rsidRPr="00575764" w:rsidRDefault="00A30A6E" w:rsidP="00F21B59">
      <w:pPr>
        <w:pStyle w:val="EndNoteBibliography"/>
        <w:tabs>
          <w:tab w:val="clear" w:pos="284"/>
        </w:tabs>
        <w:adjustRightInd w:val="0"/>
        <w:snapToGrid w:val="0"/>
        <w:ind w:left="360" w:hanging="360"/>
        <w:rPr>
          <w:sz w:val="22"/>
          <w:szCs w:val="22"/>
        </w:rPr>
      </w:pPr>
      <w:r w:rsidRPr="00575764">
        <w:rPr>
          <w:sz w:val="22"/>
          <w:szCs w:val="22"/>
        </w:rPr>
        <w:t xml:space="preserve">Edwards, J. R. (2014). </w:t>
      </w:r>
      <w:r w:rsidRPr="00575764">
        <w:rPr>
          <w:i/>
          <w:sz w:val="22"/>
          <w:szCs w:val="22"/>
        </w:rPr>
        <w:t>Moderated polynomial regression</w:t>
      </w:r>
      <w:r w:rsidRPr="00575764">
        <w:rPr>
          <w:sz w:val="22"/>
          <w:szCs w:val="22"/>
        </w:rPr>
        <w:t xml:space="preserve">. Retrieved 07 September 2020 from </w:t>
      </w:r>
      <w:hyperlink r:id="rId11" w:history="1">
        <w:r w:rsidRPr="00575764">
          <w:rPr>
            <w:rStyle w:val="Hyperlink"/>
            <w:sz w:val="22"/>
            <w:szCs w:val="22"/>
          </w:rPr>
          <w:t>http://public.kenan-flagler.unc.edu/faculty/edwardsj/ModeratedPolynomialRegression.htm</w:t>
        </w:r>
      </w:hyperlink>
    </w:p>
    <w:p w14:paraId="1BC36271" w14:textId="77777777" w:rsidR="00A30A6E" w:rsidRPr="00575764" w:rsidRDefault="00A30A6E" w:rsidP="00F21B59">
      <w:pPr>
        <w:pStyle w:val="EndNoteBibliography"/>
        <w:tabs>
          <w:tab w:val="clear" w:pos="284"/>
        </w:tabs>
        <w:adjustRightInd w:val="0"/>
        <w:snapToGrid w:val="0"/>
        <w:ind w:left="360" w:hanging="360"/>
        <w:rPr>
          <w:sz w:val="22"/>
          <w:szCs w:val="22"/>
        </w:rPr>
      </w:pPr>
      <w:r w:rsidRPr="00575764">
        <w:rPr>
          <w:sz w:val="22"/>
          <w:szCs w:val="22"/>
        </w:rPr>
        <w:t xml:space="preserve">Edwards, J. R., &amp; Parry, M. E. (1993). On the use of polynomial regression equations as an alternative to difference scores in organizational research. </w:t>
      </w:r>
      <w:r w:rsidRPr="00575764">
        <w:rPr>
          <w:i/>
          <w:sz w:val="22"/>
          <w:szCs w:val="22"/>
        </w:rPr>
        <w:t>Academy of Management Journal</w:t>
      </w:r>
      <w:r w:rsidRPr="00575764">
        <w:rPr>
          <w:sz w:val="22"/>
          <w:szCs w:val="22"/>
        </w:rPr>
        <w:t>,</w:t>
      </w:r>
      <w:r w:rsidRPr="00575764">
        <w:rPr>
          <w:i/>
          <w:sz w:val="22"/>
          <w:szCs w:val="22"/>
        </w:rPr>
        <w:t xml:space="preserve"> 36</w:t>
      </w:r>
      <w:r w:rsidRPr="00575764">
        <w:rPr>
          <w:sz w:val="22"/>
          <w:szCs w:val="22"/>
        </w:rPr>
        <w:t xml:space="preserve">(6), 1577-1613. </w:t>
      </w:r>
    </w:p>
    <w:p w14:paraId="10C1EEAB" w14:textId="77777777" w:rsidR="00A30A6E" w:rsidRPr="00575764" w:rsidRDefault="00A30A6E" w:rsidP="00F21B59">
      <w:pPr>
        <w:pStyle w:val="EndNoteBibliography"/>
        <w:tabs>
          <w:tab w:val="clear" w:pos="284"/>
        </w:tabs>
        <w:adjustRightInd w:val="0"/>
        <w:snapToGrid w:val="0"/>
        <w:ind w:left="360" w:hanging="360"/>
        <w:rPr>
          <w:sz w:val="22"/>
          <w:szCs w:val="22"/>
        </w:rPr>
      </w:pPr>
      <w:r w:rsidRPr="00575764">
        <w:rPr>
          <w:sz w:val="22"/>
          <w:szCs w:val="22"/>
        </w:rPr>
        <w:t xml:space="preserve">Geyskens, I., Steenkamp, J.-B. E., Scheer, L. K., &amp; Kumar, N. (1996). The effects of trust and interdependence on relationship commitment: A trans-Atlantic study. </w:t>
      </w:r>
      <w:r w:rsidRPr="00575764">
        <w:rPr>
          <w:i/>
          <w:sz w:val="22"/>
          <w:szCs w:val="22"/>
        </w:rPr>
        <w:t>International Journal of Research in Marketing</w:t>
      </w:r>
      <w:r w:rsidRPr="00575764">
        <w:rPr>
          <w:sz w:val="22"/>
          <w:szCs w:val="22"/>
        </w:rPr>
        <w:t>,</w:t>
      </w:r>
      <w:r w:rsidRPr="00575764">
        <w:rPr>
          <w:i/>
          <w:sz w:val="22"/>
          <w:szCs w:val="22"/>
        </w:rPr>
        <w:t xml:space="preserve"> 13</w:t>
      </w:r>
      <w:r w:rsidRPr="00575764">
        <w:rPr>
          <w:sz w:val="22"/>
          <w:szCs w:val="22"/>
        </w:rPr>
        <w:t xml:space="preserve">(4), 303-317. </w:t>
      </w:r>
    </w:p>
    <w:p w14:paraId="6A3D49EF" w14:textId="77777777" w:rsidR="00A30A6E" w:rsidRPr="00575764" w:rsidRDefault="00A30A6E" w:rsidP="00F21B59">
      <w:pPr>
        <w:pStyle w:val="EndNoteBibliography"/>
        <w:tabs>
          <w:tab w:val="clear" w:pos="284"/>
        </w:tabs>
        <w:adjustRightInd w:val="0"/>
        <w:snapToGrid w:val="0"/>
        <w:ind w:left="360" w:hanging="360"/>
        <w:rPr>
          <w:sz w:val="22"/>
          <w:szCs w:val="22"/>
        </w:rPr>
      </w:pPr>
      <w:r w:rsidRPr="00575764">
        <w:rPr>
          <w:sz w:val="22"/>
          <w:szCs w:val="22"/>
        </w:rPr>
        <w:t xml:space="preserve">Granovetter, M. (1985). Economic action and social structure: The problem of embeddedness. </w:t>
      </w:r>
      <w:r w:rsidRPr="00575764">
        <w:rPr>
          <w:i/>
          <w:sz w:val="22"/>
          <w:szCs w:val="22"/>
        </w:rPr>
        <w:t>American Journal of Sociology</w:t>
      </w:r>
      <w:r w:rsidRPr="00575764">
        <w:rPr>
          <w:sz w:val="22"/>
          <w:szCs w:val="22"/>
        </w:rPr>
        <w:t>,</w:t>
      </w:r>
      <w:r w:rsidRPr="00575764">
        <w:rPr>
          <w:i/>
          <w:sz w:val="22"/>
          <w:szCs w:val="22"/>
        </w:rPr>
        <w:t xml:space="preserve"> 91</w:t>
      </w:r>
      <w:r w:rsidRPr="00575764">
        <w:rPr>
          <w:sz w:val="22"/>
          <w:szCs w:val="22"/>
        </w:rPr>
        <w:t xml:space="preserve">(3), 481-510. </w:t>
      </w:r>
    </w:p>
    <w:p w14:paraId="457B186E" w14:textId="77777777" w:rsidR="00A30A6E" w:rsidRPr="00575764" w:rsidRDefault="00A30A6E" w:rsidP="00F21B59">
      <w:pPr>
        <w:pStyle w:val="EndNoteBibliography"/>
        <w:tabs>
          <w:tab w:val="clear" w:pos="284"/>
        </w:tabs>
        <w:adjustRightInd w:val="0"/>
        <w:snapToGrid w:val="0"/>
        <w:ind w:left="360" w:hanging="360"/>
        <w:rPr>
          <w:sz w:val="22"/>
          <w:szCs w:val="22"/>
        </w:rPr>
      </w:pPr>
      <w:r w:rsidRPr="00575764">
        <w:rPr>
          <w:sz w:val="22"/>
          <w:szCs w:val="22"/>
        </w:rPr>
        <w:t xml:space="preserve">Hald, K. S., Cordón, C., &amp; Vollmann, T. E. (2009). Towards an understanding of attraction in buyer–supplier relationships. </w:t>
      </w:r>
      <w:r w:rsidRPr="00575764">
        <w:rPr>
          <w:i/>
          <w:sz w:val="22"/>
          <w:szCs w:val="22"/>
        </w:rPr>
        <w:t>Industrial Marketing Management</w:t>
      </w:r>
      <w:r w:rsidRPr="00575764">
        <w:rPr>
          <w:sz w:val="22"/>
          <w:szCs w:val="22"/>
        </w:rPr>
        <w:t>,</w:t>
      </w:r>
      <w:r w:rsidRPr="00575764">
        <w:rPr>
          <w:i/>
          <w:sz w:val="22"/>
          <w:szCs w:val="22"/>
        </w:rPr>
        <w:t xml:space="preserve"> 38</w:t>
      </w:r>
      <w:r w:rsidRPr="00575764">
        <w:rPr>
          <w:sz w:val="22"/>
          <w:szCs w:val="22"/>
        </w:rPr>
        <w:t xml:space="preserve">(8), 960-970. </w:t>
      </w:r>
    </w:p>
    <w:p w14:paraId="26987A18" w14:textId="77777777" w:rsidR="00A30A6E" w:rsidRPr="00575764" w:rsidRDefault="00A30A6E" w:rsidP="00F21B59">
      <w:pPr>
        <w:pStyle w:val="EndNoteBibliography"/>
        <w:tabs>
          <w:tab w:val="clear" w:pos="284"/>
        </w:tabs>
        <w:adjustRightInd w:val="0"/>
        <w:snapToGrid w:val="0"/>
        <w:ind w:left="360" w:hanging="360"/>
        <w:rPr>
          <w:sz w:val="22"/>
          <w:szCs w:val="22"/>
        </w:rPr>
      </w:pPr>
      <w:r w:rsidRPr="00575764">
        <w:rPr>
          <w:sz w:val="22"/>
          <w:szCs w:val="22"/>
        </w:rPr>
        <w:t xml:space="preserve">Hamilton, B. H., &amp; Nickerson, J. A. (2003). Correcting for endogeneity in strategic management research. </w:t>
      </w:r>
      <w:r w:rsidRPr="00575764">
        <w:rPr>
          <w:i/>
          <w:sz w:val="22"/>
          <w:szCs w:val="22"/>
        </w:rPr>
        <w:t>Strategic Organization</w:t>
      </w:r>
      <w:r w:rsidRPr="00575764">
        <w:rPr>
          <w:sz w:val="22"/>
          <w:szCs w:val="22"/>
        </w:rPr>
        <w:t>,</w:t>
      </w:r>
      <w:r w:rsidRPr="00575764">
        <w:rPr>
          <w:i/>
          <w:sz w:val="22"/>
          <w:szCs w:val="22"/>
        </w:rPr>
        <w:t xml:space="preserve"> 1</w:t>
      </w:r>
      <w:r w:rsidRPr="00575764">
        <w:rPr>
          <w:sz w:val="22"/>
          <w:szCs w:val="22"/>
        </w:rPr>
        <w:t xml:space="preserve">(1), 51-78. </w:t>
      </w:r>
    </w:p>
    <w:p w14:paraId="417CF1E4" w14:textId="77777777" w:rsidR="00A30A6E" w:rsidRPr="00575764" w:rsidRDefault="00A30A6E" w:rsidP="00F21B59">
      <w:pPr>
        <w:pStyle w:val="EndNoteBibliography"/>
        <w:tabs>
          <w:tab w:val="clear" w:pos="284"/>
        </w:tabs>
        <w:adjustRightInd w:val="0"/>
        <w:snapToGrid w:val="0"/>
        <w:ind w:left="360" w:hanging="360"/>
        <w:rPr>
          <w:sz w:val="22"/>
          <w:szCs w:val="22"/>
        </w:rPr>
      </w:pPr>
      <w:r w:rsidRPr="00575764">
        <w:rPr>
          <w:sz w:val="22"/>
          <w:szCs w:val="22"/>
        </w:rPr>
        <w:t xml:space="preserve">Heide, J. B., &amp; John, G. (1988). The role of dependence balancing in safeguarding transaction-specific assets in conventional channels. </w:t>
      </w:r>
      <w:r w:rsidRPr="00575764">
        <w:rPr>
          <w:i/>
          <w:sz w:val="22"/>
          <w:szCs w:val="22"/>
        </w:rPr>
        <w:t>Journal of Marketing</w:t>
      </w:r>
      <w:r w:rsidRPr="00575764">
        <w:rPr>
          <w:sz w:val="22"/>
          <w:szCs w:val="22"/>
        </w:rPr>
        <w:t>,</w:t>
      </w:r>
      <w:r w:rsidRPr="00575764">
        <w:rPr>
          <w:i/>
          <w:sz w:val="22"/>
          <w:szCs w:val="22"/>
        </w:rPr>
        <w:t xml:space="preserve"> 52</w:t>
      </w:r>
      <w:r w:rsidRPr="00575764">
        <w:rPr>
          <w:sz w:val="22"/>
          <w:szCs w:val="22"/>
        </w:rPr>
        <w:t xml:space="preserve">(1), 20-35. </w:t>
      </w:r>
    </w:p>
    <w:p w14:paraId="4945DAEA" w14:textId="77777777" w:rsidR="00A30A6E" w:rsidRPr="00575764" w:rsidRDefault="00A30A6E" w:rsidP="00F21B59">
      <w:pPr>
        <w:pStyle w:val="EndNoteBibliography"/>
        <w:tabs>
          <w:tab w:val="clear" w:pos="284"/>
        </w:tabs>
        <w:adjustRightInd w:val="0"/>
        <w:snapToGrid w:val="0"/>
        <w:ind w:left="360" w:hanging="360"/>
        <w:rPr>
          <w:sz w:val="22"/>
          <w:szCs w:val="22"/>
        </w:rPr>
      </w:pPr>
      <w:r w:rsidRPr="00575764">
        <w:rPr>
          <w:sz w:val="22"/>
          <w:szCs w:val="22"/>
        </w:rPr>
        <w:t xml:space="preserve">Heide, J. B., &amp; John, G. (1990). Alliances in industrial purchasing: The determinants of joint action in buyer-supplier relationships. </w:t>
      </w:r>
      <w:r w:rsidRPr="00575764">
        <w:rPr>
          <w:i/>
          <w:sz w:val="22"/>
          <w:szCs w:val="22"/>
        </w:rPr>
        <w:t>Journal of Marketing Research</w:t>
      </w:r>
      <w:r w:rsidRPr="00575764">
        <w:rPr>
          <w:sz w:val="22"/>
          <w:szCs w:val="22"/>
        </w:rPr>
        <w:t>,</w:t>
      </w:r>
      <w:r w:rsidRPr="00575764">
        <w:rPr>
          <w:i/>
          <w:sz w:val="22"/>
          <w:szCs w:val="22"/>
        </w:rPr>
        <w:t xml:space="preserve"> 27</w:t>
      </w:r>
      <w:r w:rsidRPr="00575764">
        <w:rPr>
          <w:sz w:val="22"/>
          <w:szCs w:val="22"/>
        </w:rPr>
        <w:t xml:space="preserve">(1), 24-36. </w:t>
      </w:r>
    </w:p>
    <w:p w14:paraId="5899FCD0" w14:textId="77777777" w:rsidR="00A30A6E" w:rsidRPr="00575764" w:rsidRDefault="00A30A6E" w:rsidP="00F21B59">
      <w:pPr>
        <w:pStyle w:val="EndNoteBibliography"/>
        <w:tabs>
          <w:tab w:val="clear" w:pos="284"/>
        </w:tabs>
        <w:adjustRightInd w:val="0"/>
        <w:snapToGrid w:val="0"/>
        <w:ind w:left="360" w:hanging="360"/>
        <w:rPr>
          <w:sz w:val="22"/>
          <w:szCs w:val="22"/>
        </w:rPr>
      </w:pPr>
      <w:r w:rsidRPr="00575764">
        <w:rPr>
          <w:sz w:val="22"/>
          <w:szCs w:val="22"/>
        </w:rPr>
        <w:t xml:space="preserve">Jap, S. D., &amp; Anderson, E. (2003). Safeguarding interorganizational performance and continuity under ex post opportunism. </w:t>
      </w:r>
      <w:r w:rsidRPr="00575764">
        <w:rPr>
          <w:i/>
          <w:sz w:val="22"/>
          <w:szCs w:val="22"/>
        </w:rPr>
        <w:t>Management Science</w:t>
      </w:r>
      <w:r w:rsidRPr="00575764">
        <w:rPr>
          <w:sz w:val="22"/>
          <w:szCs w:val="22"/>
        </w:rPr>
        <w:t>,</w:t>
      </w:r>
      <w:r w:rsidRPr="00575764">
        <w:rPr>
          <w:i/>
          <w:sz w:val="22"/>
          <w:szCs w:val="22"/>
        </w:rPr>
        <w:t xml:space="preserve"> 49</w:t>
      </w:r>
      <w:r w:rsidRPr="00575764">
        <w:rPr>
          <w:sz w:val="22"/>
          <w:szCs w:val="22"/>
        </w:rPr>
        <w:t xml:space="preserve">(12), 1684-1701. </w:t>
      </w:r>
    </w:p>
    <w:p w14:paraId="2AF82F18" w14:textId="77777777" w:rsidR="00A30A6E" w:rsidRPr="00575764" w:rsidRDefault="00A30A6E" w:rsidP="00F21B59">
      <w:pPr>
        <w:pStyle w:val="EndNoteBibliography"/>
        <w:tabs>
          <w:tab w:val="clear" w:pos="284"/>
        </w:tabs>
        <w:adjustRightInd w:val="0"/>
        <w:snapToGrid w:val="0"/>
        <w:ind w:left="360" w:hanging="360"/>
        <w:rPr>
          <w:sz w:val="22"/>
          <w:szCs w:val="22"/>
        </w:rPr>
      </w:pPr>
      <w:r w:rsidRPr="00575764">
        <w:rPr>
          <w:sz w:val="22"/>
          <w:szCs w:val="22"/>
        </w:rPr>
        <w:t xml:space="preserve">Lambert, L. S., Edwards, J. R., &amp; Cable, D. M. (2003). Breach and fulfillment of the psychological contract: A comparison of traditional and expanded views. </w:t>
      </w:r>
      <w:r w:rsidRPr="00575764">
        <w:rPr>
          <w:i/>
          <w:sz w:val="22"/>
          <w:szCs w:val="22"/>
        </w:rPr>
        <w:t>Personnel Psychology</w:t>
      </w:r>
      <w:r w:rsidRPr="00575764">
        <w:rPr>
          <w:sz w:val="22"/>
          <w:szCs w:val="22"/>
        </w:rPr>
        <w:t>,</w:t>
      </w:r>
      <w:r w:rsidRPr="00575764">
        <w:rPr>
          <w:i/>
          <w:sz w:val="22"/>
          <w:szCs w:val="22"/>
        </w:rPr>
        <w:t xml:space="preserve"> 56</w:t>
      </w:r>
      <w:r w:rsidRPr="00575764">
        <w:rPr>
          <w:sz w:val="22"/>
          <w:szCs w:val="22"/>
        </w:rPr>
        <w:t xml:space="preserve">(4), 895-934. </w:t>
      </w:r>
    </w:p>
    <w:p w14:paraId="41673AD3" w14:textId="77777777" w:rsidR="00A30A6E" w:rsidRPr="00575764" w:rsidRDefault="00A30A6E" w:rsidP="00F21B59">
      <w:pPr>
        <w:pStyle w:val="EndNoteBibliography"/>
        <w:tabs>
          <w:tab w:val="clear" w:pos="284"/>
        </w:tabs>
        <w:adjustRightInd w:val="0"/>
        <w:snapToGrid w:val="0"/>
        <w:ind w:left="360" w:hanging="360"/>
        <w:rPr>
          <w:sz w:val="22"/>
          <w:szCs w:val="22"/>
        </w:rPr>
      </w:pPr>
      <w:r w:rsidRPr="00575764">
        <w:rPr>
          <w:sz w:val="22"/>
          <w:szCs w:val="22"/>
        </w:rPr>
        <w:t xml:space="preserve">Marzi, G., Balzano, M., Egidi, L., &amp; Magrini, A. (2023). CLC estimator: A tool for latent construct estimation via congeneric approaches in survey research. </w:t>
      </w:r>
      <w:r w:rsidRPr="00575764">
        <w:rPr>
          <w:i/>
          <w:sz w:val="22"/>
          <w:szCs w:val="22"/>
        </w:rPr>
        <w:t>Multivariate Behavioral Research</w:t>
      </w:r>
      <w:r w:rsidRPr="00575764">
        <w:rPr>
          <w:sz w:val="22"/>
          <w:szCs w:val="22"/>
        </w:rPr>
        <w:t>,</w:t>
      </w:r>
      <w:r w:rsidRPr="00575764">
        <w:rPr>
          <w:i/>
          <w:sz w:val="22"/>
          <w:szCs w:val="22"/>
        </w:rPr>
        <w:t xml:space="preserve"> 58</w:t>
      </w:r>
      <w:r w:rsidRPr="00575764">
        <w:rPr>
          <w:sz w:val="22"/>
          <w:szCs w:val="22"/>
        </w:rPr>
        <w:t xml:space="preserve">(6), 1160-1164. </w:t>
      </w:r>
    </w:p>
    <w:p w14:paraId="6863678C" w14:textId="77777777" w:rsidR="00A30A6E" w:rsidRPr="00575764" w:rsidRDefault="00A30A6E" w:rsidP="00F21B59">
      <w:pPr>
        <w:pStyle w:val="EndNoteBibliography"/>
        <w:tabs>
          <w:tab w:val="clear" w:pos="284"/>
        </w:tabs>
        <w:adjustRightInd w:val="0"/>
        <w:snapToGrid w:val="0"/>
        <w:ind w:left="360" w:hanging="360"/>
        <w:rPr>
          <w:sz w:val="22"/>
          <w:szCs w:val="22"/>
        </w:rPr>
      </w:pPr>
      <w:r w:rsidRPr="00575764">
        <w:rPr>
          <w:sz w:val="22"/>
          <w:szCs w:val="22"/>
        </w:rPr>
        <w:t xml:space="preserve">McNeish, D., &amp; Wolf, M. G. (2020). Thinking twice about sum scores. </w:t>
      </w:r>
      <w:r w:rsidRPr="00575764">
        <w:rPr>
          <w:i/>
          <w:sz w:val="22"/>
          <w:szCs w:val="22"/>
        </w:rPr>
        <w:t>Behavior Research Methods</w:t>
      </w:r>
      <w:r w:rsidRPr="00575764">
        <w:rPr>
          <w:sz w:val="22"/>
          <w:szCs w:val="22"/>
        </w:rPr>
        <w:t>,</w:t>
      </w:r>
      <w:r w:rsidRPr="00575764">
        <w:rPr>
          <w:i/>
          <w:sz w:val="22"/>
          <w:szCs w:val="22"/>
        </w:rPr>
        <w:t xml:space="preserve"> 52</w:t>
      </w:r>
      <w:r w:rsidRPr="00575764">
        <w:rPr>
          <w:sz w:val="22"/>
          <w:szCs w:val="22"/>
        </w:rPr>
        <w:t xml:space="preserve">, 2287-2305. </w:t>
      </w:r>
    </w:p>
    <w:p w14:paraId="7A1049E7" w14:textId="77777777" w:rsidR="00A30A6E" w:rsidRPr="00575764" w:rsidRDefault="00A30A6E" w:rsidP="00F21B59">
      <w:pPr>
        <w:pStyle w:val="EndNoteBibliography"/>
        <w:tabs>
          <w:tab w:val="clear" w:pos="284"/>
        </w:tabs>
        <w:adjustRightInd w:val="0"/>
        <w:snapToGrid w:val="0"/>
        <w:ind w:left="360" w:hanging="360"/>
        <w:rPr>
          <w:sz w:val="22"/>
          <w:szCs w:val="22"/>
        </w:rPr>
      </w:pPr>
      <w:r w:rsidRPr="00575764">
        <w:rPr>
          <w:sz w:val="22"/>
          <w:szCs w:val="22"/>
        </w:rPr>
        <w:t xml:space="preserve">Myers, R. H., Montgomery, D. C., &amp; Anderson-Cook, C. M. (2009). </w:t>
      </w:r>
      <w:r w:rsidRPr="00575764">
        <w:rPr>
          <w:i/>
          <w:sz w:val="22"/>
          <w:szCs w:val="22"/>
        </w:rPr>
        <w:t>Response surface methodology: Process and product optimization using designed experiments</w:t>
      </w:r>
      <w:r w:rsidRPr="00575764">
        <w:rPr>
          <w:sz w:val="22"/>
          <w:szCs w:val="22"/>
        </w:rPr>
        <w:t xml:space="preserve">. Wiley. </w:t>
      </w:r>
    </w:p>
    <w:p w14:paraId="5F8BD913" w14:textId="77777777" w:rsidR="00A30A6E" w:rsidRPr="00575764" w:rsidRDefault="00A30A6E" w:rsidP="00F21B59">
      <w:pPr>
        <w:pStyle w:val="EndNoteBibliography"/>
        <w:tabs>
          <w:tab w:val="clear" w:pos="284"/>
        </w:tabs>
        <w:adjustRightInd w:val="0"/>
        <w:snapToGrid w:val="0"/>
        <w:ind w:left="360" w:hanging="360"/>
        <w:rPr>
          <w:sz w:val="22"/>
          <w:szCs w:val="22"/>
        </w:rPr>
      </w:pPr>
      <w:r w:rsidRPr="00575764">
        <w:rPr>
          <w:sz w:val="22"/>
          <w:szCs w:val="22"/>
        </w:rPr>
        <w:t xml:space="preserve">Oliver, R. L. (1999). Whence consumer loyalty? </w:t>
      </w:r>
      <w:r w:rsidRPr="00575764">
        <w:rPr>
          <w:i/>
          <w:sz w:val="22"/>
          <w:szCs w:val="22"/>
        </w:rPr>
        <w:t>Journal of Marketing</w:t>
      </w:r>
      <w:r w:rsidRPr="00575764">
        <w:rPr>
          <w:sz w:val="22"/>
          <w:szCs w:val="22"/>
        </w:rPr>
        <w:t>,</w:t>
      </w:r>
      <w:r w:rsidRPr="00575764">
        <w:rPr>
          <w:i/>
          <w:sz w:val="22"/>
          <w:szCs w:val="22"/>
        </w:rPr>
        <w:t xml:space="preserve"> 63</w:t>
      </w:r>
      <w:r w:rsidRPr="00575764">
        <w:rPr>
          <w:sz w:val="22"/>
          <w:szCs w:val="22"/>
        </w:rPr>
        <w:t xml:space="preserve">(4_suppl1), 33-44. </w:t>
      </w:r>
    </w:p>
    <w:p w14:paraId="1E13920D" w14:textId="77777777" w:rsidR="00A30A6E" w:rsidRPr="00575764" w:rsidRDefault="00A30A6E" w:rsidP="00F21B59">
      <w:pPr>
        <w:pStyle w:val="EndNoteBibliography"/>
        <w:tabs>
          <w:tab w:val="clear" w:pos="284"/>
        </w:tabs>
        <w:adjustRightInd w:val="0"/>
        <w:snapToGrid w:val="0"/>
        <w:ind w:left="360" w:hanging="360"/>
        <w:rPr>
          <w:sz w:val="22"/>
          <w:szCs w:val="22"/>
        </w:rPr>
      </w:pPr>
      <w:r w:rsidRPr="00575764">
        <w:rPr>
          <w:sz w:val="22"/>
          <w:szCs w:val="22"/>
        </w:rPr>
        <w:t xml:space="preserve">Scheer, L. K., Miao, C. F., &amp; Garrett, J. (2010). The effects of supplier capabilities on industrial customers’ loyalty: The role of dependence. </w:t>
      </w:r>
      <w:r w:rsidRPr="00575764">
        <w:rPr>
          <w:i/>
          <w:sz w:val="22"/>
          <w:szCs w:val="22"/>
        </w:rPr>
        <w:t>Journal of the Academy of Marketing Science</w:t>
      </w:r>
      <w:r w:rsidRPr="00575764">
        <w:rPr>
          <w:sz w:val="22"/>
          <w:szCs w:val="22"/>
        </w:rPr>
        <w:t>,</w:t>
      </w:r>
      <w:r w:rsidRPr="00575764">
        <w:rPr>
          <w:i/>
          <w:sz w:val="22"/>
          <w:szCs w:val="22"/>
        </w:rPr>
        <w:t xml:space="preserve"> 38</w:t>
      </w:r>
      <w:r w:rsidRPr="00575764">
        <w:rPr>
          <w:sz w:val="22"/>
          <w:szCs w:val="22"/>
        </w:rPr>
        <w:t xml:space="preserve">(1), 90-104. </w:t>
      </w:r>
    </w:p>
    <w:p w14:paraId="39EEB5F2" w14:textId="77777777" w:rsidR="00A30A6E" w:rsidRPr="00575764" w:rsidRDefault="00A30A6E" w:rsidP="00F21B59">
      <w:pPr>
        <w:pStyle w:val="EndNoteBibliography"/>
        <w:tabs>
          <w:tab w:val="clear" w:pos="284"/>
        </w:tabs>
        <w:adjustRightInd w:val="0"/>
        <w:snapToGrid w:val="0"/>
        <w:ind w:left="360" w:hanging="360"/>
        <w:rPr>
          <w:sz w:val="22"/>
          <w:szCs w:val="22"/>
        </w:rPr>
      </w:pPr>
      <w:r w:rsidRPr="00575764">
        <w:rPr>
          <w:sz w:val="22"/>
          <w:szCs w:val="22"/>
        </w:rPr>
        <w:t xml:space="preserve">Stock, J., &amp; Yogo, M. (2005). Testing for weak instruments in linear IV regression. In D. Andrews (Ed.), </w:t>
      </w:r>
      <w:r w:rsidRPr="00575764">
        <w:rPr>
          <w:i/>
          <w:sz w:val="22"/>
          <w:szCs w:val="22"/>
        </w:rPr>
        <w:t>Identification and inference for econometric models</w:t>
      </w:r>
      <w:r w:rsidRPr="00575764">
        <w:rPr>
          <w:sz w:val="22"/>
          <w:szCs w:val="22"/>
        </w:rPr>
        <w:t xml:space="preserve"> (pp. 80-108). Cambridge University Press. </w:t>
      </w:r>
    </w:p>
    <w:p w14:paraId="071A9DC9" w14:textId="77777777" w:rsidR="00A30A6E" w:rsidRPr="00575764" w:rsidRDefault="00A30A6E" w:rsidP="00F21B59">
      <w:pPr>
        <w:pStyle w:val="EndNoteBibliography"/>
        <w:tabs>
          <w:tab w:val="clear" w:pos="284"/>
        </w:tabs>
        <w:adjustRightInd w:val="0"/>
        <w:snapToGrid w:val="0"/>
        <w:ind w:left="360" w:hanging="360"/>
        <w:rPr>
          <w:sz w:val="22"/>
          <w:szCs w:val="22"/>
        </w:rPr>
      </w:pPr>
      <w:r w:rsidRPr="00575764">
        <w:rPr>
          <w:sz w:val="22"/>
          <w:szCs w:val="22"/>
        </w:rPr>
        <w:t xml:space="preserve">Stock, J. H., &amp; Wright, J. H. (2000). GMM with weak identification. </w:t>
      </w:r>
      <w:r w:rsidRPr="00575764">
        <w:rPr>
          <w:i/>
          <w:sz w:val="22"/>
          <w:szCs w:val="22"/>
        </w:rPr>
        <w:t>Econometrica</w:t>
      </w:r>
      <w:r w:rsidRPr="00575764">
        <w:rPr>
          <w:sz w:val="22"/>
          <w:szCs w:val="22"/>
        </w:rPr>
        <w:t>,</w:t>
      </w:r>
      <w:r w:rsidRPr="00575764">
        <w:rPr>
          <w:i/>
          <w:sz w:val="22"/>
          <w:szCs w:val="22"/>
        </w:rPr>
        <w:t xml:space="preserve"> 68</w:t>
      </w:r>
      <w:r w:rsidRPr="00575764">
        <w:rPr>
          <w:sz w:val="22"/>
          <w:szCs w:val="22"/>
        </w:rPr>
        <w:t xml:space="preserve">(5), 1055-1096. </w:t>
      </w:r>
    </w:p>
    <w:p w14:paraId="07A6B81A" w14:textId="77777777" w:rsidR="00A30A6E" w:rsidRPr="00575764" w:rsidRDefault="00A30A6E" w:rsidP="00F21B59">
      <w:pPr>
        <w:pStyle w:val="EndNoteBibliography"/>
        <w:tabs>
          <w:tab w:val="clear" w:pos="284"/>
        </w:tabs>
        <w:adjustRightInd w:val="0"/>
        <w:snapToGrid w:val="0"/>
        <w:ind w:left="360" w:hanging="360"/>
        <w:rPr>
          <w:sz w:val="22"/>
          <w:szCs w:val="22"/>
        </w:rPr>
      </w:pPr>
      <w:r w:rsidRPr="00575764">
        <w:rPr>
          <w:sz w:val="22"/>
          <w:szCs w:val="22"/>
        </w:rPr>
        <w:t xml:space="preserve">Uzzi, B. (1996). The sources and consequences of embeddedness for the economic performance of organizations: The network effect. </w:t>
      </w:r>
      <w:r w:rsidRPr="00575764">
        <w:rPr>
          <w:i/>
          <w:sz w:val="22"/>
          <w:szCs w:val="22"/>
        </w:rPr>
        <w:t>American Sociological Review</w:t>
      </w:r>
      <w:r w:rsidRPr="00575764">
        <w:rPr>
          <w:sz w:val="22"/>
          <w:szCs w:val="22"/>
        </w:rPr>
        <w:t xml:space="preserve">, 674-698. </w:t>
      </w:r>
    </w:p>
    <w:p w14:paraId="4435BA0C" w14:textId="77777777" w:rsidR="00A30A6E" w:rsidRPr="00575764" w:rsidRDefault="00A30A6E" w:rsidP="00F21B59">
      <w:pPr>
        <w:pStyle w:val="EndNoteBibliography"/>
        <w:tabs>
          <w:tab w:val="clear" w:pos="284"/>
        </w:tabs>
        <w:adjustRightInd w:val="0"/>
        <w:snapToGrid w:val="0"/>
        <w:ind w:left="360" w:hanging="360"/>
        <w:rPr>
          <w:sz w:val="22"/>
          <w:szCs w:val="22"/>
        </w:rPr>
      </w:pPr>
      <w:r w:rsidRPr="00575764">
        <w:rPr>
          <w:sz w:val="22"/>
          <w:szCs w:val="22"/>
        </w:rPr>
        <w:t xml:space="preserve">Wooldridge, J. M. (2002). </w:t>
      </w:r>
      <w:r w:rsidRPr="00575764">
        <w:rPr>
          <w:i/>
          <w:sz w:val="22"/>
          <w:szCs w:val="22"/>
        </w:rPr>
        <w:t>Econometric analysis of cross section and panel data</w:t>
      </w:r>
      <w:r w:rsidRPr="00575764">
        <w:rPr>
          <w:sz w:val="22"/>
          <w:szCs w:val="22"/>
        </w:rPr>
        <w:t xml:space="preserve">. MIT press. </w:t>
      </w:r>
    </w:p>
    <w:p w14:paraId="58F3255B" w14:textId="5BFCD709" w:rsidR="00A30A6E" w:rsidRPr="00A30A6E" w:rsidRDefault="00A30A6E" w:rsidP="00F21B59">
      <w:pPr>
        <w:pStyle w:val="EndNoteBibliography"/>
        <w:tabs>
          <w:tab w:val="clear" w:pos="284"/>
        </w:tabs>
        <w:adjustRightInd w:val="0"/>
        <w:snapToGrid w:val="0"/>
        <w:ind w:left="360" w:hanging="360"/>
      </w:pPr>
      <w:r w:rsidRPr="00575764">
        <w:rPr>
          <w:sz w:val="22"/>
          <w:szCs w:val="22"/>
        </w:rPr>
        <w:t xml:space="preserve">Zellner, A., &amp; Theil, H. (1962). Three-stage least squares: Simultaneous estimation of simultaneous equations. </w:t>
      </w:r>
      <w:r w:rsidRPr="00575764">
        <w:rPr>
          <w:i/>
          <w:sz w:val="22"/>
          <w:szCs w:val="22"/>
        </w:rPr>
        <w:t>Econometrica</w:t>
      </w:r>
      <w:r w:rsidRPr="00575764">
        <w:rPr>
          <w:sz w:val="22"/>
          <w:szCs w:val="22"/>
        </w:rPr>
        <w:t>,</w:t>
      </w:r>
      <w:r w:rsidRPr="00575764">
        <w:rPr>
          <w:i/>
          <w:sz w:val="22"/>
          <w:szCs w:val="22"/>
        </w:rPr>
        <w:t xml:space="preserve"> 30</w:t>
      </w:r>
      <w:r w:rsidRPr="00575764">
        <w:rPr>
          <w:sz w:val="22"/>
          <w:szCs w:val="22"/>
        </w:rPr>
        <w:t xml:space="preserve">(1), 54-78. </w:t>
      </w:r>
      <w:hyperlink r:id="rId12" w:history="1">
        <w:r w:rsidRPr="00575764">
          <w:rPr>
            <w:rStyle w:val="Hyperlink"/>
            <w:sz w:val="22"/>
            <w:szCs w:val="22"/>
          </w:rPr>
          <w:t>https://doi.org/10.2307/1911287</w:t>
        </w:r>
      </w:hyperlink>
      <w:r w:rsidRPr="00A30A6E">
        <w:t xml:space="preserve"> </w:t>
      </w:r>
    </w:p>
    <w:p w14:paraId="4FB02512" w14:textId="1B384671" w:rsidR="00A03141" w:rsidRPr="00C1244A" w:rsidRDefault="001C444C" w:rsidP="00F21B59">
      <w:pPr>
        <w:tabs>
          <w:tab w:val="clear" w:pos="284"/>
        </w:tabs>
        <w:adjustRightInd w:val="0"/>
        <w:snapToGrid w:val="0"/>
        <w:spacing w:line="240" w:lineRule="auto"/>
        <w:ind w:left="360" w:hanging="360"/>
        <w:rPr>
          <w:sz w:val="22"/>
          <w:szCs w:val="22"/>
        </w:rPr>
      </w:pPr>
      <w:r w:rsidRPr="00C1244A">
        <w:rPr>
          <w:sz w:val="22"/>
          <w:szCs w:val="22"/>
        </w:rPr>
        <w:fldChar w:fldCharType="end"/>
      </w:r>
    </w:p>
    <w:sectPr w:rsidR="00A03141" w:rsidRPr="00C1244A" w:rsidSect="00AE2750">
      <w:footerReference w:type="default" r:id="rId13"/>
      <w:pgSz w:w="11906" w:h="16838"/>
      <w:pgMar w:top="1440" w:right="1440" w:bottom="1440" w:left="1440" w:header="720" w:footer="720" w:gutter="0"/>
      <w:cols w:space="720"/>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8245311" w14:textId="77777777" w:rsidR="002427FA" w:rsidRDefault="002427FA" w:rsidP="000A09F3">
      <w:pPr>
        <w:spacing w:line="240" w:lineRule="auto"/>
      </w:pPr>
      <w:r>
        <w:separator/>
      </w:r>
    </w:p>
  </w:endnote>
  <w:endnote w:type="continuationSeparator" w:id="0">
    <w:p w14:paraId="3E758305" w14:textId="77777777" w:rsidR="002427FA" w:rsidRDefault="002427FA" w:rsidP="000A09F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DengXian">
    <w:altName w:val="等线"/>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PMingLiU">
    <w:altName w:val="新細明體"/>
    <w:panose1 w:val="02010601000101010101"/>
    <w:charset w:val="88"/>
    <w:family w:val="roman"/>
    <w:pitch w:val="variable"/>
    <w:sig w:usb0="A00002FF" w:usb1="28CFFCFA" w:usb2="00000016" w:usb3="00000000" w:csb0="00100001" w:csb1="00000000"/>
  </w:font>
  <w:font w:name="CG Times (W1)">
    <w:altName w:val="Times New Roman"/>
    <w:panose1 w:val="00000000000000000000"/>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DengXian Light">
    <w:altName w:val="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8010231"/>
      <w:docPartObj>
        <w:docPartGallery w:val="Page Numbers (Bottom of Page)"/>
        <w:docPartUnique/>
      </w:docPartObj>
    </w:sdtPr>
    <w:sdtEndPr>
      <w:rPr>
        <w:noProof/>
      </w:rPr>
    </w:sdtEndPr>
    <w:sdtContent>
      <w:p w14:paraId="3CD606EB" w14:textId="5DF45303" w:rsidR="000A09F3" w:rsidRDefault="000A09F3">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2629A82F" w14:textId="77777777" w:rsidR="000A09F3" w:rsidRDefault="000A09F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4ABEF6C" w14:textId="77777777" w:rsidR="002427FA" w:rsidRDefault="002427FA" w:rsidP="000A09F3">
      <w:pPr>
        <w:spacing w:line="240" w:lineRule="auto"/>
      </w:pPr>
      <w:r>
        <w:separator/>
      </w:r>
    </w:p>
  </w:footnote>
  <w:footnote w:type="continuationSeparator" w:id="0">
    <w:p w14:paraId="1237F5FD" w14:textId="77777777" w:rsidR="002427FA" w:rsidRDefault="002427FA" w:rsidP="000A09F3">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APA 7th&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9w0szxwprfdzvge5s9gpzdt6pe959zzt5vpt&quot;&gt;ReferenceLibrary&lt;record-ids&gt;&lt;item&gt;9&lt;/item&gt;&lt;item&gt;24&lt;/item&gt;&lt;item&gt;27&lt;/item&gt;&lt;item&gt;98&lt;/item&gt;&lt;item&gt;257&lt;/item&gt;&lt;item&gt;280&lt;/item&gt;&lt;item&gt;307&lt;/item&gt;&lt;item&gt;311&lt;/item&gt;&lt;item&gt;330&lt;/item&gt;&lt;item&gt;331&lt;/item&gt;&lt;item&gt;362&lt;/item&gt;&lt;item&gt;435&lt;/item&gt;&lt;item&gt;569&lt;/item&gt;&lt;item&gt;591&lt;/item&gt;&lt;item&gt;705&lt;/item&gt;&lt;item&gt;765&lt;/item&gt;&lt;item&gt;766&lt;/item&gt;&lt;item&gt;798&lt;/item&gt;&lt;item&gt;863&lt;/item&gt;&lt;item&gt;890&lt;/item&gt;&lt;item&gt;1989&lt;/item&gt;&lt;item&gt;1991&lt;/item&gt;&lt;/record-ids&gt;&lt;/item&gt;&lt;/Libraries&gt;"/>
  </w:docVars>
  <w:rsids>
    <w:rsidRoot w:val="001C444C"/>
    <w:rsid w:val="00010F97"/>
    <w:rsid w:val="00021C6A"/>
    <w:rsid w:val="0003720D"/>
    <w:rsid w:val="000A05D8"/>
    <w:rsid w:val="000A09F3"/>
    <w:rsid w:val="00117420"/>
    <w:rsid w:val="00123893"/>
    <w:rsid w:val="00125952"/>
    <w:rsid w:val="001646A9"/>
    <w:rsid w:val="00170020"/>
    <w:rsid w:val="001C444C"/>
    <w:rsid w:val="002001FC"/>
    <w:rsid w:val="002427FA"/>
    <w:rsid w:val="00285D13"/>
    <w:rsid w:val="002A356E"/>
    <w:rsid w:val="002E78A9"/>
    <w:rsid w:val="002E78CB"/>
    <w:rsid w:val="00303AFE"/>
    <w:rsid w:val="00335378"/>
    <w:rsid w:val="00342FEA"/>
    <w:rsid w:val="003C7388"/>
    <w:rsid w:val="003E5320"/>
    <w:rsid w:val="003F6F50"/>
    <w:rsid w:val="00426B0E"/>
    <w:rsid w:val="0043271D"/>
    <w:rsid w:val="00462726"/>
    <w:rsid w:val="00494505"/>
    <w:rsid w:val="004E177F"/>
    <w:rsid w:val="00516656"/>
    <w:rsid w:val="00523E9A"/>
    <w:rsid w:val="00543937"/>
    <w:rsid w:val="00575764"/>
    <w:rsid w:val="005B12D7"/>
    <w:rsid w:val="005C0473"/>
    <w:rsid w:val="005D50C4"/>
    <w:rsid w:val="005E3CEB"/>
    <w:rsid w:val="00627D50"/>
    <w:rsid w:val="00661748"/>
    <w:rsid w:val="00672B85"/>
    <w:rsid w:val="00683FCF"/>
    <w:rsid w:val="006B40F6"/>
    <w:rsid w:val="006D2950"/>
    <w:rsid w:val="006D2E9F"/>
    <w:rsid w:val="006E384D"/>
    <w:rsid w:val="006E743E"/>
    <w:rsid w:val="00700EE7"/>
    <w:rsid w:val="007E6FB9"/>
    <w:rsid w:val="008528E0"/>
    <w:rsid w:val="008A733A"/>
    <w:rsid w:val="008B110C"/>
    <w:rsid w:val="008D1F5E"/>
    <w:rsid w:val="008E222C"/>
    <w:rsid w:val="00902A38"/>
    <w:rsid w:val="00960DE9"/>
    <w:rsid w:val="009A6CBA"/>
    <w:rsid w:val="00A03141"/>
    <w:rsid w:val="00A07E69"/>
    <w:rsid w:val="00A30A6E"/>
    <w:rsid w:val="00A33288"/>
    <w:rsid w:val="00A41126"/>
    <w:rsid w:val="00A503AD"/>
    <w:rsid w:val="00A610FA"/>
    <w:rsid w:val="00AA292C"/>
    <w:rsid w:val="00AE2750"/>
    <w:rsid w:val="00AF4D1B"/>
    <w:rsid w:val="00B0760E"/>
    <w:rsid w:val="00B32E7B"/>
    <w:rsid w:val="00B55478"/>
    <w:rsid w:val="00B5550A"/>
    <w:rsid w:val="00B81E22"/>
    <w:rsid w:val="00BA5A9D"/>
    <w:rsid w:val="00BA6AF6"/>
    <w:rsid w:val="00C11B86"/>
    <w:rsid w:val="00C1244A"/>
    <w:rsid w:val="00C974D6"/>
    <w:rsid w:val="00CC0E8F"/>
    <w:rsid w:val="00CC779D"/>
    <w:rsid w:val="00D37674"/>
    <w:rsid w:val="00DC1438"/>
    <w:rsid w:val="00DD467E"/>
    <w:rsid w:val="00DF67CC"/>
    <w:rsid w:val="00F21B59"/>
    <w:rsid w:val="00F429F1"/>
    <w:rsid w:val="00F43C4D"/>
    <w:rsid w:val="00F5001A"/>
    <w:rsid w:val="00F5474C"/>
    <w:rsid w:val="00F57079"/>
    <w:rsid w:val="00F83544"/>
    <w:rsid w:val="00F92327"/>
    <w:rsid w:val="00FA4FD9"/>
    <w:rsid w:val="00FB501C"/>
    <w:rsid w:val="00FE3E3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65821B5"/>
  <w15:chartTrackingRefBased/>
  <w15:docId w15:val="{7A460411-4C6F-478B-82F9-7AA681B441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C444C"/>
    <w:pPr>
      <w:tabs>
        <w:tab w:val="left" w:pos="284"/>
      </w:tabs>
      <w:spacing w:line="480" w:lineRule="auto"/>
      <w:ind w:firstLine="284"/>
      <w:jc w:val="both"/>
    </w:pPr>
    <w:rPr>
      <w:rFonts w:ascii="Times New Roman" w:eastAsia="MS Mincho" w:hAnsi="Times New Roman" w:cs="Times New Roman"/>
      <w:kern w:val="24"/>
      <w:sz w:val="24"/>
      <w:szCs w:val="24"/>
      <w:lang w:val="de-DE" w:eastAsia="de-D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1C444C"/>
    <w:pPr>
      <w:tabs>
        <w:tab w:val="clear" w:pos="284"/>
      </w:tabs>
      <w:spacing w:after="120" w:line="240" w:lineRule="auto"/>
      <w:ind w:firstLine="0"/>
      <w:jc w:val="left"/>
    </w:pPr>
    <w:rPr>
      <w:rFonts w:eastAsia="Times New Roman"/>
      <w:kern w:val="0"/>
      <w:szCs w:val="22"/>
    </w:rPr>
  </w:style>
  <w:style w:type="character" w:customStyle="1" w:styleId="BodyTextChar">
    <w:name w:val="Body Text Char"/>
    <w:basedOn w:val="DefaultParagraphFont"/>
    <w:link w:val="BodyText"/>
    <w:rsid w:val="001C444C"/>
    <w:rPr>
      <w:rFonts w:ascii="Times New Roman" w:eastAsia="Times New Roman" w:hAnsi="Times New Roman" w:cs="Times New Roman"/>
      <w:kern w:val="0"/>
      <w:sz w:val="24"/>
      <w:lang w:val="de-DE" w:eastAsia="de-DE"/>
    </w:rPr>
  </w:style>
  <w:style w:type="paragraph" w:styleId="BodyTextIndent">
    <w:name w:val="Body Text Indent"/>
    <w:basedOn w:val="Normal"/>
    <w:link w:val="BodyTextIndentChar1"/>
    <w:uiPriority w:val="99"/>
    <w:unhideWhenUsed/>
    <w:rsid w:val="001C444C"/>
    <w:pPr>
      <w:spacing w:after="120"/>
      <w:ind w:left="283"/>
    </w:pPr>
  </w:style>
  <w:style w:type="character" w:customStyle="1" w:styleId="BodyTextIndentChar">
    <w:name w:val="Body Text Indent Char"/>
    <w:basedOn w:val="DefaultParagraphFont"/>
    <w:uiPriority w:val="99"/>
    <w:semiHidden/>
    <w:rsid w:val="001C444C"/>
    <w:rPr>
      <w:rFonts w:ascii="Times New Roman" w:eastAsia="MS Mincho" w:hAnsi="Times New Roman" w:cs="Times New Roman"/>
      <w:kern w:val="24"/>
      <w:sz w:val="24"/>
      <w:szCs w:val="24"/>
      <w:lang w:val="de-DE" w:eastAsia="de-DE"/>
    </w:rPr>
  </w:style>
  <w:style w:type="character" w:customStyle="1" w:styleId="BodyTextIndentChar1">
    <w:name w:val="Body Text Indent Char1"/>
    <w:basedOn w:val="DefaultParagraphFont"/>
    <w:link w:val="BodyTextIndent"/>
    <w:uiPriority w:val="99"/>
    <w:rsid w:val="001C444C"/>
    <w:rPr>
      <w:rFonts w:ascii="Times New Roman" w:eastAsia="MS Mincho" w:hAnsi="Times New Roman" w:cs="Times New Roman"/>
      <w:kern w:val="24"/>
      <w:sz w:val="24"/>
      <w:szCs w:val="24"/>
      <w:lang w:val="de-DE" w:eastAsia="de-DE"/>
    </w:rPr>
  </w:style>
  <w:style w:type="paragraph" w:customStyle="1" w:styleId="EndNoteBibliographyTitle">
    <w:name w:val="EndNote Bibliography Title"/>
    <w:basedOn w:val="Normal"/>
    <w:link w:val="EndNoteBibliographyTitleChar"/>
    <w:rsid w:val="001C444C"/>
    <w:pPr>
      <w:jc w:val="center"/>
    </w:pPr>
    <w:rPr>
      <w:noProof/>
    </w:rPr>
  </w:style>
  <w:style w:type="character" w:customStyle="1" w:styleId="EndNoteBibliographyTitleChar">
    <w:name w:val="EndNote Bibliography Title Char"/>
    <w:basedOn w:val="DefaultParagraphFont"/>
    <w:link w:val="EndNoteBibliographyTitle"/>
    <w:rsid w:val="001C444C"/>
    <w:rPr>
      <w:rFonts w:ascii="Times New Roman" w:eastAsia="MS Mincho" w:hAnsi="Times New Roman" w:cs="Times New Roman"/>
      <w:noProof/>
      <w:kern w:val="24"/>
      <w:sz w:val="24"/>
      <w:szCs w:val="24"/>
      <w:lang w:val="de-DE" w:eastAsia="de-DE"/>
    </w:rPr>
  </w:style>
  <w:style w:type="paragraph" w:customStyle="1" w:styleId="EndNoteBibliography">
    <w:name w:val="EndNote Bibliography"/>
    <w:basedOn w:val="Normal"/>
    <w:link w:val="EndNoteBibliographyChar"/>
    <w:rsid w:val="001C444C"/>
    <w:pPr>
      <w:spacing w:line="240" w:lineRule="auto"/>
    </w:pPr>
    <w:rPr>
      <w:noProof/>
    </w:rPr>
  </w:style>
  <w:style w:type="character" w:customStyle="1" w:styleId="EndNoteBibliographyChar">
    <w:name w:val="EndNote Bibliography Char"/>
    <w:basedOn w:val="DefaultParagraphFont"/>
    <w:link w:val="EndNoteBibliography"/>
    <w:rsid w:val="001C444C"/>
    <w:rPr>
      <w:rFonts w:ascii="Times New Roman" w:eastAsia="MS Mincho" w:hAnsi="Times New Roman" w:cs="Times New Roman"/>
      <w:noProof/>
      <w:kern w:val="24"/>
      <w:sz w:val="24"/>
      <w:szCs w:val="24"/>
      <w:lang w:val="de-DE" w:eastAsia="de-DE"/>
    </w:rPr>
  </w:style>
  <w:style w:type="character" w:styleId="Hyperlink">
    <w:name w:val="Hyperlink"/>
    <w:basedOn w:val="DefaultParagraphFont"/>
    <w:uiPriority w:val="99"/>
    <w:unhideWhenUsed/>
    <w:rsid w:val="001C444C"/>
    <w:rPr>
      <w:color w:val="0563C1" w:themeColor="hyperlink"/>
      <w:u w:val="single"/>
    </w:rPr>
  </w:style>
  <w:style w:type="character" w:styleId="UnresolvedMention">
    <w:name w:val="Unresolved Mention"/>
    <w:basedOn w:val="DefaultParagraphFont"/>
    <w:uiPriority w:val="99"/>
    <w:semiHidden/>
    <w:unhideWhenUsed/>
    <w:rsid w:val="001C444C"/>
    <w:rPr>
      <w:color w:val="605E5C"/>
      <w:shd w:val="clear" w:color="auto" w:fill="E1DFDD"/>
    </w:rPr>
  </w:style>
  <w:style w:type="paragraph" w:styleId="Revision">
    <w:name w:val="Revision"/>
    <w:hidden/>
    <w:uiPriority w:val="99"/>
    <w:semiHidden/>
    <w:rsid w:val="00C974D6"/>
    <w:rPr>
      <w:rFonts w:ascii="Times New Roman" w:eastAsia="MS Mincho" w:hAnsi="Times New Roman" w:cs="Times New Roman"/>
      <w:kern w:val="24"/>
      <w:sz w:val="24"/>
      <w:szCs w:val="24"/>
      <w:lang w:val="de-DE" w:eastAsia="de-DE"/>
    </w:rPr>
  </w:style>
  <w:style w:type="paragraph" w:styleId="Header">
    <w:name w:val="header"/>
    <w:basedOn w:val="Normal"/>
    <w:link w:val="HeaderChar"/>
    <w:uiPriority w:val="99"/>
    <w:unhideWhenUsed/>
    <w:rsid w:val="000A09F3"/>
    <w:pPr>
      <w:tabs>
        <w:tab w:val="clear" w:pos="284"/>
        <w:tab w:val="center" w:pos="4680"/>
        <w:tab w:val="right" w:pos="9360"/>
      </w:tabs>
      <w:spacing w:line="240" w:lineRule="auto"/>
    </w:pPr>
  </w:style>
  <w:style w:type="character" w:customStyle="1" w:styleId="HeaderChar">
    <w:name w:val="Header Char"/>
    <w:basedOn w:val="DefaultParagraphFont"/>
    <w:link w:val="Header"/>
    <w:uiPriority w:val="99"/>
    <w:rsid w:val="000A09F3"/>
    <w:rPr>
      <w:rFonts w:ascii="Times New Roman" w:eastAsia="MS Mincho" w:hAnsi="Times New Roman" w:cs="Times New Roman"/>
      <w:kern w:val="24"/>
      <w:sz w:val="24"/>
      <w:szCs w:val="24"/>
      <w:lang w:val="de-DE" w:eastAsia="de-DE"/>
    </w:rPr>
  </w:style>
  <w:style w:type="paragraph" w:styleId="Footer">
    <w:name w:val="footer"/>
    <w:basedOn w:val="Normal"/>
    <w:link w:val="FooterChar"/>
    <w:uiPriority w:val="99"/>
    <w:unhideWhenUsed/>
    <w:rsid w:val="000A09F3"/>
    <w:pPr>
      <w:tabs>
        <w:tab w:val="clear" w:pos="284"/>
        <w:tab w:val="center" w:pos="4680"/>
        <w:tab w:val="right" w:pos="9360"/>
      </w:tabs>
      <w:spacing w:line="240" w:lineRule="auto"/>
    </w:pPr>
  </w:style>
  <w:style w:type="character" w:customStyle="1" w:styleId="FooterChar">
    <w:name w:val="Footer Char"/>
    <w:basedOn w:val="DefaultParagraphFont"/>
    <w:link w:val="Footer"/>
    <w:uiPriority w:val="99"/>
    <w:rsid w:val="000A09F3"/>
    <w:rPr>
      <w:rFonts w:ascii="Times New Roman" w:eastAsia="MS Mincho" w:hAnsi="Times New Roman" w:cs="Times New Roman"/>
      <w:kern w:val="24"/>
      <w:sz w:val="24"/>
      <w:szCs w:val="24"/>
      <w:lang w:val="de-DE"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hyperlink" Target="https://doi.org/10.2307/1911287"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public.kenan-flagler.unc.edu/faculty/edwardsj/ModeratedPolynomialRegression.htm"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emf"/><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EA5AFCE-15EE-43F4-8BAE-12A275E5EE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14</Pages>
  <Words>3025</Words>
  <Characters>16085</Characters>
  <Application>Microsoft Office Word</Application>
  <DocSecurity>0</DocSecurity>
  <Lines>272</Lines>
  <Paragraphs>70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19154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Antony Paulraj</dc:creator>
  <cp:keywords/>
  <dc:description/>
  <cp:lastModifiedBy>Antony Paulraj</cp:lastModifiedBy>
  <cp:revision>4</cp:revision>
  <dcterms:created xsi:type="dcterms:W3CDTF">2025-06-22T18:33:00Z</dcterms:created>
  <dcterms:modified xsi:type="dcterms:W3CDTF">2025-06-22T18:52:00Z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c31eb7bf770a79d296b37a9580a1c21496419188a3ef846269b5343dfa5743ef</vt:lpwstr>
  </property>
</Properties>
</file>