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726DF7A" w14:textId="5CCCBCB1" w:rsidR="00986A37" w:rsidRPr="005863D9" w:rsidRDefault="00986A37" w:rsidP="00986A37">
      <w:pPr>
        <w:pStyle w:val="Body"/>
        <w:jc w:val="center"/>
        <w:rPr>
          <w:b/>
          <w:bCs/>
          <w:sz w:val="32"/>
          <w:szCs w:val="32"/>
        </w:rPr>
      </w:pPr>
      <w:r w:rsidRPr="005863D9">
        <w:rPr>
          <w:b/>
          <w:bCs/>
          <w:sz w:val="32"/>
          <w:szCs w:val="32"/>
        </w:rPr>
        <w:t>Supporting Information for</w:t>
      </w:r>
    </w:p>
    <w:p w14:paraId="64FEE40F" w14:textId="07DBD27E" w:rsidR="00986A37" w:rsidRPr="005863D9" w:rsidRDefault="00986A37" w:rsidP="00986A37">
      <w:pPr>
        <w:pStyle w:val="Body"/>
        <w:jc w:val="center"/>
        <w:rPr>
          <w:b/>
          <w:bCs/>
          <w:sz w:val="32"/>
          <w:szCs w:val="32"/>
        </w:rPr>
      </w:pPr>
      <w:r w:rsidRPr="005863D9">
        <w:rPr>
          <w:b/>
          <w:bCs/>
          <w:sz w:val="32"/>
          <w:szCs w:val="32"/>
        </w:rPr>
        <w:t>Structure and dynamics of confined water in naphthalene-</w:t>
      </w:r>
      <w:proofErr w:type="spellStart"/>
      <w:r w:rsidRPr="005863D9">
        <w:rPr>
          <w:b/>
          <w:bCs/>
          <w:sz w:val="32"/>
          <w:szCs w:val="32"/>
        </w:rPr>
        <w:t>diimide</w:t>
      </w:r>
      <w:proofErr w:type="spellEnd"/>
      <w:r w:rsidRPr="005863D9">
        <w:rPr>
          <w:b/>
          <w:bCs/>
          <w:sz w:val="32"/>
          <w:szCs w:val="32"/>
        </w:rPr>
        <w:t xml:space="preserve"> based molecular crystals</w:t>
      </w:r>
    </w:p>
    <w:p w14:paraId="217FF323" w14:textId="77777777" w:rsidR="00986A37" w:rsidRPr="005863D9" w:rsidRDefault="00986A37" w:rsidP="00986A37">
      <w:pPr>
        <w:pStyle w:val="Body"/>
        <w:jc w:val="both"/>
      </w:pPr>
    </w:p>
    <w:p w14:paraId="449F3778" w14:textId="626F29BB" w:rsidR="00986A37" w:rsidRPr="005863D9" w:rsidRDefault="00986A37" w:rsidP="00986A37">
      <w:pPr>
        <w:pStyle w:val="Body"/>
        <w:jc w:val="both"/>
        <w:rPr>
          <w:lang w:val="it-IT"/>
        </w:rPr>
      </w:pPr>
      <w:r w:rsidRPr="005863D9">
        <w:rPr>
          <w:lang w:val="it-IT"/>
        </w:rPr>
        <w:t xml:space="preserve">Filippo Tommaso </w:t>
      </w:r>
      <w:proofErr w:type="spellStart"/>
      <w:r w:rsidRPr="005863D9">
        <w:rPr>
          <w:lang w:val="it-IT"/>
        </w:rPr>
        <w:t>Garattoni</w:t>
      </w:r>
      <w:r w:rsidRPr="005863D9">
        <w:rPr>
          <w:vertAlign w:val="superscript"/>
          <w:lang w:val="it-IT"/>
        </w:rPr>
        <w:t>a</w:t>
      </w:r>
      <w:proofErr w:type="spellEnd"/>
      <w:r w:rsidRPr="005863D9">
        <w:rPr>
          <w:vertAlign w:val="superscript"/>
          <w:lang w:val="it-IT"/>
        </w:rPr>
        <w:t>$</w:t>
      </w:r>
      <w:r w:rsidRPr="005863D9">
        <w:rPr>
          <w:lang w:val="it-IT"/>
        </w:rPr>
        <w:t xml:space="preserve">, Marco </w:t>
      </w:r>
      <w:proofErr w:type="spellStart"/>
      <w:r w:rsidRPr="005863D9">
        <w:rPr>
          <w:lang w:val="it-IT"/>
        </w:rPr>
        <w:t>Severi</w:t>
      </w:r>
      <w:r w:rsidRPr="005863D9">
        <w:rPr>
          <w:vertAlign w:val="superscript"/>
          <w:lang w:val="it-IT"/>
        </w:rPr>
        <w:t>a</w:t>
      </w:r>
      <w:proofErr w:type="spellEnd"/>
      <w:r w:rsidRPr="005863D9">
        <w:rPr>
          <w:vertAlign w:val="superscript"/>
          <w:lang w:val="it-IT"/>
        </w:rPr>
        <w:t>$</w:t>
      </w:r>
      <w:r w:rsidRPr="005863D9">
        <w:rPr>
          <w:lang w:val="it-IT"/>
        </w:rPr>
        <w:t xml:space="preserve">, Gabriele </w:t>
      </w:r>
      <w:proofErr w:type="spellStart"/>
      <w:r w:rsidRPr="005863D9">
        <w:rPr>
          <w:lang w:val="it-IT"/>
        </w:rPr>
        <w:t>Amante</w:t>
      </w:r>
      <w:r w:rsidRPr="005863D9">
        <w:rPr>
          <w:vertAlign w:val="superscript"/>
          <w:lang w:val="it-IT"/>
        </w:rPr>
        <w:t>b</w:t>
      </w:r>
      <w:proofErr w:type="spellEnd"/>
      <w:r w:rsidRPr="005863D9">
        <w:rPr>
          <w:lang w:val="it-IT"/>
        </w:rPr>
        <w:t xml:space="preserve">, Christian B. </w:t>
      </w:r>
      <w:proofErr w:type="spellStart"/>
      <w:r w:rsidRPr="005863D9">
        <w:rPr>
          <w:lang w:val="it-IT"/>
        </w:rPr>
        <w:t>Nielsen</w:t>
      </w:r>
      <w:r w:rsidRPr="005863D9">
        <w:rPr>
          <w:vertAlign w:val="superscript"/>
          <w:lang w:val="it-IT"/>
        </w:rPr>
        <w:t>c</w:t>
      </w:r>
      <w:proofErr w:type="spellEnd"/>
      <w:r w:rsidRPr="005863D9">
        <w:rPr>
          <w:lang w:val="it-IT"/>
        </w:rPr>
        <w:t xml:space="preserve">, Giuseppe </w:t>
      </w:r>
      <w:proofErr w:type="spellStart"/>
      <w:r w:rsidRPr="005863D9">
        <w:rPr>
          <w:lang w:val="it-IT"/>
        </w:rPr>
        <w:t>Cassone</w:t>
      </w:r>
      <w:r w:rsidRPr="005863D9">
        <w:rPr>
          <w:vertAlign w:val="superscript"/>
          <w:lang w:val="it-IT"/>
        </w:rPr>
        <w:t>b</w:t>
      </w:r>
      <w:proofErr w:type="spellEnd"/>
      <w:r w:rsidRPr="005863D9">
        <w:rPr>
          <w:lang w:val="it-IT"/>
        </w:rPr>
        <w:t xml:space="preserve">, Daniele </w:t>
      </w:r>
      <w:proofErr w:type="spellStart"/>
      <w:r w:rsidRPr="005863D9">
        <w:rPr>
          <w:lang w:val="it-IT"/>
        </w:rPr>
        <w:t>Fazzi</w:t>
      </w:r>
      <w:r w:rsidRPr="005863D9">
        <w:rPr>
          <w:vertAlign w:val="superscript"/>
          <w:lang w:val="it-IT"/>
        </w:rPr>
        <w:t>a</w:t>
      </w:r>
      <w:proofErr w:type="spellEnd"/>
    </w:p>
    <w:p w14:paraId="2B1FC173" w14:textId="77777777" w:rsidR="00986A37" w:rsidRPr="005863D9" w:rsidRDefault="00986A37" w:rsidP="00986A37">
      <w:pPr>
        <w:pStyle w:val="Body"/>
        <w:spacing w:after="0" w:line="240" w:lineRule="auto"/>
        <w:jc w:val="both"/>
        <w:rPr>
          <w:lang w:val="it-IT"/>
        </w:rPr>
      </w:pPr>
      <w:r w:rsidRPr="005863D9">
        <w:rPr>
          <w:lang w:val="it-IT"/>
        </w:rPr>
        <w:t xml:space="preserve">a) Department of </w:t>
      </w:r>
      <w:proofErr w:type="spellStart"/>
      <w:r w:rsidRPr="005863D9">
        <w:rPr>
          <w:lang w:val="it-IT"/>
        </w:rPr>
        <w:t>Chemistry</w:t>
      </w:r>
      <w:proofErr w:type="spellEnd"/>
      <w:r w:rsidRPr="005863D9">
        <w:rPr>
          <w:lang w:val="it-IT"/>
        </w:rPr>
        <w:t xml:space="preserve"> ‘‘Giacomo </w:t>
      </w:r>
      <w:proofErr w:type="spellStart"/>
      <w:r w:rsidRPr="005863D9">
        <w:rPr>
          <w:lang w:val="it-IT"/>
        </w:rPr>
        <w:t>Ciamician</w:t>
      </w:r>
      <w:proofErr w:type="spellEnd"/>
      <w:r w:rsidRPr="005863D9">
        <w:rPr>
          <w:lang w:val="it-IT"/>
        </w:rPr>
        <w:t xml:space="preserve">’’, University of Bologna, via Piero Gobetti 85, 40129, Bologna, </w:t>
      </w:r>
      <w:proofErr w:type="spellStart"/>
      <w:r w:rsidRPr="005863D9">
        <w:rPr>
          <w:lang w:val="it-IT"/>
        </w:rPr>
        <w:t>Italy</w:t>
      </w:r>
      <w:proofErr w:type="spellEnd"/>
      <w:r w:rsidRPr="005863D9">
        <w:rPr>
          <w:lang w:val="it-IT"/>
        </w:rPr>
        <w:t>.</w:t>
      </w:r>
    </w:p>
    <w:p w14:paraId="7C4D1DDC" w14:textId="77777777" w:rsidR="00986A37" w:rsidRPr="005863D9" w:rsidRDefault="00986A37" w:rsidP="00986A37">
      <w:pPr>
        <w:pStyle w:val="Body"/>
        <w:spacing w:after="0" w:line="240" w:lineRule="auto"/>
        <w:jc w:val="both"/>
      </w:pPr>
      <w:r w:rsidRPr="005863D9">
        <w:t xml:space="preserve">b) Institute for Chemical-Physical </w:t>
      </w:r>
      <w:proofErr w:type="gramStart"/>
      <w:r w:rsidRPr="005863D9">
        <w:t>Processes ,</w:t>
      </w:r>
      <w:proofErr w:type="gramEnd"/>
      <w:r w:rsidRPr="005863D9">
        <w:t xml:space="preserve"> National Research Council of Italy, </w:t>
      </w:r>
      <w:proofErr w:type="spellStart"/>
      <w:r w:rsidRPr="005863D9">
        <w:t>viale</w:t>
      </w:r>
      <w:proofErr w:type="spellEnd"/>
      <w:r w:rsidRPr="005863D9">
        <w:t xml:space="preserve"> Ferdinando Stagno </w:t>
      </w:r>
      <w:proofErr w:type="spellStart"/>
      <w:r w:rsidRPr="005863D9">
        <w:t>d'Alcontres</w:t>
      </w:r>
      <w:proofErr w:type="spellEnd"/>
      <w:r w:rsidRPr="005863D9">
        <w:t xml:space="preserve"> 37, 98158 Messina, Italy.</w:t>
      </w:r>
    </w:p>
    <w:p w14:paraId="357F6CE5" w14:textId="77777777" w:rsidR="00986A37" w:rsidRPr="005863D9" w:rsidRDefault="00986A37" w:rsidP="00986A37">
      <w:pPr>
        <w:pStyle w:val="Body"/>
        <w:spacing w:after="0" w:line="240" w:lineRule="auto"/>
        <w:jc w:val="both"/>
      </w:pPr>
      <w:r w:rsidRPr="005863D9">
        <w:t>c) Department of Chemistry, Queen Mary University of London, Mile End Road, London, E1 4NS, UK.</w:t>
      </w:r>
    </w:p>
    <w:p w14:paraId="6F668E2F" w14:textId="77777777" w:rsidR="002D3DD8" w:rsidRPr="005863D9" w:rsidRDefault="002D3DD8" w:rsidP="002D3DD8">
      <w:pPr>
        <w:pStyle w:val="Body"/>
        <w:spacing w:after="0" w:line="240" w:lineRule="auto"/>
        <w:jc w:val="both"/>
        <w:rPr>
          <w:vertAlign w:val="superscript"/>
          <w:lang w:val="en-GB"/>
        </w:rPr>
      </w:pPr>
    </w:p>
    <w:p w14:paraId="607005A1" w14:textId="759850F4" w:rsidR="002D3DD8" w:rsidRPr="005863D9" w:rsidRDefault="002D3DD8" w:rsidP="002D3DD8">
      <w:pPr>
        <w:pStyle w:val="Body"/>
        <w:spacing w:after="0" w:line="240" w:lineRule="auto"/>
        <w:jc w:val="both"/>
        <w:rPr>
          <w:lang w:val="en-GB"/>
        </w:rPr>
      </w:pPr>
      <w:r w:rsidRPr="005863D9">
        <w:rPr>
          <w:vertAlign w:val="superscript"/>
          <w:lang w:val="en-GB"/>
        </w:rPr>
        <w:t>$</w:t>
      </w:r>
      <w:r w:rsidRPr="005863D9">
        <w:rPr>
          <w:lang w:val="en-GB"/>
        </w:rPr>
        <w:t>Equal contribution to the work.</w:t>
      </w:r>
    </w:p>
    <w:p w14:paraId="0E00A4F0" w14:textId="77777777" w:rsidR="00986A37" w:rsidRPr="005863D9" w:rsidRDefault="00986A37" w:rsidP="00AD47F2">
      <w:pPr>
        <w:rPr>
          <w:b/>
          <w:bCs/>
          <w:lang w:val="en-GB"/>
        </w:rPr>
      </w:pPr>
    </w:p>
    <w:sdt>
      <w:sdtPr>
        <w:rPr>
          <w:rFonts w:asciiTheme="minorHAnsi" w:eastAsiaTheme="minorHAnsi" w:hAnsiTheme="minorHAnsi" w:cstheme="minorBidi"/>
          <w:color w:val="auto"/>
          <w:kern w:val="2"/>
          <w:sz w:val="24"/>
          <w:szCs w:val="24"/>
          <w:lang w:eastAsia="en-US"/>
          <w14:ligatures w14:val="standardContextual"/>
        </w:rPr>
        <w:id w:val="408432501"/>
        <w:docPartObj>
          <w:docPartGallery w:val="Table of Contents"/>
          <w:docPartUnique/>
        </w:docPartObj>
      </w:sdtPr>
      <w:sdtEndPr>
        <w:rPr>
          <w:b/>
          <w:bCs/>
        </w:rPr>
      </w:sdtEndPr>
      <w:sdtContent>
        <w:p w14:paraId="0950889B" w14:textId="5A3AD740" w:rsidR="00D87970" w:rsidRPr="005863D9" w:rsidRDefault="00D87970">
          <w:pPr>
            <w:pStyle w:val="TOCHeading"/>
          </w:pPr>
        </w:p>
        <w:p w14:paraId="272568F0" w14:textId="7A60AE7D" w:rsidR="003F4534" w:rsidRPr="005863D9" w:rsidRDefault="00D87970">
          <w:pPr>
            <w:pStyle w:val="TOC1"/>
            <w:tabs>
              <w:tab w:val="right" w:leader="dot" w:pos="9628"/>
            </w:tabs>
            <w:rPr>
              <w:rFonts w:eastAsiaTheme="minorEastAsia"/>
              <w:noProof/>
              <w:lang w:val="en-IT" w:eastAsia="en-GB"/>
            </w:rPr>
          </w:pPr>
          <w:r w:rsidRPr="005863D9">
            <w:fldChar w:fldCharType="begin"/>
          </w:r>
          <w:r w:rsidRPr="005863D9">
            <w:instrText xml:space="preserve"> TOC \o "1-3" \h \z \u </w:instrText>
          </w:r>
          <w:r w:rsidRPr="005863D9">
            <w:fldChar w:fldCharType="separate"/>
          </w:r>
          <w:hyperlink w:anchor="_Toc222389117" w:history="1">
            <w:r w:rsidR="003F4534" w:rsidRPr="005863D9">
              <w:rPr>
                <w:rStyle w:val="Hyperlink"/>
                <w:b/>
                <w:bCs/>
                <w:noProof/>
              </w:rPr>
              <w:t>Supplementary analyses</w:t>
            </w:r>
            <w:r w:rsidR="003F4534" w:rsidRPr="005863D9">
              <w:rPr>
                <w:noProof/>
                <w:webHidden/>
              </w:rPr>
              <w:tab/>
            </w:r>
            <w:r w:rsidR="003F4534" w:rsidRPr="005863D9">
              <w:rPr>
                <w:noProof/>
                <w:webHidden/>
              </w:rPr>
              <w:fldChar w:fldCharType="begin"/>
            </w:r>
            <w:r w:rsidR="003F4534" w:rsidRPr="005863D9">
              <w:rPr>
                <w:noProof/>
                <w:webHidden/>
              </w:rPr>
              <w:instrText xml:space="preserve"> PAGEREF _Toc222389117 \h </w:instrText>
            </w:r>
            <w:r w:rsidR="003F4534" w:rsidRPr="005863D9">
              <w:rPr>
                <w:noProof/>
                <w:webHidden/>
              </w:rPr>
            </w:r>
            <w:r w:rsidR="003F4534" w:rsidRPr="005863D9">
              <w:rPr>
                <w:noProof/>
                <w:webHidden/>
              </w:rPr>
              <w:fldChar w:fldCharType="separate"/>
            </w:r>
            <w:r w:rsidR="003F4534" w:rsidRPr="005863D9">
              <w:rPr>
                <w:noProof/>
                <w:webHidden/>
              </w:rPr>
              <w:t>2</w:t>
            </w:r>
            <w:r w:rsidR="003F4534" w:rsidRPr="005863D9">
              <w:rPr>
                <w:noProof/>
                <w:webHidden/>
              </w:rPr>
              <w:fldChar w:fldCharType="end"/>
            </w:r>
          </w:hyperlink>
        </w:p>
        <w:p w14:paraId="6137991A" w14:textId="75A0878D" w:rsidR="003F4534" w:rsidRPr="005863D9" w:rsidRDefault="003F4534">
          <w:pPr>
            <w:pStyle w:val="TOC1"/>
            <w:tabs>
              <w:tab w:val="right" w:leader="dot" w:pos="9628"/>
            </w:tabs>
            <w:rPr>
              <w:rFonts w:eastAsiaTheme="minorEastAsia"/>
              <w:noProof/>
              <w:lang w:val="en-IT" w:eastAsia="en-GB"/>
            </w:rPr>
          </w:pPr>
          <w:hyperlink w:anchor="_Toc222389118" w:history="1">
            <w:r w:rsidRPr="005863D9">
              <w:rPr>
                <w:rStyle w:val="Hyperlink"/>
                <w:b/>
                <w:bCs/>
                <w:noProof/>
              </w:rPr>
              <w:t>Simulation Details</w:t>
            </w:r>
            <w:r w:rsidRPr="005863D9">
              <w:rPr>
                <w:noProof/>
                <w:webHidden/>
              </w:rPr>
              <w:tab/>
            </w:r>
            <w:r w:rsidRPr="005863D9">
              <w:rPr>
                <w:noProof/>
                <w:webHidden/>
              </w:rPr>
              <w:fldChar w:fldCharType="begin"/>
            </w:r>
            <w:r w:rsidRPr="005863D9">
              <w:rPr>
                <w:noProof/>
                <w:webHidden/>
              </w:rPr>
              <w:instrText xml:space="preserve"> PAGEREF _Toc222389118 \h </w:instrText>
            </w:r>
            <w:r w:rsidRPr="005863D9">
              <w:rPr>
                <w:noProof/>
                <w:webHidden/>
              </w:rPr>
            </w:r>
            <w:r w:rsidRPr="005863D9">
              <w:rPr>
                <w:noProof/>
                <w:webHidden/>
              </w:rPr>
              <w:fldChar w:fldCharType="separate"/>
            </w:r>
            <w:r w:rsidRPr="005863D9">
              <w:rPr>
                <w:noProof/>
                <w:webHidden/>
              </w:rPr>
              <w:t>5</w:t>
            </w:r>
            <w:r w:rsidRPr="005863D9">
              <w:rPr>
                <w:noProof/>
                <w:webHidden/>
              </w:rPr>
              <w:fldChar w:fldCharType="end"/>
            </w:r>
          </w:hyperlink>
        </w:p>
        <w:p w14:paraId="2CF95316" w14:textId="1F773F43" w:rsidR="003F4534" w:rsidRPr="005863D9" w:rsidRDefault="003F4534">
          <w:pPr>
            <w:pStyle w:val="TOC2"/>
            <w:tabs>
              <w:tab w:val="right" w:leader="dot" w:pos="9628"/>
            </w:tabs>
            <w:rPr>
              <w:rFonts w:eastAsiaTheme="minorEastAsia"/>
              <w:noProof/>
              <w:lang w:val="en-IT" w:eastAsia="en-GB"/>
            </w:rPr>
          </w:pPr>
          <w:hyperlink w:anchor="_Toc222389119" w:history="1">
            <w:r w:rsidRPr="005863D9">
              <w:rPr>
                <w:rStyle w:val="Hyperlink"/>
                <w:b/>
                <w:bCs/>
                <w:noProof/>
              </w:rPr>
              <w:t>Force Field</w:t>
            </w:r>
            <w:r w:rsidRPr="005863D9">
              <w:rPr>
                <w:noProof/>
                <w:webHidden/>
              </w:rPr>
              <w:tab/>
            </w:r>
            <w:r w:rsidRPr="005863D9">
              <w:rPr>
                <w:noProof/>
                <w:webHidden/>
              </w:rPr>
              <w:fldChar w:fldCharType="begin"/>
            </w:r>
            <w:r w:rsidRPr="005863D9">
              <w:rPr>
                <w:noProof/>
                <w:webHidden/>
              </w:rPr>
              <w:instrText xml:space="preserve"> PAGEREF _Toc222389119 \h </w:instrText>
            </w:r>
            <w:r w:rsidRPr="005863D9">
              <w:rPr>
                <w:noProof/>
                <w:webHidden/>
              </w:rPr>
            </w:r>
            <w:r w:rsidRPr="005863D9">
              <w:rPr>
                <w:noProof/>
                <w:webHidden/>
              </w:rPr>
              <w:fldChar w:fldCharType="separate"/>
            </w:r>
            <w:r w:rsidRPr="005863D9">
              <w:rPr>
                <w:noProof/>
                <w:webHidden/>
              </w:rPr>
              <w:t>5</w:t>
            </w:r>
            <w:r w:rsidRPr="005863D9">
              <w:rPr>
                <w:noProof/>
                <w:webHidden/>
              </w:rPr>
              <w:fldChar w:fldCharType="end"/>
            </w:r>
          </w:hyperlink>
        </w:p>
        <w:p w14:paraId="73F54842" w14:textId="1568F805" w:rsidR="003F4534" w:rsidRPr="005863D9" w:rsidRDefault="003F4534">
          <w:pPr>
            <w:pStyle w:val="TOC2"/>
            <w:tabs>
              <w:tab w:val="right" w:leader="dot" w:pos="9628"/>
            </w:tabs>
            <w:rPr>
              <w:rFonts w:eastAsiaTheme="minorEastAsia"/>
              <w:noProof/>
              <w:lang w:val="en-IT" w:eastAsia="en-GB"/>
            </w:rPr>
          </w:pPr>
          <w:hyperlink w:anchor="_Toc222389120" w:history="1">
            <w:r w:rsidRPr="005863D9">
              <w:rPr>
                <w:rStyle w:val="Hyperlink"/>
                <w:b/>
                <w:bCs/>
                <w:noProof/>
              </w:rPr>
              <w:t>Equilibration of the Pristine Materials</w:t>
            </w:r>
            <w:r w:rsidRPr="005863D9">
              <w:rPr>
                <w:noProof/>
                <w:webHidden/>
              </w:rPr>
              <w:tab/>
            </w:r>
            <w:r w:rsidRPr="005863D9">
              <w:rPr>
                <w:noProof/>
                <w:webHidden/>
              </w:rPr>
              <w:fldChar w:fldCharType="begin"/>
            </w:r>
            <w:r w:rsidRPr="005863D9">
              <w:rPr>
                <w:noProof/>
                <w:webHidden/>
              </w:rPr>
              <w:instrText xml:space="preserve"> PAGEREF _Toc222389120 \h </w:instrText>
            </w:r>
            <w:r w:rsidRPr="005863D9">
              <w:rPr>
                <w:noProof/>
                <w:webHidden/>
              </w:rPr>
            </w:r>
            <w:r w:rsidRPr="005863D9">
              <w:rPr>
                <w:noProof/>
                <w:webHidden/>
              </w:rPr>
              <w:fldChar w:fldCharType="separate"/>
            </w:r>
            <w:r w:rsidRPr="005863D9">
              <w:rPr>
                <w:noProof/>
                <w:webHidden/>
              </w:rPr>
              <w:t>5</w:t>
            </w:r>
            <w:r w:rsidRPr="005863D9">
              <w:rPr>
                <w:noProof/>
                <w:webHidden/>
              </w:rPr>
              <w:fldChar w:fldCharType="end"/>
            </w:r>
          </w:hyperlink>
        </w:p>
        <w:p w14:paraId="23E200F1" w14:textId="43563C04" w:rsidR="003F4534" w:rsidRPr="005863D9" w:rsidRDefault="003F4534">
          <w:pPr>
            <w:pStyle w:val="TOC1"/>
            <w:tabs>
              <w:tab w:val="right" w:leader="dot" w:pos="9628"/>
            </w:tabs>
            <w:rPr>
              <w:rFonts w:eastAsiaTheme="minorEastAsia"/>
              <w:noProof/>
              <w:lang w:val="en-IT" w:eastAsia="en-GB"/>
            </w:rPr>
          </w:pPr>
          <w:hyperlink w:anchor="_Toc222389121" w:history="1">
            <w:r w:rsidRPr="005863D9">
              <w:rPr>
                <w:rStyle w:val="Hyperlink"/>
                <w:b/>
                <w:bCs/>
                <w:noProof/>
              </w:rPr>
              <w:t>Analyses details</w:t>
            </w:r>
            <w:r w:rsidRPr="005863D9">
              <w:rPr>
                <w:noProof/>
                <w:webHidden/>
              </w:rPr>
              <w:tab/>
            </w:r>
            <w:r w:rsidRPr="005863D9">
              <w:rPr>
                <w:noProof/>
                <w:webHidden/>
              </w:rPr>
              <w:fldChar w:fldCharType="begin"/>
            </w:r>
            <w:r w:rsidRPr="005863D9">
              <w:rPr>
                <w:noProof/>
                <w:webHidden/>
              </w:rPr>
              <w:instrText xml:space="preserve"> PAGEREF _Toc222389121 \h </w:instrText>
            </w:r>
            <w:r w:rsidRPr="005863D9">
              <w:rPr>
                <w:noProof/>
                <w:webHidden/>
              </w:rPr>
            </w:r>
            <w:r w:rsidRPr="005863D9">
              <w:rPr>
                <w:noProof/>
                <w:webHidden/>
              </w:rPr>
              <w:fldChar w:fldCharType="separate"/>
            </w:r>
            <w:r w:rsidRPr="005863D9">
              <w:rPr>
                <w:noProof/>
                <w:webHidden/>
              </w:rPr>
              <w:t>6</w:t>
            </w:r>
            <w:r w:rsidRPr="005863D9">
              <w:rPr>
                <w:noProof/>
                <w:webHidden/>
              </w:rPr>
              <w:fldChar w:fldCharType="end"/>
            </w:r>
          </w:hyperlink>
        </w:p>
        <w:p w14:paraId="304AE5DC" w14:textId="395345D6" w:rsidR="003F4534" w:rsidRPr="005863D9" w:rsidRDefault="003F4534">
          <w:pPr>
            <w:pStyle w:val="TOC2"/>
            <w:tabs>
              <w:tab w:val="right" w:leader="dot" w:pos="9628"/>
            </w:tabs>
            <w:rPr>
              <w:rFonts w:eastAsiaTheme="minorEastAsia"/>
              <w:noProof/>
              <w:lang w:val="en-IT" w:eastAsia="en-GB"/>
            </w:rPr>
          </w:pPr>
          <w:hyperlink w:anchor="_Toc222389122" w:history="1">
            <w:r w:rsidRPr="005863D9">
              <w:rPr>
                <w:rStyle w:val="Hyperlink"/>
                <w:b/>
                <w:bCs/>
                <w:noProof/>
              </w:rPr>
              <w:t>Fitting of the mean square displacement</w:t>
            </w:r>
            <w:r w:rsidRPr="005863D9">
              <w:rPr>
                <w:noProof/>
                <w:webHidden/>
              </w:rPr>
              <w:tab/>
            </w:r>
            <w:r w:rsidRPr="005863D9">
              <w:rPr>
                <w:noProof/>
                <w:webHidden/>
              </w:rPr>
              <w:fldChar w:fldCharType="begin"/>
            </w:r>
            <w:r w:rsidRPr="005863D9">
              <w:rPr>
                <w:noProof/>
                <w:webHidden/>
              </w:rPr>
              <w:instrText xml:space="preserve"> PAGEREF _Toc222389122 \h </w:instrText>
            </w:r>
            <w:r w:rsidRPr="005863D9">
              <w:rPr>
                <w:noProof/>
                <w:webHidden/>
              </w:rPr>
            </w:r>
            <w:r w:rsidRPr="005863D9">
              <w:rPr>
                <w:noProof/>
                <w:webHidden/>
              </w:rPr>
              <w:fldChar w:fldCharType="separate"/>
            </w:r>
            <w:r w:rsidRPr="005863D9">
              <w:rPr>
                <w:noProof/>
                <w:webHidden/>
              </w:rPr>
              <w:t>6</w:t>
            </w:r>
            <w:r w:rsidRPr="005863D9">
              <w:rPr>
                <w:noProof/>
                <w:webHidden/>
              </w:rPr>
              <w:fldChar w:fldCharType="end"/>
            </w:r>
          </w:hyperlink>
        </w:p>
        <w:p w14:paraId="4460E743" w14:textId="19F6D0D7" w:rsidR="003F4534" w:rsidRPr="005863D9" w:rsidRDefault="003F4534">
          <w:pPr>
            <w:pStyle w:val="TOC2"/>
            <w:tabs>
              <w:tab w:val="right" w:leader="dot" w:pos="9628"/>
            </w:tabs>
            <w:rPr>
              <w:rFonts w:eastAsiaTheme="minorEastAsia"/>
              <w:noProof/>
              <w:lang w:val="en-IT" w:eastAsia="en-GB"/>
            </w:rPr>
          </w:pPr>
          <w:hyperlink w:anchor="_Toc222389123" w:history="1">
            <w:r w:rsidRPr="005863D9">
              <w:rPr>
                <w:rStyle w:val="Hyperlink"/>
                <w:b/>
                <w:bCs/>
                <w:noProof/>
              </w:rPr>
              <w:t xml:space="preserve">Fitting of </w:t>
            </w:r>
            <m:oMath>
              <m:r>
                <m:rPr>
                  <m:sty m:val="bi"/>
                </m:rPr>
                <w:rPr>
                  <w:rStyle w:val="Hyperlink"/>
                  <w:rFonts w:ascii="Cambria Math" w:hAnsi="Cambria Math"/>
                  <w:noProof/>
                </w:rPr>
                <m:t>C</m:t>
              </m:r>
              <m:r>
                <m:rPr>
                  <m:sty m:val="bi"/>
                </m:rPr>
                <w:rPr>
                  <w:rStyle w:val="Hyperlink"/>
                  <w:rFonts w:ascii="Cambria Math" w:hAnsi="Cambria Math"/>
                  <w:noProof/>
                </w:rPr>
                <m:t>2</m:t>
              </m:r>
            </m:oMath>
            <w:r w:rsidRPr="005863D9">
              <w:rPr>
                <w:rStyle w:val="Hyperlink"/>
                <w:b/>
                <w:bCs/>
                <w:noProof/>
              </w:rPr>
              <w:t>correlation function</w:t>
            </w:r>
            <w:r w:rsidRPr="005863D9">
              <w:rPr>
                <w:noProof/>
                <w:webHidden/>
              </w:rPr>
              <w:tab/>
            </w:r>
            <w:r w:rsidRPr="005863D9">
              <w:rPr>
                <w:noProof/>
                <w:webHidden/>
              </w:rPr>
              <w:fldChar w:fldCharType="begin"/>
            </w:r>
            <w:r w:rsidRPr="005863D9">
              <w:rPr>
                <w:noProof/>
                <w:webHidden/>
              </w:rPr>
              <w:instrText xml:space="preserve"> PAGEREF _Toc222389123 \h </w:instrText>
            </w:r>
            <w:r w:rsidRPr="005863D9">
              <w:rPr>
                <w:noProof/>
                <w:webHidden/>
              </w:rPr>
            </w:r>
            <w:r w:rsidRPr="005863D9">
              <w:rPr>
                <w:noProof/>
                <w:webHidden/>
              </w:rPr>
              <w:fldChar w:fldCharType="separate"/>
            </w:r>
            <w:r w:rsidRPr="005863D9">
              <w:rPr>
                <w:noProof/>
                <w:webHidden/>
              </w:rPr>
              <w:t>6</w:t>
            </w:r>
            <w:r w:rsidRPr="005863D9">
              <w:rPr>
                <w:noProof/>
                <w:webHidden/>
              </w:rPr>
              <w:fldChar w:fldCharType="end"/>
            </w:r>
          </w:hyperlink>
        </w:p>
        <w:p w14:paraId="5494D3F9" w14:textId="741C61D8" w:rsidR="003F4534" w:rsidRPr="005863D9" w:rsidRDefault="003F4534">
          <w:pPr>
            <w:pStyle w:val="TOC2"/>
            <w:tabs>
              <w:tab w:val="right" w:leader="dot" w:pos="9628"/>
            </w:tabs>
            <w:rPr>
              <w:rFonts w:eastAsiaTheme="minorEastAsia"/>
              <w:noProof/>
              <w:lang w:val="en-IT" w:eastAsia="en-GB"/>
            </w:rPr>
          </w:pPr>
          <w:hyperlink w:anchor="_Toc222389124" w:history="1">
            <m:oMath>
              <m:r>
                <m:rPr>
                  <m:sty m:val="bi"/>
                </m:rPr>
                <w:rPr>
                  <w:rStyle w:val="Hyperlink"/>
                  <w:rFonts w:ascii="Cambria Math" w:hAnsi="Cambria Math"/>
                  <w:noProof/>
                </w:rPr>
                <m:t>C</m:t>
              </m:r>
              <m:r>
                <m:rPr>
                  <m:sty m:val="bi"/>
                </m:rPr>
                <w:rPr>
                  <w:rStyle w:val="Hyperlink"/>
                  <w:rFonts w:ascii="Cambria Math" w:hAnsi="Cambria Math"/>
                  <w:noProof/>
                </w:rPr>
                <m:t>2</m:t>
              </m:r>
            </m:oMath>
            <w:r w:rsidRPr="005863D9">
              <w:rPr>
                <w:rStyle w:val="Hyperlink"/>
                <w:b/>
                <w:bCs/>
                <w:noProof/>
              </w:rPr>
              <w:t>correlation function at longer time scales</w:t>
            </w:r>
            <w:r w:rsidRPr="005863D9">
              <w:rPr>
                <w:noProof/>
                <w:webHidden/>
              </w:rPr>
              <w:tab/>
            </w:r>
            <w:r w:rsidRPr="005863D9">
              <w:rPr>
                <w:noProof/>
                <w:webHidden/>
              </w:rPr>
              <w:fldChar w:fldCharType="begin"/>
            </w:r>
            <w:r w:rsidRPr="005863D9">
              <w:rPr>
                <w:noProof/>
                <w:webHidden/>
              </w:rPr>
              <w:instrText xml:space="preserve"> PAGEREF _Toc222389124 \h </w:instrText>
            </w:r>
            <w:r w:rsidRPr="005863D9">
              <w:rPr>
                <w:noProof/>
                <w:webHidden/>
              </w:rPr>
            </w:r>
            <w:r w:rsidRPr="005863D9">
              <w:rPr>
                <w:noProof/>
                <w:webHidden/>
              </w:rPr>
              <w:fldChar w:fldCharType="separate"/>
            </w:r>
            <w:r w:rsidRPr="005863D9">
              <w:rPr>
                <w:noProof/>
                <w:webHidden/>
              </w:rPr>
              <w:t>7</w:t>
            </w:r>
            <w:r w:rsidRPr="005863D9">
              <w:rPr>
                <w:noProof/>
                <w:webHidden/>
              </w:rPr>
              <w:fldChar w:fldCharType="end"/>
            </w:r>
          </w:hyperlink>
        </w:p>
        <w:p w14:paraId="6C94E11B" w14:textId="318C7D7A" w:rsidR="003F4534" w:rsidRPr="005863D9" w:rsidRDefault="003F4534">
          <w:pPr>
            <w:pStyle w:val="TOC1"/>
            <w:tabs>
              <w:tab w:val="right" w:leader="dot" w:pos="9628"/>
            </w:tabs>
            <w:rPr>
              <w:rFonts w:eastAsiaTheme="minorEastAsia"/>
              <w:noProof/>
              <w:lang w:val="en-IT" w:eastAsia="en-GB"/>
            </w:rPr>
          </w:pPr>
          <w:hyperlink w:anchor="_Toc222389125" w:history="1">
            <w:r w:rsidRPr="005863D9">
              <w:rPr>
                <w:rStyle w:val="Hyperlink"/>
                <w:b/>
                <w:bCs/>
                <w:noProof/>
              </w:rPr>
              <w:t>Additional figures</w:t>
            </w:r>
            <w:r w:rsidRPr="005863D9">
              <w:rPr>
                <w:noProof/>
                <w:webHidden/>
              </w:rPr>
              <w:tab/>
            </w:r>
            <w:r w:rsidRPr="005863D9">
              <w:rPr>
                <w:noProof/>
                <w:webHidden/>
              </w:rPr>
              <w:fldChar w:fldCharType="begin"/>
            </w:r>
            <w:r w:rsidRPr="005863D9">
              <w:rPr>
                <w:noProof/>
                <w:webHidden/>
              </w:rPr>
              <w:instrText xml:space="preserve"> PAGEREF _Toc222389125 \h </w:instrText>
            </w:r>
            <w:r w:rsidRPr="005863D9">
              <w:rPr>
                <w:noProof/>
                <w:webHidden/>
              </w:rPr>
            </w:r>
            <w:r w:rsidRPr="005863D9">
              <w:rPr>
                <w:noProof/>
                <w:webHidden/>
              </w:rPr>
              <w:fldChar w:fldCharType="separate"/>
            </w:r>
            <w:r w:rsidRPr="005863D9">
              <w:rPr>
                <w:noProof/>
                <w:webHidden/>
              </w:rPr>
              <w:t>7</w:t>
            </w:r>
            <w:r w:rsidRPr="005863D9">
              <w:rPr>
                <w:noProof/>
                <w:webHidden/>
              </w:rPr>
              <w:fldChar w:fldCharType="end"/>
            </w:r>
          </w:hyperlink>
        </w:p>
        <w:p w14:paraId="268CA6FF" w14:textId="75000CD8" w:rsidR="003F4534" w:rsidRPr="005863D9" w:rsidRDefault="003F4534">
          <w:pPr>
            <w:pStyle w:val="TOC1"/>
            <w:tabs>
              <w:tab w:val="right" w:leader="dot" w:pos="9628"/>
            </w:tabs>
            <w:rPr>
              <w:rFonts w:eastAsiaTheme="minorEastAsia"/>
              <w:noProof/>
              <w:lang w:val="en-IT" w:eastAsia="en-GB"/>
            </w:rPr>
          </w:pPr>
          <w:hyperlink w:anchor="_Toc222389126" w:history="1">
            <w:r w:rsidRPr="005863D9">
              <w:rPr>
                <w:rStyle w:val="Hyperlink"/>
                <w:b/>
                <w:bCs/>
                <w:noProof/>
              </w:rPr>
              <w:t>Cluster analyses</w:t>
            </w:r>
            <w:r w:rsidRPr="005863D9">
              <w:rPr>
                <w:noProof/>
                <w:webHidden/>
              </w:rPr>
              <w:tab/>
            </w:r>
            <w:r w:rsidRPr="005863D9">
              <w:rPr>
                <w:noProof/>
                <w:webHidden/>
              </w:rPr>
              <w:fldChar w:fldCharType="begin"/>
            </w:r>
            <w:r w:rsidRPr="005863D9">
              <w:rPr>
                <w:noProof/>
                <w:webHidden/>
              </w:rPr>
              <w:instrText xml:space="preserve"> PAGEREF _Toc222389126 \h </w:instrText>
            </w:r>
            <w:r w:rsidRPr="005863D9">
              <w:rPr>
                <w:noProof/>
                <w:webHidden/>
              </w:rPr>
            </w:r>
            <w:r w:rsidRPr="005863D9">
              <w:rPr>
                <w:noProof/>
                <w:webHidden/>
              </w:rPr>
              <w:fldChar w:fldCharType="separate"/>
            </w:r>
            <w:r w:rsidRPr="005863D9">
              <w:rPr>
                <w:noProof/>
                <w:webHidden/>
              </w:rPr>
              <w:t>8</w:t>
            </w:r>
            <w:r w:rsidRPr="005863D9">
              <w:rPr>
                <w:noProof/>
                <w:webHidden/>
              </w:rPr>
              <w:fldChar w:fldCharType="end"/>
            </w:r>
          </w:hyperlink>
        </w:p>
        <w:p w14:paraId="7195606C" w14:textId="7CEF448C" w:rsidR="00D87970" w:rsidRPr="005863D9" w:rsidRDefault="00D87970">
          <w:r w:rsidRPr="005863D9">
            <w:rPr>
              <w:b/>
              <w:bCs/>
            </w:rPr>
            <w:fldChar w:fldCharType="end"/>
          </w:r>
        </w:p>
      </w:sdtContent>
    </w:sdt>
    <w:p w14:paraId="0A511E2A" w14:textId="77777777" w:rsidR="00986A37" w:rsidRPr="005863D9" w:rsidRDefault="00986A37" w:rsidP="00AD47F2">
      <w:pPr>
        <w:rPr>
          <w:b/>
          <w:bCs/>
        </w:rPr>
      </w:pPr>
    </w:p>
    <w:p w14:paraId="5095CA4D" w14:textId="77777777" w:rsidR="00F02481" w:rsidRPr="005863D9" w:rsidRDefault="00F02481" w:rsidP="00D02931">
      <w:pPr>
        <w:pStyle w:val="Heading1"/>
        <w:rPr>
          <w:b/>
          <w:bCs/>
          <w:sz w:val="28"/>
          <w:szCs w:val="28"/>
        </w:rPr>
        <w:sectPr w:rsidR="00F02481" w:rsidRPr="005863D9">
          <w:pgSz w:w="11906" w:h="16838"/>
          <w:pgMar w:top="1417" w:right="1134" w:bottom="1134" w:left="1134" w:header="708" w:footer="708" w:gutter="0"/>
          <w:cols w:space="708"/>
          <w:docGrid w:linePitch="360"/>
        </w:sectPr>
      </w:pPr>
    </w:p>
    <w:p w14:paraId="5E3A41FB" w14:textId="49C449D4" w:rsidR="00AD47F2" w:rsidRPr="005863D9" w:rsidRDefault="00AD47F2" w:rsidP="00D02931">
      <w:pPr>
        <w:pStyle w:val="Heading1"/>
        <w:rPr>
          <w:b/>
          <w:bCs/>
          <w:sz w:val="28"/>
          <w:szCs w:val="28"/>
        </w:rPr>
      </w:pPr>
      <w:bookmarkStart w:id="0" w:name="_Toc222389117"/>
      <w:r w:rsidRPr="005863D9">
        <w:rPr>
          <w:b/>
          <w:bCs/>
          <w:sz w:val="28"/>
          <w:szCs w:val="28"/>
        </w:rPr>
        <w:lastRenderedPageBreak/>
        <w:t>Supplementary analyses</w:t>
      </w:r>
      <w:bookmarkEnd w:id="0"/>
    </w:p>
    <w:p w14:paraId="5CBEBCA6" w14:textId="5E38232A" w:rsidR="00F02481" w:rsidRPr="005863D9" w:rsidRDefault="00F02481" w:rsidP="00F02481">
      <w:pPr>
        <w:keepNext/>
      </w:pPr>
      <w:r w:rsidRPr="005863D9">
        <w:t>Here below, are reported the oxygen-oxygen radial distribution function (g(r)) for</w:t>
      </w:r>
      <w:r w:rsidRPr="005863D9">
        <w:rPr>
          <w:b/>
          <w:bCs/>
        </w:rPr>
        <w:t xml:space="preserve"> NDI-TEG</w:t>
      </w:r>
      <w:r w:rsidRPr="005863D9">
        <w:t xml:space="preserve">, </w:t>
      </w:r>
      <w:r w:rsidRPr="005863D9">
        <w:rPr>
          <w:b/>
          <w:bCs/>
        </w:rPr>
        <w:t>NDI-C6</w:t>
      </w:r>
      <w:r w:rsidRPr="005863D9">
        <w:t xml:space="preserve"> at different hydration levels (100, 200 and 300 water molecules), and bulk water at 300 K and 200 K. A comparison of the tetrahedral order parameters (q) and bond orientational order parameters (q</w:t>
      </w:r>
      <w:r w:rsidRPr="005863D9">
        <w:rPr>
          <w:vertAlign w:val="subscript"/>
        </w:rPr>
        <w:t>4</w:t>
      </w:r>
      <w:r w:rsidRPr="005863D9">
        <w:t>, q</w:t>
      </w:r>
      <w:r w:rsidRPr="005863D9">
        <w:rPr>
          <w:vertAlign w:val="subscript"/>
        </w:rPr>
        <w:t>6</w:t>
      </w:r>
      <w:r w:rsidRPr="005863D9">
        <w:t>) for each case is also reported.</w:t>
      </w:r>
    </w:p>
    <w:p w14:paraId="0EB4FE8B" w14:textId="77777777" w:rsidR="00F02481" w:rsidRPr="005863D9" w:rsidRDefault="00F02481" w:rsidP="00F02481">
      <w:pPr>
        <w:keepNext/>
      </w:pPr>
    </w:p>
    <w:p w14:paraId="0015F3F5" w14:textId="16267763" w:rsidR="00381E7C" w:rsidRPr="005863D9" w:rsidRDefault="00381E7C" w:rsidP="00381E7C">
      <w:pPr>
        <w:keepNext/>
        <w:jc w:val="center"/>
      </w:pPr>
      <w:r w:rsidRPr="005863D9">
        <w:rPr>
          <w:b/>
          <w:bCs/>
          <w:noProof/>
        </w:rPr>
        <w:drawing>
          <wp:inline distT="0" distB="0" distL="0" distR="0" wp14:anchorId="519668AC" wp14:editId="0B82C39D">
            <wp:extent cx="5526156" cy="2091660"/>
            <wp:effectExtent l="0" t="0" r="0" b="0"/>
            <wp:docPr id="1560343320" name="Immagine 1" descr="Immagine che contiene testo, schermata, diagramma, Diagramm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0343320" name="Immagine 1" descr="Immagine che contiene testo, schermata, diagramma, Diagramma&#10;&#10;Il contenuto generato dall'IA potrebbe non essere corretto."/>
                    <pic:cNvPicPr/>
                  </pic:nvPicPr>
                  <pic:blipFill>
                    <a:blip r:embed="rId8" cstate="print">
                      <a:extLst>
                        <a:ext uri="{28A0092B-C50C-407E-A947-70E740481C1C}">
                          <a14:useLocalDpi xmlns:a14="http://schemas.microsoft.com/office/drawing/2010/main" val="0"/>
                        </a:ext>
                      </a:extLst>
                    </a:blip>
                    <a:stretch>
                      <a:fillRect/>
                    </a:stretch>
                  </pic:blipFill>
                  <pic:spPr>
                    <a:xfrm>
                      <a:off x="0" y="0"/>
                      <a:ext cx="5575488" cy="2110332"/>
                    </a:xfrm>
                    <a:prstGeom prst="rect">
                      <a:avLst/>
                    </a:prstGeom>
                  </pic:spPr>
                </pic:pic>
              </a:graphicData>
            </a:graphic>
          </wp:inline>
        </w:drawing>
      </w:r>
    </w:p>
    <w:p w14:paraId="7B0F3109" w14:textId="5933FDBF" w:rsidR="00381E7C" w:rsidRPr="005863D9" w:rsidRDefault="00381E7C" w:rsidP="00381E7C">
      <w:pPr>
        <w:pStyle w:val="Caption"/>
        <w:jc w:val="center"/>
        <w:rPr>
          <w:b/>
          <w:bCs/>
        </w:rPr>
      </w:pPr>
      <w:r w:rsidRPr="005863D9">
        <w:t xml:space="preserve">Figure </w:t>
      </w:r>
      <w:r w:rsidR="00D07426" w:rsidRPr="005863D9">
        <w:t>S</w:t>
      </w:r>
      <w:r w:rsidRPr="005863D9">
        <w:fldChar w:fldCharType="begin"/>
      </w:r>
      <w:r w:rsidRPr="005863D9">
        <w:instrText xml:space="preserve"> SEQ Figure \* ARABIC </w:instrText>
      </w:r>
      <w:r w:rsidRPr="005863D9">
        <w:fldChar w:fldCharType="separate"/>
      </w:r>
      <w:r w:rsidR="00C13414" w:rsidRPr="005863D9">
        <w:rPr>
          <w:noProof/>
        </w:rPr>
        <w:t>1</w:t>
      </w:r>
      <w:r w:rsidRPr="005863D9">
        <w:fldChar w:fldCharType="end"/>
      </w:r>
      <w:r w:rsidRPr="005863D9">
        <w:t>: W</w:t>
      </w:r>
      <w:r w:rsidR="00754E70" w:rsidRPr="005863D9">
        <w:t>a</w:t>
      </w:r>
      <w:r w:rsidRPr="005863D9">
        <w:t>ter oxygen-oxygen radial distribut</w:t>
      </w:r>
      <w:r w:rsidR="00754E70" w:rsidRPr="005863D9">
        <w:t>i</w:t>
      </w:r>
      <w:r w:rsidRPr="005863D9">
        <w:t>on function</w:t>
      </w:r>
      <w:r w:rsidR="00754E70" w:rsidRPr="005863D9">
        <w:t xml:space="preserve"> for the 1:1 </w:t>
      </w:r>
      <w:proofErr w:type="spellStart"/>
      <w:r w:rsidR="00754E70" w:rsidRPr="005863D9">
        <w:t>NDI:water</w:t>
      </w:r>
      <w:proofErr w:type="spellEnd"/>
      <w:r w:rsidR="00754E70" w:rsidRPr="005863D9">
        <w:t xml:space="preserve"> ratio (panel a) and 1:3 ratio (panel b)</w:t>
      </w:r>
    </w:p>
    <w:p w14:paraId="76D425E4" w14:textId="77777777" w:rsidR="00BF5235" w:rsidRPr="005863D9" w:rsidRDefault="00BF5235" w:rsidP="00286A52">
      <w:pPr>
        <w:keepNext/>
        <w:jc w:val="center"/>
      </w:pPr>
      <w:r w:rsidRPr="005863D9">
        <w:rPr>
          <w:b/>
          <w:bCs/>
          <w:noProof/>
        </w:rPr>
        <w:lastRenderedPageBreak/>
        <w:drawing>
          <wp:inline distT="0" distB="0" distL="0" distR="0" wp14:anchorId="01CC308F" wp14:editId="07E17057">
            <wp:extent cx="6120130" cy="4685665"/>
            <wp:effectExtent l="0" t="0" r="0" b="0"/>
            <wp:docPr id="1052320403"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2320403" name="Immagine 1052320403"/>
                    <pic:cNvPicPr/>
                  </pic:nvPicPr>
                  <pic:blipFill>
                    <a:blip r:embed="rId9" cstate="print">
                      <a:extLst>
                        <a:ext uri="{28A0092B-C50C-407E-A947-70E740481C1C}">
                          <a14:useLocalDpi xmlns:a14="http://schemas.microsoft.com/office/drawing/2010/main" val="0"/>
                        </a:ext>
                      </a:extLst>
                    </a:blip>
                    <a:stretch>
                      <a:fillRect/>
                    </a:stretch>
                  </pic:blipFill>
                  <pic:spPr>
                    <a:xfrm>
                      <a:off x="0" y="0"/>
                      <a:ext cx="6120130" cy="4685665"/>
                    </a:xfrm>
                    <a:prstGeom prst="rect">
                      <a:avLst/>
                    </a:prstGeom>
                  </pic:spPr>
                </pic:pic>
              </a:graphicData>
            </a:graphic>
          </wp:inline>
        </w:drawing>
      </w:r>
    </w:p>
    <w:p w14:paraId="73559C58" w14:textId="3B7F58A4" w:rsidR="00381E7C" w:rsidRPr="005863D9" w:rsidRDefault="00BF5235" w:rsidP="00BF5235">
      <w:pPr>
        <w:pStyle w:val="Caption"/>
      </w:pPr>
      <w:r w:rsidRPr="005863D9">
        <w:t xml:space="preserve">Figure </w:t>
      </w:r>
      <w:r w:rsidR="00D07426" w:rsidRPr="005863D9">
        <w:t>S</w:t>
      </w:r>
      <w:r w:rsidRPr="005863D9">
        <w:fldChar w:fldCharType="begin"/>
      </w:r>
      <w:r w:rsidRPr="005863D9">
        <w:instrText xml:space="preserve"> SEQ Figure \* ARABIC </w:instrText>
      </w:r>
      <w:r w:rsidRPr="005863D9">
        <w:fldChar w:fldCharType="separate"/>
      </w:r>
      <w:r w:rsidR="00C13414" w:rsidRPr="005863D9">
        <w:rPr>
          <w:noProof/>
        </w:rPr>
        <w:t>2</w:t>
      </w:r>
      <w:r w:rsidRPr="005863D9">
        <w:fldChar w:fldCharType="end"/>
      </w:r>
      <w:r w:rsidRPr="005863D9">
        <w:t>:</w:t>
      </w:r>
      <w:r w:rsidR="001C612F" w:rsidRPr="005863D9">
        <w:t xml:space="preserve"> </w:t>
      </w:r>
      <w:r w:rsidRPr="005863D9">
        <w:t xml:space="preserve">Analyses performed on </w:t>
      </w:r>
      <w:r w:rsidR="00AB17C5" w:rsidRPr="005863D9">
        <w:t>the NDI-TEG crystal at various water concentrations: w</w:t>
      </w:r>
      <w:r w:rsidRPr="005863D9">
        <w:t xml:space="preserve">ater oxygen-oxygen radial distribution function </w:t>
      </w:r>
      <w:r w:rsidR="00AB17C5" w:rsidRPr="005863D9">
        <w:t>(panel a), tetrahedral order parameter (panel b), Lechner-</w:t>
      </w:r>
      <w:proofErr w:type="spellStart"/>
      <w:r w:rsidR="00AB17C5" w:rsidRPr="005863D9">
        <w:t>Dellago</w:t>
      </w:r>
      <w:proofErr w:type="spellEnd"/>
      <w:r w:rsidR="00AB17C5" w:rsidRPr="005863D9">
        <w:t xml:space="preserve"> order parameters (panel c)</w:t>
      </w:r>
    </w:p>
    <w:p w14:paraId="144B422E" w14:textId="77777777" w:rsidR="00417543" w:rsidRPr="005863D9" w:rsidRDefault="00417543" w:rsidP="00286A52">
      <w:pPr>
        <w:keepNext/>
        <w:jc w:val="center"/>
      </w:pPr>
      <w:r w:rsidRPr="005863D9">
        <w:rPr>
          <w:b/>
          <w:bCs/>
          <w:noProof/>
        </w:rPr>
        <w:lastRenderedPageBreak/>
        <w:drawing>
          <wp:inline distT="0" distB="0" distL="0" distR="0" wp14:anchorId="05ACDAC6" wp14:editId="0CC11960">
            <wp:extent cx="6120052" cy="4685665"/>
            <wp:effectExtent l="0" t="0" r="0" b="0"/>
            <wp:docPr id="197025866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0258662" name="Immagine 2"/>
                    <pic:cNvPicPr/>
                  </pic:nvPicPr>
                  <pic:blipFill>
                    <a:blip r:embed="rId10" cstate="print">
                      <a:extLst>
                        <a:ext uri="{28A0092B-C50C-407E-A947-70E740481C1C}">
                          <a14:useLocalDpi xmlns:a14="http://schemas.microsoft.com/office/drawing/2010/main" val="0"/>
                        </a:ext>
                      </a:extLst>
                    </a:blip>
                    <a:stretch>
                      <a:fillRect/>
                    </a:stretch>
                  </pic:blipFill>
                  <pic:spPr>
                    <a:xfrm>
                      <a:off x="0" y="0"/>
                      <a:ext cx="6120052" cy="4685665"/>
                    </a:xfrm>
                    <a:prstGeom prst="rect">
                      <a:avLst/>
                    </a:prstGeom>
                  </pic:spPr>
                </pic:pic>
              </a:graphicData>
            </a:graphic>
          </wp:inline>
        </w:drawing>
      </w:r>
    </w:p>
    <w:p w14:paraId="1523894A" w14:textId="667BE6B3" w:rsidR="00417543" w:rsidRPr="005863D9" w:rsidRDefault="00417543" w:rsidP="00417543">
      <w:pPr>
        <w:pStyle w:val="Caption"/>
      </w:pPr>
      <w:r w:rsidRPr="005863D9">
        <w:t>Figure</w:t>
      </w:r>
      <w:r w:rsidR="001C612F" w:rsidRPr="005863D9">
        <w:t xml:space="preserve"> </w:t>
      </w:r>
      <w:r w:rsidR="00D07426" w:rsidRPr="005863D9">
        <w:t>S</w:t>
      </w:r>
      <w:r w:rsidRPr="005863D9">
        <w:fldChar w:fldCharType="begin"/>
      </w:r>
      <w:r w:rsidRPr="005863D9">
        <w:instrText xml:space="preserve"> SEQ Figure \* ARABIC </w:instrText>
      </w:r>
      <w:r w:rsidRPr="005863D9">
        <w:fldChar w:fldCharType="separate"/>
      </w:r>
      <w:r w:rsidR="00C13414" w:rsidRPr="005863D9">
        <w:rPr>
          <w:noProof/>
        </w:rPr>
        <w:t>3</w:t>
      </w:r>
      <w:r w:rsidRPr="005863D9">
        <w:fldChar w:fldCharType="end"/>
      </w:r>
      <w:r w:rsidRPr="005863D9">
        <w:t>:Analyses performed on the NDI-C6 crystal at various water concentrations: water oxygen-oxygen radial distribution function (panel a), tetrahedral order parameter (panel b), Lechner-</w:t>
      </w:r>
      <w:proofErr w:type="spellStart"/>
      <w:r w:rsidRPr="005863D9">
        <w:t>Dellago</w:t>
      </w:r>
      <w:proofErr w:type="spellEnd"/>
      <w:r w:rsidRPr="005863D9">
        <w:t xml:space="preserve"> order parameters (panel c)</w:t>
      </w:r>
    </w:p>
    <w:p w14:paraId="00BACB49" w14:textId="77777777" w:rsidR="004C091A" w:rsidRPr="005863D9" w:rsidRDefault="004C091A" w:rsidP="004C091A"/>
    <w:p w14:paraId="3A4173C5" w14:textId="67C29DE5" w:rsidR="00F0201E" w:rsidRPr="005863D9" w:rsidRDefault="00F0201E" w:rsidP="00F0201E">
      <w:pPr>
        <w:keepNext/>
      </w:pPr>
      <w:r w:rsidRPr="005863D9">
        <w:t xml:space="preserve">In Figure S4 are reported the computed N-N radial distribution functions for </w:t>
      </w:r>
      <w:r w:rsidRPr="005863D9">
        <w:rPr>
          <w:lang w:val="en-GB"/>
        </w:rPr>
        <w:t xml:space="preserve">both </w:t>
      </w:r>
      <w:r w:rsidRPr="005863D9">
        <w:rPr>
          <w:b/>
          <w:bCs/>
          <w:lang w:val="en-GB"/>
        </w:rPr>
        <w:t>NDI-C6</w:t>
      </w:r>
      <w:r w:rsidRPr="005863D9">
        <w:rPr>
          <w:lang w:val="en-GB"/>
        </w:rPr>
        <w:t xml:space="preserve"> and </w:t>
      </w:r>
      <w:r w:rsidRPr="005863D9">
        <w:rPr>
          <w:b/>
          <w:bCs/>
          <w:lang w:val="en-GB"/>
        </w:rPr>
        <w:t>NDI-TEG</w:t>
      </w:r>
      <w:r w:rsidRPr="005863D9">
        <w:rPr>
          <w:lang w:val="en-GB"/>
        </w:rPr>
        <w:t xml:space="preserve"> </w:t>
      </w:r>
      <w:r w:rsidR="00B1639B" w:rsidRPr="005863D9">
        <w:rPr>
          <w:lang w:val="en-GB"/>
        </w:rPr>
        <w:t xml:space="preserve">at </w:t>
      </w:r>
      <w:r w:rsidRPr="005863D9">
        <w:rPr>
          <w:lang w:val="en-GB"/>
        </w:rPr>
        <w:t xml:space="preserve">1:3 hydration, comparing the results with respect to the respective single crystals </w:t>
      </w:r>
      <w:r w:rsidRPr="005863D9">
        <w:rPr>
          <w:lang w:val="en-GB"/>
        </w:rPr>
        <w:lastRenderedPageBreak/>
        <w:t>as equilibrated via MD simulations, and the experimental XRD structures reported in literature.</w:t>
      </w:r>
    </w:p>
    <w:p w14:paraId="40829313" w14:textId="77777777" w:rsidR="00F0201E" w:rsidRPr="005863D9" w:rsidRDefault="00F0201E" w:rsidP="00F0201E">
      <w:pPr>
        <w:keepNext/>
      </w:pPr>
    </w:p>
    <w:p w14:paraId="42CFD594" w14:textId="7B7860AC" w:rsidR="00F0201E" w:rsidRPr="005863D9" w:rsidRDefault="00F0201E" w:rsidP="004C091A">
      <w:r w:rsidRPr="005863D9">
        <w:rPr>
          <w:noProof/>
        </w:rPr>
        <w:drawing>
          <wp:inline distT="0" distB="0" distL="0" distR="0" wp14:anchorId="54218F02" wp14:editId="47509C88">
            <wp:extent cx="6120130" cy="2428240"/>
            <wp:effectExtent l="0" t="0" r="1270" b="0"/>
            <wp:docPr id="1381007351" name="Picture 1" descr="A screenshot of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1007351" name="Picture 1" descr="A screenshot of a graph&#10;&#10;AI-generated content may be incorrect."/>
                    <pic:cNvPicPr/>
                  </pic:nvPicPr>
                  <pic:blipFill>
                    <a:blip r:embed="rId11" cstate="print">
                      <a:extLst>
                        <a:ext uri="{28A0092B-C50C-407E-A947-70E740481C1C}">
                          <a14:useLocalDpi xmlns:a14="http://schemas.microsoft.com/office/drawing/2010/main" val="0"/>
                        </a:ext>
                      </a:extLst>
                    </a:blip>
                    <a:stretch>
                      <a:fillRect/>
                    </a:stretch>
                  </pic:blipFill>
                  <pic:spPr>
                    <a:xfrm>
                      <a:off x="0" y="0"/>
                      <a:ext cx="6120130" cy="2428240"/>
                    </a:xfrm>
                    <a:prstGeom prst="rect">
                      <a:avLst/>
                    </a:prstGeom>
                  </pic:spPr>
                </pic:pic>
              </a:graphicData>
            </a:graphic>
          </wp:inline>
        </w:drawing>
      </w:r>
    </w:p>
    <w:p w14:paraId="54F33232" w14:textId="44098C63" w:rsidR="004C091A" w:rsidRPr="005863D9" w:rsidRDefault="004C091A" w:rsidP="004C091A">
      <w:pPr>
        <w:rPr>
          <w:i/>
          <w:iCs/>
          <w:sz w:val="18"/>
          <w:szCs w:val="18"/>
        </w:rPr>
      </w:pPr>
      <w:r w:rsidRPr="005863D9">
        <w:rPr>
          <w:i/>
          <w:iCs/>
          <w:sz w:val="18"/>
          <w:szCs w:val="18"/>
        </w:rPr>
        <w:t>Figure S4</w:t>
      </w:r>
      <w:r w:rsidR="00F0201E" w:rsidRPr="005863D9">
        <w:rPr>
          <w:i/>
          <w:iCs/>
          <w:sz w:val="18"/>
          <w:szCs w:val="18"/>
        </w:rPr>
        <w:t xml:space="preserve">: (left panel) </w:t>
      </w:r>
      <w:r w:rsidR="00F0201E" w:rsidRPr="005863D9">
        <w:rPr>
          <w:b/>
          <w:bCs/>
          <w:i/>
          <w:iCs/>
          <w:sz w:val="18"/>
          <w:szCs w:val="18"/>
        </w:rPr>
        <w:t>NDI-C6</w:t>
      </w:r>
      <w:r w:rsidR="00F0201E" w:rsidRPr="005863D9">
        <w:rPr>
          <w:i/>
          <w:iCs/>
          <w:sz w:val="18"/>
          <w:szCs w:val="18"/>
        </w:rPr>
        <w:t xml:space="preserve"> N-N g(r) comparing experimental XRD structure (blue), equilibrated MD simulation of pristine crystal (orange) and </w:t>
      </w:r>
      <w:r w:rsidR="00F0201E" w:rsidRPr="005863D9">
        <w:rPr>
          <w:b/>
          <w:bCs/>
          <w:i/>
          <w:iCs/>
          <w:sz w:val="18"/>
          <w:szCs w:val="18"/>
        </w:rPr>
        <w:t>NDI-C6</w:t>
      </w:r>
      <w:r w:rsidR="00F0201E" w:rsidRPr="005863D9">
        <w:rPr>
          <w:i/>
          <w:iCs/>
          <w:sz w:val="18"/>
          <w:szCs w:val="18"/>
        </w:rPr>
        <w:t xml:space="preserve">:water (1:3) (green). (right panel) </w:t>
      </w:r>
      <w:r w:rsidR="00F0201E" w:rsidRPr="005863D9">
        <w:rPr>
          <w:b/>
          <w:bCs/>
          <w:i/>
          <w:iCs/>
          <w:sz w:val="18"/>
          <w:szCs w:val="18"/>
        </w:rPr>
        <w:t>NDI-TEG</w:t>
      </w:r>
      <w:r w:rsidR="00B1639B" w:rsidRPr="005863D9">
        <w:rPr>
          <w:i/>
          <w:iCs/>
          <w:sz w:val="18"/>
          <w:szCs w:val="18"/>
        </w:rPr>
        <w:t xml:space="preserve"> </w:t>
      </w:r>
      <w:r w:rsidR="00F0201E" w:rsidRPr="005863D9">
        <w:rPr>
          <w:i/>
          <w:iCs/>
          <w:sz w:val="18"/>
          <w:szCs w:val="18"/>
        </w:rPr>
        <w:t xml:space="preserve">N-N g(r) comparing experimental XRD structure (blue), equilibrated MD simulation of pristine crystal (orange) and </w:t>
      </w:r>
      <w:proofErr w:type="spellStart"/>
      <w:r w:rsidR="00F0201E" w:rsidRPr="005863D9">
        <w:rPr>
          <w:b/>
          <w:bCs/>
          <w:i/>
          <w:iCs/>
          <w:sz w:val="18"/>
          <w:szCs w:val="18"/>
        </w:rPr>
        <w:t>NDI-TEG</w:t>
      </w:r>
      <w:r w:rsidR="00F0201E" w:rsidRPr="005863D9">
        <w:rPr>
          <w:i/>
          <w:iCs/>
          <w:sz w:val="18"/>
          <w:szCs w:val="18"/>
        </w:rPr>
        <w:t>:water</w:t>
      </w:r>
      <w:proofErr w:type="spellEnd"/>
      <w:r w:rsidR="00F0201E" w:rsidRPr="005863D9">
        <w:rPr>
          <w:i/>
          <w:iCs/>
          <w:sz w:val="18"/>
          <w:szCs w:val="18"/>
        </w:rPr>
        <w:t xml:space="preserve"> (1:3) (green).</w:t>
      </w:r>
    </w:p>
    <w:p w14:paraId="27831F15" w14:textId="5A51250C" w:rsidR="0063413B" w:rsidRPr="005863D9" w:rsidRDefault="0063413B" w:rsidP="00060EF3">
      <w:pPr>
        <w:pStyle w:val="Heading1"/>
        <w:rPr>
          <w:b/>
          <w:bCs/>
          <w:sz w:val="28"/>
          <w:szCs w:val="28"/>
        </w:rPr>
      </w:pPr>
      <w:bookmarkStart w:id="1" w:name="_Toc222389118"/>
      <w:r w:rsidRPr="005863D9">
        <w:rPr>
          <w:b/>
          <w:bCs/>
          <w:sz w:val="28"/>
          <w:szCs w:val="28"/>
        </w:rPr>
        <w:t>Simulation Details</w:t>
      </w:r>
      <w:bookmarkEnd w:id="1"/>
    </w:p>
    <w:p w14:paraId="05BB44D0" w14:textId="1634CFC2" w:rsidR="00B54E51" w:rsidRPr="005863D9" w:rsidRDefault="00AB17C5" w:rsidP="00060EF3">
      <w:pPr>
        <w:pStyle w:val="Heading2"/>
        <w:rPr>
          <w:b/>
          <w:bCs/>
          <w:sz w:val="24"/>
          <w:szCs w:val="24"/>
        </w:rPr>
      </w:pPr>
      <w:bookmarkStart w:id="2" w:name="_Toc222389119"/>
      <w:r w:rsidRPr="005863D9">
        <w:rPr>
          <w:b/>
          <w:bCs/>
          <w:sz w:val="24"/>
          <w:szCs w:val="24"/>
        </w:rPr>
        <w:t>F</w:t>
      </w:r>
      <w:r w:rsidR="00B54E51" w:rsidRPr="005863D9">
        <w:rPr>
          <w:b/>
          <w:bCs/>
          <w:sz w:val="24"/>
          <w:szCs w:val="24"/>
        </w:rPr>
        <w:t>orce Field</w:t>
      </w:r>
      <w:bookmarkEnd w:id="2"/>
    </w:p>
    <w:p w14:paraId="064FDE9E" w14:textId="0A1E77BB" w:rsidR="00B54E51" w:rsidRPr="005863D9" w:rsidRDefault="00984590" w:rsidP="009C3C85">
      <w:pPr>
        <w:jc w:val="both"/>
      </w:pPr>
      <w:r w:rsidRPr="005863D9">
        <w:t xml:space="preserve">The </w:t>
      </w:r>
      <w:r w:rsidR="00570073" w:rsidRPr="005863D9">
        <w:t xml:space="preserve">force field employed for the description of </w:t>
      </w:r>
      <w:r w:rsidR="00570073" w:rsidRPr="005863D9">
        <w:rPr>
          <w:b/>
          <w:bCs/>
        </w:rPr>
        <w:t>NDI-TEG</w:t>
      </w:r>
      <w:r w:rsidR="00570073" w:rsidRPr="005863D9">
        <w:t xml:space="preserve"> and -C6 </w:t>
      </w:r>
      <w:r w:rsidR="003232F1" w:rsidRPr="005863D9">
        <w:t>has been obtained following the same procedure reported in ref</w:t>
      </w:r>
      <w:r w:rsidR="003232F1" w:rsidRPr="005863D9">
        <w:fldChar w:fldCharType="begin"/>
      </w:r>
      <w:r w:rsidR="003232F1" w:rsidRPr="005863D9">
        <w:instrText xml:space="preserve"> ADDIN ZOTERO_ITEM CSL_CITATION {"citationID":"DnRTNhkr","properties":{"formattedCitation":"\\super 1\\nosupersub{}","plainCitation":"1","noteIndex":0},"citationItems":[{"id":1968,"uris":["http://zotero.org/users/11669260/items/KTSEPWFS"],"itemData":{"id":1968,"type":"article-journal","abstract":"Naphthalene diimide (NDI) based molecules are soft organic functional materials investigated for their n-type semiconducting properties and, recently, for their coupled electronic and ionic transport properties. Such qualities make them potential candidates as mixed ionic-electronic conductors (OMIECs) for electrochemical energy storage devices and bioelectronic sensors. A key aspect is the rationalization of their solid-state structure and morphology, which ultimately controls their transport properties. Here, we introduce two newly synthesized NDIs, namely, NDI-TEG, functionalised with linear triethylene glycol side chains, and NDI-crown, with 15-crown-5 rings. Their bulk structural properties, investigated via experimental characterization and state-of-the-art molecular dynamics (MD) simulations, are compared with those of the parental species NDI-C10, featuring symmetrical n-decyl side chains. Our MD simulations reproduce remarkably well the experimental crystal structures of NDI-C10 and NDI-TEG. At the same time, we compute ex novo the amorphous morphology of NDI-crown, by simulating the experimental film casting conditions. Structural order parameters and correlation functions allow us to gain detailed atomistic insights into both short- and long-range order, as well as to investigate the thermal disorder effects, highlighting the role of the functional side groups. Our study establishes a validated computational ground for modelling NDIs in condensed solid phases, benchmarking the procedure with respect to experimental XRD data, and extending it to amorphous films, thus paving the way for an in-depth understanding of the structure–property functions of small molecule n-type semiconductors.","container-title":"Journal of Materials Chemistry C","DOI":"10.1039/D5TC02399H","ISSN":"2050-7534","journalAbbreviation":"J. Mater. Chem. C","language":"en","note":"publisher: The Royal Society of Chemistry","source":"pubs.rsc.org","title":"Disclosing the molecular structure and dynamics of naphthalene diimide based organic semiconductors in the solid state","URL":"https://pubs.rsc.org/en/content/articlelanding/2025/tc/d5tc02399h","author":[{"family":"Severi","given":"Marco"},{"family":"Yu","given":"Simiao"},{"family":"Abrahams","given":"Isaac"},{"family":"Nielsen","given":"Christian B."},{"family":"Fazzi","given":"Daniele"}],"accessed":{"date-parts":[["2025",11,17]]},"issued":{"date-parts":[["2025",10,21]]}}}],"schema":"https://github.com/citation-style-language/schema/raw/master/csl-citation.json"} </w:instrText>
      </w:r>
      <w:r w:rsidR="003232F1" w:rsidRPr="005863D9">
        <w:fldChar w:fldCharType="separate"/>
      </w:r>
      <w:r w:rsidR="003232F1" w:rsidRPr="005863D9">
        <w:rPr>
          <w:rFonts w:ascii="Aptos" w:hAnsi="Aptos" w:cs="Times New Roman"/>
          <w:kern w:val="0"/>
          <w:vertAlign w:val="superscript"/>
        </w:rPr>
        <w:t>1</w:t>
      </w:r>
      <w:r w:rsidR="003232F1" w:rsidRPr="005863D9">
        <w:fldChar w:fldCharType="end"/>
      </w:r>
      <w:r w:rsidR="003232F1" w:rsidRPr="005863D9">
        <w:t xml:space="preserve">. </w:t>
      </w:r>
      <w:r w:rsidR="00E264F0" w:rsidRPr="005863D9">
        <w:t>The bonded parameters have been taken from the OPLS-AA/2020</w:t>
      </w:r>
      <w:r w:rsidR="00E264F0" w:rsidRPr="005863D9">
        <w:fldChar w:fldCharType="begin"/>
      </w:r>
      <w:r w:rsidR="00E264F0" w:rsidRPr="005863D9">
        <w:instrText xml:space="preserve"> ADDIN ZOTERO_ITEM CSL_CITATION {"citationID":"VHeOH2WK","properties":{"formattedCitation":"\\super 2\\nosupersub{}","plainCitation":"2","noteIndex":0},"citationItems":[{"id":682,"uris":["http://zotero.org/users/11669260/items/FIRH9NPE"],"itemData":{"id":682,"type":"article-journal","abstract":"The OPLS all-atom force field was updated and applied to modeling unsaturated hydrocarbons, alcohols, and ethers. Testing has included gas-phase conformational energetics, properties of pure liquids, and free energies of hydration. Monte Carlo statistical mechanics (MC) calculations were used to model 60 liquids. In addition, a robust, automated procedure was devised to compute the free energies of hydration with high precision via free-energy perturbation (FEP) calculations using double annihilation. Testing has included larger molecules than in the past, and parameters are reported for the first time for some less common groups including alkynes, allenes, dienes, and acetals. The average errors in comparison with experimental data for the computed properties of the pure liquids were improved with the modified force field (OPLS/2020). For liquid densities and heats of vaporization, the average unsigned errors are 0.01 g/cm3 and 0.2 kcal/mol. The average error and signed error for free energies of hydration are both 1.2 kcal/mol. As noted before, this reflects a systematic overestimate of the hydrophobicity of organic molecules when the parametrization is done to minimize the errors for properties of pure liquids. Implications for the modeling of biomolecular systems with standard force fields are considered.","container-title":"The Journal of Physical Chemistry B","DOI":"10.1021/acs.jpcb.3c06602","ISSN":"1520-6106","issue":"1","journalAbbreviation":"J. Phys. Chem. B","note":"publisher: American Chemical Society","page":"250-262","source":"ACS Publications","title":"OPLS/2020 Force Field for Unsaturated Hydrocarbons, Alcohols, and Ethers","volume":"128","author":[{"family":"Jorgensen","given":"William L."},{"family":"Ghahremanpour","given":"Mohammad M."},{"family":"Saar","given":"Anastasia"},{"family":"Tirado-Rives","given":"Julian"}],"issued":{"date-parts":[["2024",1,11]]}}}],"schema":"https://github.com/citation-style-language/schema/raw/master/csl-citation.json"} </w:instrText>
      </w:r>
      <w:r w:rsidR="00E264F0" w:rsidRPr="005863D9">
        <w:fldChar w:fldCharType="separate"/>
      </w:r>
      <w:r w:rsidR="00E264F0" w:rsidRPr="005863D9">
        <w:rPr>
          <w:rFonts w:ascii="Aptos" w:hAnsi="Aptos" w:cs="Times New Roman"/>
          <w:kern w:val="0"/>
          <w:vertAlign w:val="superscript"/>
        </w:rPr>
        <w:t>2</w:t>
      </w:r>
      <w:r w:rsidR="00E264F0" w:rsidRPr="005863D9">
        <w:fldChar w:fldCharType="end"/>
      </w:r>
      <w:r w:rsidR="00042352" w:rsidRPr="005863D9">
        <w:t xml:space="preserve"> force field. We reparametrized the non-bonded parameters</w:t>
      </w:r>
      <w:r w:rsidR="00970AF0" w:rsidRPr="005863D9">
        <w:t xml:space="preserve"> applying the </w:t>
      </w:r>
      <w:proofErr w:type="spellStart"/>
      <w:r w:rsidR="00970AF0" w:rsidRPr="005863D9">
        <w:t>Tkatchenko</w:t>
      </w:r>
      <w:proofErr w:type="spellEnd"/>
      <w:r w:rsidR="00970AF0" w:rsidRPr="005863D9">
        <w:t>–Scheffler</w:t>
      </w:r>
      <w:r w:rsidR="009E450C" w:rsidRPr="005863D9">
        <w:t xml:space="preserve"> (T-S)</w:t>
      </w:r>
      <w:r w:rsidR="00970AF0" w:rsidRPr="005863D9">
        <w:t xml:space="preserve"> method</w:t>
      </w:r>
      <w:r w:rsidR="00697B14" w:rsidRPr="005863D9">
        <w:fldChar w:fldCharType="begin"/>
      </w:r>
      <w:r w:rsidR="00697B14" w:rsidRPr="005863D9">
        <w:instrText xml:space="preserve"> ADDIN ZOTERO_ITEM CSL_CITATION {"citationID":"uDWT7IkE","properties":{"formattedCitation":"\\super 3\\uc0\\u8211{}5\\nosupersub{}","plainCitation":"3–5","noteIndex":0},"citationItems":[{"id":688,"uris":["http://zotero.org/users/11669260/items/R29HPBGQ"],"itemData":{"id":688,"type":"article-journal","abstract":"We present a parameter-free method for an accurate determination of long-range van der Waals interactions from mean-field electronic structure calculations. Our method relies on the summation of interatomic </w:instrText>
      </w:r>
      <w:r w:rsidR="00697B14" w:rsidRPr="005863D9">
        <w:rPr>
          <w:rFonts w:ascii="Cambria Math" w:hAnsi="Cambria Math" w:cs="Cambria Math"/>
        </w:rPr>
        <w:instrText>𝐶</w:instrText>
      </w:r>
      <w:r w:rsidR="00697B14" w:rsidRPr="005863D9">
        <w:instrText xml:space="preserve">6 coefficients, derived from the electron density of a molecule or solid and accurate reference data for the free atoms. The mean absolute error in the </w:instrText>
      </w:r>
      <w:r w:rsidR="00697B14" w:rsidRPr="005863D9">
        <w:rPr>
          <w:rFonts w:ascii="Cambria Math" w:hAnsi="Cambria Math" w:cs="Cambria Math"/>
        </w:rPr>
        <w:instrText>𝐶</w:instrText>
      </w:r>
      <w:r w:rsidR="00697B14" w:rsidRPr="005863D9">
        <w:instrText xml:space="preserve">6 coefficients is 5.5% when compared to accurate experimental values for 1225 intermolecular pairs, irrespective of the employed exchange-correlation functional. We show that the effective atomic </w:instrText>
      </w:r>
      <w:r w:rsidR="00697B14" w:rsidRPr="005863D9">
        <w:rPr>
          <w:rFonts w:ascii="Cambria Math" w:hAnsi="Cambria Math" w:cs="Cambria Math"/>
        </w:rPr>
        <w:instrText>𝐶</w:instrText>
      </w:r>
      <w:r w:rsidR="00697B14" w:rsidRPr="005863D9">
        <w:instrText xml:space="preserve">6 coefficients depend strongly on the bonding environment of an atom in a molecule. Finally, we analyze the van der Waals radii and the damping function in the </w:instrText>
      </w:r>
      <w:r w:rsidR="00697B14" w:rsidRPr="005863D9">
        <w:rPr>
          <w:rFonts w:ascii="Cambria Math" w:hAnsi="Cambria Math" w:cs="Cambria Math"/>
        </w:rPr>
        <w:instrText>𝐶</w:instrText>
      </w:r>
      <w:r w:rsidR="00697B14" w:rsidRPr="005863D9">
        <w:instrText>6</w:instrText>
      </w:r>
      <w:r w:rsidR="00697B14" w:rsidRPr="005863D9">
        <w:rPr>
          <w:rFonts w:ascii="Cambria Math" w:hAnsi="Cambria Math" w:cs="Cambria Math"/>
        </w:rPr>
        <w:instrText>⁢𝑅</w:instrText>
      </w:r>
      <w:r w:rsidR="00697B14" w:rsidRPr="005863D9">
        <w:instrText>−6 correction method for density-functional theory calculations.","container-title":"Physical Review Letters","DOI":"10.1103/PhysRevLett.102.073005","issue":"7","journalAbbreviation":"Phys. Rev. Lett.","note":"publisher: American Physical Society","page":"073005","source":"APS","title":"Accurate Molecular Van Der Waals Interactions from Ground-State Electron Density and Free-Atom Reference Data","volume":"102","author":[{"family":"Tkatchenko","given":"Alexandre"},{"family":"Scheffler","given":"Matthias"}],"issued":{"date-parts":[["2009",2,20]]}}},{"id":698,"uris":["http://zotero.org/users/11669260/items/IHVTXW35"],"itemData":{"id":698,"type":"article-journal","abstract":"Glass transition temperature, Tg, is the key quantity for assessing morphological stability and molecular ordering of films of organic semiconductors. A reliable prediction of Tg from the chemical structure is, however, challenging, as it is sensitive to both molecular interactions and analysis of the heating or cooling process. By combining a fitting protocol with an automated workflow for forcefield parameterization, we predict Tg with a mean absolute error of ~20</w:instrText>
      </w:r>
      <w:r w:rsidR="00697B14" w:rsidRPr="005863D9">
        <w:rPr>
          <w:rFonts w:ascii="Arial" w:hAnsi="Arial" w:cs="Arial"/>
        </w:rPr>
        <w:instrText> </w:instrText>
      </w:r>
      <w:r w:rsidR="00697B14" w:rsidRPr="005863D9">
        <w:rPr>
          <w:rFonts w:ascii="Aptos" w:hAnsi="Aptos" w:cs="Aptos"/>
        </w:rPr>
        <w:instrText>°</w:instrText>
      </w:r>
      <w:r w:rsidR="00697B14" w:rsidRPr="005863D9">
        <w:instrText>C for a set of organic compounds with Tg in the 50</w:instrText>
      </w:r>
      <w:r w:rsidR="00697B14" w:rsidRPr="005863D9">
        <w:rPr>
          <w:rFonts w:ascii="Aptos" w:hAnsi="Aptos" w:cs="Aptos"/>
        </w:rPr>
        <w:instrText>–</w:instrText>
      </w:r>
      <w:r w:rsidR="00697B14" w:rsidRPr="005863D9">
        <w:instrText>230</w:instrText>
      </w:r>
      <w:r w:rsidR="00697B14" w:rsidRPr="005863D9">
        <w:rPr>
          <w:rFonts w:ascii="Arial" w:hAnsi="Arial" w:cs="Arial"/>
        </w:rPr>
        <w:instrText> </w:instrText>
      </w:r>
      <w:r w:rsidR="00697B14" w:rsidRPr="005863D9">
        <w:rPr>
          <w:rFonts w:ascii="Aptos" w:hAnsi="Aptos" w:cs="Aptos"/>
        </w:rPr>
        <w:instrText>°</w:instrText>
      </w:r>
      <w:r w:rsidR="00697B14" w:rsidRPr="005863D9">
        <w:instrText xml:space="preserve">C range. Our study establishes a reliable and automated prescreening procedure for the design of amorphous organic semiconductors, essential for the optimization and development of organic light-emitting diodes.","container-title":"npj Computational Materials","DOI":"10.1038/s41524-021-00647-w","ISSN":"2057-3960","issue":"1","journalAbbreviation":"npj Comput Mater","language":"en","license":"2021 The Author(s)","note":"publisher: Nature Publishing Group","page":"1-7","source":"www-nature-com.ezproxy.unibo.it","title":"Glass transition temperature prediction of disordered molecular solids","volume":"7","author":[{"family":"Lin","given":"Kun-Han"},{"family":"Paterson","given":"Leanne"},{"family":"May","given":"Falk"},{"family":"Andrienko","given":"Denis"}],"issued":{"date-parts":[["2021",11,8]]}}},{"id":696,"uris":["http://zotero.org/users/11669260/items/IX4VELRH"],"itemData":{"id":696,"type":"article-journal","abstract":"Molecular mechanics force fields, which are commonly used in biomolecular modeling and computer-aided drug design, typically treat nonbonded interactions using a limited library of empirical parameters that are developed for small molecules. This approach does not account for polarization in larger molecules or proteins, and the parametrization process is labor-intensive. Using linear-scaling density functional theory and atoms-in-molecule electron density partitioning, environment-specific charges and Lennard-Jones parameters are derived directly from quantum mechanical calculations for use in biomolecular modeling of organic and biomolecular systems. The proposed methods significantly reduce the number of empirical parameters needed to construct molecular mechanics force fields, naturally include polarization effects in charge and Lennard-Jones parameters, and scale well to systems comprised of thousands of atoms, including proteins. The feasibility and benefits of this approach are demonstrated by computing free energies of hydration, properties of pure liquids, and the relative binding free energies of indole and benzofuran to the L99A mutant of T4 lysozyme.","container-title":"Journal of Chemical Theory and Computation","DOI":"10.1021/acs.jctc.6b00027","ISSN":"1549-9618","issue":"5","journalAbbreviation":"J. Chem. Theory Comput.","note":"publisher: American Chemical Society","page":"2312-2323","source":"ACS Publications","title":"Biomolecular Force Field Parameterization via Atoms-in-Molecule Electron Density Partitioning","volume":"12","author":[{"family":"Cole","given":"Daniel J."},{"family":"Vilseck","given":"Jonah Z."},{"family":"Tirado-Rives","given":"Julian"},{"family":"Payne","given":"Mike C."},{"family":"Jorgensen","given":"William L."}],"issued":{"date-parts":[["2016",5,10]]}}}],"schema":"https://github.com/citation-style-language/schema/raw/master/csl-citation.json"} </w:instrText>
      </w:r>
      <w:r w:rsidR="00697B14" w:rsidRPr="005863D9">
        <w:fldChar w:fldCharType="separate"/>
      </w:r>
      <w:r w:rsidR="00697B14" w:rsidRPr="005863D9">
        <w:rPr>
          <w:rFonts w:ascii="Aptos" w:hAnsi="Aptos" w:cs="Times New Roman"/>
          <w:kern w:val="0"/>
          <w:vertAlign w:val="superscript"/>
        </w:rPr>
        <w:t>3–5</w:t>
      </w:r>
      <w:r w:rsidR="00697B14" w:rsidRPr="005863D9">
        <w:fldChar w:fldCharType="end"/>
      </w:r>
      <w:r w:rsidR="00970AF0" w:rsidRPr="005863D9">
        <w:t>.</w:t>
      </w:r>
      <w:r w:rsidR="009E450C" w:rsidRPr="005863D9">
        <w:t xml:space="preserve"> The T-S method requires a quantum chemical calculation</w:t>
      </w:r>
      <w:r w:rsidR="001931F4" w:rsidRPr="005863D9">
        <w:t xml:space="preserve"> to derive the atomic effective volume</w:t>
      </w:r>
      <w:r w:rsidR="009E450C" w:rsidRPr="005863D9">
        <w:t>, which has been performed using Gaussian16</w:t>
      </w:r>
      <w:r w:rsidR="009E450C" w:rsidRPr="005863D9">
        <w:fldChar w:fldCharType="begin"/>
      </w:r>
      <w:r w:rsidR="00697B14" w:rsidRPr="005863D9">
        <w:instrText xml:space="preserve"> ADDIN ZOTERO_ITEM CSL_CITATION {"citationID":"PSqqJo7O","properties":{"formattedCitation":"\\super 6\\nosupersub{}","plainCitation":"6","noteIndex":0},"citationItems":[{"id":117,"uris":["http://zotero.org/users/11669260/items/5FVQEFRD"],"itemData":{"id":117,"type":"article-journal","title":"Gaussian˜16 Revision C.01","author":[{"family":"Frisch","given":"M J"},{"family":"Trucks","given":"G W"},{"family":"Schlegel","given":"H B"},{"family":"Scuseria","given":"G E"},{"family":"Robb","given":"M A"},{"family":"Cheeseman","given":"J R"},{"family":"Scalmani","given":"G"},{"family":"Barone","given":"V"},{"family":"Petersson","given":"G A"},{"family":"Nakatsuji","given":"H"},{"family":"Li","given":"X"},{"family":"Caricato","given":"M"},{"family":"Marenich","given":"A V"},{"family":"Bloino","given":"J"},{"family":"Janesko","given":"B G"},{"family":"Gomperts","given":"R"},{"family":"Mennucci","given":"B"},{"family":"Hratchian","given":"H P"},{"family":"Ortiz","given":"J V"},{"family":"Izmaylov","given":"A F"},{"family":"Sonnenberg","given":"J L"},{"family":"Williams-Young","given":"D"},{"family":"Ding","given":"F"},{"family":"Lipparini","given":"F"},{"family":"Egidi","given":"F"},{"family":"Goings","given":"J"},{"family":"Peng","given":"B"},{"family":"Petrone","given":"A"},{"family":"Henderson","given":"T"},{"family":"Ranasinghe","given":"D"},{"family":"Zakrzewski","given":"V G"},{"family":"Gao","given":"J"},{"family":"Rega","given":"N"},{"family":"Zheng","given":"G"},{"family":"Liang","given":"W"},{"family":"Hada","given":"M"},{"family":"Ehara","given":"M"},{"family":"Toyota","given":"K"},{"family":"Fukuda","given":"R"},{"family":"Hasegawa","given":"J"},{"family":"Ishida","given":"M"},{"family":"Nakajima","given":"T"},{"family":"Honda","given":"Y"},{"family":"Kitao","given":"O"},{"family":"Nakai","given":"H"},{"family":"Vreven","given":"T"},{"family":"Throssell","given":"K"},{"family":"Montgomery Jr.","given":"J A"},{"family":"Peralta","given":"J E"},{"family":"Ogliaro","given":"F"},{"family":"Bearpark","given":"M J"},{"family":"Heyd","given":"J J"},{"family":"Brothers","given":"E N"},{"family":"Kudin","given":"K N"},{"family":"Staroverov","given":"V N"},{"family":"Keith","given":"T A"},{"family":"Kobayashi","given":"R"},{"family":"Normand","given":"J"},{"family":"Raghavachari","given":"K"},{"family":"Rendell","given":"A P"},{"family":"Burant","given":"J C"},{"family":"Iyengar","given":"S S"},{"family":"Tomasi","given":"J"},{"family":"Cossi","given":"M"},{"family":"Millam","given":"J M"},{"family":"Klene","given":"M"},{"family":"Adamo","given":"C"},{"family":"Cammi","given":"R"},{"family":"Ochterski","given":"J W"},{"family":"Martin","given":"R L"},{"family":"Morokuma","given":"K"},{"family":"Farkas","given":"O"},{"family":"Foresman","given":"J B"},{"family":"Fox","given":"D J"}],"issued":{"date-parts":[["2016"]]}}}],"schema":"https://github.com/citation-style-language/schema/raw/master/csl-citation.json"} </w:instrText>
      </w:r>
      <w:r w:rsidR="009E450C" w:rsidRPr="005863D9">
        <w:fldChar w:fldCharType="separate"/>
      </w:r>
      <w:r w:rsidR="00697B14" w:rsidRPr="005863D9">
        <w:rPr>
          <w:rFonts w:ascii="Aptos" w:hAnsi="Aptos" w:cs="Times New Roman"/>
          <w:kern w:val="0"/>
          <w:vertAlign w:val="superscript"/>
        </w:rPr>
        <w:t>6</w:t>
      </w:r>
      <w:r w:rsidR="009E450C" w:rsidRPr="005863D9">
        <w:fldChar w:fldCharType="end"/>
      </w:r>
      <w:r w:rsidR="009E450C" w:rsidRPr="005863D9">
        <w:t> considering the ωB97X-D2 range separated functional and the def2-TZVPP basis set</w:t>
      </w:r>
      <w:r w:rsidR="00EA1071" w:rsidRPr="005863D9">
        <w:fldChar w:fldCharType="begin"/>
      </w:r>
      <w:r w:rsidR="00697B14" w:rsidRPr="005863D9">
        <w:instrText xml:space="preserve"> ADDIN ZOTERO_ITEM CSL_CITATION {"citationID":"nVYwLmlr","properties":{"formattedCitation":"\\super 7,8\\nosupersub{}","plainCitation":"7,8","noteIndex":0},"citationItems":[{"id":119,"uris":["http://zotero.org/users/11669260/items/I6RMIZCQ"],"itemData":{"id":119,"type":"article-journal","abstract":"We report re-optimization of a recently proposed long-range corrected (LC) hybrid density functional [J.-D. Chai and M. Head-Gordon{,} J. Chem. Phys.{,} 2008{,} 128{,} 084106] to include empirical atom–atom dispersion corrections. The resulting functional{,} ωB97X-D yields satisfactory accuracy for thermochemistry{,} kinetics{,} and non-covalent interactions. Tests show that for non-covalent systems{,} ωB97X-D shows slight improvement over other empirical dispersion-corrected density functionals{,} while for covalent systems and kinetics it performs noticeably better. Relative to our previous functionals{,} such as ωB97X{,} the new functional is significantly superior for non-bonded interactions{,} and very similar in performance for bonded interactions.","container-title":"Phys. Chem. Chem. Phys.","DOI":"10.1039/B810189B","issue":"44","page":"6615–6620","title":"Long-range corrected hybrid density functionals with damped atom–atom dispersion corrections","volume":"10","author":[{"family":"Chai","given":"Jeng-Da"},{"family":"Head-Gordon","given":"Martin"}],"issued":{"date-parts":[["2008"]]}}},{"id":145,"uris":["http://zotero.org/users/11669260/items/KQ6ZYR22"],"itemData":{"id":145,"type":"article-journal","abstract":"A series of auxiliary basis sets to fit Coulomb potentials for the elements H to Rn (except lanthanides) is presented. For each element only one auxiliary basis set is needed to approximate Coulomb energies in conjunction with orbital basis sets of split valence, triple zeta valence and quadruple zeta valence quality with errors of typically below ca. 0.15 kJ mol−1 per atom; this was demonstrated in conjunction with the recently developed orbital basis sets of types def2-SV(P), def2-TZVP and def2-QZVPP for a large set of small molecules representing (nearly) each element in all of its common oxidation states. These auxiliary bases are slightly more than three times larger than orbital bases of split valence quality. Compared to non-approximated treatments, computation times for the Coulomb part are reduced by a factor of ca. 8 for def2-SV(P) orbital bases, ca. 25 for def2-TZVP and ca. 100 for def2-QZVPP orbital bases.","container-title":"Physical Chemistry Chemical Physics","DOI":"10.1039/B515623H","ISSN":"1463-9084","issue":"9","journalAbbreviation":"Phys. Chem. Chem. Phys.","language":"en","note":"number: 9\npublisher: The Royal Society of Chemistry","page":"1057-1065","source":"pubs-rsc-org.ezproxy.unibo.it","title":"Accurate Coulomb-fitting basis sets for H to Rn","volume":"8","author":[{"family":"Weigend","given":"Florian"}],"issued":{"date-parts":[["2006",2,23]]}}}],"schema":"https://github.com/citation-style-language/schema/raw/master/csl-citation.json"} </w:instrText>
      </w:r>
      <w:r w:rsidR="00EA1071" w:rsidRPr="005863D9">
        <w:fldChar w:fldCharType="separate"/>
      </w:r>
      <w:r w:rsidR="00697B14" w:rsidRPr="005863D9">
        <w:rPr>
          <w:rFonts w:ascii="Aptos" w:hAnsi="Aptos" w:cs="Times New Roman"/>
          <w:kern w:val="0"/>
          <w:vertAlign w:val="superscript"/>
        </w:rPr>
        <w:t>7,8</w:t>
      </w:r>
      <w:r w:rsidR="00EA1071" w:rsidRPr="005863D9">
        <w:fldChar w:fldCharType="end"/>
      </w:r>
      <w:r w:rsidR="00EC7285" w:rsidRPr="005863D9">
        <w:t>.</w:t>
      </w:r>
      <w:r w:rsidR="00621C48" w:rsidRPr="005863D9">
        <w:t xml:space="preserve"> </w:t>
      </w:r>
      <w:r w:rsidR="001931F4" w:rsidRPr="005863D9">
        <w:t xml:space="preserve"> The T-S method has been applied with the script reported in ref</w:t>
      </w:r>
      <w:r w:rsidR="001931F4" w:rsidRPr="005863D9">
        <w:fldChar w:fldCharType="begin"/>
      </w:r>
      <w:r w:rsidR="001931F4" w:rsidRPr="005863D9">
        <w:instrText xml:space="preserve"> ADDIN ZOTERO_ITEM CSL_CITATION {"citationID":"X9d23Azg","properties":{"formattedCitation":"\\super 4\\nosupersub{}","plainCitation":"4","noteIndex":0},"citationItems":[{"id":698,"uris":["http://zotero.org/users/11669260/items/IHVTXW35"],"itemData":{"id":698,"type":"article-journal","abstract":"Glass transition temperature, Tg, is the key quantity for assessing morphological stability and molecular ordering of films of organic semiconductors. A reliable prediction of Tg from the chemical structure is, however, challenging, as it is sensitive to both molecular interactions and analysis of the heating or cooling process. By combining a fitting protocol with an automated workflow for forcefield parameterization, we predict Tg with a mean absolute error of ~20</w:instrText>
      </w:r>
      <w:r w:rsidR="001931F4" w:rsidRPr="005863D9">
        <w:rPr>
          <w:rFonts w:ascii="Arial" w:hAnsi="Arial" w:cs="Arial"/>
        </w:rPr>
        <w:instrText> </w:instrText>
      </w:r>
      <w:r w:rsidR="001931F4" w:rsidRPr="005863D9">
        <w:rPr>
          <w:rFonts w:ascii="Aptos" w:hAnsi="Aptos" w:cs="Aptos"/>
        </w:rPr>
        <w:instrText>°</w:instrText>
      </w:r>
      <w:r w:rsidR="001931F4" w:rsidRPr="005863D9">
        <w:instrText>C for a set of organic compounds with Tg in the 50</w:instrText>
      </w:r>
      <w:r w:rsidR="001931F4" w:rsidRPr="005863D9">
        <w:rPr>
          <w:rFonts w:ascii="Aptos" w:hAnsi="Aptos" w:cs="Aptos"/>
        </w:rPr>
        <w:instrText>–</w:instrText>
      </w:r>
      <w:r w:rsidR="001931F4" w:rsidRPr="005863D9">
        <w:instrText>230</w:instrText>
      </w:r>
      <w:r w:rsidR="001931F4" w:rsidRPr="005863D9">
        <w:rPr>
          <w:rFonts w:ascii="Arial" w:hAnsi="Arial" w:cs="Arial"/>
        </w:rPr>
        <w:instrText> </w:instrText>
      </w:r>
      <w:r w:rsidR="001931F4" w:rsidRPr="005863D9">
        <w:rPr>
          <w:rFonts w:ascii="Aptos" w:hAnsi="Aptos" w:cs="Aptos"/>
        </w:rPr>
        <w:instrText>°</w:instrText>
      </w:r>
      <w:r w:rsidR="001931F4" w:rsidRPr="005863D9">
        <w:instrText xml:space="preserve">C range. Our study establishes a reliable and automated prescreening procedure for the design of amorphous organic semiconductors, essential for the optimization and development of organic light-emitting diodes.","container-title":"npj Computational Materials","DOI":"10.1038/s41524-021-00647-w","ISSN":"2057-3960","issue":"1","journalAbbreviation":"npj Comput Mater","language":"en","license":"2021 The Author(s)","note":"publisher: Nature Publishing Group","page":"1-7","source":"www-nature-com.ezproxy.unibo.it","title":"Glass transition temperature prediction of disordered molecular solids","volume":"7","author":[{"family":"Lin","given":"Kun-Han"},{"family":"Paterson","given":"Leanne"},{"family":"May","given":"Falk"},{"family":"Andrienko","given":"Denis"}],"issued":{"date-parts":[["2021",11,8]]}}}],"schema":"https://github.com/citation-style-language/schema/raw/master/csl-citation.json"} </w:instrText>
      </w:r>
      <w:r w:rsidR="001931F4" w:rsidRPr="005863D9">
        <w:fldChar w:fldCharType="separate"/>
      </w:r>
      <w:r w:rsidR="001931F4" w:rsidRPr="005863D9">
        <w:rPr>
          <w:rFonts w:ascii="Aptos" w:hAnsi="Aptos" w:cs="Times New Roman"/>
          <w:kern w:val="0"/>
          <w:vertAlign w:val="superscript"/>
        </w:rPr>
        <w:t>4</w:t>
      </w:r>
      <w:r w:rsidR="001931F4" w:rsidRPr="005863D9">
        <w:fldChar w:fldCharType="end"/>
      </w:r>
      <w:r w:rsidR="001931F4" w:rsidRPr="005863D9">
        <w:t>.</w:t>
      </w:r>
    </w:p>
    <w:p w14:paraId="70391001" w14:textId="13916247" w:rsidR="00621C48" w:rsidRPr="005863D9" w:rsidRDefault="00621C48" w:rsidP="009C3C85">
      <w:pPr>
        <w:jc w:val="both"/>
      </w:pPr>
      <w:r w:rsidRPr="005863D9">
        <w:t>Water molecules have been described with the OPC3 force field without any modifications</w:t>
      </w:r>
      <w:r w:rsidRPr="005863D9">
        <w:fldChar w:fldCharType="begin"/>
      </w:r>
      <w:r w:rsidRPr="005863D9">
        <w:instrText xml:space="preserve"> ADDIN ZOTERO_ITEM CSL_CITATION {"citationID":"ejZXtv8e","properties":{"formattedCitation":"\\super 9\\nosupersub{}","plainCitation":"9","noteIndex":0},"citationItems":[{"id":1944,"uris":["http://zotero.org/users/11669260/items/I8QQUFRI"],"itemData":{"id":1944,"type":"article-journal","abstract":"Classical 3-point rigid water models are most widely used due to their computational efficiency. Recently, we introduced a new approach to constructing classical rigid water models [S. Izadi et al., J. Phys. Chem. Lett. 5, 3863 (2014)], which permits a virtually exhaustive search for globally optimal model parameters in the sub-space that is most relevant to the electrostatic properties of the water molecule in liquid phase. Here we apply the approach to develop a 3-point Optimal Point Charge (OPC3) water model. OPC3 is significantly more accurate than the commonly used water models of same class (TIP3P and SPCE) in reproducing a comprehensive set of liquid bulk properties, over a wide range of temperatures. Beyond bulk properties, we show that OPC3 predicts the intrinsic charge hydration asymmetry (CHA) of water — a characteristic dependence of hydration free energy on the sign of the solute charge — in very close agreement with experiment. Two other recent 3-point rigid water models, TIP3PFB and H2ODC, each developed by its own, completely different optimization method, approach the global accuracy optimum represented by OPC3 in both the parameter space and accuracy of bulk properties. Thus, we argue that an accuracy limit of practical 3-point rigid non-polarizable models has effectively been reached; remaining accuracy issues are discussed.","container-title":"The Journal of Chemical Physics","DOI":"10.1063/1.4960175","ISSN":"0021-9606","issue":"7","journalAbbreviation":"J. Chem. Phys.","page":"074501","source":"Silverchair","title":"Accuracy limit of rigid 3-point water models","volume":"145","author":[{"family":"Izadi","given":"Saeed"},{"family":"Onufriev","given":"Alexey V."}],"issued":{"date-parts":[["2016",8,15]]}}}],"schema":"https://github.com/citation-style-language/schema/raw/master/csl-citation.json"} </w:instrText>
      </w:r>
      <w:r w:rsidRPr="005863D9">
        <w:fldChar w:fldCharType="separate"/>
      </w:r>
      <w:r w:rsidRPr="005863D9">
        <w:rPr>
          <w:rFonts w:ascii="Aptos" w:hAnsi="Aptos" w:cs="Times New Roman"/>
          <w:kern w:val="0"/>
          <w:vertAlign w:val="superscript"/>
        </w:rPr>
        <w:t>9</w:t>
      </w:r>
      <w:r w:rsidRPr="005863D9">
        <w:fldChar w:fldCharType="end"/>
      </w:r>
      <w:r w:rsidRPr="005863D9">
        <w:t>.</w:t>
      </w:r>
    </w:p>
    <w:p w14:paraId="11C60E48" w14:textId="3C117F5D" w:rsidR="004D22FD" w:rsidRPr="005863D9" w:rsidRDefault="007C196D" w:rsidP="00060EF3">
      <w:pPr>
        <w:pStyle w:val="Heading2"/>
        <w:rPr>
          <w:b/>
          <w:bCs/>
          <w:sz w:val="24"/>
          <w:szCs w:val="24"/>
        </w:rPr>
      </w:pPr>
      <w:bookmarkStart w:id="3" w:name="_Toc222389120"/>
      <w:r w:rsidRPr="005863D9">
        <w:rPr>
          <w:b/>
          <w:bCs/>
          <w:sz w:val="24"/>
          <w:szCs w:val="24"/>
        </w:rPr>
        <w:t>Equilibration of the Pristine Material</w:t>
      </w:r>
      <w:r w:rsidR="00B54E51" w:rsidRPr="005863D9">
        <w:rPr>
          <w:b/>
          <w:bCs/>
          <w:sz w:val="24"/>
          <w:szCs w:val="24"/>
        </w:rPr>
        <w:t>s</w:t>
      </w:r>
      <w:bookmarkEnd w:id="3"/>
    </w:p>
    <w:p w14:paraId="6BA01E26" w14:textId="08BBD8EC" w:rsidR="009714BE" w:rsidRPr="005863D9" w:rsidRDefault="001959F2" w:rsidP="00B54E51">
      <w:pPr>
        <w:jc w:val="both"/>
      </w:pPr>
      <w:r w:rsidRPr="005863D9">
        <w:t xml:space="preserve">After the construction of the simulation cell starting from the crystallographic structure, the structure was </w:t>
      </w:r>
      <w:proofErr w:type="spellStart"/>
      <w:r w:rsidRPr="005863D9">
        <w:t>minimised</w:t>
      </w:r>
      <w:proofErr w:type="spellEnd"/>
      <w:r w:rsidRPr="005863D9">
        <w:t xml:space="preserve"> with the conjugated gradient algorithm.</w:t>
      </w:r>
      <w:r w:rsidR="00EE21F1" w:rsidRPr="005863D9">
        <w:t xml:space="preserve"> In all the subsequent simulations the bonds involving hydrogen atoms have been constrained with the SHAKE method</w:t>
      </w:r>
      <w:r w:rsidR="00EE21F1" w:rsidRPr="005863D9">
        <w:fldChar w:fldCharType="begin"/>
      </w:r>
      <w:r w:rsidR="00621C48" w:rsidRPr="005863D9">
        <w:instrText xml:space="preserve"> ADDIN ZOTERO_ITEM CSL_CITATION {"citationID":"MZpuCmkz","properties":{"formattedCitation":"\\super 10\\nosupersub{}","plainCitation":"10","noteIndex":0},"citationItems":[{"id":1540,"uris":["http://zotero.org/users/11669260/items/9G3Y6MZD"],"itemData":{"id":1540,"type":"article-journal","abstract":"A numerical algorithm integrating the 3N Cartesian equations of motion of a system of N points subject to holonomic constraints is formulated. The relations of constraint remain perfectly fulfilled at each step of the trajectory despite the approximate character of numerical integration. The method is applied to a molecular dynamics simulation of a liquid of 64 n-butane molecules and compared to a simulation using generalized coordinates. The method should be useful for molecular dynamics calculations on large molecules with internal degrees of freedom.","container-title":"Journal of Computational Physics","DOI":"10.1016/0021-9991(77)90098-5","ISSN":"0021-9991","issue":"3","journalAbbreviation":"Journal of Computational Physics","page":"327-341","source":"ScienceDirect","title":"Numerical integration of the cartesian equations of motion of a system with constraints: molecular dynamics of &lt;i&gt;n&lt;/i&gt;-alkanes","title-short":"Numerical integration of the cartesian equations of motion of a system with constraints","volume":"23","author":[{"family":"Ryckaert","given":"Jean-Paul"},{"family":"Ciccotti","given":"Giovanni"},{"family":"Berendsen","given":"Herman J. C"}],"issued":{"date-parts":[["1977",3,1]]}}}],"schema":"https://github.com/citation-style-language/schema/raw/master/csl-citation.json"} </w:instrText>
      </w:r>
      <w:r w:rsidR="00EE21F1" w:rsidRPr="005863D9">
        <w:fldChar w:fldCharType="separate"/>
      </w:r>
      <w:r w:rsidR="00621C48" w:rsidRPr="005863D9">
        <w:rPr>
          <w:rFonts w:ascii="Aptos" w:hAnsi="Aptos" w:cs="Times New Roman"/>
          <w:kern w:val="0"/>
          <w:vertAlign w:val="superscript"/>
        </w:rPr>
        <w:t>10</w:t>
      </w:r>
      <w:r w:rsidR="00EE21F1" w:rsidRPr="005863D9">
        <w:fldChar w:fldCharType="end"/>
      </w:r>
      <w:r w:rsidR="00EE21F1" w:rsidRPr="005863D9">
        <w:t>.</w:t>
      </w:r>
      <w:r w:rsidR="00262828" w:rsidRPr="005863D9">
        <w:t xml:space="preserve"> </w:t>
      </w:r>
      <w:r w:rsidR="00761849" w:rsidRPr="005863D9">
        <w:t xml:space="preserve">Then, the system was heated from 0K to 300K in 1 ns in the NVT ensemble, using the </w:t>
      </w:r>
      <w:proofErr w:type="spellStart"/>
      <w:r w:rsidR="00761849" w:rsidRPr="005863D9">
        <w:t>Nosé</w:t>
      </w:r>
      <w:proofErr w:type="spellEnd"/>
      <w:r w:rsidR="00761849" w:rsidRPr="005863D9">
        <w:t>-Hoover thermostat</w:t>
      </w:r>
      <w:r w:rsidR="00897F17" w:rsidRPr="005863D9">
        <w:t xml:space="preserve"> with a time constant of 200fs.</w:t>
      </w:r>
      <w:r w:rsidR="00910E10" w:rsidRPr="005863D9">
        <w:t xml:space="preserve"> The MD integration time step was 2 fs. For the Coulomb interactions, the particle–particle–particle–mesh method for long-range electrostatics was used, and the van-der-Waals and Coulomb cut-offs were set to 1.0 nm. </w:t>
      </w:r>
      <w:r w:rsidR="00204D83" w:rsidRPr="005863D9">
        <w:t xml:space="preserve">After </w:t>
      </w:r>
      <w:r w:rsidR="00910E10" w:rsidRPr="005863D9">
        <w:t>heating</w:t>
      </w:r>
      <w:r w:rsidR="00204D83" w:rsidRPr="005863D9">
        <w:t xml:space="preserve">, the system was equilibrated in the NVT ensemble at 300 K for </w:t>
      </w:r>
      <w:r w:rsidR="00910E10" w:rsidRPr="005863D9">
        <w:t>2</w:t>
      </w:r>
      <w:r w:rsidR="00204D83" w:rsidRPr="005863D9">
        <w:t xml:space="preserve"> ns. Then, a 20 ns simulation was performed in the NPT ensemble with a </w:t>
      </w:r>
      <w:proofErr w:type="spellStart"/>
      <w:r w:rsidR="00204D83" w:rsidRPr="005863D9">
        <w:t>Nosé</w:t>
      </w:r>
      <w:proofErr w:type="spellEnd"/>
      <w:r w:rsidR="00204D83" w:rsidRPr="005863D9">
        <w:t xml:space="preserve">–Hoover </w:t>
      </w:r>
      <w:proofErr w:type="spellStart"/>
      <w:r w:rsidR="00204D83" w:rsidRPr="005863D9">
        <w:t>barostat</w:t>
      </w:r>
      <w:proofErr w:type="spellEnd"/>
      <w:r w:rsidR="00204D83" w:rsidRPr="005863D9">
        <w:t xml:space="preserve"> and Martyna, Tuckerman, and Klein correction, at 300 K and 1 atmosphere, with a time constant of 2 ps. The </w:t>
      </w:r>
      <w:proofErr w:type="spellStart"/>
      <w:r w:rsidR="00204D83" w:rsidRPr="005863D9">
        <w:lastRenderedPageBreak/>
        <w:t>barostat</w:t>
      </w:r>
      <w:proofErr w:type="spellEnd"/>
      <w:r w:rsidR="00204D83" w:rsidRPr="005863D9">
        <w:t xml:space="preserve"> was first set such that </w:t>
      </w:r>
      <w:r w:rsidR="00910E10" w:rsidRPr="005863D9">
        <w:t>anisotropic</w:t>
      </w:r>
      <w:r w:rsidR="00204D83" w:rsidRPr="005863D9">
        <w:t xml:space="preserve"> cell fluctuations were allowed</w:t>
      </w:r>
      <w:r w:rsidR="00910E10" w:rsidRPr="005863D9">
        <w:t xml:space="preserve"> </w:t>
      </w:r>
      <w:r w:rsidR="00204D83" w:rsidRPr="005863D9">
        <w:t>(</w:t>
      </w:r>
      <w:r w:rsidR="00910E10" w:rsidRPr="005863D9">
        <w:t>tri</w:t>
      </w:r>
      <w:r w:rsidR="00204D83" w:rsidRPr="005863D9">
        <w:t xml:space="preserve"> keyword in LAMMPS). </w:t>
      </w:r>
      <w:r w:rsidR="002A4390" w:rsidRPr="005863D9">
        <w:t>The same settings have been employed for all the subsequent simulations, in presence of water, in the NPT ensemble.</w:t>
      </w:r>
    </w:p>
    <w:p w14:paraId="744FB601" w14:textId="0F40D770" w:rsidR="00612848" w:rsidRPr="005863D9" w:rsidRDefault="00000C0C" w:rsidP="00060EF3">
      <w:pPr>
        <w:pStyle w:val="Heading1"/>
        <w:rPr>
          <w:b/>
          <w:bCs/>
          <w:sz w:val="28"/>
          <w:szCs w:val="28"/>
        </w:rPr>
      </w:pPr>
      <w:bookmarkStart w:id="4" w:name="_Toc222389121"/>
      <w:r w:rsidRPr="005863D9">
        <w:rPr>
          <w:b/>
          <w:bCs/>
          <w:sz w:val="28"/>
          <w:szCs w:val="28"/>
        </w:rPr>
        <w:t>Analyses details</w:t>
      </w:r>
      <w:bookmarkEnd w:id="4"/>
    </w:p>
    <w:p w14:paraId="742152D9" w14:textId="77777777" w:rsidR="006C7525" w:rsidRPr="005863D9" w:rsidRDefault="006C7525" w:rsidP="00000C0C">
      <w:pPr>
        <w:rPr>
          <w:rFonts w:eastAsiaTheme="minorEastAsia"/>
        </w:rPr>
      </w:pPr>
      <w:r w:rsidRPr="005863D9">
        <w:rPr>
          <w:rFonts w:eastAsiaTheme="minorEastAsia"/>
        </w:rPr>
        <w:t>All the static order parameters have been computed after an equilibration of 200ns.</w:t>
      </w:r>
    </w:p>
    <w:p w14:paraId="3853277B" w14:textId="53B50177" w:rsidR="00612848" w:rsidRPr="005863D9" w:rsidRDefault="00612848" w:rsidP="00000C0C">
      <w:pPr>
        <w:rPr>
          <w:rFonts w:eastAsiaTheme="minorEastAsia"/>
        </w:rPr>
      </w:pPr>
      <w:r w:rsidRPr="005863D9">
        <w:rPr>
          <w:rFonts w:eastAsiaTheme="minorEastAsia"/>
        </w:rPr>
        <w:t>The calculation of the Lechner-</w:t>
      </w:r>
      <w:proofErr w:type="spellStart"/>
      <w:r w:rsidRPr="005863D9">
        <w:rPr>
          <w:rFonts w:eastAsiaTheme="minorEastAsia"/>
        </w:rPr>
        <w:t>Dellago</w:t>
      </w:r>
      <w:proofErr w:type="spellEnd"/>
      <w:r w:rsidRPr="005863D9">
        <w:rPr>
          <w:rFonts w:eastAsiaTheme="minorEastAsia"/>
        </w:rPr>
        <w:t xml:space="preserve"> order parameters requires </w:t>
      </w:r>
      <w:r w:rsidR="004651D4" w:rsidRPr="005863D9">
        <w:rPr>
          <w:rFonts w:eastAsiaTheme="minorEastAsia"/>
        </w:rPr>
        <w:t xml:space="preserve">a definition of the nearest </w:t>
      </w:r>
      <w:proofErr w:type="spellStart"/>
      <w:r w:rsidR="004651D4" w:rsidRPr="005863D9">
        <w:rPr>
          <w:rFonts w:eastAsiaTheme="minorEastAsia"/>
        </w:rPr>
        <w:t>neighbours</w:t>
      </w:r>
      <w:proofErr w:type="spellEnd"/>
      <w:r w:rsidR="004651D4" w:rsidRPr="005863D9">
        <w:rPr>
          <w:rFonts w:eastAsiaTheme="minorEastAsia"/>
        </w:rPr>
        <w:t xml:space="preserve"> of each water molecule.</w:t>
      </w:r>
      <w:r w:rsidR="00D305A9" w:rsidRPr="005863D9">
        <w:rPr>
          <w:rFonts w:eastAsiaTheme="minorEastAsia"/>
        </w:rPr>
        <w:t xml:space="preserve"> </w:t>
      </w:r>
      <w:r w:rsidR="002067ED" w:rsidRPr="005863D9">
        <w:rPr>
          <w:rFonts w:eastAsiaTheme="minorEastAsia"/>
        </w:rPr>
        <w:t xml:space="preserve">We chose to rely on a geometrical criterion, defining as “nearest </w:t>
      </w:r>
      <w:proofErr w:type="spellStart"/>
      <w:r w:rsidR="002067ED" w:rsidRPr="005863D9">
        <w:rPr>
          <w:rFonts w:eastAsiaTheme="minorEastAsia"/>
        </w:rPr>
        <w:t>neighbours</w:t>
      </w:r>
      <w:proofErr w:type="spellEnd"/>
      <w:r w:rsidR="002067ED" w:rsidRPr="005863D9">
        <w:rPr>
          <w:rFonts w:eastAsiaTheme="minorEastAsia"/>
        </w:rPr>
        <w:t xml:space="preserve">” all the water molecules within 3.5Å with respect to the reference molecules. </w:t>
      </w:r>
      <w:r w:rsidR="00CC0086" w:rsidRPr="005863D9">
        <w:rPr>
          <w:rFonts w:eastAsiaTheme="minorEastAsia"/>
        </w:rPr>
        <w:t>The cutoff distance corresponds to the first minimum of the oxygen-oxygen radial distribution function of bulk water at 300K, such that all particles within the first solvation shell are included</w:t>
      </w:r>
      <w:r w:rsidR="0075126B" w:rsidRPr="005863D9">
        <w:rPr>
          <w:rFonts w:eastAsiaTheme="minorEastAsia"/>
        </w:rPr>
        <w:t>.</w:t>
      </w:r>
    </w:p>
    <w:p w14:paraId="6D9A89E7" w14:textId="28410D80" w:rsidR="00E5428B" w:rsidRPr="005863D9" w:rsidRDefault="006B4D12" w:rsidP="00C32BC1">
      <w:pPr>
        <w:rPr>
          <w:rFonts w:eastAsiaTheme="minorEastAsia"/>
        </w:rPr>
      </w:pPr>
      <w:r w:rsidRPr="005863D9">
        <w:rPr>
          <w:rFonts w:eastAsiaTheme="minorEastAsia"/>
        </w:rPr>
        <w:t>For the calculation of the time-dependent correlation functions (</w:t>
      </w:r>
      <w:proofErr w:type="spellStart"/>
      <w:r w:rsidRPr="005863D9">
        <w:rPr>
          <w:rFonts w:eastAsiaTheme="minorEastAsia"/>
        </w:rPr>
        <w:t>Eqs</w:t>
      </w:r>
      <w:proofErr w:type="spellEnd"/>
      <w:r w:rsidRPr="005863D9">
        <w:rPr>
          <w:rFonts w:eastAsiaTheme="minorEastAsia"/>
        </w:rPr>
        <w:t xml:space="preserve"> </w:t>
      </w:r>
      <w:r w:rsidR="00415C0F" w:rsidRPr="005863D9">
        <w:rPr>
          <w:rFonts w:eastAsiaTheme="minorEastAsia"/>
        </w:rPr>
        <w:t>5</w:t>
      </w:r>
      <w:r w:rsidR="00071D15" w:rsidRPr="005863D9">
        <w:rPr>
          <w:rFonts w:eastAsiaTheme="minorEastAsia"/>
        </w:rPr>
        <w:t>-</w:t>
      </w:r>
      <w:r w:rsidR="00415C0F" w:rsidRPr="005863D9">
        <w:rPr>
          <w:rFonts w:eastAsiaTheme="minorEastAsia"/>
        </w:rPr>
        <w:t xml:space="preserve">6 and 7-8 </w:t>
      </w:r>
      <w:r w:rsidR="00071D15" w:rsidRPr="005863D9">
        <w:rPr>
          <w:rFonts w:eastAsiaTheme="minorEastAsia"/>
        </w:rPr>
        <w:t>o</w:t>
      </w:r>
      <w:r w:rsidR="00415C0F" w:rsidRPr="005863D9">
        <w:rPr>
          <w:rFonts w:eastAsiaTheme="minorEastAsia"/>
        </w:rPr>
        <w:t>f the main text</w:t>
      </w:r>
      <w:r w:rsidR="00071D15" w:rsidRPr="005863D9">
        <w:rPr>
          <w:rFonts w:eastAsiaTheme="minorEastAsia"/>
        </w:rPr>
        <w:t xml:space="preserve">) </w:t>
      </w:r>
      <w:r w:rsidR="00415C0F" w:rsidRPr="005863D9">
        <w:rPr>
          <w:rFonts w:eastAsiaTheme="minorEastAsia"/>
        </w:rPr>
        <w:t>w</w:t>
      </w:r>
      <w:r w:rsidR="00B62CED" w:rsidRPr="005863D9">
        <w:rPr>
          <w:rFonts w:eastAsiaTheme="minorEastAsia"/>
        </w:rPr>
        <w:t xml:space="preserve">e produced </w:t>
      </w:r>
      <w:r w:rsidR="00F1718E" w:rsidRPr="005863D9">
        <w:rPr>
          <w:rFonts w:eastAsiaTheme="minorEastAsia"/>
        </w:rPr>
        <w:t>5</w:t>
      </w:r>
      <w:r w:rsidR="00B62CED" w:rsidRPr="005863D9">
        <w:rPr>
          <w:rFonts w:eastAsiaTheme="minorEastAsia"/>
        </w:rPr>
        <w:t xml:space="preserve">0ps-long trajectories, dumping </w:t>
      </w:r>
      <w:r w:rsidR="00C46453" w:rsidRPr="005863D9">
        <w:rPr>
          <w:rFonts w:eastAsiaTheme="minorEastAsia"/>
        </w:rPr>
        <w:t xml:space="preserve">every 2fs, after an initial equilibration of 200 ns. The analyses of the </w:t>
      </w:r>
      <w:proofErr w:type="spellStart"/>
      <w:r w:rsidR="00D94429" w:rsidRPr="005863D9">
        <w:rPr>
          <w:rFonts w:eastAsiaTheme="minorEastAsia"/>
        </w:rPr>
        <w:t>reorientational</w:t>
      </w:r>
      <w:proofErr w:type="spellEnd"/>
      <w:r w:rsidR="00D94429" w:rsidRPr="005863D9">
        <w:rPr>
          <w:rFonts w:eastAsiaTheme="minorEastAsia"/>
        </w:rPr>
        <w:t xml:space="preserve"> dynamics have been performed with TRAVIS</w:t>
      </w:r>
      <w:r w:rsidR="00D94429" w:rsidRPr="005863D9">
        <w:rPr>
          <w:rFonts w:eastAsiaTheme="minorEastAsia"/>
        </w:rPr>
        <w:fldChar w:fldCharType="begin"/>
      </w:r>
      <w:r w:rsidR="00D94429" w:rsidRPr="005863D9">
        <w:rPr>
          <w:rFonts w:eastAsiaTheme="minorEastAsia"/>
        </w:rPr>
        <w:instrText xml:space="preserve"> ADDIN ZOTERO_ITEM CSL_CITATION {"citationID":"0fsQcpDR","properties":{"formattedCitation":"\\super 11,12\\nosupersub{}","plainCitation":"11,12","noteIndex":0},"citationItems":[{"id":1576,"uris":["http://zotero.org/users/11669260/items/T5TRGHBM"],"itemData":{"id":1576,"type":"article-journal","abstract":"We present TRAVIS (“TRajectory Analyzer and VISualizer”), a free program package for analyzing and visualizing Monte Carlo and molecular dynamics trajectories. The aim of TRAVIS is to collect as many analyses as possible in one program, creating a powerful tool and making it unnecessary to use many different programs for evaluating simulations. This should greatly rationalize and simplify the workflow of analyzing trajectories. TRAVIS is written in C++, open-source freeware and licensed under the terms of the GNU General Public License (GPLv3). It is easy to install (platform independent, no external libraries) and easy to use. In this article, we present some of the algorithms that are implemented in TRAVIS - many of them widely known for a long time, but some of them also to appear in literature for the first time. All shown analyses only require a standard MD trajectory as input data.","container-title":"Journal of Chemical Information and Modeling","DOI":"10.1021/ci200217w","ISSN":"1549-9596","issue":"8","journalAbbreviation":"J. Chem. Inf. Model.","note":"publisher: American Chemical Society","page":"2007-2023","source":"ACS Publications","title":"TRAVIS - A Free Analyzer and Visualizer for Monte Carlo and Molecular Dynamics Trajectories","volume":"51","author":[{"family":"Brehm","given":"Martin"},{"family":"Kirchner","given":"Barbara"}],"issued":{"date-parts":[["2011",8,22]]}}},{"id":1578,"uris":["http://zotero.org/users/11669260/items/EU7S3MC9"],"itemData":{"id":1578,"type":"article-journal","abstract":"TRAVIS (“Trajectory Analyzer and Visualizer”) is a program package for post-processing and analyzing trajectories from molecular dynamics and Monte Carlo simulations, mostly focused on molecular condensed phase systems. It is an open source free software licensed under the GNU GPL, is platform independent, and does not require any external libraries. Nine years after the original publication of TRAVIS, we highlight some of the recent new functions and features in this article. At the same time, we shortly present some of the underlying algorithms in TRAVIS, which contribute to make trajectory analysis more efficient. Some modern visualization techniques such as Sankey diagrams are also demonstrated. Many analysis functions are implemented, covering structural analyses, dynamical analyses, and functions for predicting vibrational spectra from molecular dynamics simulations. While some of the analyses are known since several decades, others are very recent. For example, TRAVIS has been used to compute the first ab initio predictions in the literature of bulk phase vibrational circular dichroism spectra, bulk phase Raman optical activity spectra, and bulk phase resonance Raman spectra within the last few years.","container-title":"The Journal of Chemical Physics","DOI":"10.1063/5.0005078","ISSN":"0021-9606","issue":"16","journalAbbreviation":"The Journal of Chemical Physics","page":"164105","source":"Silverchair","title":"TRAVIS—A free analyzer for trajectories from molecular simulation","volume":"152","author":[{"family":"Brehm","given":"M."},{"family":"Thomas","given":"M."},{"family":"Gehrke","given":"S."},{"family":"Kirchner","given":"B."}],"issued":{"date-parts":[["2020",4,22]]}}}],"schema":"https://github.com/citation-style-language/schema/raw/master/csl-citation.json"} </w:instrText>
      </w:r>
      <w:r w:rsidR="00D94429" w:rsidRPr="005863D9">
        <w:rPr>
          <w:rFonts w:eastAsiaTheme="minorEastAsia"/>
        </w:rPr>
        <w:fldChar w:fldCharType="separate"/>
      </w:r>
      <w:r w:rsidR="00D94429" w:rsidRPr="005863D9">
        <w:rPr>
          <w:rFonts w:ascii="Aptos" w:hAnsi="Aptos" w:cs="Times New Roman"/>
          <w:kern w:val="0"/>
          <w:vertAlign w:val="superscript"/>
        </w:rPr>
        <w:t>11,12</w:t>
      </w:r>
      <w:r w:rsidR="00D94429" w:rsidRPr="005863D9">
        <w:rPr>
          <w:rFonts w:eastAsiaTheme="minorEastAsia"/>
        </w:rPr>
        <w:fldChar w:fldCharType="end"/>
      </w:r>
      <w:r w:rsidR="00D94429" w:rsidRPr="005863D9">
        <w:rPr>
          <w:rFonts w:eastAsiaTheme="minorEastAsia"/>
        </w:rPr>
        <w:t xml:space="preserve">, while the </w:t>
      </w:r>
      <w:r w:rsidR="00056D07" w:rsidRPr="005863D9">
        <w:rPr>
          <w:rFonts w:eastAsiaTheme="minorEastAsia"/>
        </w:rPr>
        <w:t>correlation of the tetrahedral order parameter and the hydrogen bond analyses have been carried out with in-house developed scripts.</w:t>
      </w:r>
    </w:p>
    <w:p w14:paraId="53E532C5" w14:textId="51755419" w:rsidR="00E5428B" w:rsidRPr="005863D9" w:rsidRDefault="00E5428B" w:rsidP="00060EF3">
      <w:pPr>
        <w:pStyle w:val="Heading2"/>
        <w:rPr>
          <w:rFonts w:eastAsiaTheme="minorEastAsia"/>
          <w:b/>
          <w:bCs/>
          <w:sz w:val="28"/>
          <w:szCs w:val="28"/>
        </w:rPr>
      </w:pPr>
      <w:bookmarkStart w:id="5" w:name="_Toc222389122"/>
      <w:r w:rsidRPr="005863D9">
        <w:rPr>
          <w:b/>
          <w:bCs/>
          <w:sz w:val="28"/>
          <w:szCs w:val="28"/>
        </w:rPr>
        <w:t>Fitting of</w:t>
      </w:r>
      <w:r w:rsidR="00217010" w:rsidRPr="005863D9">
        <w:rPr>
          <w:b/>
          <w:bCs/>
          <w:sz w:val="28"/>
          <w:szCs w:val="28"/>
        </w:rPr>
        <w:t xml:space="preserve"> the mean square displacement</w:t>
      </w:r>
      <w:bookmarkEnd w:id="5"/>
    </w:p>
    <w:p w14:paraId="1AD9A37C" w14:textId="0C048639" w:rsidR="00E5428B" w:rsidRPr="005863D9" w:rsidRDefault="00217010" w:rsidP="00E5428B">
      <w:pPr>
        <w:jc w:val="both"/>
        <w:rPr>
          <w:rFonts w:eastAsiaTheme="minorEastAsia"/>
        </w:rPr>
      </w:pPr>
      <w:r w:rsidRPr="005863D9">
        <w:rPr>
          <w:rFonts w:eastAsiaTheme="minorEastAsia"/>
        </w:rPr>
        <w:t xml:space="preserve">To test the linearity of the mean square displacement and the consequent </w:t>
      </w:r>
      <w:r w:rsidR="00FC3C5B" w:rsidRPr="005863D9">
        <w:rPr>
          <w:rFonts w:eastAsiaTheme="minorEastAsia"/>
        </w:rPr>
        <w:t xml:space="preserve">presence of a diffusive or sub-diffusive regime, we fitted the mean square displacement as function of time with a function of the form </w:t>
      </w:r>
      <m:oMath>
        <m:r>
          <m:rPr>
            <m:sty m:val="p"/>
          </m:rPr>
          <w:rPr>
            <w:rFonts w:ascii="Cambria Math" w:eastAsiaTheme="minorEastAsia" w:hAnsi="Cambria Math"/>
          </w:rPr>
          <m:t>y</m:t>
        </m:r>
        <m:r>
          <w:rPr>
            <w:rFonts w:ascii="Cambria Math" w:eastAsiaTheme="minorEastAsia" w:hAnsi="Cambria Math"/>
          </w:rPr>
          <m:t>=</m:t>
        </m:r>
        <m:r>
          <m:rPr>
            <m:sty m:val="p"/>
          </m:rPr>
          <w:rPr>
            <w:rFonts w:ascii="Cambria Math" w:eastAsiaTheme="minorEastAsia" w:hAnsi="Cambria Math"/>
          </w:rPr>
          <m:t>a</m:t>
        </m:r>
        <m:sSup>
          <m:sSupPr>
            <m:ctrlPr>
              <w:rPr>
                <w:rFonts w:ascii="Cambria Math" w:eastAsiaTheme="minorEastAsia" w:hAnsi="Cambria Math"/>
                <w:i/>
              </w:rPr>
            </m:ctrlPr>
          </m:sSupPr>
          <m:e>
            <m:r>
              <w:rPr>
                <w:rFonts w:ascii="Cambria Math" w:eastAsiaTheme="minorEastAsia" w:hAnsi="Cambria Math"/>
              </w:rPr>
              <m:t>t</m:t>
            </m:r>
          </m:e>
          <m:sup>
            <m:r>
              <m:rPr>
                <m:sty m:val="p"/>
              </m:rPr>
              <w:rPr>
                <w:rFonts w:ascii="Cambria Math" w:eastAsiaTheme="minorEastAsia" w:hAnsi="Cambria Math"/>
              </w:rPr>
              <m:t>α</m:t>
            </m:r>
          </m:sup>
        </m:sSup>
        <m:r>
          <w:rPr>
            <w:rFonts w:ascii="Cambria Math" w:eastAsiaTheme="minorEastAsia" w:hAnsi="Cambria Math"/>
          </w:rPr>
          <m:t>+</m:t>
        </m:r>
        <m:r>
          <m:rPr>
            <m:sty m:val="p"/>
          </m:rPr>
          <w:rPr>
            <w:rFonts w:ascii="Cambria Math" w:eastAsiaTheme="minorEastAsia" w:hAnsi="Cambria Math"/>
          </w:rPr>
          <m:t>b</m:t>
        </m:r>
      </m:oMath>
    </w:p>
    <w:tbl>
      <w:tblPr>
        <w:tblStyle w:val="TableGrid"/>
        <w:tblW w:w="0" w:type="auto"/>
        <w:jc w:val="center"/>
        <w:tblLook w:val="04A0" w:firstRow="1" w:lastRow="0" w:firstColumn="1" w:lastColumn="0" w:noHBand="0" w:noVBand="1"/>
      </w:tblPr>
      <w:tblGrid>
        <w:gridCol w:w="3539"/>
        <w:gridCol w:w="1276"/>
        <w:gridCol w:w="992"/>
      </w:tblGrid>
      <w:tr w:rsidR="00E5428B" w:rsidRPr="005863D9" w14:paraId="35DB1904" w14:textId="77777777" w:rsidTr="001137A5">
        <w:trPr>
          <w:jc w:val="center"/>
        </w:trPr>
        <w:tc>
          <w:tcPr>
            <w:tcW w:w="3539" w:type="dxa"/>
          </w:tcPr>
          <w:p w14:paraId="2A617F73" w14:textId="77777777" w:rsidR="00E5428B" w:rsidRPr="005863D9" w:rsidRDefault="00E5428B" w:rsidP="001137A5">
            <w:pPr>
              <w:rPr>
                <w:rFonts w:eastAsiaTheme="minorEastAsia"/>
              </w:rPr>
            </w:pPr>
          </w:p>
        </w:tc>
        <w:tc>
          <w:tcPr>
            <w:tcW w:w="1276" w:type="dxa"/>
          </w:tcPr>
          <w:p w14:paraId="7963297A" w14:textId="4076CA92" w:rsidR="00E5428B" w:rsidRPr="005863D9" w:rsidRDefault="00407835" w:rsidP="001137A5">
            <w:pPr>
              <w:rPr>
                <w:rFonts w:eastAsiaTheme="minorEastAsia"/>
              </w:rPr>
            </w:pPr>
            <m:oMathPara>
              <m:oMath>
                <m:r>
                  <m:rPr>
                    <m:sty m:val="p"/>
                  </m:rPr>
                  <w:rPr>
                    <w:rFonts w:ascii="Cambria Math" w:eastAsiaTheme="minorEastAsia" w:hAnsi="Cambria Math"/>
                  </w:rPr>
                  <m:t>α</m:t>
                </m:r>
              </m:oMath>
            </m:oMathPara>
          </w:p>
        </w:tc>
        <w:tc>
          <w:tcPr>
            <w:tcW w:w="992" w:type="dxa"/>
          </w:tcPr>
          <w:p w14:paraId="6C3B3131" w14:textId="77777777" w:rsidR="00E5428B" w:rsidRPr="005863D9" w:rsidRDefault="00000000" w:rsidP="001137A5">
            <w:pPr>
              <w:rPr>
                <w:rFonts w:eastAsiaTheme="minorEastAsia"/>
              </w:rPr>
            </w:pPr>
            <m:oMathPara>
              <m:oMath>
                <m:sSup>
                  <m:sSupPr>
                    <m:ctrlPr>
                      <w:rPr>
                        <w:rFonts w:ascii="Cambria Math" w:eastAsiaTheme="minorEastAsia" w:hAnsi="Cambria Math"/>
                        <w:i/>
                      </w:rPr>
                    </m:ctrlPr>
                  </m:sSupPr>
                  <m:e>
                    <m:r>
                      <w:rPr>
                        <w:rFonts w:ascii="Cambria Math" w:eastAsiaTheme="minorEastAsia" w:hAnsi="Cambria Math"/>
                      </w:rPr>
                      <m:t>R</m:t>
                    </m:r>
                  </m:e>
                  <m:sup>
                    <m:r>
                      <w:rPr>
                        <w:rFonts w:ascii="Cambria Math" w:eastAsiaTheme="minorEastAsia" w:hAnsi="Cambria Math"/>
                      </w:rPr>
                      <m:t>2</m:t>
                    </m:r>
                  </m:sup>
                </m:sSup>
              </m:oMath>
            </m:oMathPara>
          </w:p>
        </w:tc>
      </w:tr>
      <w:tr w:rsidR="00E5428B" w:rsidRPr="005863D9" w14:paraId="5B86A0AD" w14:textId="77777777" w:rsidTr="001137A5">
        <w:trPr>
          <w:jc w:val="center"/>
        </w:trPr>
        <w:tc>
          <w:tcPr>
            <w:tcW w:w="3539" w:type="dxa"/>
          </w:tcPr>
          <w:p w14:paraId="315B7DCE" w14:textId="77777777" w:rsidR="00E5428B" w:rsidRPr="005863D9" w:rsidRDefault="00E5428B" w:rsidP="001137A5">
            <w:pPr>
              <w:rPr>
                <w:rFonts w:eastAsiaTheme="minorEastAsia"/>
              </w:rPr>
            </w:pPr>
            <w:r w:rsidRPr="005863D9">
              <w:rPr>
                <w:rFonts w:eastAsiaTheme="minorEastAsia"/>
              </w:rPr>
              <w:t>Bulk water 300K</w:t>
            </w:r>
          </w:p>
        </w:tc>
        <w:tc>
          <w:tcPr>
            <w:tcW w:w="1276" w:type="dxa"/>
          </w:tcPr>
          <w:p w14:paraId="1DF60907" w14:textId="50F012E2" w:rsidR="00E5428B" w:rsidRPr="005863D9" w:rsidRDefault="00E5428B" w:rsidP="001137A5">
            <w:pPr>
              <w:rPr>
                <w:rFonts w:eastAsiaTheme="minorEastAsia"/>
              </w:rPr>
            </w:pPr>
            <w:r w:rsidRPr="005863D9">
              <w:rPr>
                <w:rFonts w:eastAsiaTheme="minorEastAsia"/>
              </w:rPr>
              <w:t>0.</w:t>
            </w:r>
            <w:r w:rsidR="003769C9" w:rsidRPr="005863D9">
              <w:rPr>
                <w:rFonts w:eastAsiaTheme="minorEastAsia"/>
              </w:rPr>
              <w:t>99</w:t>
            </w:r>
          </w:p>
        </w:tc>
        <w:tc>
          <w:tcPr>
            <w:tcW w:w="992" w:type="dxa"/>
          </w:tcPr>
          <w:p w14:paraId="02C50612" w14:textId="77777777" w:rsidR="00E5428B" w:rsidRPr="005863D9" w:rsidRDefault="00E5428B" w:rsidP="001137A5">
            <w:pPr>
              <w:rPr>
                <w:rFonts w:eastAsiaTheme="minorEastAsia"/>
              </w:rPr>
            </w:pPr>
            <w:r w:rsidRPr="005863D9">
              <w:rPr>
                <w:rFonts w:eastAsiaTheme="minorEastAsia"/>
              </w:rPr>
              <w:t>0.99</w:t>
            </w:r>
          </w:p>
        </w:tc>
      </w:tr>
      <w:tr w:rsidR="00F71516" w:rsidRPr="005863D9" w14:paraId="5D7011F9" w14:textId="77777777" w:rsidTr="001137A5">
        <w:trPr>
          <w:jc w:val="center"/>
        </w:trPr>
        <w:tc>
          <w:tcPr>
            <w:tcW w:w="3539" w:type="dxa"/>
          </w:tcPr>
          <w:p w14:paraId="59B67782" w14:textId="1382F153" w:rsidR="00F71516" w:rsidRPr="005863D9" w:rsidRDefault="00F71516" w:rsidP="001137A5">
            <w:pPr>
              <w:rPr>
                <w:rFonts w:eastAsiaTheme="minorEastAsia"/>
              </w:rPr>
            </w:pPr>
            <w:r w:rsidRPr="005863D9">
              <w:rPr>
                <w:rFonts w:eastAsiaTheme="minorEastAsia"/>
              </w:rPr>
              <w:t>Bulk water 200K</w:t>
            </w:r>
          </w:p>
        </w:tc>
        <w:tc>
          <w:tcPr>
            <w:tcW w:w="1276" w:type="dxa"/>
          </w:tcPr>
          <w:p w14:paraId="481393A9" w14:textId="09223542" w:rsidR="00F71516" w:rsidRPr="005863D9" w:rsidRDefault="00F71516" w:rsidP="001137A5">
            <w:pPr>
              <w:rPr>
                <w:rFonts w:eastAsiaTheme="minorEastAsia"/>
              </w:rPr>
            </w:pPr>
            <w:r w:rsidRPr="005863D9">
              <w:rPr>
                <w:rFonts w:eastAsiaTheme="minorEastAsia"/>
              </w:rPr>
              <w:t>0.95</w:t>
            </w:r>
          </w:p>
        </w:tc>
        <w:tc>
          <w:tcPr>
            <w:tcW w:w="992" w:type="dxa"/>
          </w:tcPr>
          <w:p w14:paraId="3214A7A4" w14:textId="031E526E" w:rsidR="00F71516" w:rsidRPr="005863D9" w:rsidRDefault="00F71516" w:rsidP="001137A5">
            <w:pPr>
              <w:rPr>
                <w:rFonts w:eastAsiaTheme="minorEastAsia"/>
              </w:rPr>
            </w:pPr>
            <w:r w:rsidRPr="005863D9">
              <w:rPr>
                <w:rFonts w:eastAsiaTheme="minorEastAsia"/>
              </w:rPr>
              <w:t>0.99</w:t>
            </w:r>
          </w:p>
        </w:tc>
      </w:tr>
      <w:tr w:rsidR="00E5428B" w:rsidRPr="005863D9" w14:paraId="7FDFEBC1" w14:textId="77777777" w:rsidTr="001137A5">
        <w:trPr>
          <w:jc w:val="center"/>
        </w:trPr>
        <w:tc>
          <w:tcPr>
            <w:tcW w:w="3539" w:type="dxa"/>
          </w:tcPr>
          <w:p w14:paraId="56CEF945" w14:textId="77777777" w:rsidR="00E5428B" w:rsidRPr="005863D9" w:rsidRDefault="00E5428B" w:rsidP="001137A5">
            <w:pPr>
              <w:rPr>
                <w:rFonts w:eastAsiaTheme="minorEastAsia"/>
              </w:rPr>
            </w:pPr>
            <w:r w:rsidRPr="005863D9">
              <w:rPr>
                <w:rFonts w:eastAsiaTheme="minorEastAsia"/>
                <w:b/>
                <w:bCs/>
              </w:rPr>
              <w:t>NDI-TEG</w:t>
            </w:r>
            <w:r w:rsidRPr="005863D9">
              <w:rPr>
                <w:rFonts w:eastAsiaTheme="minorEastAsia"/>
              </w:rPr>
              <w:t xml:space="preserve"> 100 water molecules</w:t>
            </w:r>
          </w:p>
        </w:tc>
        <w:tc>
          <w:tcPr>
            <w:tcW w:w="1276" w:type="dxa"/>
          </w:tcPr>
          <w:p w14:paraId="5D3DB68A" w14:textId="4054F1CC" w:rsidR="00E5428B" w:rsidRPr="005863D9" w:rsidRDefault="00F71516" w:rsidP="001137A5">
            <w:pPr>
              <w:rPr>
                <w:rFonts w:eastAsiaTheme="minorEastAsia"/>
              </w:rPr>
            </w:pPr>
            <w:r w:rsidRPr="005863D9">
              <w:rPr>
                <w:rFonts w:eastAsiaTheme="minorEastAsia"/>
              </w:rPr>
              <w:t>1.07</w:t>
            </w:r>
          </w:p>
        </w:tc>
        <w:tc>
          <w:tcPr>
            <w:tcW w:w="992" w:type="dxa"/>
          </w:tcPr>
          <w:p w14:paraId="2390AA3F" w14:textId="31DB92DE" w:rsidR="00E5428B" w:rsidRPr="005863D9" w:rsidRDefault="00E5428B" w:rsidP="001137A5">
            <w:pPr>
              <w:rPr>
                <w:rFonts w:eastAsiaTheme="minorEastAsia"/>
              </w:rPr>
            </w:pPr>
            <w:r w:rsidRPr="005863D9">
              <w:rPr>
                <w:rFonts w:eastAsiaTheme="minorEastAsia"/>
              </w:rPr>
              <w:t>0.9</w:t>
            </w:r>
            <w:r w:rsidR="00407835" w:rsidRPr="005863D9">
              <w:rPr>
                <w:rFonts w:eastAsiaTheme="minorEastAsia"/>
              </w:rPr>
              <w:t>9</w:t>
            </w:r>
          </w:p>
        </w:tc>
      </w:tr>
      <w:tr w:rsidR="00E5428B" w:rsidRPr="005863D9" w14:paraId="07B831FA" w14:textId="77777777" w:rsidTr="001137A5">
        <w:trPr>
          <w:jc w:val="center"/>
        </w:trPr>
        <w:tc>
          <w:tcPr>
            <w:tcW w:w="3539" w:type="dxa"/>
          </w:tcPr>
          <w:p w14:paraId="4C644625" w14:textId="77777777" w:rsidR="00E5428B" w:rsidRPr="005863D9" w:rsidRDefault="00E5428B" w:rsidP="001137A5">
            <w:pPr>
              <w:rPr>
                <w:rFonts w:eastAsiaTheme="minorEastAsia"/>
              </w:rPr>
            </w:pPr>
            <w:r w:rsidRPr="005863D9">
              <w:rPr>
                <w:rFonts w:eastAsiaTheme="minorEastAsia"/>
                <w:b/>
                <w:bCs/>
              </w:rPr>
              <w:t>NDI-C6</w:t>
            </w:r>
            <w:r w:rsidRPr="005863D9">
              <w:rPr>
                <w:rFonts w:eastAsiaTheme="minorEastAsia"/>
              </w:rPr>
              <w:t xml:space="preserve"> 100 water molecules</w:t>
            </w:r>
          </w:p>
        </w:tc>
        <w:tc>
          <w:tcPr>
            <w:tcW w:w="1276" w:type="dxa"/>
          </w:tcPr>
          <w:p w14:paraId="3DE3DD2C" w14:textId="04EFB514" w:rsidR="00E5428B" w:rsidRPr="005863D9" w:rsidRDefault="003E7854" w:rsidP="001137A5">
            <w:pPr>
              <w:rPr>
                <w:rFonts w:eastAsiaTheme="minorEastAsia"/>
              </w:rPr>
            </w:pPr>
            <w:r w:rsidRPr="005863D9">
              <w:rPr>
                <w:rFonts w:eastAsiaTheme="minorEastAsia"/>
              </w:rPr>
              <w:t>1.07</w:t>
            </w:r>
          </w:p>
        </w:tc>
        <w:tc>
          <w:tcPr>
            <w:tcW w:w="992" w:type="dxa"/>
          </w:tcPr>
          <w:p w14:paraId="69A8B1C1" w14:textId="00B23E87" w:rsidR="00E5428B" w:rsidRPr="005863D9" w:rsidRDefault="00E5428B" w:rsidP="001137A5">
            <w:pPr>
              <w:rPr>
                <w:rFonts w:eastAsiaTheme="minorEastAsia"/>
              </w:rPr>
            </w:pPr>
            <w:r w:rsidRPr="005863D9">
              <w:rPr>
                <w:rFonts w:eastAsiaTheme="minorEastAsia"/>
              </w:rPr>
              <w:t>0.9</w:t>
            </w:r>
            <w:r w:rsidR="00407835" w:rsidRPr="005863D9">
              <w:rPr>
                <w:rFonts w:eastAsiaTheme="minorEastAsia"/>
              </w:rPr>
              <w:t>9</w:t>
            </w:r>
          </w:p>
        </w:tc>
      </w:tr>
      <w:tr w:rsidR="00E5428B" w:rsidRPr="005863D9" w14:paraId="6DD83EAA" w14:textId="77777777" w:rsidTr="001137A5">
        <w:trPr>
          <w:jc w:val="center"/>
        </w:trPr>
        <w:tc>
          <w:tcPr>
            <w:tcW w:w="3539" w:type="dxa"/>
          </w:tcPr>
          <w:p w14:paraId="4061F6C6" w14:textId="77777777" w:rsidR="00E5428B" w:rsidRPr="005863D9" w:rsidRDefault="00E5428B" w:rsidP="001137A5">
            <w:pPr>
              <w:rPr>
                <w:rFonts w:eastAsiaTheme="minorEastAsia"/>
              </w:rPr>
            </w:pPr>
            <w:r w:rsidRPr="005863D9">
              <w:rPr>
                <w:rFonts w:eastAsiaTheme="minorEastAsia"/>
                <w:b/>
                <w:bCs/>
              </w:rPr>
              <w:t>NDI-TEG</w:t>
            </w:r>
            <w:r w:rsidRPr="005863D9">
              <w:rPr>
                <w:rFonts w:eastAsiaTheme="minorEastAsia"/>
              </w:rPr>
              <w:t xml:space="preserve"> 300 water molecules</w:t>
            </w:r>
          </w:p>
        </w:tc>
        <w:tc>
          <w:tcPr>
            <w:tcW w:w="1276" w:type="dxa"/>
          </w:tcPr>
          <w:p w14:paraId="0944D131" w14:textId="1C681A64" w:rsidR="00E5428B" w:rsidRPr="005863D9" w:rsidRDefault="003E7854" w:rsidP="001137A5">
            <w:pPr>
              <w:rPr>
                <w:rFonts w:eastAsiaTheme="minorEastAsia"/>
              </w:rPr>
            </w:pPr>
            <w:r w:rsidRPr="005863D9">
              <w:rPr>
                <w:rFonts w:eastAsiaTheme="minorEastAsia"/>
              </w:rPr>
              <w:t>0.94</w:t>
            </w:r>
          </w:p>
        </w:tc>
        <w:tc>
          <w:tcPr>
            <w:tcW w:w="992" w:type="dxa"/>
          </w:tcPr>
          <w:p w14:paraId="3019EE50" w14:textId="3E29CF3E" w:rsidR="00E5428B" w:rsidRPr="005863D9" w:rsidRDefault="00E5428B" w:rsidP="001137A5">
            <w:pPr>
              <w:rPr>
                <w:rFonts w:eastAsiaTheme="minorEastAsia"/>
              </w:rPr>
            </w:pPr>
            <w:r w:rsidRPr="005863D9">
              <w:rPr>
                <w:rFonts w:eastAsiaTheme="minorEastAsia"/>
              </w:rPr>
              <w:t>0.9</w:t>
            </w:r>
            <w:r w:rsidR="00407835" w:rsidRPr="005863D9">
              <w:rPr>
                <w:rFonts w:eastAsiaTheme="minorEastAsia"/>
              </w:rPr>
              <w:t>9</w:t>
            </w:r>
          </w:p>
        </w:tc>
      </w:tr>
      <w:tr w:rsidR="00E5428B" w:rsidRPr="005863D9" w14:paraId="21DC302E" w14:textId="77777777" w:rsidTr="001137A5">
        <w:trPr>
          <w:jc w:val="center"/>
        </w:trPr>
        <w:tc>
          <w:tcPr>
            <w:tcW w:w="3539" w:type="dxa"/>
          </w:tcPr>
          <w:p w14:paraId="1BE8E42A" w14:textId="77777777" w:rsidR="00E5428B" w:rsidRPr="005863D9" w:rsidRDefault="00E5428B" w:rsidP="001137A5">
            <w:pPr>
              <w:rPr>
                <w:rFonts w:eastAsiaTheme="minorEastAsia"/>
              </w:rPr>
            </w:pPr>
            <w:r w:rsidRPr="005863D9">
              <w:rPr>
                <w:rFonts w:eastAsiaTheme="minorEastAsia"/>
                <w:b/>
                <w:bCs/>
              </w:rPr>
              <w:t>NDI-C6</w:t>
            </w:r>
            <w:r w:rsidRPr="005863D9">
              <w:rPr>
                <w:rFonts w:eastAsiaTheme="minorEastAsia"/>
              </w:rPr>
              <w:t xml:space="preserve"> 300 water molecules</w:t>
            </w:r>
          </w:p>
        </w:tc>
        <w:tc>
          <w:tcPr>
            <w:tcW w:w="1276" w:type="dxa"/>
          </w:tcPr>
          <w:p w14:paraId="5085E205" w14:textId="203AA058" w:rsidR="00E5428B" w:rsidRPr="005863D9" w:rsidRDefault="003E7854" w:rsidP="001137A5">
            <w:pPr>
              <w:rPr>
                <w:rFonts w:eastAsiaTheme="minorEastAsia"/>
              </w:rPr>
            </w:pPr>
            <w:r w:rsidRPr="005863D9">
              <w:rPr>
                <w:rFonts w:eastAsiaTheme="minorEastAsia"/>
              </w:rPr>
              <w:t>1.08</w:t>
            </w:r>
          </w:p>
        </w:tc>
        <w:tc>
          <w:tcPr>
            <w:tcW w:w="992" w:type="dxa"/>
          </w:tcPr>
          <w:p w14:paraId="3B3CAD96" w14:textId="5707F4C5" w:rsidR="00E5428B" w:rsidRPr="005863D9" w:rsidRDefault="00E5428B" w:rsidP="001137A5">
            <w:pPr>
              <w:rPr>
                <w:rFonts w:eastAsiaTheme="minorEastAsia"/>
              </w:rPr>
            </w:pPr>
            <w:r w:rsidRPr="005863D9">
              <w:rPr>
                <w:rFonts w:eastAsiaTheme="minorEastAsia"/>
              </w:rPr>
              <w:t>0.9</w:t>
            </w:r>
            <w:r w:rsidR="00407835" w:rsidRPr="005863D9">
              <w:rPr>
                <w:rFonts w:eastAsiaTheme="minorEastAsia"/>
              </w:rPr>
              <w:t>9</w:t>
            </w:r>
          </w:p>
        </w:tc>
      </w:tr>
    </w:tbl>
    <w:p w14:paraId="660DB375" w14:textId="77777777" w:rsidR="00E5428B" w:rsidRPr="005863D9" w:rsidRDefault="00E5428B" w:rsidP="00B54E51">
      <w:pPr>
        <w:jc w:val="both"/>
      </w:pPr>
    </w:p>
    <w:p w14:paraId="44DFAC63" w14:textId="77777777" w:rsidR="00E5428B" w:rsidRPr="005863D9" w:rsidRDefault="00E5428B" w:rsidP="00B54E51">
      <w:pPr>
        <w:jc w:val="both"/>
      </w:pPr>
    </w:p>
    <w:p w14:paraId="4D32068B" w14:textId="69929700" w:rsidR="00D85C16" w:rsidRPr="005863D9" w:rsidRDefault="00D85C16" w:rsidP="00060EF3">
      <w:pPr>
        <w:pStyle w:val="Heading2"/>
        <w:rPr>
          <w:rFonts w:eastAsiaTheme="minorEastAsia"/>
          <w:b/>
          <w:bCs/>
          <w:sz w:val="24"/>
          <w:szCs w:val="24"/>
        </w:rPr>
      </w:pPr>
      <w:bookmarkStart w:id="6" w:name="_Toc222389123"/>
      <w:r w:rsidRPr="005863D9">
        <w:rPr>
          <w:b/>
          <w:bCs/>
          <w:sz w:val="24"/>
          <w:szCs w:val="24"/>
        </w:rPr>
        <w:t xml:space="preserve">Fitting of </w:t>
      </w:r>
      <m:oMath>
        <m:sSub>
          <m:sSubPr>
            <m:ctrlPr>
              <w:rPr>
                <w:rFonts w:ascii="Cambria Math" w:hAnsi="Cambria Math"/>
                <w:b/>
                <w:bCs/>
                <w:i/>
                <w:sz w:val="24"/>
                <w:szCs w:val="24"/>
              </w:rPr>
            </m:ctrlPr>
          </m:sSubPr>
          <m:e>
            <m:r>
              <m:rPr>
                <m:sty m:val="bi"/>
              </m:rPr>
              <w:rPr>
                <w:rFonts w:ascii="Cambria Math" w:hAnsi="Cambria Math"/>
                <w:sz w:val="24"/>
                <w:szCs w:val="24"/>
              </w:rPr>
              <m:t>C</m:t>
            </m:r>
          </m:e>
          <m:sub>
            <m:r>
              <m:rPr>
                <m:sty m:val="bi"/>
              </m:rPr>
              <w:rPr>
                <w:rFonts w:ascii="Cambria Math" w:hAnsi="Cambria Math"/>
                <w:sz w:val="24"/>
                <w:szCs w:val="24"/>
              </w:rPr>
              <m:t>2</m:t>
            </m:r>
          </m:sub>
        </m:sSub>
      </m:oMath>
      <w:r w:rsidR="00D0384D" w:rsidRPr="005863D9">
        <w:rPr>
          <w:rFonts w:eastAsiaTheme="minorEastAsia"/>
          <w:b/>
          <w:bCs/>
          <w:sz w:val="24"/>
          <w:szCs w:val="24"/>
        </w:rPr>
        <w:t>correlation function</w:t>
      </w:r>
      <w:bookmarkEnd w:id="6"/>
    </w:p>
    <w:p w14:paraId="623BE9F7" w14:textId="4671494F" w:rsidR="00CD6547" w:rsidRPr="005863D9" w:rsidRDefault="009C140D" w:rsidP="009C140D">
      <w:pPr>
        <w:jc w:val="both"/>
        <w:rPr>
          <w:rFonts w:eastAsiaTheme="minorEastAsia"/>
        </w:rPr>
      </w:pPr>
      <w:r w:rsidRPr="005863D9">
        <w:rPr>
          <w:rFonts w:eastAsiaTheme="minorEastAsia"/>
        </w:rPr>
        <w:t xml:space="preserve">Here we report the fit of the </w:t>
      </w:r>
      <m:oMath>
        <m:sSub>
          <m:sSubPr>
            <m:ctrlPr>
              <w:rPr>
                <w:rFonts w:ascii="Cambria Math" w:hAnsi="Cambria Math"/>
                <w:b/>
                <w:bCs/>
                <w:i/>
                <w:sz w:val="28"/>
                <w:szCs w:val="28"/>
              </w:rPr>
            </m:ctrlPr>
          </m:sSubPr>
          <m:e>
            <m:r>
              <m:rPr>
                <m:sty m:val="bi"/>
              </m:rPr>
              <w:rPr>
                <w:rFonts w:ascii="Cambria Math" w:hAnsi="Cambria Math"/>
                <w:sz w:val="28"/>
                <w:szCs w:val="28"/>
              </w:rPr>
              <m:t>C</m:t>
            </m:r>
          </m:e>
          <m:sub>
            <m:r>
              <m:rPr>
                <m:sty m:val="bi"/>
              </m:rPr>
              <w:rPr>
                <w:rFonts w:ascii="Cambria Math" w:hAnsi="Cambria Math"/>
                <w:sz w:val="28"/>
                <w:szCs w:val="28"/>
              </w:rPr>
              <m:t>2</m:t>
            </m:r>
          </m:sub>
        </m:sSub>
      </m:oMath>
      <w:r w:rsidRPr="005863D9">
        <w:rPr>
          <w:rFonts w:eastAsiaTheme="minorEastAsia"/>
        </w:rPr>
        <w:t xml:space="preserve"> correlation function obtained with an exponential function of the for</w:t>
      </w:r>
      <w:r w:rsidR="00BB45F0" w:rsidRPr="005863D9">
        <w:rPr>
          <w:rFonts w:eastAsiaTheme="minorEastAsia"/>
        </w:rPr>
        <w:t>m</w:t>
      </w:r>
      <w:r w:rsidRPr="005863D9">
        <w:rPr>
          <w:rFonts w:eastAsiaTheme="minorEastAsia"/>
        </w:rPr>
        <w:t xml:space="preserve"> </w:t>
      </w:r>
      <m:oMath>
        <m:r>
          <w:rPr>
            <w:rFonts w:ascii="Cambria Math" w:eastAsiaTheme="minorEastAsia" w:hAnsi="Cambria Math"/>
          </w:rPr>
          <m:t>y=a+</m:t>
        </m:r>
        <m:sSup>
          <m:sSupPr>
            <m:ctrlPr>
              <w:rPr>
                <w:rFonts w:ascii="Cambria Math" w:eastAsiaTheme="minorEastAsia" w:hAnsi="Cambria Math"/>
                <w:i/>
              </w:rPr>
            </m:ctrlPr>
          </m:sSupPr>
          <m:e>
            <m:r>
              <w:rPr>
                <w:rFonts w:ascii="Cambria Math" w:eastAsiaTheme="minorEastAsia" w:hAnsi="Cambria Math"/>
              </w:rPr>
              <m:t>e</m:t>
            </m:r>
          </m:e>
          <m:sup>
            <m:r>
              <w:rPr>
                <w:rFonts w:ascii="Cambria Math" w:eastAsiaTheme="minorEastAsia" w:hAnsi="Cambria Math"/>
              </w:rPr>
              <m:t>-</m:t>
            </m:r>
            <m:r>
              <m:rPr>
                <m:sty m:val="p"/>
              </m:rPr>
              <w:rPr>
                <w:rFonts w:ascii="Cambria Math" w:eastAsiaTheme="minorEastAsia" w:hAnsi="Cambria Math"/>
              </w:rPr>
              <m:t>τ</m:t>
            </m:r>
            <m:r>
              <w:rPr>
                <w:rFonts w:ascii="Cambria Math" w:eastAsiaTheme="minorEastAsia" w:hAnsi="Cambria Math"/>
              </w:rPr>
              <m:t>t</m:t>
            </m:r>
          </m:sup>
        </m:sSup>
        <m:r>
          <w:rPr>
            <w:rFonts w:ascii="Cambria Math" w:eastAsiaTheme="minorEastAsia" w:hAnsi="Cambria Math"/>
          </w:rPr>
          <m:t>+c</m:t>
        </m:r>
      </m:oMath>
    </w:p>
    <w:tbl>
      <w:tblPr>
        <w:tblStyle w:val="TableGrid"/>
        <w:tblW w:w="0" w:type="auto"/>
        <w:jc w:val="center"/>
        <w:tblLook w:val="04A0" w:firstRow="1" w:lastRow="0" w:firstColumn="1" w:lastColumn="0" w:noHBand="0" w:noVBand="1"/>
      </w:tblPr>
      <w:tblGrid>
        <w:gridCol w:w="3539"/>
        <w:gridCol w:w="1276"/>
        <w:gridCol w:w="992"/>
      </w:tblGrid>
      <w:tr w:rsidR="00D765C6" w:rsidRPr="005863D9" w14:paraId="553A97F9" w14:textId="77777777" w:rsidTr="009F2FC7">
        <w:trPr>
          <w:jc w:val="center"/>
        </w:trPr>
        <w:tc>
          <w:tcPr>
            <w:tcW w:w="3539" w:type="dxa"/>
          </w:tcPr>
          <w:p w14:paraId="492EF6A3" w14:textId="77777777" w:rsidR="00D765C6" w:rsidRPr="005863D9" w:rsidRDefault="00D765C6" w:rsidP="00D85C16">
            <w:pPr>
              <w:rPr>
                <w:rFonts w:eastAsiaTheme="minorEastAsia"/>
              </w:rPr>
            </w:pPr>
          </w:p>
        </w:tc>
        <w:tc>
          <w:tcPr>
            <w:tcW w:w="1276" w:type="dxa"/>
          </w:tcPr>
          <w:p w14:paraId="29B8A02F" w14:textId="0E6B33B2" w:rsidR="00D765C6" w:rsidRPr="005863D9" w:rsidRDefault="00D765C6" w:rsidP="00D85C16">
            <w:pPr>
              <w:rPr>
                <w:rFonts w:eastAsiaTheme="minorEastAsia"/>
              </w:rPr>
            </w:pPr>
            <m:oMathPara>
              <m:oMath>
                <m:r>
                  <m:rPr>
                    <m:sty m:val="p"/>
                  </m:rPr>
                  <w:rPr>
                    <w:rFonts w:ascii="Cambria Math" w:eastAsiaTheme="minorEastAsia" w:hAnsi="Cambria Math"/>
                  </w:rPr>
                  <m:t>τ</m:t>
                </m:r>
                <m:d>
                  <m:dPr>
                    <m:ctrlPr>
                      <w:rPr>
                        <w:rFonts w:ascii="Cambria Math" w:eastAsiaTheme="minorEastAsia" w:hAnsi="Cambria Math"/>
                        <w:i/>
                      </w:rPr>
                    </m:ctrlPr>
                  </m:dPr>
                  <m:e>
                    <m:r>
                      <w:rPr>
                        <w:rFonts w:ascii="Cambria Math" w:eastAsiaTheme="minorEastAsia" w:hAnsi="Cambria Math"/>
                      </w:rPr>
                      <m:t>p</m:t>
                    </m:r>
                    <m:sSup>
                      <m:sSupPr>
                        <m:ctrlPr>
                          <w:rPr>
                            <w:rFonts w:ascii="Cambria Math" w:eastAsiaTheme="minorEastAsia" w:hAnsi="Cambria Math"/>
                            <w:i/>
                          </w:rPr>
                        </m:ctrlPr>
                      </m:sSupPr>
                      <m:e>
                        <m:r>
                          <w:rPr>
                            <w:rFonts w:ascii="Cambria Math" w:eastAsiaTheme="minorEastAsia" w:hAnsi="Cambria Math"/>
                          </w:rPr>
                          <m:t>s</m:t>
                        </m:r>
                      </m:e>
                      <m:sup>
                        <m:r>
                          <w:rPr>
                            <w:rFonts w:ascii="Cambria Math" w:eastAsiaTheme="minorEastAsia" w:hAnsi="Cambria Math"/>
                          </w:rPr>
                          <m:t>-1</m:t>
                        </m:r>
                      </m:sup>
                    </m:sSup>
                  </m:e>
                </m:d>
              </m:oMath>
            </m:oMathPara>
          </w:p>
        </w:tc>
        <w:tc>
          <w:tcPr>
            <w:tcW w:w="992" w:type="dxa"/>
          </w:tcPr>
          <w:p w14:paraId="2AE6042A" w14:textId="44A61662" w:rsidR="00D765C6" w:rsidRPr="005863D9" w:rsidRDefault="00000000" w:rsidP="00D85C16">
            <w:pPr>
              <w:rPr>
                <w:rFonts w:eastAsiaTheme="minorEastAsia"/>
              </w:rPr>
            </w:pPr>
            <m:oMathPara>
              <m:oMath>
                <m:sSup>
                  <m:sSupPr>
                    <m:ctrlPr>
                      <w:rPr>
                        <w:rFonts w:ascii="Cambria Math" w:eastAsiaTheme="minorEastAsia" w:hAnsi="Cambria Math"/>
                        <w:i/>
                      </w:rPr>
                    </m:ctrlPr>
                  </m:sSupPr>
                  <m:e>
                    <m:r>
                      <w:rPr>
                        <w:rFonts w:ascii="Cambria Math" w:eastAsiaTheme="minorEastAsia" w:hAnsi="Cambria Math"/>
                      </w:rPr>
                      <m:t>R</m:t>
                    </m:r>
                  </m:e>
                  <m:sup>
                    <m:r>
                      <w:rPr>
                        <w:rFonts w:ascii="Cambria Math" w:eastAsiaTheme="minorEastAsia" w:hAnsi="Cambria Math"/>
                      </w:rPr>
                      <m:t>2</m:t>
                    </m:r>
                  </m:sup>
                </m:sSup>
              </m:oMath>
            </m:oMathPara>
          </w:p>
        </w:tc>
      </w:tr>
      <w:tr w:rsidR="00542413" w:rsidRPr="005863D9" w14:paraId="3E319646" w14:textId="77777777" w:rsidTr="009F2FC7">
        <w:trPr>
          <w:jc w:val="center"/>
        </w:trPr>
        <w:tc>
          <w:tcPr>
            <w:tcW w:w="3539" w:type="dxa"/>
          </w:tcPr>
          <w:p w14:paraId="6C605852" w14:textId="74D5C5FC" w:rsidR="00542413" w:rsidRPr="005863D9" w:rsidRDefault="00542413" w:rsidP="00D85C16">
            <w:pPr>
              <w:rPr>
                <w:rFonts w:eastAsiaTheme="minorEastAsia"/>
              </w:rPr>
            </w:pPr>
            <w:r w:rsidRPr="005863D9">
              <w:rPr>
                <w:rFonts w:eastAsiaTheme="minorEastAsia"/>
              </w:rPr>
              <w:t xml:space="preserve">Bulk water </w:t>
            </w:r>
            <w:r w:rsidR="00D765C6" w:rsidRPr="005863D9">
              <w:rPr>
                <w:rFonts w:eastAsiaTheme="minorEastAsia"/>
              </w:rPr>
              <w:t>300K</w:t>
            </w:r>
          </w:p>
        </w:tc>
        <w:tc>
          <w:tcPr>
            <w:tcW w:w="1276" w:type="dxa"/>
          </w:tcPr>
          <w:p w14:paraId="472938ED" w14:textId="20B09C73" w:rsidR="00542413" w:rsidRPr="005863D9" w:rsidRDefault="00D765C6" w:rsidP="00D85C16">
            <w:pPr>
              <w:rPr>
                <w:rFonts w:eastAsiaTheme="minorEastAsia"/>
              </w:rPr>
            </w:pPr>
            <w:r w:rsidRPr="005863D9">
              <w:rPr>
                <w:rFonts w:eastAsiaTheme="minorEastAsia"/>
              </w:rPr>
              <w:t>0.</w:t>
            </w:r>
            <w:r w:rsidR="00832D44" w:rsidRPr="005863D9">
              <w:rPr>
                <w:rFonts w:eastAsiaTheme="minorEastAsia"/>
              </w:rPr>
              <w:t>4366</w:t>
            </w:r>
          </w:p>
        </w:tc>
        <w:tc>
          <w:tcPr>
            <w:tcW w:w="992" w:type="dxa"/>
          </w:tcPr>
          <w:p w14:paraId="1379AEBF" w14:textId="12789011" w:rsidR="00542413" w:rsidRPr="005863D9" w:rsidRDefault="00832D44" w:rsidP="00D85C16">
            <w:pPr>
              <w:rPr>
                <w:rFonts w:eastAsiaTheme="minorEastAsia"/>
              </w:rPr>
            </w:pPr>
            <w:r w:rsidRPr="005863D9">
              <w:rPr>
                <w:rFonts w:eastAsiaTheme="minorEastAsia"/>
              </w:rPr>
              <w:t>0.99</w:t>
            </w:r>
          </w:p>
        </w:tc>
      </w:tr>
      <w:tr w:rsidR="00542413" w:rsidRPr="005863D9" w14:paraId="396C8D2D" w14:textId="77777777" w:rsidTr="009F2FC7">
        <w:trPr>
          <w:jc w:val="center"/>
        </w:trPr>
        <w:tc>
          <w:tcPr>
            <w:tcW w:w="3539" w:type="dxa"/>
          </w:tcPr>
          <w:p w14:paraId="0F5EE0D0" w14:textId="7A7D425D" w:rsidR="00542413" w:rsidRPr="005863D9" w:rsidRDefault="00832D44" w:rsidP="00D85C16">
            <w:pPr>
              <w:rPr>
                <w:rFonts w:eastAsiaTheme="minorEastAsia"/>
              </w:rPr>
            </w:pPr>
            <w:r w:rsidRPr="005863D9">
              <w:rPr>
                <w:rFonts w:eastAsiaTheme="minorEastAsia"/>
                <w:b/>
                <w:bCs/>
              </w:rPr>
              <w:t>NDI-TEG</w:t>
            </w:r>
            <w:r w:rsidRPr="005863D9">
              <w:rPr>
                <w:rFonts w:eastAsiaTheme="minorEastAsia"/>
              </w:rPr>
              <w:t xml:space="preserve"> 100 water molecules</w:t>
            </w:r>
          </w:p>
        </w:tc>
        <w:tc>
          <w:tcPr>
            <w:tcW w:w="1276" w:type="dxa"/>
          </w:tcPr>
          <w:p w14:paraId="45E335D2" w14:textId="6F7ABDDF" w:rsidR="00542413" w:rsidRPr="005863D9" w:rsidRDefault="00832D44" w:rsidP="00D85C16">
            <w:pPr>
              <w:rPr>
                <w:rFonts w:eastAsiaTheme="minorEastAsia"/>
              </w:rPr>
            </w:pPr>
            <w:r w:rsidRPr="005863D9">
              <w:rPr>
                <w:rFonts w:eastAsiaTheme="minorEastAsia"/>
              </w:rPr>
              <w:t>0.1849</w:t>
            </w:r>
          </w:p>
        </w:tc>
        <w:tc>
          <w:tcPr>
            <w:tcW w:w="992" w:type="dxa"/>
          </w:tcPr>
          <w:p w14:paraId="3894A436" w14:textId="1760B84A" w:rsidR="00542413" w:rsidRPr="005863D9" w:rsidRDefault="00832D44" w:rsidP="00D85C16">
            <w:pPr>
              <w:rPr>
                <w:rFonts w:eastAsiaTheme="minorEastAsia"/>
              </w:rPr>
            </w:pPr>
            <w:r w:rsidRPr="005863D9">
              <w:rPr>
                <w:rFonts w:eastAsiaTheme="minorEastAsia"/>
              </w:rPr>
              <w:t>0.97</w:t>
            </w:r>
          </w:p>
        </w:tc>
      </w:tr>
      <w:tr w:rsidR="00542413" w:rsidRPr="005863D9" w14:paraId="3775FD3A" w14:textId="77777777" w:rsidTr="009F2FC7">
        <w:trPr>
          <w:jc w:val="center"/>
        </w:trPr>
        <w:tc>
          <w:tcPr>
            <w:tcW w:w="3539" w:type="dxa"/>
          </w:tcPr>
          <w:p w14:paraId="1470BDDC" w14:textId="5421673C" w:rsidR="00542413" w:rsidRPr="005863D9" w:rsidRDefault="00832D44" w:rsidP="00D85C16">
            <w:pPr>
              <w:rPr>
                <w:rFonts w:eastAsiaTheme="minorEastAsia"/>
              </w:rPr>
            </w:pPr>
            <w:r w:rsidRPr="005863D9">
              <w:rPr>
                <w:rFonts w:eastAsiaTheme="minorEastAsia"/>
                <w:b/>
                <w:bCs/>
              </w:rPr>
              <w:t>NDI-C6</w:t>
            </w:r>
            <w:r w:rsidRPr="005863D9">
              <w:rPr>
                <w:rFonts w:eastAsiaTheme="minorEastAsia"/>
              </w:rPr>
              <w:t xml:space="preserve"> 100 water molecules</w:t>
            </w:r>
          </w:p>
        </w:tc>
        <w:tc>
          <w:tcPr>
            <w:tcW w:w="1276" w:type="dxa"/>
          </w:tcPr>
          <w:p w14:paraId="4430517A" w14:textId="0D8D9609" w:rsidR="00542413" w:rsidRPr="005863D9" w:rsidRDefault="009F2FC7" w:rsidP="00D85C16">
            <w:pPr>
              <w:rPr>
                <w:rFonts w:eastAsiaTheme="minorEastAsia"/>
              </w:rPr>
            </w:pPr>
            <w:r w:rsidRPr="005863D9">
              <w:rPr>
                <w:rFonts w:eastAsiaTheme="minorEastAsia"/>
              </w:rPr>
              <w:t>0.1904</w:t>
            </w:r>
          </w:p>
        </w:tc>
        <w:tc>
          <w:tcPr>
            <w:tcW w:w="992" w:type="dxa"/>
          </w:tcPr>
          <w:p w14:paraId="0CB283C6" w14:textId="2158323C" w:rsidR="00542413" w:rsidRPr="005863D9" w:rsidRDefault="009F2FC7" w:rsidP="00D85C16">
            <w:pPr>
              <w:rPr>
                <w:rFonts w:eastAsiaTheme="minorEastAsia"/>
              </w:rPr>
            </w:pPr>
            <w:r w:rsidRPr="005863D9">
              <w:rPr>
                <w:rFonts w:eastAsiaTheme="minorEastAsia"/>
              </w:rPr>
              <w:t>0.97</w:t>
            </w:r>
          </w:p>
        </w:tc>
      </w:tr>
      <w:tr w:rsidR="00542413" w:rsidRPr="005863D9" w14:paraId="79F2E02E" w14:textId="77777777" w:rsidTr="009F2FC7">
        <w:trPr>
          <w:jc w:val="center"/>
        </w:trPr>
        <w:tc>
          <w:tcPr>
            <w:tcW w:w="3539" w:type="dxa"/>
          </w:tcPr>
          <w:p w14:paraId="448059AF" w14:textId="7B68874B" w:rsidR="00542413" w:rsidRPr="005863D9" w:rsidRDefault="009F2FC7" w:rsidP="00D85C16">
            <w:pPr>
              <w:rPr>
                <w:rFonts w:eastAsiaTheme="minorEastAsia"/>
              </w:rPr>
            </w:pPr>
            <w:r w:rsidRPr="005863D9">
              <w:rPr>
                <w:rFonts w:eastAsiaTheme="minorEastAsia"/>
                <w:b/>
                <w:bCs/>
              </w:rPr>
              <w:t>NDI-TEG</w:t>
            </w:r>
            <w:r w:rsidRPr="005863D9">
              <w:rPr>
                <w:rFonts w:eastAsiaTheme="minorEastAsia"/>
              </w:rPr>
              <w:t xml:space="preserve"> 300 water molecules</w:t>
            </w:r>
          </w:p>
        </w:tc>
        <w:tc>
          <w:tcPr>
            <w:tcW w:w="1276" w:type="dxa"/>
          </w:tcPr>
          <w:p w14:paraId="0AFD7096" w14:textId="1579B9D4" w:rsidR="00542413" w:rsidRPr="005863D9" w:rsidRDefault="009F2FC7" w:rsidP="00D85C16">
            <w:pPr>
              <w:rPr>
                <w:rFonts w:eastAsiaTheme="minorEastAsia"/>
              </w:rPr>
            </w:pPr>
            <w:r w:rsidRPr="005863D9">
              <w:rPr>
                <w:rFonts w:eastAsiaTheme="minorEastAsia"/>
              </w:rPr>
              <w:t>0.1753</w:t>
            </w:r>
          </w:p>
        </w:tc>
        <w:tc>
          <w:tcPr>
            <w:tcW w:w="992" w:type="dxa"/>
          </w:tcPr>
          <w:p w14:paraId="37D4CE15" w14:textId="7E7E6FB9" w:rsidR="00542413" w:rsidRPr="005863D9" w:rsidRDefault="009F2FC7" w:rsidP="00D85C16">
            <w:pPr>
              <w:rPr>
                <w:rFonts w:eastAsiaTheme="minorEastAsia"/>
              </w:rPr>
            </w:pPr>
            <w:r w:rsidRPr="005863D9">
              <w:rPr>
                <w:rFonts w:eastAsiaTheme="minorEastAsia"/>
              </w:rPr>
              <w:t>0.98</w:t>
            </w:r>
          </w:p>
        </w:tc>
      </w:tr>
      <w:tr w:rsidR="00542413" w:rsidRPr="005863D9" w14:paraId="30997532" w14:textId="77777777" w:rsidTr="009F2FC7">
        <w:trPr>
          <w:jc w:val="center"/>
        </w:trPr>
        <w:tc>
          <w:tcPr>
            <w:tcW w:w="3539" w:type="dxa"/>
          </w:tcPr>
          <w:p w14:paraId="758F3BC5" w14:textId="57104273" w:rsidR="00542413" w:rsidRPr="005863D9" w:rsidRDefault="009F2FC7" w:rsidP="00D85C16">
            <w:pPr>
              <w:rPr>
                <w:rFonts w:eastAsiaTheme="minorEastAsia"/>
              </w:rPr>
            </w:pPr>
            <w:r w:rsidRPr="005863D9">
              <w:rPr>
                <w:rFonts w:eastAsiaTheme="minorEastAsia"/>
                <w:b/>
                <w:bCs/>
              </w:rPr>
              <w:lastRenderedPageBreak/>
              <w:t>NDI-C6</w:t>
            </w:r>
            <w:r w:rsidRPr="005863D9">
              <w:rPr>
                <w:rFonts w:eastAsiaTheme="minorEastAsia"/>
              </w:rPr>
              <w:t xml:space="preserve"> 300 water molecules</w:t>
            </w:r>
          </w:p>
        </w:tc>
        <w:tc>
          <w:tcPr>
            <w:tcW w:w="1276" w:type="dxa"/>
          </w:tcPr>
          <w:p w14:paraId="12F4E689" w14:textId="761D77FC" w:rsidR="00542413" w:rsidRPr="005863D9" w:rsidRDefault="009F2FC7" w:rsidP="00D85C16">
            <w:pPr>
              <w:rPr>
                <w:rFonts w:eastAsiaTheme="minorEastAsia"/>
              </w:rPr>
            </w:pPr>
            <w:r w:rsidRPr="005863D9">
              <w:rPr>
                <w:rFonts w:eastAsiaTheme="minorEastAsia"/>
              </w:rPr>
              <w:t>0.2362</w:t>
            </w:r>
          </w:p>
        </w:tc>
        <w:tc>
          <w:tcPr>
            <w:tcW w:w="992" w:type="dxa"/>
          </w:tcPr>
          <w:p w14:paraId="583CD3E2" w14:textId="0241CC13" w:rsidR="00542413" w:rsidRPr="005863D9" w:rsidRDefault="009F2FC7" w:rsidP="00D85C16">
            <w:pPr>
              <w:rPr>
                <w:rFonts w:eastAsiaTheme="minorEastAsia"/>
              </w:rPr>
            </w:pPr>
            <w:r w:rsidRPr="005863D9">
              <w:rPr>
                <w:rFonts w:eastAsiaTheme="minorEastAsia"/>
              </w:rPr>
              <w:t>0.98</w:t>
            </w:r>
          </w:p>
        </w:tc>
      </w:tr>
    </w:tbl>
    <w:p w14:paraId="72C1C791" w14:textId="77777777" w:rsidR="00604AD0" w:rsidRPr="005863D9" w:rsidRDefault="00604AD0" w:rsidP="00604AD0">
      <w:pPr>
        <w:pStyle w:val="Heading2"/>
        <w:rPr>
          <w:b/>
          <w:bCs/>
          <w:sz w:val="24"/>
          <w:szCs w:val="24"/>
        </w:rPr>
      </w:pPr>
    </w:p>
    <w:bookmarkStart w:id="7" w:name="_Toc222389124"/>
    <w:p w14:paraId="4A09F8CC" w14:textId="3AF214BD" w:rsidR="00604AD0" w:rsidRPr="005863D9" w:rsidRDefault="00000000" w:rsidP="00604AD0">
      <w:pPr>
        <w:pStyle w:val="Heading2"/>
        <w:rPr>
          <w:rFonts w:eastAsiaTheme="minorEastAsia"/>
          <w:b/>
          <w:bCs/>
          <w:sz w:val="24"/>
          <w:szCs w:val="24"/>
        </w:rPr>
      </w:pPr>
      <m:oMath>
        <m:sSub>
          <m:sSubPr>
            <m:ctrlPr>
              <w:rPr>
                <w:rFonts w:ascii="Cambria Math" w:hAnsi="Cambria Math"/>
                <w:b/>
                <w:bCs/>
                <w:i/>
                <w:sz w:val="24"/>
                <w:szCs w:val="24"/>
              </w:rPr>
            </m:ctrlPr>
          </m:sSubPr>
          <m:e>
            <m:r>
              <m:rPr>
                <m:sty m:val="bi"/>
              </m:rPr>
              <w:rPr>
                <w:rFonts w:ascii="Cambria Math" w:hAnsi="Cambria Math"/>
                <w:sz w:val="24"/>
                <w:szCs w:val="24"/>
              </w:rPr>
              <m:t>C</m:t>
            </m:r>
          </m:e>
          <m:sub>
            <m:r>
              <m:rPr>
                <m:sty m:val="bi"/>
              </m:rPr>
              <w:rPr>
                <w:rFonts w:ascii="Cambria Math" w:hAnsi="Cambria Math"/>
                <w:sz w:val="24"/>
                <w:szCs w:val="24"/>
              </w:rPr>
              <m:t>2</m:t>
            </m:r>
          </m:sub>
        </m:sSub>
      </m:oMath>
      <w:r w:rsidR="00604AD0" w:rsidRPr="005863D9">
        <w:rPr>
          <w:rFonts w:eastAsiaTheme="minorEastAsia"/>
          <w:b/>
          <w:bCs/>
          <w:sz w:val="24"/>
          <w:szCs w:val="24"/>
        </w:rPr>
        <w:t>correlation function at longer time scales</w:t>
      </w:r>
      <w:bookmarkEnd w:id="7"/>
    </w:p>
    <w:p w14:paraId="074F2EF2" w14:textId="2398DDCC" w:rsidR="00604AD0" w:rsidRPr="005863D9" w:rsidRDefault="00604AD0" w:rsidP="00604AD0">
      <w:r w:rsidRPr="005863D9">
        <w:t>Here below we report the computed C</w:t>
      </w:r>
      <w:r w:rsidRPr="005863D9">
        <w:rPr>
          <w:vertAlign w:val="subscript"/>
        </w:rPr>
        <w:t>2</w:t>
      </w:r>
      <w:r w:rsidRPr="005863D9">
        <w:t xml:space="preserve">(t) at long time scales (up to 200 </w:t>
      </w:r>
      <w:proofErr w:type="spellStart"/>
      <w:r w:rsidRPr="005863D9">
        <w:t>ps</w:t>
      </w:r>
      <w:proofErr w:type="spellEnd"/>
      <w:r w:rsidRPr="005863D9">
        <w:t xml:space="preserve">) for </w:t>
      </w:r>
      <w:proofErr w:type="spellStart"/>
      <w:r w:rsidRPr="005863D9">
        <w:t>NDI:water</w:t>
      </w:r>
      <w:proofErr w:type="spellEnd"/>
      <w:r w:rsidRPr="005863D9">
        <w:t xml:space="preserve"> 1:3 and bulk water </w:t>
      </w:r>
      <w:r w:rsidR="00EB17D7" w:rsidRPr="005863D9">
        <w:t xml:space="preserve">at </w:t>
      </w:r>
      <w:r w:rsidRPr="005863D9">
        <w:t>300 K</w:t>
      </w:r>
      <w:r w:rsidR="00EB17D7" w:rsidRPr="005863D9">
        <w:t xml:space="preserve"> and 200K</w:t>
      </w:r>
      <w:r w:rsidRPr="005863D9">
        <w:t>.</w:t>
      </w:r>
    </w:p>
    <w:p w14:paraId="48374214" w14:textId="36244185" w:rsidR="00D85C16" w:rsidRPr="005863D9" w:rsidRDefault="00604AD0" w:rsidP="00604AD0">
      <w:pPr>
        <w:jc w:val="center"/>
      </w:pPr>
      <w:r w:rsidRPr="005863D9">
        <w:rPr>
          <w:noProof/>
          <w:color w:val="000000" w:themeColor="text1"/>
        </w:rPr>
        <w:drawing>
          <wp:inline distT="0" distB="0" distL="0" distR="0" wp14:anchorId="27F2501A" wp14:editId="25A0AB75">
            <wp:extent cx="4363155" cy="3398227"/>
            <wp:effectExtent l="0" t="0" r="5715" b="5715"/>
            <wp:docPr id="143053431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0534314" name="Picture 3"/>
                    <pic:cNvPicPr/>
                  </pic:nvPicPr>
                  <pic:blipFill>
                    <a:blip r:embed="rId12">
                      <a:extLst>
                        <a:ext uri="{28A0092B-C50C-407E-A947-70E740481C1C}">
                          <a14:useLocalDpi xmlns:a14="http://schemas.microsoft.com/office/drawing/2010/main" val="0"/>
                        </a:ext>
                      </a:extLst>
                    </a:blip>
                    <a:stretch>
                      <a:fillRect/>
                    </a:stretch>
                  </pic:blipFill>
                  <pic:spPr>
                    <a:xfrm>
                      <a:off x="0" y="0"/>
                      <a:ext cx="4363155" cy="3398227"/>
                    </a:xfrm>
                    <a:prstGeom prst="rect">
                      <a:avLst/>
                    </a:prstGeom>
                  </pic:spPr>
                </pic:pic>
              </a:graphicData>
            </a:graphic>
          </wp:inline>
        </w:drawing>
      </w:r>
    </w:p>
    <w:p w14:paraId="6BE14C31" w14:textId="77777777" w:rsidR="00604AD0" w:rsidRPr="005863D9" w:rsidRDefault="00604AD0" w:rsidP="00B54E51">
      <w:pPr>
        <w:jc w:val="both"/>
      </w:pPr>
    </w:p>
    <w:p w14:paraId="2AC83363" w14:textId="026253B6" w:rsidR="00FF4815" w:rsidRPr="005863D9" w:rsidRDefault="003E2DD7" w:rsidP="00FF4815">
      <w:pPr>
        <w:pStyle w:val="Heading1"/>
        <w:rPr>
          <w:b/>
          <w:bCs/>
          <w:sz w:val="28"/>
          <w:szCs w:val="28"/>
        </w:rPr>
      </w:pPr>
      <w:bookmarkStart w:id="8" w:name="_Toc222389125"/>
      <w:r w:rsidRPr="005863D9">
        <w:rPr>
          <w:b/>
          <w:bCs/>
          <w:sz w:val="28"/>
          <w:szCs w:val="28"/>
        </w:rPr>
        <w:t>Additional figures</w:t>
      </w:r>
      <w:bookmarkEnd w:id="8"/>
    </w:p>
    <w:p w14:paraId="79306DF9" w14:textId="77777777" w:rsidR="00C13414" w:rsidRPr="005863D9" w:rsidRDefault="003E2DD7" w:rsidP="00C13414">
      <w:pPr>
        <w:keepNext/>
        <w:jc w:val="both"/>
      </w:pPr>
      <w:r w:rsidRPr="005863D9">
        <w:rPr>
          <w:noProof/>
        </w:rPr>
        <w:drawing>
          <wp:inline distT="0" distB="0" distL="0" distR="0" wp14:anchorId="3379C4EE" wp14:editId="1132234B">
            <wp:extent cx="6120130" cy="1946275"/>
            <wp:effectExtent l="0" t="0" r="0" b="0"/>
            <wp:docPr id="965157253" name="Immagine 1" descr="Immagine che contiene frutto, bacc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5157253" name="Immagine 1" descr="Immagine che contiene frutto, bacca&#10;&#10;Il contenuto generato dall'IA potrebbe non essere corretto."/>
                    <pic:cNvPicPr/>
                  </pic:nvPicPr>
                  <pic:blipFill>
                    <a:blip r:embed="rId13" cstate="print">
                      <a:extLst>
                        <a:ext uri="{28A0092B-C50C-407E-A947-70E740481C1C}">
                          <a14:useLocalDpi xmlns:a14="http://schemas.microsoft.com/office/drawing/2010/main" val="0"/>
                        </a:ext>
                      </a:extLst>
                    </a:blip>
                    <a:stretch>
                      <a:fillRect/>
                    </a:stretch>
                  </pic:blipFill>
                  <pic:spPr>
                    <a:xfrm>
                      <a:off x="0" y="0"/>
                      <a:ext cx="6120130" cy="1946275"/>
                    </a:xfrm>
                    <a:prstGeom prst="rect">
                      <a:avLst/>
                    </a:prstGeom>
                  </pic:spPr>
                </pic:pic>
              </a:graphicData>
            </a:graphic>
          </wp:inline>
        </w:drawing>
      </w:r>
    </w:p>
    <w:p w14:paraId="074DC2AC" w14:textId="658474F6" w:rsidR="00D85C16" w:rsidRPr="005863D9" w:rsidRDefault="00C13414" w:rsidP="00C13414">
      <w:pPr>
        <w:pStyle w:val="Caption"/>
        <w:jc w:val="both"/>
      </w:pPr>
      <w:r w:rsidRPr="005863D9">
        <w:t xml:space="preserve">Figure </w:t>
      </w:r>
      <w:r w:rsidR="001C612F" w:rsidRPr="005863D9">
        <w:t>S</w:t>
      </w:r>
      <w:r w:rsidR="004C091A" w:rsidRPr="005863D9">
        <w:t>5</w:t>
      </w:r>
      <w:r w:rsidRPr="005863D9">
        <w:t xml:space="preserve">: </w:t>
      </w:r>
      <w:r w:rsidR="00F5631F" w:rsidRPr="005863D9">
        <w:t>Side view of the s</w:t>
      </w:r>
      <w:r w:rsidRPr="005863D9">
        <w:t xml:space="preserve">imulation boxes (a 4x4x6 </w:t>
      </w:r>
      <w:r w:rsidRPr="005863D9">
        <w:rPr>
          <w:b/>
          <w:bCs/>
        </w:rPr>
        <w:t>NDI-TEG</w:t>
      </w:r>
      <w:r w:rsidRPr="005863D9">
        <w:t xml:space="preserve"> supercell and on a 5x5x4 NDI-C6 supercell) after a 200 ns simulation. Panel a): </w:t>
      </w:r>
      <w:r w:rsidRPr="005863D9">
        <w:rPr>
          <w:b/>
          <w:bCs/>
        </w:rPr>
        <w:t>NDI-C6</w:t>
      </w:r>
      <w:r w:rsidRPr="005863D9">
        <w:t xml:space="preserve"> and </w:t>
      </w:r>
      <w:r w:rsidR="00F5631F" w:rsidRPr="005863D9">
        <w:t>3</w:t>
      </w:r>
      <w:r w:rsidRPr="005863D9">
        <w:t>00 water molecules (1:</w:t>
      </w:r>
      <w:r w:rsidR="00F5631F" w:rsidRPr="005863D9">
        <w:t>3</w:t>
      </w:r>
      <w:r w:rsidRPr="005863D9">
        <w:t xml:space="preserve">). Panel b): </w:t>
      </w:r>
      <w:r w:rsidRPr="005863D9">
        <w:rPr>
          <w:b/>
          <w:bCs/>
        </w:rPr>
        <w:t>NDI-TEG</w:t>
      </w:r>
      <w:r w:rsidRPr="005863D9">
        <w:t xml:space="preserve"> and </w:t>
      </w:r>
      <w:r w:rsidR="00F5631F" w:rsidRPr="005863D9">
        <w:t>3</w:t>
      </w:r>
      <w:r w:rsidRPr="005863D9">
        <w:t>00 water molecules (1:</w:t>
      </w:r>
      <w:r w:rsidR="00F5631F" w:rsidRPr="005863D9">
        <w:t>3</w:t>
      </w:r>
      <w:r w:rsidRPr="005863D9">
        <w:t>).</w:t>
      </w:r>
    </w:p>
    <w:p w14:paraId="7ABE16F8" w14:textId="77777777" w:rsidR="00F510E6" w:rsidRPr="005863D9" w:rsidRDefault="00F510E6" w:rsidP="00F510E6"/>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4814"/>
      </w:tblGrid>
      <w:tr w:rsidR="00F510E6" w:rsidRPr="005863D9" w14:paraId="6884A54D" w14:textId="77777777" w:rsidTr="00F510E6">
        <w:tc>
          <w:tcPr>
            <w:tcW w:w="4814" w:type="dxa"/>
          </w:tcPr>
          <w:p w14:paraId="6AB48A17" w14:textId="062AFEE2" w:rsidR="00F510E6" w:rsidRPr="005863D9" w:rsidRDefault="00F510E6" w:rsidP="00B54E51">
            <w:pPr>
              <w:jc w:val="both"/>
            </w:pPr>
            <w:r w:rsidRPr="005863D9">
              <w:rPr>
                <w:noProof/>
              </w:rPr>
              <w:lastRenderedPageBreak/>
              <w:drawing>
                <wp:inline distT="0" distB="0" distL="0" distR="0" wp14:anchorId="3A80C6A5" wp14:editId="0B68AB93">
                  <wp:extent cx="2861733" cy="1558840"/>
                  <wp:effectExtent l="0" t="0" r="0" b="3810"/>
                  <wp:docPr id="947781151" name="Picture 1" descr="A close-up of a structur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7781151" name="Picture 1" descr="A close-up of a structure&#10;&#10;AI-generated content may be incorrect."/>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899559" cy="1579444"/>
                          </a:xfrm>
                          <a:prstGeom prst="rect">
                            <a:avLst/>
                          </a:prstGeom>
                        </pic:spPr>
                      </pic:pic>
                    </a:graphicData>
                  </a:graphic>
                </wp:inline>
              </w:drawing>
            </w:r>
          </w:p>
        </w:tc>
        <w:tc>
          <w:tcPr>
            <w:tcW w:w="4814" w:type="dxa"/>
          </w:tcPr>
          <w:p w14:paraId="2B229396" w14:textId="5EFDE80C" w:rsidR="00F510E6" w:rsidRPr="005863D9" w:rsidRDefault="00F510E6" w:rsidP="00B54E51">
            <w:pPr>
              <w:jc w:val="both"/>
            </w:pPr>
            <w:r w:rsidRPr="005863D9">
              <w:rPr>
                <w:noProof/>
              </w:rPr>
              <w:drawing>
                <wp:inline distT="0" distB="0" distL="0" distR="0" wp14:anchorId="4DBBEB20" wp14:editId="698416B9">
                  <wp:extent cx="2766685" cy="1507066"/>
                  <wp:effectExtent l="0" t="0" r="2540" b="4445"/>
                  <wp:docPr id="1001571125" name="Picture 2" descr="A red and silver spher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1571125" name="Picture 2" descr="A red and silver spheres&#10;&#10;AI-generated content may be incorrect."/>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808259" cy="1529712"/>
                          </a:xfrm>
                          <a:prstGeom prst="rect">
                            <a:avLst/>
                          </a:prstGeom>
                        </pic:spPr>
                      </pic:pic>
                    </a:graphicData>
                  </a:graphic>
                </wp:inline>
              </w:drawing>
            </w:r>
          </w:p>
        </w:tc>
      </w:tr>
    </w:tbl>
    <w:p w14:paraId="19584E43" w14:textId="697E0014" w:rsidR="00FF4815" w:rsidRPr="005863D9" w:rsidRDefault="001C612F" w:rsidP="00B54E51">
      <w:pPr>
        <w:jc w:val="both"/>
        <w:rPr>
          <w:i/>
          <w:iCs/>
          <w:sz w:val="18"/>
          <w:szCs w:val="18"/>
        </w:rPr>
      </w:pPr>
      <w:r w:rsidRPr="005863D9">
        <w:rPr>
          <w:i/>
          <w:iCs/>
          <w:sz w:val="18"/>
          <w:szCs w:val="18"/>
        </w:rPr>
        <w:t>Figure S</w:t>
      </w:r>
      <w:r w:rsidR="004C091A" w:rsidRPr="005863D9">
        <w:rPr>
          <w:i/>
          <w:iCs/>
          <w:sz w:val="18"/>
          <w:szCs w:val="18"/>
        </w:rPr>
        <w:t>6</w:t>
      </w:r>
      <w:r w:rsidRPr="005863D9">
        <w:rPr>
          <w:i/>
          <w:iCs/>
          <w:sz w:val="18"/>
          <w:szCs w:val="18"/>
        </w:rPr>
        <w:t xml:space="preserve">: Simulation boxes (a 4x4x6 NDI-TEG supercell and on a 5x5x4 </w:t>
      </w:r>
      <w:r w:rsidRPr="005863D9">
        <w:rPr>
          <w:b/>
          <w:bCs/>
          <w:i/>
          <w:iCs/>
          <w:sz w:val="18"/>
          <w:szCs w:val="18"/>
        </w:rPr>
        <w:t>NDI-C6</w:t>
      </w:r>
      <w:r w:rsidRPr="005863D9">
        <w:rPr>
          <w:i/>
          <w:iCs/>
          <w:sz w:val="18"/>
          <w:szCs w:val="18"/>
        </w:rPr>
        <w:t xml:space="preserve"> supercell) after a 200 ns simulation. Panel a): </w:t>
      </w:r>
      <w:r w:rsidRPr="005863D9">
        <w:rPr>
          <w:b/>
          <w:bCs/>
          <w:i/>
          <w:iCs/>
          <w:sz w:val="18"/>
          <w:szCs w:val="18"/>
        </w:rPr>
        <w:t>NDI-C6</w:t>
      </w:r>
      <w:r w:rsidRPr="005863D9">
        <w:rPr>
          <w:i/>
          <w:iCs/>
          <w:sz w:val="18"/>
          <w:szCs w:val="18"/>
        </w:rPr>
        <w:t xml:space="preserve"> and 500 water molecules (1:3). Panel b): </w:t>
      </w:r>
      <w:r w:rsidRPr="005863D9">
        <w:rPr>
          <w:b/>
          <w:bCs/>
          <w:i/>
          <w:iCs/>
          <w:sz w:val="18"/>
          <w:szCs w:val="18"/>
        </w:rPr>
        <w:t>NDI-TEG</w:t>
      </w:r>
      <w:r w:rsidRPr="005863D9">
        <w:rPr>
          <w:i/>
          <w:iCs/>
          <w:sz w:val="18"/>
          <w:szCs w:val="18"/>
        </w:rPr>
        <w:t xml:space="preserve"> and 500 water molecules (1:5).</w:t>
      </w:r>
    </w:p>
    <w:p w14:paraId="7C28C1B8" w14:textId="6B6B1E72" w:rsidR="00B05652" w:rsidRPr="005863D9" w:rsidRDefault="00B05652" w:rsidP="00B05652">
      <w:pPr>
        <w:pStyle w:val="Heading1"/>
        <w:rPr>
          <w:b/>
          <w:bCs/>
          <w:sz w:val="28"/>
          <w:szCs w:val="28"/>
        </w:rPr>
      </w:pPr>
      <w:bookmarkStart w:id="9" w:name="_Toc222389126"/>
      <w:r w:rsidRPr="005863D9">
        <w:rPr>
          <w:b/>
          <w:bCs/>
          <w:sz w:val="28"/>
          <w:szCs w:val="28"/>
        </w:rPr>
        <w:t>Cluster analyses</w:t>
      </w:r>
      <w:bookmarkEnd w:id="9"/>
    </w:p>
    <w:p w14:paraId="0DDDC9B7" w14:textId="0EDB52B9" w:rsidR="003C42ED" w:rsidRPr="005863D9" w:rsidRDefault="003C42ED" w:rsidP="003C42ED">
      <w:pPr>
        <w:jc w:val="both"/>
        <w:rPr>
          <w:lang w:val="en-GB"/>
        </w:rPr>
      </w:pPr>
      <w:r w:rsidRPr="005863D9">
        <w:rPr>
          <w:lang w:val="en-GB"/>
        </w:rPr>
        <w:t xml:space="preserve">A cluster analysis for the 1:3 hydration cases (i.e., 300 water molecules) was performed. For the cluster analysis we considered the commands compute cluster/atom and compute chunk/atom in LAMMPS, to generate clusters and count the atoms within each cluster. To generate the clusters, we considered oxygen atom-type (i.e., water molecule) within a radius of 3.5 Å (i.e., approximately the first peak in the oxygen-oxygen radial distribution function). We applied the analysis for </w:t>
      </w:r>
      <w:r w:rsidRPr="005863D9">
        <w:rPr>
          <w:b/>
          <w:bCs/>
          <w:lang w:val="en-GB"/>
        </w:rPr>
        <w:t>NDI-C6</w:t>
      </w:r>
      <w:r w:rsidRPr="005863D9">
        <w:rPr>
          <w:lang w:val="en-GB"/>
        </w:rPr>
        <w:t xml:space="preserve">, </w:t>
      </w:r>
      <w:r w:rsidRPr="005863D9">
        <w:rPr>
          <w:b/>
          <w:bCs/>
          <w:lang w:val="en-GB"/>
        </w:rPr>
        <w:t>NDI-TEG</w:t>
      </w:r>
      <w:r w:rsidRPr="005863D9">
        <w:rPr>
          <w:lang w:val="en-GB"/>
        </w:rPr>
        <w:t>, bulk water at 300K and supercooled at 200 K.</w:t>
      </w:r>
    </w:p>
    <w:p w14:paraId="109033CC" w14:textId="77777777" w:rsidR="003C42ED" w:rsidRPr="005863D9" w:rsidRDefault="003C42ED" w:rsidP="003C42ED">
      <w:pPr>
        <w:jc w:val="both"/>
        <w:rPr>
          <w:lang w:val="en-GB"/>
        </w:rPr>
      </w:pPr>
      <w:r w:rsidRPr="005863D9">
        <w:rPr>
          <w:lang w:val="en-GB"/>
        </w:rPr>
        <w:t xml:space="preserve">Here below are reported the final analyses. </w:t>
      </w:r>
    </w:p>
    <w:p w14:paraId="071FC313" w14:textId="77777777" w:rsidR="003C42ED" w:rsidRPr="005863D9" w:rsidRDefault="003C42ED" w:rsidP="003C42ED">
      <w:pPr>
        <w:jc w:val="both"/>
        <w:rPr>
          <w:lang w:val="en-IT"/>
        </w:rPr>
      </w:pPr>
      <w:r w:rsidRPr="005863D9">
        <w:rPr>
          <w:lang w:val="en-IT"/>
        </w:rPr>
        <w:t xml:space="preserve">For </w:t>
      </w:r>
      <w:r w:rsidRPr="005863D9">
        <w:rPr>
          <w:b/>
          <w:bCs/>
          <w:lang w:val="en-IT"/>
        </w:rPr>
        <w:t>NDI-C6</w:t>
      </w:r>
      <w:r w:rsidRPr="005863D9">
        <w:rPr>
          <w:lang w:val="en-IT"/>
        </w:rPr>
        <w:t xml:space="preserve"> the number of identified (types of) clusters is 9. The distribution of water molecules in each cluster is the following: 64, 62, 36, 52, 11, 10,  6, 55,  and 4 (total = 300).</w:t>
      </w:r>
    </w:p>
    <w:p w14:paraId="688B5896" w14:textId="77777777" w:rsidR="003C42ED" w:rsidRPr="005863D9" w:rsidRDefault="003C42ED" w:rsidP="003C42ED">
      <w:pPr>
        <w:jc w:val="both"/>
        <w:rPr>
          <w:lang w:val="en-IT"/>
        </w:rPr>
      </w:pPr>
      <w:r w:rsidRPr="005863D9">
        <w:rPr>
          <w:lang w:val="en-IT"/>
        </w:rPr>
        <w:t xml:space="preserve">For </w:t>
      </w:r>
      <w:r w:rsidRPr="005863D9">
        <w:rPr>
          <w:b/>
          <w:bCs/>
          <w:lang w:val="en-IT"/>
        </w:rPr>
        <w:t>NDI-TEG</w:t>
      </w:r>
      <w:r w:rsidRPr="005863D9">
        <w:rPr>
          <w:lang w:val="en-IT"/>
        </w:rPr>
        <w:t xml:space="preserve"> the number of identified clusters is 9. The distribution of water molecules in each cluster is the following: 21,  32, 134,  40,  19,  33,   1,  17,  and 3 (total = 300).</w:t>
      </w:r>
    </w:p>
    <w:p w14:paraId="44D26488" w14:textId="77777777" w:rsidR="003C42ED" w:rsidRPr="005863D9" w:rsidRDefault="003C42ED" w:rsidP="003C42ED">
      <w:pPr>
        <w:jc w:val="both"/>
        <w:rPr>
          <w:lang w:val="en-GB"/>
        </w:rPr>
      </w:pPr>
      <w:r w:rsidRPr="005863D9">
        <w:rPr>
          <w:lang w:val="en-GB"/>
        </w:rPr>
        <w:t>For bulk water cases (300 K and 200 K), the analyses returned only one type of cluster.</w:t>
      </w:r>
    </w:p>
    <w:p w14:paraId="5667A0C7" w14:textId="77777777" w:rsidR="003C42ED" w:rsidRPr="005863D9" w:rsidRDefault="003C42ED" w:rsidP="003C42ED">
      <w:pPr>
        <w:jc w:val="both"/>
        <w:rPr>
          <w:lang w:val="en-GB"/>
        </w:rPr>
      </w:pPr>
      <w:r w:rsidRPr="005863D9">
        <w:rPr>
          <w:lang w:val="en-GB"/>
        </w:rPr>
        <w:t xml:space="preserve">We observed that for </w:t>
      </w:r>
      <w:r w:rsidRPr="005863D9">
        <w:rPr>
          <w:b/>
          <w:bCs/>
          <w:lang w:val="en-GB"/>
        </w:rPr>
        <w:t>NDI-TEG</w:t>
      </w:r>
      <w:r w:rsidRPr="005863D9">
        <w:rPr>
          <w:lang w:val="en-GB"/>
        </w:rPr>
        <w:t xml:space="preserve"> the size distribution of the clusters is quite heterogeneous, showing a large cluster containing 134 water molecules, followed by smaller clusters (e.g., 40, 33, 32, 21). This reflects the presence of a large cluster promoted by the hydrophilicity of the side chains. For </w:t>
      </w:r>
      <w:r w:rsidRPr="005863D9">
        <w:rPr>
          <w:b/>
          <w:bCs/>
          <w:lang w:val="en-GB"/>
        </w:rPr>
        <w:t>NDI-C6</w:t>
      </w:r>
      <w:r w:rsidRPr="005863D9">
        <w:rPr>
          <w:lang w:val="en-GB"/>
        </w:rPr>
        <w:t xml:space="preserve">, instead, the cluster analysis reveals a more homogeneous size distribution than </w:t>
      </w:r>
      <w:r w:rsidRPr="005863D9">
        <w:rPr>
          <w:b/>
          <w:bCs/>
          <w:lang w:val="en-GB"/>
        </w:rPr>
        <w:t>NDI-TEG</w:t>
      </w:r>
      <w:r w:rsidRPr="005863D9">
        <w:rPr>
          <w:lang w:val="en-GB"/>
        </w:rPr>
        <w:t>, with clusters containing relatively similar amount of water molecules (e.g., 64, 62, 55, 52).</w:t>
      </w:r>
    </w:p>
    <w:p w14:paraId="608FD74B" w14:textId="77777777" w:rsidR="003C42ED" w:rsidRPr="005863D9" w:rsidRDefault="003C42ED" w:rsidP="003C42ED">
      <w:pPr>
        <w:jc w:val="both"/>
        <w:rPr>
          <w:lang w:val="en-GB"/>
        </w:rPr>
      </w:pPr>
      <w:r w:rsidRPr="005863D9">
        <w:rPr>
          <w:lang w:val="en-GB"/>
        </w:rPr>
        <w:t>For bulk water, a homogenous phase is present, and accordingly our analysis returns one type of cluster.</w:t>
      </w:r>
    </w:p>
    <w:p w14:paraId="1F08AC56" w14:textId="77777777" w:rsidR="00FF4815" w:rsidRPr="005863D9" w:rsidRDefault="00FF4815" w:rsidP="00B54E51">
      <w:pPr>
        <w:jc w:val="both"/>
        <w:rPr>
          <w:lang w:val="en-GB"/>
        </w:rPr>
      </w:pPr>
    </w:p>
    <w:p w14:paraId="4DD4B0AC" w14:textId="77777777" w:rsidR="000C55F2" w:rsidRPr="005863D9" w:rsidRDefault="000C55F2">
      <w:pPr>
        <w:rPr>
          <w:b/>
          <w:bCs/>
        </w:rPr>
      </w:pPr>
      <w:r w:rsidRPr="005863D9">
        <w:rPr>
          <w:b/>
          <w:bCs/>
        </w:rPr>
        <w:br w:type="page"/>
      </w:r>
    </w:p>
    <w:p w14:paraId="08BF6EE3" w14:textId="61712CE8" w:rsidR="00E15AF4" w:rsidRPr="005863D9" w:rsidRDefault="00E15AF4" w:rsidP="00B54E51">
      <w:pPr>
        <w:jc w:val="both"/>
        <w:rPr>
          <w:b/>
          <w:bCs/>
        </w:rPr>
      </w:pPr>
      <w:r w:rsidRPr="005863D9">
        <w:rPr>
          <w:b/>
          <w:bCs/>
        </w:rPr>
        <w:lastRenderedPageBreak/>
        <w:t>References</w:t>
      </w:r>
    </w:p>
    <w:p w14:paraId="43E6CD7F" w14:textId="77777777" w:rsidR="00D94429" w:rsidRPr="005863D9" w:rsidRDefault="008A6659" w:rsidP="00D94429">
      <w:pPr>
        <w:pStyle w:val="Bibliography"/>
        <w:rPr>
          <w:rFonts w:ascii="Aptos" w:hAnsi="Aptos"/>
        </w:rPr>
      </w:pPr>
      <w:r w:rsidRPr="005863D9">
        <w:fldChar w:fldCharType="begin"/>
      </w:r>
      <w:r w:rsidR="00D85C16" w:rsidRPr="005863D9">
        <w:instrText xml:space="preserve"> ADDIN ZOTERO_BIBL {"uncited":[],"omitted":[],"custom":[]} CSL_BIBLIOGRAPHY </w:instrText>
      </w:r>
      <w:r w:rsidRPr="005863D9">
        <w:fldChar w:fldCharType="separate"/>
      </w:r>
      <w:r w:rsidR="00D94429" w:rsidRPr="005863D9">
        <w:rPr>
          <w:rFonts w:ascii="Aptos" w:hAnsi="Aptos"/>
          <w:vertAlign w:val="superscript"/>
        </w:rPr>
        <w:t>1</w:t>
      </w:r>
      <w:r w:rsidR="00D94429" w:rsidRPr="005863D9">
        <w:rPr>
          <w:rFonts w:ascii="Aptos" w:hAnsi="Aptos"/>
        </w:rPr>
        <w:t xml:space="preserve"> M. Severi, S. Yu, I. Abrahams, C.B. Nielsen, and D. Fazzi, “Disclosing the molecular structure and dynamics of naphthalene diimide based organic semiconductors in the solid state,” J. Mater. Chem. C, (2025).</w:t>
      </w:r>
    </w:p>
    <w:p w14:paraId="086654E9" w14:textId="77777777" w:rsidR="00D94429" w:rsidRPr="005863D9" w:rsidRDefault="00D94429" w:rsidP="00D94429">
      <w:pPr>
        <w:pStyle w:val="Bibliography"/>
        <w:rPr>
          <w:rFonts w:ascii="Aptos" w:hAnsi="Aptos"/>
        </w:rPr>
      </w:pPr>
      <w:r w:rsidRPr="005863D9">
        <w:rPr>
          <w:rFonts w:ascii="Aptos" w:hAnsi="Aptos"/>
          <w:vertAlign w:val="superscript"/>
        </w:rPr>
        <w:t>2</w:t>
      </w:r>
      <w:r w:rsidRPr="005863D9">
        <w:rPr>
          <w:rFonts w:ascii="Aptos" w:hAnsi="Aptos"/>
        </w:rPr>
        <w:t xml:space="preserve"> W.L. Jorgensen, M.M. Ghahremanpour, A. Saar, and J. Tirado-Rives, “OPLS/2020 Force Field for Unsaturated Hydrocarbons, Alcohols, and Ethers,” J. Phys. Chem. B </w:t>
      </w:r>
      <w:r w:rsidRPr="005863D9">
        <w:rPr>
          <w:rFonts w:ascii="Aptos" w:hAnsi="Aptos"/>
          <w:b/>
          <w:bCs/>
        </w:rPr>
        <w:t>128</w:t>
      </w:r>
      <w:r w:rsidRPr="005863D9">
        <w:rPr>
          <w:rFonts w:ascii="Aptos" w:hAnsi="Aptos"/>
        </w:rPr>
        <w:t>(1), 250–262 (2024).</w:t>
      </w:r>
    </w:p>
    <w:p w14:paraId="58D424F7" w14:textId="77777777" w:rsidR="00D94429" w:rsidRPr="005863D9" w:rsidRDefault="00D94429" w:rsidP="00D94429">
      <w:pPr>
        <w:pStyle w:val="Bibliography"/>
        <w:rPr>
          <w:rFonts w:ascii="Aptos" w:hAnsi="Aptos"/>
        </w:rPr>
      </w:pPr>
      <w:r w:rsidRPr="005863D9">
        <w:rPr>
          <w:rFonts w:ascii="Aptos" w:hAnsi="Aptos"/>
          <w:vertAlign w:val="superscript"/>
        </w:rPr>
        <w:t>3</w:t>
      </w:r>
      <w:r w:rsidRPr="005863D9">
        <w:rPr>
          <w:rFonts w:ascii="Aptos" w:hAnsi="Aptos"/>
        </w:rPr>
        <w:t xml:space="preserve"> A. Tkatchenko, and M. Scheffler, “Accurate Molecular Van Der Waals Interactions from Ground-State Electron Density and Free-Atom Reference Data,” Phys. Rev. Lett. </w:t>
      </w:r>
      <w:r w:rsidRPr="005863D9">
        <w:rPr>
          <w:rFonts w:ascii="Aptos" w:hAnsi="Aptos"/>
          <w:b/>
          <w:bCs/>
        </w:rPr>
        <w:t>102</w:t>
      </w:r>
      <w:r w:rsidRPr="005863D9">
        <w:rPr>
          <w:rFonts w:ascii="Aptos" w:hAnsi="Aptos"/>
        </w:rPr>
        <w:t>(7), 073005 (2009).</w:t>
      </w:r>
    </w:p>
    <w:p w14:paraId="5D9B0C05" w14:textId="77777777" w:rsidR="00D94429" w:rsidRPr="005863D9" w:rsidRDefault="00D94429" w:rsidP="00D94429">
      <w:pPr>
        <w:pStyle w:val="Bibliography"/>
        <w:rPr>
          <w:rFonts w:ascii="Aptos" w:hAnsi="Aptos"/>
        </w:rPr>
      </w:pPr>
      <w:r w:rsidRPr="005863D9">
        <w:rPr>
          <w:rFonts w:ascii="Aptos" w:hAnsi="Aptos"/>
          <w:vertAlign w:val="superscript"/>
        </w:rPr>
        <w:t>4</w:t>
      </w:r>
      <w:r w:rsidRPr="005863D9">
        <w:rPr>
          <w:rFonts w:ascii="Aptos" w:hAnsi="Aptos"/>
        </w:rPr>
        <w:t xml:space="preserve"> K.-H. Lin, L. Paterson, F. May, and D. Andrienko, “Glass transition temperature prediction of disordered molecular solids,” Npj Comput. Mater. </w:t>
      </w:r>
      <w:r w:rsidRPr="005863D9">
        <w:rPr>
          <w:rFonts w:ascii="Aptos" w:hAnsi="Aptos"/>
          <w:b/>
          <w:bCs/>
        </w:rPr>
        <w:t>7</w:t>
      </w:r>
      <w:r w:rsidRPr="005863D9">
        <w:rPr>
          <w:rFonts w:ascii="Aptos" w:hAnsi="Aptos"/>
        </w:rPr>
        <w:t>(1), 1–7 (2021).</w:t>
      </w:r>
    </w:p>
    <w:p w14:paraId="2028F210" w14:textId="77777777" w:rsidR="00D94429" w:rsidRPr="005863D9" w:rsidRDefault="00D94429" w:rsidP="00D94429">
      <w:pPr>
        <w:pStyle w:val="Bibliography"/>
        <w:rPr>
          <w:rFonts w:ascii="Aptos" w:hAnsi="Aptos"/>
        </w:rPr>
      </w:pPr>
      <w:r w:rsidRPr="005863D9">
        <w:rPr>
          <w:rFonts w:ascii="Aptos" w:hAnsi="Aptos"/>
          <w:vertAlign w:val="superscript"/>
        </w:rPr>
        <w:t>5</w:t>
      </w:r>
      <w:r w:rsidRPr="005863D9">
        <w:rPr>
          <w:rFonts w:ascii="Aptos" w:hAnsi="Aptos"/>
        </w:rPr>
        <w:t xml:space="preserve"> D.J. Cole, J.Z. Vilseck, J. Tirado-Rives, M.C. Payne, and W.L. Jorgensen, “Biomolecular Force Field Parameterization via Atoms-in-Molecule Electron Density Partitioning,” J. Chem. Theory Comput. </w:t>
      </w:r>
      <w:r w:rsidRPr="005863D9">
        <w:rPr>
          <w:rFonts w:ascii="Aptos" w:hAnsi="Aptos"/>
          <w:b/>
          <w:bCs/>
        </w:rPr>
        <w:t>12</w:t>
      </w:r>
      <w:r w:rsidRPr="005863D9">
        <w:rPr>
          <w:rFonts w:ascii="Aptos" w:hAnsi="Aptos"/>
        </w:rPr>
        <w:t>(5), 2312–2323 (2016).</w:t>
      </w:r>
    </w:p>
    <w:p w14:paraId="5DDB05E9" w14:textId="77777777" w:rsidR="00D94429" w:rsidRPr="005863D9" w:rsidRDefault="00D94429" w:rsidP="00D94429">
      <w:pPr>
        <w:pStyle w:val="Bibliography"/>
        <w:rPr>
          <w:rFonts w:ascii="Aptos" w:hAnsi="Aptos"/>
        </w:rPr>
      </w:pPr>
      <w:r w:rsidRPr="005863D9">
        <w:rPr>
          <w:rFonts w:ascii="Aptos" w:hAnsi="Aptos"/>
          <w:vertAlign w:val="superscript"/>
        </w:rPr>
        <w:t>6</w:t>
      </w:r>
      <w:r w:rsidRPr="005863D9">
        <w:rPr>
          <w:rFonts w:ascii="Aptos" w:hAnsi="Aptos"/>
        </w:rPr>
        <w:t xml:space="preserve"> M.J. Frisch, G.W. Trucks, H.B. Schlegel, G.E. Scuseria, M.A. Robb, J.R. Cheeseman, G. Scalmani, V. Barone, G.A. Petersson, H. Nakatsuji, X. Li, M. Caricato, A.V. Marenich, J. Bloino, B.G. Janesko, R. Gomperts, B. Mennucci, H.P. Hratchian, J.V. Ortiz, A.F. Izmaylov, J.L. Sonnenberg, D. Williams-Young, F. Ding, F. Lipparini, F. Egidi, J. Goings, B. Peng, A. Petrone, T. Henderson, D. Ranasinghe, V.G. Zakrzewski, J. Gao, N. Rega, G. Zheng, W. Liang, M. Hada, M. Ehara, K. Toyota, R. Fukuda, J. Hasegawa, M. Ishida, T. Nakajima, Y. Honda, O. Kitao, H. Nakai, T. Vreven, K. Throssell, J.A. Montgomery Jr., J.E. Peralta, F. Ogliaro, M.J. Bearpark, J.J. Heyd, E.N. Brothers, K.N. Kudin, V.N. Staroverov, T.A. Keith, R. Kobayashi, J. Normand, K. Raghavachari, A.P. Rendell, J.C. Burant, S.S. Iyengar, J. Tomasi, M. Cossi, J.M. Millam, M. Klene, C. Adamo, R. Cammi, J.W. Ochterski, R.L. Martin, K. Morokuma, O. Farkas, J.B. Foresman, and D.J. Fox, “Gaussian˜16 Revision C.01,” (2016).</w:t>
      </w:r>
    </w:p>
    <w:p w14:paraId="367E9B07" w14:textId="77777777" w:rsidR="00D94429" w:rsidRPr="005863D9" w:rsidRDefault="00D94429" w:rsidP="00D94429">
      <w:pPr>
        <w:pStyle w:val="Bibliography"/>
        <w:rPr>
          <w:rFonts w:ascii="Aptos" w:hAnsi="Aptos"/>
        </w:rPr>
      </w:pPr>
      <w:r w:rsidRPr="005863D9">
        <w:rPr>
          <w:rFonts w:ascii="Aptos" w:hAnsi="Aptos"/>
          <w:vertAlign w:val="superscript"/>
        </w:rPr>
        <w:t>7</w:t>
      </w:r>
      <w:r w:rsidRPr="005863D9">
        <w:rPr>
          <w:rFonts w:ascii="Aptos" w:hAnsi="Aptos"/>
        </w:rPr>
        <w:t xml:space="preserve"> J.-D. Chai, and M. Head-Gordon, “Long-range corrected hybrid density functionals with damped atom–atom dispersion corrections,” Phys Chem Chem Phys </w:t>
      </w:r>
      <w:r w:rsidRPr="005863D9">
        <w:rPr>
          <w:rFonts w:ascii="Aptos" w:hAnsi="Aptos"/>
          <w:b/>
          <w:bCs/>
        </w:rPr>
        <w:t>10</w:t>
      </w:r>
      <w:r w:rsidRPr="005863D9">
        <w:rPr>
          <w:rFonts w:ascii="Aptos" w:hAnsi="Aptos"/>
        </w:rPr>
        <w:t>(44), 6615–6620 (2008).</w:t>
      </w:r>
    </w:p>
    <w:p w14:paraId="320E3E26" w14:textId="77777777" w:rsidR="00D94429" w:rsidRPr="005863D9" w:rsidRDefault="00D94429" w:rsidP="00D94429">
      <w:pPr>
        <w:pStyle w:val="Bibliography"/>
        <w:rPr>
          <w:rFonts w:ascii="Aptos" w:hAnsi="Aptos"/>
        </w:rPr>
      </w:pPr>
      <w:r w:rsidRPr="005863D9">
        <w:rPr>
          <w:rFonts w:ascii="Aptos" w:hAnsi="Aptos"/>
          <w:vertAlign w:val="superscript"/>
        </w:rPr>
        <w:t>8</w:t>
      </w:r>
      <w:r w:rsidRPr="005863D9">
        <w:rPr>
          <w:rFonts w:ascii="Aptos" w:hAnsi="Aptos"/>
        </w:rPr>
        <w:t xml:space="preserve"> F. Weigend, “Accurate Coulomb-fitting basis sets for H to Rn,” Phys. Chem. Chem. Phys. </w:t>
      </w:r>
      <w:r w:rsidRPr="005863D9">
        <w:rPr>
          <w:rFonts w:ascii="Aptos" w:hAnsi="Aptos"/>
          <w:b/>
          <w:bCs/>
        </w:rPr>
        <w:t>8</w:t>
      </w:r>
      <w:r w:rsidRPr="005863D9">
        <w:rPr>
          <w:rFonts w:ascii="Aptos" w:hAnsi="Aptos"/>
        </w:rPr>
        <w:t>(9), 1057–1065 (2006).</w:t>
      </w:r>
    </w:p>
    <w:p w14:paraId="67731324" w14:textId="77777777" w:rsidR="00D94429" w:rsidRPr="005863D9" w:rsidRDefault="00D94429" w:rsidP="00D94429">
      <w:pPr>
        <w:pStyle w:val="Bibliography"/>
        <w:rPr>
          <w:rFonts w:ascii="Aptos" w:hAnsi="Aptos"/>
        </w:rPr>
      </w:pPr>
      <w:r w:rsidRPr="005863D9">
        <w:rPr>
          <w:rFonts w:ascii="Aptos" w:hAnsi="Aptos"/>
          <w:vertAlign w:val="superscript"/>
        </w:rPr>
        <w:t>9</w:t>
      </w:r>
      <w:r w:rsidRPr="005863D9">
        <w:rPr>
          <w:rFonts w:ascii="Aptos" w:hAnsi="Aptos"/>
        </w:rPr>
        <w:t xml:space="preserve"> S. Izadi, and A.V. Onufriev, “Accuracy limit of rigid 3-point water models,” J. Chem. Phys. </w:t>
      </w:r>
      <w:r w:rsidRPr="005863D9">
        <w:rPr>
          <w:rFonts w:ascii="Aptos" w:hAnsi="Aptos"/>
          <w:b/>
          <w:bCs/>
        </w:rPr>
        <w:t>145</w:t>
      </w:r>
      <w:r w:rsidRPr="005863D9">
        <w:rPr>
          <w:rFonts w:ascii="Aptos" w:hAnsi="Aptos"/>
        </w:rPr>
        <w:t>(7), 074501 (2016).</w:t>
      </w:r>
    </w:p>
    <w:p w14:paraId="44B23607" w14:textId="77777777" w:rsidR="00D94429" w:rsidRPr="005863D9" w:rsidRDefault="00D94429" w:rsidP="00D94429">
      <w:pPr>
        <w:pStyle w:val="Bibliography"/>
        <w:rPr>
          <w:rFonts w:ascii="Aptos" w:hAnsi="Aptos"/>
        </w:rPr>
      </w:pPr>
      <w:r w:rsidRPr="005863D9">
        <w:rPr>
          <w:rFonts w:ascii="Aptos" w:hAnsi="Aptos"/>
          <w:vertAlign w:val="superscript"/>
        </w:rPr>
        <w:t>10</w:t>
      </w:r>
      <w:r w:rsidRPr="005863D9">
        <w:rPr>
          <w:rFonts w:ascii="Aptos" w:hAnsi="Aptos"/>
        </w:rPr>
        <w:t xml:space="preserve"> J.-P. Ryckaert, G. Ciccotti, and H.J.C. Berendsen, “Numerical integration of the cartesian equations of motion of a system with constraints: molecular dynamics of </w:t>
      </w:r>
      <w:r w:rsidRPr="005863D9">
        <w:rPr>
          <w:rFonts w:ascii="Aptos" w:hAnsi="Aptos"/>
          <w:i/>
          <w:iCs/>
        </w:rPr>
        <w:t>n</w:t>
      </w:r>
      <w:r w:rsidRPr="005863D9">
        <w:rPr>
          <w:rFonts w:ascii="Aptos" w:hAnsi="Aptos"/>
        </w:rPr>
        <w:t xml:space="preserve">-alkanes,” J. Comput. Phys. </w:t>
      </w:r>
      <w:r w:rsidRPr="005863D9">
        <w:rPr>
          <w:rFonts w:ascii="Aptos" w:hAnsi="Aptos"/>
          <w:b/>
          <w:bCs/>
        </w:rPr>
        <w:t>23</w:t>
      </w:r>
      <w:r w:rsidRPr="005863D9">
        <w:rPr>
          <w:rFonts w:ascii="Aptos" w:hAnsi="Aptos"/>
        </w:rPr>
        <w:t>(3), 327–341 (1977).</w:t>
      </w:r>
    </w:p>
    <w:p w14:paraId="03CF7E3E" w14:textId="77777777" w:rsidR="00D94429" w:rsidRPr="005863D9" w:rsidRDefault="00D94429" w:rsidP="00D94429">
      <w:pPr>
        <w:pStyle w:val="Bibliography"/>
        <w:rPr>
          <w:rFonts w:ascii="Aptos" w:hAnsi="Aptos"/>
        </w:rPr>
      </w:pPr>
      <w:r w:rsidRPr="005863D9">
        <w:rPr>
          <w:rFonts w:ascii="Aptos" w:hAnsi="Aptos"/>
          <w:vertAlign w:val="superscript"/>
        </w:rPr>
        <w:t>11</w:t>
      </w:r>
      <w:r w:rsidRPr="005863D9">
        <w:rPr>
          <w:rFonts w:ascii="Aptos" w:hAnsi="Aptos"/>
        </w:rPr>
        <w:t xml:space="preserve"> M. Brehm, and B. Kirchner, “TRAVIS - A Free Analyzer and Visualizer for Monte Carlo and Molecular Dynamics Trajectories,” J. Chem. Inf. Model. </w:t>
      </w:r>
      <w:r w:rsidRPr="005863D9">
        <w:rPr>
          <w:rFonts w:ascii="Aptos" w:hAnsi="Aptos"/>
          <w:b/>
          <w:bCs/>
        </w:rPr>
        <w:t>51</w:t>
      </w:r>
      <w:r w:rsidRPr="005863D9">
        <w:rPr>
          <w:rFonts w:ascii="Aptos" w:hAnsi="Aptos"/>
        </w:rPr>
        <w:t>(8), 2007–2023 (2011).</w:t>
      </w:r>
    </w:p>
    <w:p w14:paraId="4A2ABFE1" w14:textId="77777777" w:rsidR="00D94429" w:rsidRPr="005863D9" w:rsidRDefault="00D94429" w:rsidP="00D94429">
      <w:pPr>
        <w:pStyle w:val="Bibliography"/>
        <w:rPr>
          <w:rFonts w:ascii="Aptos" w:hAnsi="Aptos"/>
        </w:rPr>
      </w:pPr>
      <w:r w:rsidRPr="005863D9">
        <w:rPr>
          <w:rFonts w:ascii="Aptos" w:hAnsi="Aptos"/>
          <w:vertAlign w:val="superscript"/>
        </w:rPr>
        <w:t>12</w:t>
      </w:r>
      <w:r w:rsidRPr="005863D9">
        <w:rPr>
          <w:rFonts w:ascii="Aptos" w:hAnsi="Aptos"/>
        </w:rPr>
        <w:t xml:space="preserve"> M. Brehm, M. Thomas, S. Gehrke, and B. Kirchner, “TRAVIS—A free analyzer for trajectories from molecular simulation,” J. Chem. Phys. </w:t>
      </w:r>
      <w:r w:rsidRPr="005863D9">
        <w:rPr>
          <w:rFonts w:ascii="Aptos" w:hAnsi="Aptos"/>
          <w:b/>
          <w:bCs/>
        </w:rPr>
        <w:t>152</w:t>
      </w:r>
      <w:r w:rsidRPr="005863D9">
        <w:rPr>
          <w:rFonts w:ascii="Aptos" w:hAnsi="Aptos"/>
        </w:rPr>
        <w:t>(16), 164105 (2020).</w:t>
      </w:r>
    </w:p>
    <w:p w14:paraId="4DA66019" w14:textId="08BDD474" w:rsidR="008A6659" w:rsidRPr="008A6659" w:rsidRDefault="008A6659">
      <w:pPr>
        <w:rPr>
          <w:lang w:val="en-GB"/>
        </w:rPr>
      </w:pPr>
      <w:r w:rsidRPr="005863D9">
        <w:fldChar w:fldCharType="end"/>
      </w:r>
    </w:p>
    <w:sectPr w:rsidR="008A6659" w:rsidRPr="008A6659">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8"/>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D22FD"/>
    <w:rsid w:val="00000C0C"/>
    <w:rsid w:val="000024F4"/>
    <w:rsid w:val="00042352"/>
    <w:rsid w:val="00056D07"/>
    <w:rsid w:val="00060EF3"/>
    <w:rsid w:val="00071D15"/>
    <w:rsid w:val="00084E88"/>
    <w:rsid w:val="000C55F2"/>
    <w:rsid w:val="00125500"/>
    <w:rsid w:val="00174F36"/>
    <w:rsid w:val="001931F4"/>
    <w:rsid w:val="001959F2"/>
    <w:rsid w:val="00197B9B"/>
    <w:rsid w:val="001C612F"/>
    <w:rsid w:val="00204D83"/>
    <w:rsid w:val="002067ED"/>
    <w:rsid w:val="00217010"/>
    <w:rsid w:val="00252A3F"/>
    <w:rsid w:val="00262828"/>
    <w:rsid w:val="00286A52"/>
    <w:rsid w:val="002A4390"/>
    <w:rsid w:val="002D3DD8"/>
    <w:rsid w:val="002E4E9F"/>
    <w:rsid w:val="003232F1"/>
    <w:rsid w:val="00323DFB"/>
    <w:rsid w:val="003612CA"/>
    <w:rsid w:val="003769C9"/>
    <w:rsid w:val="00381E7C"/>
    <w:rsid w:val="003C42ED"/>
    <w:rsid w:val="003E2DD7"/>
    <w:rsid w:val="003E7854"/>
    <w:rsid w:val="003F4534"/>
    <w:rsid w:val="00407835"/>
    <w:rsid w:val="00415C0F"/>
    <w:rsid w:val="00417543"/>
    <w:rsid w:val="00460001"/>
    <w:rsid w:val="004651D4"/>
    <w:rsid w:val="004837D2"/>
    <w:rsid w:val="004A3AF2"/>
    <w:rsid w:val="004C091A"/>
    <w:rsid w:val="004D22FD"/>
    <w:rsid w:val="00542413"/>
    <w:rsid w:val="00570073"/>
    <w:rsid w:val="005863D9"/>
    <w:rsid w:val="00604AD0"/>
    <w:rsid w:val="00612848"/>
    <w:rsid w:val="00621C48"/>
    <w:rsid w:val="00623522"/>
    <w:rsid w:val="0063413B"/>
    <w:rsid w:val="00697B14"/>
    <w:rsid w:val="006B4D12"/>
    <w:rsid w:val="006B5724"/>
    <w:rsid w:val="006C7525"/>
    <w:rsid w:val="00704BD7"/>
    <w:rsid w:val="0071735F"/>
    <w:rsid w:val="0075126B"/>
    <w:rsid w:val="00754E70"/>
    <w:rsid w:val="00761849"/>
    <w:rsid w:val="00793422"/>
    <w:rsid w:val="007949DC"/>
    <w:rsid w:val="007C196D"/>
    <w:rsid w:val="007C3B6B"/>
    <w:rsid w:val="00832D44"/>
    <w:rsid w:val="0086197A"/>
    <w:rsid w:val="008634BB"/>
    <w:rsid w:val="00874CEA"/>
    <w:rsid w:val="0088270C"/>
    <w:rsid w:val="00897F17"/>
    <w:rsid w:val="008A6659"/>
    <w:rsid w:val="008D21F8"/>
    <w:rsid w:val="00910E10"/>
    <w:rsid w:val="009501B0"/>
    <w:rsid w:val="00970AF0"/>
    <w:rsid w:val="009714BE"/>
    <w:rsid w:val="00984590"/>
    <w:rsid w:val="00986A37"/>
    <w:rsid w:val="009C140D"/>
    <w:rsid w:val="009C3C85"/>
    <w:rsid w:val="009E450C"/>
    <w:rsid w:val="009F2FC7"/>
    <w:rsid w:val="00A21085"/>
    <w:rsid w:val="00A9040D"/>
    <w:rsid w:val="00AB17C5"/>
    <w:rsid w:val="00AD47F2"/>
    <w:rsid w:val="00AD5F6B"/>
    <w:rsid w:val="00AD7405"/>
    <w:rsid w:val="00B05652"/>
    <w:rsid w:val="00B1639B"/>
    <w:rsid w:val="00B402C2"/>
    <w:rsid w:val="00B54E51"/>
    <w:rsid w:val="00B62CED"/>
    <w:rsid w:val="00BA4187"/>
    <w:rsid w:val="00BB45F0"/>
    <w:rsid w:val="00BE7A34"/>
    <w:rsid w:val="00BF5235"/>
    <w:rsid w:val="00C13414"/>
    <w:rsid w:val="00C15119"/>
    <w:rsid w:val="00C329C2"/>
    <w:rsid w:val="00C32BC1"/>
    <w:rsid w:val="00C46453"/>
    <w:rsid w:val="00CA003D"/>
    <w:rsid w:val="00CC0086"/>
    <w:rsid w:val="00CD6547"/>
    <w:rsid w:val="00D02931"/>
    <w:rsid w:val="00D0384D"/>
    <w:rsid w:val="00D07426"/>
    <w:rsid w:val="00D22AA3"/>
    <w:rsid w:val="00D22E8C"/>
    <w:rsid w:val="00D305A9"/>
    <w:rsid w:val="00D43C42"/>
    <w:rsid w:val="00D765C6"/>
    <w:rsid w:val="00D85C16"/>
    <w:rsid w:val="00D87970"/>
    <w:rsid w:val="00D94429"/>
    <w:rsid w:val="00DA34A3"/>
    <w:rsid w:val="00E0712D"/>
    <w:rsid w:val="00E15AF4"/>
    <w:rsid w:val="00E264F0"/>
    <w:rsid w:val="00E46123"/>
    <w:rsid w:val="00E5428B"/>
    <w:rsid w:val="00E57DC6"/>
    <w:rsid w:val="00E90CFF"/>
    <w:rsid w:val="00E96CDF"/>
    <w:rsid w:val="00EA1071"/>
    <w:rsid w:val="00EB17D7"/>
    <w:rsid w:val="00EC7285"/>
    <w:rsid w:val="00EE21F1"/>
    <w:rsid w:val="00EF255F"/>
    <w:rsid w:val="00F0201E"/>
    <w:rsid w:val="00F02481"/>
    <w:rsid w:val="00F1718E"/>
    <w:rsid w:val="00F23484"/>
    <w:rsid w:val="00F45DAC"/>
    <w:rsid w:val="00F510E6"/>
    <w:rsid w:val="00F525C4"/>
    <w:rsid w:val="00F5393C"/>
    <w:rsid w:val="00F5631F"/>
    <w:rsid w:val="00F6149A"/>
    <w:rsid w:val="00F6504B"/>
    <w:rsid w:val="00F71516"/>
    <w:rsid w:val="00F745C8"/>
    <w:rsid w:val="00F919E9"/>
    <w:rsid w:val="00FC3C5B"/>
    <w:rsid w:val="00FD2061"/>
    <w:rsid w:val="00FF481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02F273"/>
  <w15:chartTrackingRefBased/>
  <w15:docId w15:val="{FDC08FB0-627B-40CC-AC35-6B94039A42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it-IT"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n-US"/>
    </w:rPr>
  </w:style>
  <w:style w:type="paragraph" w:styleId="Heading1">
    <w:name w:val="heading 1"/>
    <w:basedOn w:val="Normal"/>
    <w:next w:val="Normal"/>
    <w:link w:val="Heading1Char"/>
    <w:uiPriority w:val="9"/>
    <w:qFormat/>
    <w:rsid w:val="004D22F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4D22F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4D22FD"/>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4D22FD"/>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4D22FD"/>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4D22FD"/>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D22FD"/>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4D22FD"/>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4D22FD"/>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D22FD"/>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4D22FD"/>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4D22FD"/>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4D22FD"/>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4D22FD"/>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4D22F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D22F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D22F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D22FD"/>
    <w:rPr>
      <w:rFonts w:eastAsiaTheme="majorEastAsia" w:cstheme="majorBidi"/>
      <w:color w:val="272727" w:themeColor="text1" w:themeTint="D8"/>
    </w:rPr>
  </w:style>
  <w:style w:type="paragraph" w:styleId="Title">
    <w:name w:val="Title"/>
    <w:basedOn w:val="Normal"/>
    <w:next w:val="Normal"/>
    <w:link w:val="TitleChar"/>
    <w:uiPriority w:val="10"/>
    <w:qFormat/>
    <w:rsid w:val="004D22F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D22F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D22FD"/>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D22F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D22FD"/>
    <w:pPr>
      <w:spacing w:before="160"/>
      <w:jc w:val="center"/>
    </w:pPr>
    <w:rPr>
      <w:i/>
      <w:iCs/>
      <w:color w:val="404040" w:themeColor="text1" w:themeTint="BF"/>
    </w:rPr>
  </w:style>
  <w:style w:type="character" w:customStyle="1" w:styleId="QuoteChar">
    <w:name w:val="Quote Char"/>
    <w:basedOn w:val="DefaultParagraphFont"/>
    <w:link w:val="Quote"/>
    <w:uiPriority w:val="29"/>
    <w:rsid w:val="004D22FD"/>
    <w:rPr>
      <w:i/>
      <w:iCs/>
      <w:color w:val="404040" w:themeColor="text1" w:themeTint="BF"/>
    </w:rPr>
  </w:style>
  <w:style w:type="paragraph" w:styleId="ListParagraph">
    <w:name w:val="List Paragraph"/>
    <w:basedOn w:val="Normal"/>
    <w:uiPriority w:val="34"/>
    <w:qFormat/>
    <w:rsid w:val="004D22FD"/>
    <w:pPr>
      <w:ind w:left="720"/>
      <w:contextualSpacing/>
    </w:pPr>
  </w:style>
  <w:style w:type="character" w:styleId="IntenseEmphasis">
    <w:name w:val="Intense Emphasis"/>
    <w:basedOn w:val="DefaultParagraphFont"/>
    <w:uiPriority w:val="21"/>
    <w:qFormat/>
    <w:rsid w:val="004D22FD"/>
    <w:rPr>
      <w:i/>
      <w:iCs/>
      <w:color w:val="0F4761" w:themeColor="accent1" w:themeShade="BF"/>
    </w:rPr>
  </w:style>
  <w:style w:type="paragraph" w:styleId="IntenseQuote">
    <w:name w:val="Intense Quote"/>
    <w:basedOn w:val="Normal"/>
    <w:next w:val="Normal"/>
    <w:link w:val="IntenseQuoteChar"/>
    <w:uiPriority w:val="30"/>
    <w:qFormat/>
    <w:rsid w:val="004D22F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4D22FD"/>
    <w:rPr>
      <w:i/>
      <w:iCs/>
      <w:color w:val="0F4761" w:themeColor="accent1" w:themeShade="BF"/>
    </w:rPr>
  </w:style>
  <w:style w:type="character" w:styleId="IntenseReference">
    <w:name w:val="Intense Reference"/>
    <w:basedOn w:val="DefaultParagraphFont"/>
    <w:uiPriority w:val="32"/>
    <w:qFormat/>
    <w:rsid w:val="004D22FD"/>
    <w:rPr>
      <w:b/>
      <w:bCs/>
      <w:smallCaps/>
      <w:color w:val="0F4761" w:themeColor="accent1" w:themeShade="BF"/>
      <w:spacing w:val="5"/>
    </w:rPr>
  </w:style>
  <w:style w:type="paragraph" w:styleId="Bibliography">
    <w:name w:val="Bibliography"/>
    <w:basedOn w:val="Normal"/>
    <w:next w:val="Normal"/>
    <w:uiPriority w:val="37"/>
    <w:unhideWhenUsed/>
    <w:rsid w:val="008A6659"/>
    <w:pPr>
      <w:spacing w:after="0" w:line="240" w:lineRule="auto"/>
    </w:pPr>
  </w:style>
  <w:style w:type="character" w:styleId="Hyperlink">
    <w:name w:val="Hyperlink"/>
    <w:basedOn w:val="DefaultParagraphFont"/>
    <w:uiPriority w:val="99"/>
    <w:unhideWhenUsed/>
    <w:rsid w:val="00BA4187"/>
    <w:rPr>
      <w:color w:val="467886" w:themeColor="hyperlink"/>
      <w:u w:val="single"/>
    </w:rPr>
  </w:style>
  <w:style w:type="character" w:styleId="UnresolvedMention">
    <w:name w:val="Unresolved Mention"/>
    <w:basedOn w:val="DefaultParagraphFont"/>
    <w:uiPriority w:val="99"/>
    <w:semiHidden/>
    <w:unhideWhenUsed/>
    <w:rsid w:val="00BA4187"/>
    <w:rPr>
      <w:color w:val="605E5C"/>
      <w:shd w:val="clear" w:color="auto" w:fill="E1DFDD"/>
    </w:rPr>
  </w:style>
  <w:style w:type="character" w:styleId="PlaceholderText">
    <w:name w:val="Placeholder Text"/>
    <w:basedOn w:val="DefaultParagraphFont"/>
    <w:uiPriority w:val="99"/>
    <w:semiHidden/>
    <w:rsid w:val="00FD2061"/>
    <w:rPr>
      <w:color w:val="666666"/>
    </w:rPr>
  </w:style>
  <w:style w:type="table" w:styleId="TableGrid">
    <w:name w:val="Table Grid"/>
    <w:basedOn w:val="TableNormal"/>
    <w:uiPriority w:val="39"/>
    <w:rsid w:val="0054241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381E7C"/>
    <w:pPr>
      <w:spacing w:after="200" w:line="240" w:lineRule="auto"/>
    </w:pPr>
    <w:rPr>
      <w:i/>
      <w:iCs/>
      <w:color w:val="0E2841" w:themeColor="text2"/>
      <w:sz w:val="18"/>
      <w:szCs w:val="18"/>
    </w:rPr>
  </w:style>
  <w:style w:type="paragraph" w:customStyle="1" w:styleId="Body">
    <w:name w:val="Body"/>
    <w:qFormat/>
    <w:rsid w:val="00986A37"/>
    <w:pPr>
      <w:pBdr>
        <w:top w:val="nil"/>
        <w:left w:val="nil"/>
        <w:bottom w:val="nil"/>
        <w:right w:val="nil"/>
        <w:between w:val="nil"/>
        <w:bar w:val="nil"/>
      </w:pBdr>
    </w:pPr>
    <w:rPr>
      <w:rFonts w:ascii="Aptos" w:eastAsia="Aptos" w:hAnsi="Aptos" w:cs="Aptos"/>
      <w:color w:val="000000"/>
      <w:u w:color="000000"/>
      <w:bdr w:val="nil"/>
      <w:lang w:val="en-US" w:eastAsia="en-GB"/>
      <w14:textOutline w14:w="0" w14:cap="flat" w14:cmpd="sng" w14:algn="ctr">
        <w14:noFill/>
        <w14:prstDash w14:val="solid"/>
        <w14:bevel/>
      </w14:textOutline>
      <w14:ligatures w14:val="none"/>
    </w:rPr>
  </w:style>
  <w:style w:type="paragraph" w:styleId="TOCHeading">
    <w:name w:val="TOC Heading"/>
    <w:basedOn w:val="Heading1"/>
    <w:next w:val="Normal"/>
    <w:uiPriority w:val="39"/>
    <w:unhideWhenUsed/>
    <w:qFormat/>
    <w:rsid w:val="00D87970"/>
    <w:pPr>
      <w:spacing w:before="240" w:after="0" w:line="259" w:lineRule="auto"/>
      <w:outlineLvl w:val="9"/>
    </w:pPr>
    <w:rPr>
      <w:kern w:val="0"/>
      <w:sz w:val="32"/>
      <w:szCs w:val="32"/>
      <w:lang w:eastAsia="it-IT"/>
      <w14:ligatures w14:val="none"/>
    </w:rPr>
  </w:style>
  <w:style w:type="paragraph" w:styleId="TOC1">
    <w:name w:val="toc 1"/>
    <w:basedOn w:val="Normal"/>
    <w:next w:val="Normal"/>
    <w:autoRedefine/>
    <w:uiPriority w:val="39"/>
    <w:unhideWhenUsed/>
    <w:rsid w:val="00D87970"/>
    <w:pPr>
      <w:spacing w:after="100"/>
    </w:pPr>
  </w:style>
  <w:style w:type="paragraph" w:styleId="TOC2">
    <w:name w:val="toc 2"/>
    <w:basedOn w:val="Normal"/>
    <w:next w:val="Normal"/>
    <w:autoRedefine/>
    <w:uiPriority w:val="39"/>
    <w:unhideWhenUsed/>
    <w:rsid w:val="00D87970"/>
    <w:pPr>
      <w:spacing w:after="100"/>
      <w:ind w:left="2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5.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4.png"/><Relationship Id="rId5" Type="http://schemas.openxmlformats.org/officeDocument/2006/relationships/styles" Target="styles.xml"/><Relationship Id="rId15" Type="http://schemas.openxmlformats.org/officeDocument/2006/relationships/image" Target="media/image8.png"/><Relationship Id="rId10" Type="http://schemas.openxmlformats.org/officeDocument/2006/relationships/image" Target="media/image3.png"/><Relationship Id="rId4" Type="http://schemas.openxmlformats.org/officeDocument/2006/relationships/customXml" Target="../customXml/item4.xml"/><Relationship Id="rId9" Type="http://schemas.openxmlformats.org/officeDocument/2006/relationships/image" Target="media/image2.png"/><Relationship Id="rId14" Type="http://schemas.openxmlformats.org/officeDocument/2006/relationships/image" Target="media/image7.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B2153697C34B4478F5EC817B401D1A3" ma:contentTypeVersion="16" ma:contentTypeDescription="Create a new document." ma:contentTypeScope="" ma:versionID="33c4e004f148564ab62fb72a63524c24">
  <xsd:schema xmlns:xsd="http://www.w3.org/2001/XMLSchema" xmlns:xs="http://www.w3.org/2001/XMLSchema" xmlns:p="http://schemas.microsoft.com/office/2006/metadata/properties" xmlns:ns3="328e8b75-9f97-47bd-81ba-4d59ecf731be" xmlns:ns4="43930eec-2b5b-4c96-92af-5f9e9f4aa716" targetNamespace="http://schemas.microsoft.com/office/2006/metadata/properties" ma:root="true" ma:fieldsID="e2302465fefe20208a6851e27d905a22" ns3:_="" ns4:_="">
    <xsd:import namespace="328e8b75-9f97-47bd-81ba-4d59ecf731be"/>
    <xsd:import namespace="43930eec-2b5b-4c96-92af-5f9e9f4aa716"/>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OCR" minOccurs="0"/>
                <xsd:element ref="ns3:_activity" minOccurs="0"/>
                <xsd:element ref="ns3:MediaServiceDateTaken" minOccurs="0"/>
                <xsd:element ref="ns3:MediaServiceObjectDetectorVersions" minOccurs="0"/>
                <xsd:element ref="ns3:MediaServiceSearchPropertie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28e8b75-9f97-47bd-81ba-4d59ecf731b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_activity" ma:index="19" nillable="true" ma:displayName="_activity" ma:hidden="true" ma:internalName="_activity">
      <xsd:simpleType>
        <xsd:restriction base="dms:Note"/>
      </xsd:simpleType>
    </xsd:element>
    <xsd:element name="MediaServiceDateTaken" ma:index="20" nillable="true" ma:displayName="MediaServiceDateTaken" ma:hidden="true" ma:indexed="true" ma:internalName="MediaServiceDateTaken" ma:readOnly="true">
      <xsd:simpleType>
        <xsd:restriction base="dms:Text"/>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MediaServiceSystemTags" ma:index="23"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3930eec-2b5b-4c96-92af-5f9e9f4aa716"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328e8b75-9f97-47bd-81ba-4d59ecf731be"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8C82501-05E5-4BCA-BDB6-C6CDDCFB7BB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28e8b75-9f97-47bd-81ba-4d59ecf731be"/>
    <ds:schemaRef ds:uri="43930eec-2b5b-4c96-92af-5f9e9f4aa71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814B9DC-D2EB-4C7D-BE12-F3AEFA679054}">
  <ds:schemaRefs>
    <ds:schemaRef ds:uri="http://schemas.microsoft.com/office/2006/metadata/properties"/>
    <ds:schemaRef ds:uri="http://schemas.microsoft.com/office/infopath/2007/PartnerControls"/>
    <ds:schemaRef ds:uri="328e8b75-9f97-47bd-81ba-4d59ecf731be"/>
  </ds:schemaRefs>
</ds:datastoreItem>
</file>

<file path=customXml/itemProps3.xml><?xml version="1.0" encoding="utf-8"?>
<ds:datastoreItem xmlns:ds="http://schemas.openxmlformats.org/officeDocument/2006/customXml" ds:itemID="{21CF5878-884F-4755-8F72-5A0974F15B93}">
  <ds:schemaRefs>
    <ds:schemaRef ds:uri="http://schemas.microsoft.com/sharepoint/v3/contenttype/forms"/>
  </ds:schemaRefs>
</ds:datastoreItem>
</file>

<file path=customXml/itemProps4.xml><?xml version="1.0" encoding="utf-8"?>
<ds:datastoreItem xmlns:ds="http://schemas.openxmlformats.org/officeDocument/2006/customXml" ds:itemID="{835D94ED-FDCD-4D57-9E8E-417C9C9281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292</TotalTime>
  <Pages>9</Pages>
  <Words>1739</Words>
  <Characters>9618</Characters>
  <Application>Microsoft Office Word</Application>
  <DocSecurity>0</DocSecurity>
  <Lines>217</Lines>
  <Paragraphs>101</Paragraphs>
  <ScaleCrop>false</ScaleCrop>
  <Company/>
  <LinksUpToDate>false</LinksUpToDate>
  <CharactersWithSpaces>11252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Marco Severi</dc:creator>
  <cp:keywords/>
  <dc:description/>
  <cp:lastModifiedBy>Daniele Fazzi</cp:lastModifiedBy>
  <cp:revision>139</cp:revision>
  <dcterms:created xsi:type="dcterms:W3CDTF">2025-11-17T09:26:00Z</dcterms:created>
  <dcterms:modified xsi:type="dcterms:W3CDTF">2026-02-23T08:02:00Z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0x0101006B2153697C34B4478F5EC817B401D1A3</vt:lpwstr>
  </property>
  <property fmtid="{D5CDD505-2E9C-101B-9397-08002B2CF9AE}" pid="3" name="ZOTERO_PREF_1">
    <vt:lpwstr>&lt;data data-version="3" zotero-version="7.0.27"&gt;&lt;session id="cm2fgZz6"/&gt;&lt;style id="http://www.zotero.org/styles/the-journal-of-chemical-physics" hasBibliography="1" bibliographyStyleHasBeenSet="1"/&gt;&lt;prefs&gt;&lt;pref name="fieldType" value="Field"/&gt;&lt;pref name="a</vt:lpwstr>
  </property>
  <property fmtid="{D5CDD505-2E9C-101B-9397-08002B2CF9AE}" pid="4" name="ZOTERO_PREF_2">
    <vt:lpwstr>utomaticJournalAbbreviations" value="true"/&gt;&lt;/prefs&gt;&lt;/data&gt;</vt:lpwstr>
  </property>
</Properties>
</file>