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CA29A" w14:textId="77777777" w:rsidR="00683333" w:rsidRPr="00B175F0" w:rsidRDefault="003B74BC">
      <w:pPr>
        <w:rPr>
          <w:b/>
          <w:sz w:val="24"/>
          <w:szCs w:val="24"/>
          <w:lang w:val="en-US"/>
        </w:rPr>
      </w:pPr>
      <w:bookmarkStart w:id="0" w:name="_GoBack"/>
      <w:bookmarkEnd w:id="0"/>
      <w:r w:rsidRPr="00B175F0">
        <w:rPr>
          <w:b/>
          <w:sz w:val="24"/>
          <w:szCs w:val="24"/>
          <w:lang w:val="en-US"/>
        </w:rPr>
        <w:t>Supplementary Methods</w:t>
      </w:r>
    </w:p>
    <w:p w14:paraId="6686A218" w14:textId="77777777" w:rsidR="006F0579" w:rsidRPr="00B175F0" w:rsidRDefault="006F0579" w:rsidP="006F0579">
      <w:pPr>
        <w:autoSpaceDE w:val="0"/>
        <w:autoSpaceDN w:val="0"/>
        <w:adjustRightInd w:val="0"/>
        <w:spacing w:after="0" w:line="480" w:lineRule="auto"/>
        <w:jc w:val="both"/>
        <w:rPr>
          <w:rFonts w:cstheme="minorHAnsi"/>
          <w:b/>
          <w:i/>
          <w:iCs/>
          <w:sz w:val="24"/>
          <w:szCs w:val="24"/>
          <w:lang w:val="en-US"/>
        </w:rPr>
      </w:pPr>
      <w:r w:rsidRPr="00B175F0">
        <w:rPr>
          <w:rFonts w:cstheme="minorHAnsi"/>
          <w:b/>
          <w:i/>
          <w:iCs/>
          <w:sz w:val="24"/>
          <w:szCs w:val="24"/>
          <w:lang w:val="en-US"/>
        </w:rPr>
        <w:t>Cher-LOB Study Design and Patients</w:t>
      </w:r>
    </w:p>
    <w:p w14:paraId="56055CBE" w14:textId="77777777" w:rsidR="006F0579" w:rsidRPr="00B175F0" w:rsidRDefault="006F0579" w:rsidP="006F0579">
      <w:pPr>
        <w:spacing w:after="0" w:line="480" w:lineRule="auto"/>
        <w:jc w:val="both"/>
        <w:rPr>
          <w:sz w:val="24"/>
          <w:szCs w:val="24"/>
          <w:lang w:val="en-US"/>
        </w:rPr>
      </w:pPr>
      <w:r w:rsidRPr="00B175F0">
        <w:rPr>
          <w:sz w:val="24"/>
          <w:szCs w:val="24"/>
          <w:lang w:val="en-US"/>
        </w:rPr>
        <w:t xml:space="preserve">Briefly, a total of 121 patients with stage II-IIIA HER2-positive BC were randomly assigned to receive paclitaxel-anthracycline-based chemotherapy plus trastuzumab (arm A), lapatinib (arm B), or concomitant trastuzumab plus lapatinib (arm C). Key eligibility criteria included: age 16 to 65 years, tumor size greater than 2 cm, histologically confirmed HER2 positivity, Eastern Cooperative Oncology Group performance status of 0 to 1, availability of tumor tissue for biologic and molecular examination before starting primary treatment, left ventricular ejection fraction within the institutional range of normal, normal organ and marrow function, and written informed consent. </w:t>
      </w:r>
    </w:p>
    <w:p w14:paraId="26C3BFB0" w14:textId="77777777" w:rsidR="006F0579" w:rsidRPr="00B175F0" w:rsidRDefault="006F0579">
      <w:pPr>
        <w:rPr>
          <w:b/>
          <w:sz w:val="24"/>
          <w:szCs w:val="24"/>
          <w:lang w:val="en-US"/>
        </w:rPr>
      </w:pPr>
    </w:p>
    <w:p w14:paraId="3E9D9489" w14:textId="77777777" w:rsidR="003B74BC" w:rsidRPr="00B175F0" w:rsidRDefault="003B74BC" w:rsidP="003B74BC">
      <w:pPr>
        <w:autoSpaceDE w:val="0"/>
        <w:autoSpaceDN w:val="0"/>
        <w:adjustRightInd w:val="0"/>
        <w:spacing w:after="0" w:line="480" w:lineRule="auto"/>
        <w:jc w:val="both"/>
        <w:rPr>
          <w:b/>
          <w:bCs/>
          <w:i/>
          <w:iCs/>
          <w:sz w:val="24"/>
          <w:szCs w:val="24"/>
          <w:lang w:val="en-US"/>
        </w:rPr>
      </w:pPr>
      <w:r w:rsidRPr="00B175F0">
        <w:rPr>
          <w:b/>
          <w:bCs/>
          <w:i/>
          <w:iCs/>
          <w:sz w:val="24"/>
          <w:szCs w:val="24"/>
          <w:lang w:val="en-US"/>
        </w:rPr>
        <w:t>Study procedures</w:t>
      </w:r>
    </w:p>
    <w:p w14:paraId="3E581E31" w14:textId="77777777" w:rsidR="003B74BC" w:rsidRPr="00B175F0" w:rsidRDefault="003B74BC" w:rsidP="003B74BC">
      <w:pPr>
        <w:autoSpaceDE w:val="0"/>
        <w:autoSpaceDN w:val="0"/>
        <w:adjustRightInd w:val="0"/>
        <w:spacing w:after="0" w:line="480" w:lineRule="auto"/>
        <w:jc w:val="both"/>
        <w:rPr>
          <w:sz w:val="24"/>
          <w:szCs w:val="24"/>
          <w:lang w:val="en-US"/>
        </w:rPr>
      </w:pPr>
      <w:r w:rsidRPr="00B175F0">
        <w:rPr>
          <w:sz w:val="24"/>
          <w:szCs w:val="24"/>
          <w:lang w:val="en-US"/>
        </w:rPr>
        <w:t xml:space="preserve">Patients were centrally randomized  (1:1:1) to receive one of the following treatments: chemotherapy with weekly paclitaxel 80 mg/m2 for 12 weeks followed by four courses of fluorouracil 600 mg/m2, </w:t>
      </w:r>
      <w:proofErr w:type="spellStart"/>
      <w:r w:rsidRPr="00B175F0">
        <w:rPr>
          <w:sz w:val="24"/>
          <w:szCs w:val="24"/>
          <w:lang w:val="en-US"/>
        </w:rPr>
        <w:t>epirubicin</w:t>
      </w:r>
      <w:proofErr w:type="spellEnd"/>
      <w:r w:rsidRPr="00B175F0">
        <w:rPr>
          <w:sz w:val="24"/>
          <w:szCs w:val="24"/>
          <w:lang w:val="en-US"/>
        </w:rPr>
        <w:t xml:space="preserve"> 75 mg/m2, and cyclophosphamide 600 mg/m2 administered every 3 weeks with concomitant: trastuzumab (4- mg/kg loading dose followed by 2 mg/kg weekly for 26 weeks) in Arm A, lapatinib (1,500 mg orally [PO] daily for 26 weeks) in Arm B and trastuzumab plus lapatinib in Arm C. Criteria for dose modification and management of cardiac toxicity have been previously reported. Surgery was planned within 5 weeks after the last chemotherapy administration and treatment after surgery was left to treating physician discretion (including hormonal therapy in case of hormone receptor positive tumors, radiation therapy per local guidelines, trastuzumab to complete 1 year of anti-HER2 therapy). Ethical Committees of all participating sites approved the study, and an informed consent was obtained from all patients before study entry. </w:t>
      </w:r>
    </w:p>
    <w:p w14:paraId="558B1025" w14:textId="77777777" w:rsidR="003B74BC" w:rsidRPr="00B175F0" w:rsidRDefault="003B74BC" w:rsidP="003B74BC">
      <w:pPr>
        <w:autoSpaceDE w:val="0"/>
        <w:autoSpaceDN w:val="0"/>
        <w:adjustRightInd w:val="0"/>
        <w:spacing w:after="0" w:line="480" w:lineRule="auto"/>
        <w:jc w:val="both"/>
        <w:rPr>
          <w:sz w:val="24"/>
          <w:szCs w:val="24"/>
          <w:lang w:val="en-US"/>
        </w:rPr>
      </w:pPr>
    </w:p>
    <w:p w14:paraId="52F74D2F" w14:textId="77777777" w:rsidR="003B74BC" w:rsidRPr="00B175F0" w:rsidRDefault="003B74BC" w:rsidP="003B74BC">
      <w:pPr>
        <w:spacing w:line="480" w:lineRule="auto"/>
        <w:jc w:val="both"/>
        <w:rPr>
          <w:b/>
          <w:i/>
          <w:iCs/>
          <w:sz w:val="24"/>
          <w:szCs w:val="24"/>
          <w:lang w:val="en-US"/>
        </w:rPr>
      </w:pPr>
      <w:r w:rsidRPr="00B175F0">
        <w:rPr>
          <w:b/>
          <w:i/>
          <w:iCs/>
          <w:sz w:val="24"/>
          <w:szCs w:val="24"/>
          <w:lang w:val="en-US"/>
        </w:rPr>
        <w:lastRenderedPageBreak/>
        <w:t xml:space="preserve">Outcomes </w:t>
      </w:r>
    </w:p>
    <w:p w14:paraId="7458D392" w14:textId="77777777" w:rsidR="003B74BC" w:rsidRPr="00B175F0" w:rsidRDefault="003B74BC" w:rsidP="003B74BC">
      <w:pPr>
        <w:autoSpaceDE w:val="0"/>
        <w:autoSpaceDN w:val="0"/>
        <w:adjustRightInd w:val="0"/>
        <w:spacing w:after="0" w:line="480" w:lineRule="auto"/>
        <w:jc w:val="both"/>
        <w:rPr>
          <w:sz w:val="24"/>
          <w:szCs w:val="24"/>
          <w:lang w:val="en-US"/>
        </w:rPr>
      </w:pPr>
      <w:r w:rsidRPr="00B175F0">
        <w:rPr>
          <w:sz w:val="24"/>
          <w:szCs w:val="24"/>
          <w:lang w:val="en-US"/>
        </w:rPr>
        <w:t>The primary endpoint was pathological complete response, which was reported in 2011</w:t>
      </w:r>
      <w:r w:rsidR="009363CE" w:rsidRPr="009363CE">
        <w:rPr>
          <w:sz w:val="24"/>
          <w:szCs w:val="24"/>
          <w:vertAlign w:val="superscript"/>
          <w:lang w:val="en-US"/>
        </w:rPr>
        <w:t>1</w:t>
      </w:r>
      <w:r w:rsidRPr="00B175F0">
        <w:rPr>
          <w:sz w:val="24"/>
          <w:szCs w:val="24"/>
          <w:lang w:val="en-US"/>
        </w:rPr>
        <w:t xml:space="preserve">. </w:t>
      </w:r>
      <w:proofErr w:type="spellStart"/>
      <w:r w:rsidRPr="00B175F0">
        <w:rPr>
          <w:sz w:val="24"/>
          <w:szCs w:val="24"/>
          <w:lang w:val="en-US"/>
        </w:rPr>
        <w:t>pCR</w:t>
      </w:r>
      <w:proofErr w:type="spellEnd"/>
      <w:r w:rsidRPr="00B175F0">
        <w:rPr>
          <w:sz w:val="24"/>
          <w:szCs w:val="24"/>
          <w:lang w:val="en-US"/>
        </w:rPr>
        <w:t xml:space="preserve"> was defined as the absence of residual invasive disease on both breast and lymph-nodes (ypT0is/N0). </w:t>
      </w:r>
    </w:p>
    <w:p w14:paraId="0EB97D88" w14:textId="77777777" w:rsidR="003B74BC" w:rsidRPr="00B175F0" w:rsidRDefault="003B74BC" w:rsidP="003B74BC">
      <w:pPr>
        <w:autoSpaceDE w:val="0"/>
        <w:autoSpaceDN w:val="0"/>
        <w:adjustRightInd w:val="0"/>
        <w:spacing w:after="0" w:line="480" w:lineRule="auto"/>
        <w:jc w:val="both"/>
        <w:rPr>
          <w:sz w:val="24"/>
          <w:szCs w:val="24"/>
          <w:lang w:val="en-US"/>
        </w:rPr>
      </w:pPr>
      <w:r w:rsidRPr="00B175F0">
        <w:rPr>
          <w:sz w:val="24"/>
          <w:szCs w:val="24"/>
          <w:lang w:val="en-US"/>
        </w:rPr>
        <w:t xml:space="preserve">In order to collect survival data, a specific protocol to continue the follow up of patients enrolled in the Cher-LOB trial was approved by the Institutional Review Board of the centers participating to the original trial. In particular, the protocol was aimed at evaluating survival according to response, treatment arms and biomarker expression. RFS was calculated from randomization to BC recurrence (locoregional or distant; contralateral BC excluded) or death from any cause, whichever first. OS was calculated from randomization to death from any cause or last follow-up. Patients without an event were censored at the date of the last clinical assessment. </w:t>
      </w:r>
    </w:p>
    <w:p w14:paraId="7D1176AF" w14:textId="77777777" w:rsidR="003B74BC" w:rsidRPr="00B175F0" w:rsidRDefault="003B74BC" w:rsidP="003B74BC">
      <w:pPr>
        <w:autoSpaceDE w:val="0"/>
        <w:autoSpaceDN w:val="0"/>
        <w:adjustRightInd w:val="0"/>
        <w:spacing w:after="0" w:line="480" w:lineRule="auto"/>
        <w:jc w:val="both"/>
        <w:rPr>
          <w:sz w:val="24"/>
          <w:szCs w:val="24"/>
          <w:lang w:val="en-US"/>
        </w:rPr>
      </w:pPr>
    </w:p>
    <w:p w14:paraId="22032531" w14:textId="77777777" w:rsidR="003B74BC" w:rsidRPr="00B175F0" w:rsidRDefault="003B74BC" w:rsidP="003B74BC">
      <w:pPr>
        <w:autoSpaceDE w:val="0"/>
        <w:autoSpaceDN w:val="0"/>
        <w:adjustRightInd w:val="0"/>
        <w:spacing w:after="0" w:line="480" w:lineRule="auto"/>
        <w:jc w:val="both"/>
        <w:rPr>
          <w:sz w:val="24"/>
          <w:szCs w:val="24"/>
          <w:lang w:val="en-US"/>
        </w:rPr>
      </w:pPr>
    </w:p>
    <w:p w14:paraId="6DB687F6" w14:textId="77777777" w:rsidR="003B74BC" w:rsidRPr="00B175F0" w:rsidRDefault="003B74BC" w:rsidP="003B74BC">
      <w:pPr>
        <w:autoSpaceDE w:val="0"/>
        <w:autoSpaceDN w:val="0"/>
        <w:adjustRightInd w:val="0"/>
        <w:spacing w:after="0" w:line="480" w:lineRule="auto"/>
        <w:jc w:val="both"/>
        <w:rPr>
          <w:b/>
          <w:bCs/>
          <w:i/>
          <w:iCs/>
          <w:sz w:val="24"/>
          <w:szCs w:val="24"/>
          <w:lang w:val="en-US"/>
        </w:rPr>
      </w:pPr>
      <w:r w:rsidRPr="00B175F0">
        <w:rPr>
          <w:b/>
          <w:bCs/>
          <w:i/>
          <w:iCs/>
          <w:sz w:val="24"/>
          <w:szCs w:val="24"/>
          <w:lang w:val="en-US"/>
        </w:rPr>
        <w:t>Correlative biomarker analysis</w:t>
      </w:r>
    </w:p>
    <w:p w14:paraId="0E8AED4B" w14:textId="77777777" w:rsidR="003B74BC" w:rsidRDefault="003B74BC" w:rsidP="003B74BC">
      <w:pPr>
        <w:autoSpaceDE w:val="0"/>
        <w:autoSpaceDN w:val="0"/>
        <w:adjustRightInd w:val="0"/>
        <w:spacing w:after="0" w:line="480" w:lineRule="auto"/>
        <w:jc w:val="both"/>
        <w:rPr>
          <w:sz w:val="24"/>
          <w:szCs w:val="24"/>
          <w:lang w:val="en-US"/>
        </w:rPr>
      </w:pPr>
      <w:r w:rsidRPr="00B175F0">
        <w:rPr>
          <w:sz w:val="24"/>
          <w:szCs w:val="24"/>
          <w:lang w:val="en-US"/>
        </w:rPr>
        <w:t>Fresh-frozen samples from the diagnostic core biopsies were centralized and formalin-fixed paraffin-embedded (FFPE) samples from both diagnostic core biopsies and surgical specimens were centralized and reviewed for qualitative and quantitative evaluation. As previously reported, TIL evaluation was performed according to prespecified criteria</w:t>
      </w:r>
      <w:r w:rsidR="009363CE" w:rsidRPr="009363CE">
        <w:rPr>
          <w:sz w:val="24"/>
          <w:szCs w:val="24"/>
          <w:vertAlign w:val="superscript"/>
          <w:lang w:val="en-US"/>
        </w:rPr>
        <w:t>2</w:t>
      </w:r>
      <w:r w:rsidRPr="00B175F0">
        <w:rPr>
          <w:sz w:val="24"/>
          <w:szCs w:val="24"/>
          <w:lang w:val="en-US"/>
        </w:rPr>
        <w:t xml:space="preserve"> on Hematoxylin and eosin-stained (HES) slides from the diagnostic core biopsy. Methods for gene expression microarray analyses generated by RNA sequencing are reported elsewhere</w:t>
      </w:r>
      <w:r w:rsidR="009363CE" w:rsidRPr="009363CE">
        <w:rPr>
          <w:sz w:val="24"/>
          <w:szCs w:val="24"/>
          <w:vertAlign w:val="superscript"/>
          <w:lang w:val="en-US"/>
        </w:rPr>
        <w:t>3</w:t>
      </w:r>
      <w:r w:rsidR="009363CE">
        <w:rPr>
          <w:sz w:val="24"/>
          <w:szCs w:val="24"/>
          <w:vertAlign w:val="superscript"/>
          <w:lang w:val="en-US"/>
        </w:rPr>
        <w:t>, 4</w:t>
      </w:r>
      <w:r w:rsidRPr="00B175F0">
        <w:rPr>
          <w:sz w:val="24"/>
          <w:szCs w:val="24"/>
          <w:lang w:val="en-US"/>
        </w:rPr>
        <w:t xml:space="preserve">. The intrinsic subtyping was performed according to the research-based, 50-gene prediction analysis of microarray (PAM50) </w:t>
      </w:r>
      <w:r w:rsidR="009363CE" w:rsidRPr="009363CE">
        <w:rPr>
          <w:sz w:val="24"/>
          <w:szCs w:val="24"/>
          <w:vertAlign w:val="superscript"/>
          <w:lang w:val="en-US"/>
        </w:rPr>
        <w:t>5-7</w:t>
      </w:r>
      <w:r w:rsidRPr="00B175F0">
        <w:rPr>
          <w:sz w:val="24"/>
          <w:szCs w:val="24"/>
          <w:lang w:val="en-US"/>
        </w:rPr>
        <w:t>, classifying pre-treatment samples in one of the following groups: Luminal A, Luminal B, HER2-enriched, Basal-like and Normal-like.</w:t>
      </w:r>
    </w:p>
    <w:p w14:paraId="02BE12B8" w14:textId="77777777" w:rsidR="00B175F0" w:rsidRDefault="00B175F0" w:rsidP="003B74BC">
      <w:pPr>
        <w:autoSpaceDE w:val="0"/>
        <w:autoSpaceDN w:val="0"/>
        <w:adjustRightInd w:val="0"/>
        <w:spacing w:after="0" w:line="480" w:lineRule="auto"/>
        <w:jc w:val="both"/>
        <w:rPr>
          <w:sz w:val="24"/>
          <w:szCs w:val="24"/>
          <w:lang w:val="en-US"/>
        </w:rPr>
      </w:pPr>
    </w:p>
    <w:p w14:paraId="46009233" w14:textId="77777777" w:rsidR="0087209C" w:rsidRDefault="0087209C" w:rsidP="003B74BC">
      <w:pPr>
        <w:autoSpaceDE w:val="0"/>
        <w:autoSpaceDN w:val="0"/>
        <w:adjustRightInd w:val="0"/>
        <w:spacing w:after="0" w:line="480" w:lineRule="auto"/>
        <w:jc w:val="both"/>
        <w:rPr>
          <w:b/>
          <w:sz w:val="24"/>
          <w:szCs w:val="24"/>
          <w:lang w:val="en-US"/>
        </w:rPr>
      </w:pPr>
    </w:p>
    <w:p w14:paraId="50E0C05C" w14:textId="16368E5F" w:rsidR="00B175F0" w:rsidRPr="00D21066" w:rsidRDefault="00B175F0" w:rsidP="003B74BC">
      <w:pPr>
        <w:autoSpaceDE w:val="0"/>
        <w:autoSpaceDN w:val="0"/>
        <w:adjustRightInd w:val="0"/>
        <w:spacing w:after="0" w:line="480" w:lineRule="auto"/>
        <w:jc w:val="both"/>
        <w:rPr>
          <w:b/>
          <w:sz w:val="24"/>
          <w:szCs w:val="24"/>
        </w:rPr>
      </w:pPr>
      <w:r w:rsidRPr="00D21066">
        <w:rPr>
          <w:b/>
          <w:sz w:val="24"/>
          <w:szCs w:val="24"/>
        </w:rPr>
        <w:lastRenderedPageBreak/>
        <w:t>Supplementary References</w:t>
      </w:r>
    </w:p>
    <w:p w14:paraId="584265A2" w14:textId="77777777" w:rsidR="009363CE" w:rsidRDefault="009363CE" w:rsidP="009363CE">
      <w:pPr>
        <w:spacing w:line="240" w:lineRule="auto"/>
        <w:rPr>
          <w:sz w:val="24"/>
          <w:szCs w:val="24"/>
          <w:lang w:val="en-US"/>
        </w:rPr>
      </w:pPr>
      <w:r w:rsidRPr="00D21066">
        <w:rPr>
          <w:sz w:val="24"/>
          <w:szCs w:val="24"/>
        </w:rPr>
        <w:t xml:space="preserve">1. Guarneri V, Frassoldati A, Bottini A, Cagossi K, Bisagni G, Sarti S, et al. </w:t>
      </w:r>
      <w:r>
        <w:rPr>
          <w:sz w:val="24"/>
          <w:szCs w:val="24"/>
          <w:lang w:val="en-US"/>
        </w:rPr>
        <w:t>Preoperative chemotherapy plus trastuzumab, lapatinib, or both in human epidermal growth factor receptor 2-positive operable breast cancer: Results of the randomized phase II CHER-LOB study. J Clin Oncol. 2012 Jun 1;30(16):1989-95.</w:t>
      </w:r>
    </w:p>
    <w:p w14:paraId="0641EDDE" w14:textId="77777777" w:rsidR="009363CE" w:rsidRPr="0087209C" w:rsidRDefault="009363CE" w:rsidP="009363CE">
      <w:pPr>
        <w:spacing w:line="240" w:lineRule="auto"/>
        <w:rPr>
          <w:sz w:val="24"/>
          <w:szCs w:val="24"/>
        </w:rPr>
      </w:pPr>
      <w:r>
        <w:rPr>
          <w:sz w:val="24"/>
          <w:szCs w:val="24"/>
          <w:lang w:val="en-US"/>
        </w:rPr>
        <w:t xml:space="preserve">2. Salgado R, </w:t>
      </w:r>
      <w:proofErr w:type="spellStart"/>
      <w:r>
        <w:rPr>
          <w:sz w:val="24"/>
          <w:szCs w:val="24"/>
          <w:lang w:val="en-US"/>
        </w:rPr>
        <w:t>Denkert</w:t>
      </w:r>
      <w:proofErr w:type="spellEnd"/>
      <w:r>
        <w:rPr>
          <w:sz w:val="24"/>
          <w:szCs w:val="24"/>
          <w:lang w:val="en-US"/>
        </w:rPr>
        <w:t xml:space="preserve"> C, Demaria S, </w:t>
      </w:r>
      <w:proofErr w:type="spellStart"/>
      <w:r>
        <w:rPr>
          <w:sz w:val="24"/>
          <w:szCs w:val="24"/>
          <w:lang w:val="en-US"/>
        </w:rPr>
        <w:t>Sirtaine</w:t>
      </w:r>
      <w:proofErr w:type="spellEnd"/>
      <w:r>
        <w:rPr>
          <w:sz w:val="24"/>
          <w:szCs w:val="24"/>
          <w:lang w:val="en-US"/>
        </w:rPr>
        <w:t xml:space="preserve"> N, </w:t>
      </w:r>
      <w:proofErr w:type="spellStart"/>
      <w:r>
        <w:rPr>
          <w:sz w:val="24"/>
          <w:szCs w:val="24"/>
          <w:lang w:val="en-US"/>
        </w:rPr>
        <w:t>Klauschen</w:t>
      </w:r>
      <w:proofErr w:type="spellEnd"/>
      <w:r>
        <w:rPr>
          <w:sz w:val="24"/>
          <w:szCs w:val="24"/>
          <w:lang w:val="en-US"/>
        </w:rPr>
        <w:t xml:space="preserve"> F, </w:t>
      </w:r>
      <w:proofErr w:type="spellStart"/>
      <w:r>
        <w:rPr>
          <w:sz w:val="24"/>
          <w:szCs w:val="24"/>
          <w:lang w:val="en-US"/>
        </w:rPr>
        <w:t>Pruneri</w:t>
      </w:r>
      <w:proofErr w:type="spellEnd"/>
      <w:r>
        <w:rPr>
          <w:sz w:val="24"/>
          <w:szCs w:val="24"/>
          <w:lang w:val="en-US"/>
        </w:rPr>
        <w:t xml:space="preserve"> G, </w:t>
      </w:r>
      <w:proofErr w:type="spellStart"/>
      <w:r>
        <w:rPr>
          <w:sz w:val="24"/>
          <w:szCs w:val="24"/>
          <w:lang w:val="en-US"/>
        </w:rPr>
        <w:t>Wienert</w:t>
      </w:r>
      <w:proofErr w:type="spellEnd"/>
      <w:r>
        <w:rPr>
          <w:sz w:val="24"/>
          <w:szCs w:val="24"/>
          <w:lang w:val="en-US"/>
        </w:rPr>
        <w:t xml:space="preserve"> S, Van den </w:t>
      </w:r>
      <w:proofErr w:type="spellStart"/>
      <w:r>
        <w:rPr>
          <w:sz w:val="24"/>
          <w:szCs w:val="24"/>
          <w:lang w:val="en-US"/>
        </w:rPr>
        <w:t>Eynden</w:t>
      </w:r>
      <w:proofErr w:type="spellEnd"/>
      <w:r>
        <w:rPr>
          <w:sz w:val="24"/>
          <w:szCs w:val="24"/>
          <w:lang w:val="en-US"/>
        </w:rPr>
        <w:t xml:space="preserve"> G, </w:t>
      </w:r>
      <w:proofErr w:type="spellStart"/>
      <w:r>
        <w:rPr>
          <w:sz w:val="24"/>
          <w:szCs w:val="24"/>
          <w:lang w:val="en-US"/>
        </w:rPr>
        <w:t>Baehner</w:t>
      </w:r>
      <w:proofErr w:type="spellEnd"/>
      <w:r>
        <w:rPr>
          <w:sz w:val="24"/>
          <w:szCs w:val="24"/>
          <w:lang w:val="en-US"/>
        </w:rPr>
        <w:t xml:space="preserve"> FL, </w:t>
      </w:r>
      <w:proofErr w:type="spellStart"/>
      <w:r>
        <w:rPr>
          <w:sz w:val="24"/>
          <w:szCs w:val="24"/>
          <w:lang w:val="en-US"/>
        </w:rPr>
        <w:t>Penault-Llorca</w:t>
      </w:r>
      <w:proofErr w:type="spellEnd"/>
      <w:r>
        <w:rPr>
          <w:sz w:val="24"/>
          <w:szCs w:val="24"/>
          <w:lang w:val="en-US"/>
        </w:rPr>
        <w:t xml:space="preserve"> F, Perez EA, Thompson EA, </w:t>
      </w:r>
      <w:proofErr w:type="spellStart"/>
      <w:r>
        <w:rPr>
          <w:sz w:val="24"/>
          <w:szCs w:val="24"/>
          <w:lang w:val="en-US"/>
        </w:rPr>
        <w:t>Symmans</w:t>
      </w:r>
      <w:proofErr w:type="spellEnd"/>
      <w:r>
        <w:rPr>
          <w:sz w:val="24"/>
          <w:szCs w:val="24"/>
          <w:lang w:val="en-US"/>
        </w:rPr>
        <w:t xml:space="preserve"> WF, Richardson AL, Brock J, </w:t>
      </w:r>
      <w:proofErr w:type="spellStart"/>
      <w:r>
        <w:rPr>
          <w:sz w:val="24"/>
          <w:szCs w:val="24"/>
          <w:lang w:val="en-US"/>
        </w:rPr>
        <w:t>Criscitiello</w:t>
      </w:r>
      <w:proofErr w:type="spellEnd"/>
      <w:r>
        <w:rPr>
          <w:sz w:val="24"/>
          <w:szCs w:val="24"/>
          <w:lang w:val="en-US"/>
        </w:rPr>
        <w:t xml:space="preserve"> C, Bailey H, </w:t>
      </w:r>
      <w:proofErr w:type="spellStart"/>
      <w:r>
        <w:rPr>
          <w:sz w:val="24"/>
          <w:szCs w:val="24"/>
          <w:lang w:val="en-US"/>
        </w:rPr>
        <w:t>Ignatiadis</w:t>
      </w:r>
      <w:proofErr w:type="spellEnd"/>
      <w:r>
        <w:rPr>
          <w:sz w:val="24"/>
          <w:szCs w:val="24"/>
          <w:lang w:val="en-US"/>
        </w:rPr>
        <w:t xml:space="preserve"> M, Floris G, Sparano J, Kos Z, Nielsen T, </w:t>
      </w:r>
      <w:proofErr w:type="spellStart"/>
      <w:r>
        <w:rPr>
          <w:sz w:val="24"/>
          <w:szCs w:val="24"/>
          <w:lang w:val="en-US"/>
        </w:rPr>
        <w:t>Rimm</w:t>
      </w:r>
      <w:proofErr w:type="spellEnd"/>
      <w:r>
        <w:rPr>
          <w:sz w:val="24"/>
          <w:szCs w:val="24"/>
          <w:lang w:val="en-US"/>
        </w:rPr>
        <w:t xml:space="preserve"> DL, Allison KH, Reis-Filho JS, </w:t>
      </w:r>
      <w:proofErr w:type="spellStart"/>
      <w:r>
        <w:rPr>
          <w:sz w:val="24"/>
          <w:szCs w:val="24"/>
          <w:lang w:val="en-US"/>
        </w:rPr>
        <w:t>Loibl</w:t>
      </w:r>
      <w:proofErr w:type="spellEnd"/>
      <w:r>
        <w:rPr>
          <w:sz w:val="24"/>
          <w:szCs w:val="24"/>
          <w:lang w:val="en-US"/>
        </w:rPr>
        <w:t xml:space="preserve"> S, </w:t>
      </w:r>
      <w:proofErr w:type="spellStart"/>
      <w:r>
        <w:rPr>
          <w:sz w:val="24"/>
          <w:szCs w:val="24"/>
          <w:lang w:val="en-US"/>
        </w:rPr>
        <w:t>Sotiriou</w:t>
      </w:r>
      <w:proofErr w:type="spellEnd"/>
      <w:r>
        <w:rPr>
          <w:sz w:val="24"/>
          <w:szCs w:val="24"/>
          <w:lang w:val="en-US"/>
        </w:rPr>
        <w:t xml:space="preserve"> C, </w:t>
      </w:r>
      <w:proofErr w:type="spellStart"/>
      <w:r>
        <w:rPr>
          <w:sz w:val="24"/>
          <w:szCs w:val="24"/>
          <w:lang w:val="en-US"/>
        </w:rPr>
        <w:t>Viale</w:t>
      </w:r>
      <w:proofErr w:type="spellEnd"/>
      <w:r>
        <w:rPr>
          <w:sz w:val="24"/>
          <w:szCs w:val="24"/>
          <w:lang w:val="en-US"/>
        </w:rPr>
        <w:t xml:space="preserve"> G, </w:t>
      </w:r>
      <w:proofErr w:type="spellStart"/>
      <w:r>
        <w:rPr>
          <w:sz w:val="24"/>
          <w:szCs w:val="24"/>
          <w:lang w:val="en-US"/>
        </w:rPr>
        <w:t>Badve</w:t>
      </w:r>
      <w:proofErr w:type="spellEnd"/>
      <w:r>
        <w:rPr>
          <w:sz w:val="24"/>
          <w:szCs w:val="24"/>
          <w:lang w:val="en-US"/>
        </w:rPr>
        <w:t xml:space="preserve"> S, Adams S, Willard-Gallo K, </w:t>
      </w:r>
      <w:proofErr w:type="spellStart"/>
      <w:r>
        <w:rPr>
          <w:sz w:val="24"/>
          <w:szCs w:val="24"/>
          <w:lang w:val="en-US"/>
        </w:rPr>
        <w:t>Loi</w:t>
      </w:r>
      <w:proofErr w:type="spellEnd"/>
      <w:r>
        <w:rPr>
          <w:sz w:val="24"/>
          <w:szCs w:val="24"/>
          <w:lang w:val="en-US"/>
        </w:rPr>
        <w:t xml:space="preserve"> S. The evaluation of tumor-infiltrating lymphocytes (TILs) in breast cancer: Recommendations by an international TILs working group 2014. </w:t>
      </w:r>
      <w:proofErr w:type="spellStart"/>
      <w:r w:rsidRPr="0087209C">
        <w:rPr>
          <w:sz w:val="24"/>
          <w:szCs w:val="24"/>
        </w:rPr>
        <w:t>Ann</w:t>
      </w:r>
      <w:proofErr w:type="spellEnd"/>
      <w:r w:rsidRPr="0087209C">
        <w:rPr>
          <w:sz w:val="24"/>
          <w:szCs w:val="24"/>
        </w:rPr>
        <w:t xml:space="preserve"> </w:t>
      </w:r>
      <w:proofErr w:type="spellStart"/>
      <w:r w:rsidRPr="0087209C">
        <w:rPr>
          <w:sz w:val="24"/>
          <w:szCs w:val="24"/>
        </w:rPr>
        <w:t>Oncol</w:t>
      </w:r>
      <w:proofErr w:type="spellEnd"/>
      <w:r w:rsidRPr="0087209C">
        <w:rPr>
          <w:sz w:val="24"/>
          <w:szCs w:val="24"/>
        </w:rPr>
        <w:t>. 2015;26(2):259-71.</w:t>
      </w:r>
    </w:p>
    <w:p w14:paraId="2A4F1459" w14:textId="77777777" w:rsidR="009363CE" w:rsidRPr="0087209C" w:rsidRDefault="009363CE" w:rsidP="009363CE">
      <w:pPr>
        <w:spacing w:line="240" w:lineRule="auto"/>
        <w:rPr>
          <w:sz w:val="24"/>
          <w:szCs w:val="24"/>
        </w:rPr>
      </w:pPr>
      <w:r w:rsidRPr="0087209C">
        <w:rPr>
          <w:sz w:val="24"/>
          <w:szCs w:val="24"/>
        </w:rPr>
        <w:t xml:space="preserve">3. </w:t>
      </w:r>
      <w:proofErr w:type="spellStart"/>
      <w:r w:rsidRPr="0087209C">
        <w:rPr>
          <w:sz w:val="24"/>
          <w:szCs w:val="24"/>
        </w:rPr>
        <w:t>Guarneri</w:t>
      </w:r>
      <w:proofErr w:type="spellEnd"/>
      <w:r w:rsidRPr="0087209C">
        <w:rPr>
          <w:sz w:val="24"/>
          <w:szCs w:val="24"/>
        </w:rPr>
        <w:t xml:space="preserve"> V, Dieci MV, </w:t>
      </w:r>
      <w:proofErr w:type="spellStart"/>
      <w:r w:rsidRPr="0087209C">
        <w:rPr>
          <w:sz w:val="24"/>
          <w:szCs w:val="24"/>
        </w:rPr>
        <w:t>Frassoldati</w:t>
      </w:r>
      <w:proofErr w:type="spellEnd"/>
      <w:r w:rsidRPr="0087209C">
        <w:rPr>
          <w:sz w:val="24"/>
          <w:szCs w:val="24"/>
        </w:rPr>
        <w:t xml:space="preserve"> A, Maiorana A, Ficarra G, Bettelli S, et al. </w:t>
      </w:r>
      <w:r>
        <w:rPr>
          <w:sz w:val="24"/>
          <w:szCs w:val="24"/>
          <w:lang w:val="en-US"/>
        </w:rPr>
        <w:t xml:space="preserve">Prospective biomarker analysis of the randomized CHER-LOB study evaluating the dual anti-HER2 treatment with trastuzumab and lapatinib plus chemotherapy as neoadjuvant therapy for HER2-positive breast cancer. </w:t>
      </w:r>
      <w:proofErr w:type="spellStart"/>
      <w:r w:rsidRPr="0087209C">
        <w:rPr>
          <w:sz w:val="24"/>
          <w:szCs w:val="24"/>
        </w:rPr>
        <w:t>Oncologist</w:t>
      </w:r>
      <w:proofErr w:type="spellEnd"/>
      <w:r w:rsidRPr="0087209C">
        <w:rPr>
          <w:sz w:val="24"/>
          <w:szCs w:val="24"/>
        </w:rPr>
        <w:t>. 2015 Sep;20(9):1001-10.</w:t>
      </w:r>
    </w:p>
    <w:p w14:paraId="36CC64BD" w14:textId="77777777" w:rsidR="009363CE" w:rsidRDefault="009363CE" w:rsidP="009363CE">
      <w:pPr>
        <w:spacing w:line="240" w:lineRule="auto"/>
        <w:rPr>
          <w:sz w:val="24"/>
          <w:szCs w:val="24"/>
          <w:lang w:val="en-US"/>
        </w:rPr>
      </w:pPr>
      <w:r w:rsidRPr="0087209C">
        <w:rPr>
          <w:sz w:val="24"/>
          <w:szCs w:val="24"/>
        </w:rPr>
        <w:t xml:space="preserve">4. Dieci MV, </w:t>
      </w:r>
      <w:proofErr w:type="spellStart"/>
      <w:r w:rsidRPr="0087209C">
        <w:rPr>
          <w:sz w:val="24"/>
          <w:szCs w:val="24"/>
        </w:rPr>
        <w:t>Prat</w:t>
      </w:r>
      <w:proofErr w:type="spellEnd"/>
      <w:r w:rsidRPr="0087209C">
        <w:rPr>
          <w:sz w:val="24"/>
          <w:szCs w:val="24"/>
        </w:rPr>
        <w:t xml:space="preserve"> A, </w:t>
      </w:r>
      <w:proofErr w:type="spellStart"/>
      <w:r w:rsidRPr="0087209C">
        <w:rPr>
          <w:sz w:val="24"/>
          <w:szCs w:val="24"/>
        </w:rPr>
        <w:t>Tagliafico</w:t>
      </w:r>
      <w:proofErr w:type="spellEnd"/>
      <w:r w:rsidRPr="0087209C">
        <w:rPr>
          <w:sz w:val="24"/>
          <w:szCs w:val="24"/>
        </w:rPr>
        <w:t xml:space="preserve"> E, Pare L, Ficarra G, </w:t>
      </w:r>
      <w:proofErr w:type="spellStart"/>
      <w:r w:rsidRPr="0087209C">
        <w:rPr>
          <w:sz w:val="24"/>
          <w:szCs w:val="24"/>
        </w:rPr>
        <w:t>Bisagni</w:t>
      </w:r>
      <w:proofErr w:type="spellEnd"/>
      <w:r w:rsidRPr="0087209C">
        <w:rPr>
          <w:sz w:val="24"/>
          <w:szCs w:val="24"/>
        </w:rPr>
        <w:t xml:space="preserve"> G, et al. </w:t>
      </w:r>
      <w:r>
        <w:rPr>
          <w:sz w:val="24"/>
          <w:szCs w:val="24"/>
          <w:lang w:val="en-US"/>
        </w:rPr>
        <w:t xml:space="preserve">Integrated evaluation of PAM50 subtypes and immune modulation of </w:t>
      </w:r>
      <w:proofErr w:type="spellStart"/>
      <w:r>
        <w:rPr>
          <w:sz w:val="24"/>
          <w:szCs w:val="24"/>
          <w:lang w:val="en-US"/>
        </w:rPr>
        <w:t>pCR</w:t>
      </w:r>
      <w:proofErr w:type="spellEnd"/>
      <w:r>
        <w:rPr>
          <w:sz w:val="24"/>
          <w:szCs w:val="24"/>
          <w:lang w:val="en-US"/>
        </w:rPr>
        <w:t xml:space="preserve"> in HER2-positive breast cancer patients treated with chemotherapy and HER2-targeted agents in the </w:t>
      </w:r>
      <w:proofErr w:type="spellStart"/>
      <w:r>
        <w:rPr>
          <w:sz w:val="24"/>
          <w:szCs w:val="24"/>
          <w:lang w:val="en-US"/>
        </w:rPr>
        <w:t>CherLOB</w:t>
      </w:r>
      <w:proofErr w:type="spellEnd"/>
      <w:r>
        <w:rPr>
          <w:sz w:val="24"/>
          <w:szCs w:val="24"/>
          <w:lang w:val="en-US"/>
        </w:rPr>
        <w:t xml:space="preserve"> trial. Ann Oncol. 2016 Oct;27(10):1867-73.</w:t>
      </w:r>
    </w:p>
    <w:p w14:paraId="5A41684C" w14:textId="77777777" w:rsidR="009363CE" w:rsidRPr="0087209C" w:rsidRDefault="009363CE" w:rsidP="009363CE">
      <w:pPr>
        <w:spacing w:line="240" w:lineRule="auto"/>
        <w:rPr>
          <w:sz w:val="24"/>
          <w:szCs w:val="24"/>
        </w:rPr>
      </w:pPr>
      <w:r>
        <w:rPr>
          <w:sz w:val="24"/>
          <w:szCs w:val="24"/>
          <w:lang w:val="en-US"/>
        </w:rPr>
        <w:t xml:space="preserve">5. Parker JS, Mullins M, </w:t>
      </w:r>
      <w:proofErr w:type="spellStart"/>
      <w:r>
        <w:rPr>
          <w:sz w:val="24"/>
          <w:szCs w:val="24"/>
          <w:lang w:val="en-US"/>
        </w:rPr>
        <w:t>Cheang</w:t>
      </w:r>
      <w:proofErr w:type="spellEnd"/>
      <w:r>
        <w:rPr>
          <w:sz w:val="24"/>
          <w:szCs w:val="24"/>
          <w:lang w:val="en-US"/>
        </w:rPr>
        <w:t xml:space="preserve"> MC, Leung S, </w:t>
      </w:r>
      <w:proofErr w:type="spellStart"/>
      <w:r>
        <w:rPr>
          <w:sz w:val="24"/>
          <w:szCs w:val="24"/>
          <w:lang w:val="en-US"/>
        </w:rPr>
        <w:t>Voduc</w:t>
      </w:r>
      <w:proofErr w:type="spellEnd"/>
      <w:r>
        <w:rPr>
          <w:sz w:val="24"/>
          <w:szCs w:val="24"/>
          <w:lang w:val="en-US"/>
        </w:rPr>
        <w:t xml:space="preserve"> D, Vickery T, et al. Supervised risk predictor of breast cancer based on intrinsic subtypes. </w:t>
      </w:r>
      <w:r w:rsidRPr="0087209C">
        <w:rPr>
          <w:sz w:val="24"/>
          <w:szCs w:val="24"/>
        </w:rPr>
        <w:t xml:space="preserve">J </w:t>
      </w:r>
      <w:proofErr w:type="spellStart"/>
      <w:r w:rsidRPr="0087209C">
        <w:rPr>
          <w:sz w:val="24"/>
          <w:szCs w:val="24"/>
        </w:rPr>
        <w:t>Clin</w:t>
      </w:r>
      <w:proofErr w:type="spellEnd"/>
      <w:r w:rsidRPr="0087209C">
        <w:rPr>
          <w:sz w:val="24"/>
          <w:szCs w:val="24"/>
        </w:rPr>
        <w:t xml:space="preserve"> </w:t>
      </w:r>
      <w:proofErr w:type="spellStart"/>
      <w:r w:rsidRPr="0087209C">
        <w:rPr>
          <w:sz w:val="24"/>
          <w:szCs w:val="24"/>
        </w:rPr>
        <w:t>Oncol</w:t>
      </w:r>
      <w:proofErr w:type="spellEnd"/>
      <w:r w:rsidRPr="0087209C">
        <w:rPr>
          <w:sz w:val="24"/>
          <w:szCs w:val="24"/>
        </w:rPr>
        <w:t>. 2009 Mar 10;27(8):1160-7.</w:t>
      </w:r>
    </w:p>
    <w:p w14:paraId="1A4B09F2" w14:textId="77777777" w:rsidR="009363CE" w:rsidRDefault="009363CE" w:rsidP="009363CE">
      <w:pPr>
        <w:spacing w:line="240" w:lineRule="auto"/>
        <w:rPr>
          <w:sz w:val="24"/>
          <w:szCs w:val="24"/>
          <w:lang w:val="en-US"/>
        </w:rPr>
      </w:pPr>
      <w:r w:rsidRPr="0087209C">
        <w:rPr>
          <w:sz w:val="24"/>
          <w:szCs w:val="24"/>
        </w:rPr>
        <w:t xml:space="preserve">6. Triulzi T, De Cecco L, </w:t>
      </w:r>
      <w:proofErr w:type="spellStart"/>
      <w:r w:rsidRPr="0087209C">
        <w:rPr>
          <w:sz w:val="24"/>
          <w:szCs w:val="24"/>
        </w:rPr>
        <w:t>Sandri</w:t>
      </w:r>
      <w:proofErr w:type="spellEnd"/>
      <w:r w:rsidRPr="0087209C">
        <w:rPr>
          <w:sz w:val="24"/>
          <w:szCs w:val="24"/>
        </w:rPr>
        <w:t xml:space="preserve"> M, </w:t>
      </w:r>
      <w:proofErr w:type="spellStart"/>
      <w:r w:rsidRPr="0087209C">
        <w:rPr>
          <w:sz w:val="24"/>
          <w:szCs w:val="24"/>
        </w:rPr>
        <w:t>Prat</w:t>
      </w:r>
      <w:proofErr w:type="spellEnd"/>
      <w:r w:rsidRPr="0087209C">
        <w:rPr>
          <w:sz w:val="24"/>
          <w:szCs w:val="24"/>
        </w:rPr>
        <w:t xml:space="preserve"> A, Giussani M, Paolini B, et al. </w:t>
      </w:r>
      <w:r>
        <w:rPr>
          <w:sz w:val="24"/>
          <w:szCs w:val="24"/>
          <w:lang w:val="en-US"/>
        </w:rPr>
        <w:t xml:space="preserve">Whole-transcriptome analysis links trastuzumab sensitivity of breast tumors to both HER2 dependence and immune cell infiltration. </w:t>
      </w:r>
      <w:proofErr w:type="spellStart"/>
      <w:r>
        <w:rPr>
          <w:sz w:val="24"/>
          <w:szCs w:val="24"/>
          <w:lang w:val="en-US"/>
        </w:rPr>
        <w:t>Oncotarget</w:t>
      </w:r>
      <w:proofErr w:type="spellEnd"/>
      <w:r>
        <w:rPr>
          <w:sz w:val="24"/>
          <w:szCs w:val="24"/>
          <w:lang w:val="en-US"/>
        </w:rPr>
        <w:t>. 2015 Sep 29;6(29):28173-82.</w:t>
      </w:r>
    </w:p>
    <w:p w14:paraId="4BC956B0" w14:textId="77777777" w:rsidR="009363CE" w:rsidRDefault="009363CE" w:rsidP="009363CE">
      <w:pPr>
        <w:spacing w:line="240" w:lineRule="auto"/>
        <w:rPr>
          <w:sz w:val="24"/>
          <w:szCs w:val="24"/>
          <w:lang w:val="en-US"/>
        </w:rPr>
      </w:pPr>
      <w:r>
        <w:rPr>
          <w:sz w:val="24"/>
          <w:szCs w:val="24"/>
          <w:lang w:val="en-US"/>
        </w:rPr>
        <w:t xml:space="preserve">7. </w:t>
      </w:r>
      <w:proofErr w:type="spellStart"/>
      <w:r>
        <w:rPr>
          <w:sz w:val="24"/>
          <w:szCs w:val="24"/>
          <w:lang w:val="en-US"/>
        </w:rPr>
        <w:t>Cejalvo</w:t>
      </w:r>
      <w:proofErr w:type="spellEnd"/>
      <w:r>
        <w:rPr>
          <w:sz w:val="24"/>
          <w:szCs w:val="24"/>
          <w:lang w:val="en-US"/>
        </w:rPr>
        <w:t xml:space="preserve"> JM, Pascual T, Fernandez-Martinez A, </w:t>
      </w:r>
      <w:proofErr w:type="spellStart"/>
      <w:r>
        <w:rPr>
          <w:sz w:val="24"/>
          <w:szCs w:val="24"/>
          <w:lang w:val="en-US"/>
        </w:rPr>
        <w:t>Braso-Maristany</w:t>
      </w:r>
      <w:proofErr w:type="spellEnd"/>
      <w:r>
        <w:rPr>
          <w:sz w:val="24"/>
          <w:szCs w:val="24"/>
          <w:lang w:val="en-US"/>
        </w:rPr>
        <w:t xml:space="preserve"> F, </w:t>
      </w:r>
      <w:proofErr w:type="spellStart"/>
      <w:r>
        <w:rPr>
          <w:sz w:val="24"/>
          <w:szCs w:val="24"/>
          <w:lang w:val="en-US"/>
        </w:rPr>
        <w:t>Gomis</w:t>
      </w:r>
      <w:proofErr w:type="spellEnd"/>
      <w:r>
        <w:rPr>
          <w:sz w:val="24"/>
          <w:szCs w:val="24"/>
          <w:lang w:val="en-US"/>
        </w:rPr>
        <w:t xml:space="preserve"> RR, </w:t>
      </w:r>
      <w:proofErr w:type="spellStart"/>
      <w:r>
        <w:rPr>
          <w:sz w:val="24"/>
          <w:szCs w:val="24"/>
          <w:lang w:val="en-US"/>
        </w:rPr>
        <w:t>Perou</w:t>
      </w:r>
      <w:proofErr w:type="spellEnd"/>
      <w:r>
        <w:rPr>
          <w:sz w:val="24"/>
          <w:szCs w:val="24"/>
          <w:lang w:val="en-US"/>
        </w:rPr>
        <w:t xml:space="preserve"> CM, et al. Clinical implications of the non-luminal intrinsic subtypes in hormone receptor-positive breast cancer. Cancer Treat Rev. 2018 </w:t>
      </w:r>
      <w:proofErr w:type="gramStart"/>
      <w:r>
        <w:rPr>
          <w:sz w:val="24"/>
          <w:szCs w:val="24"/>
          <w:lang w:val="en-US"/>
        </w:rPr>
        <w:t>Jun;67:63</w:t>
      </w:r>
      <w:proofErr w:type="gramEnd"/>
      <w:r>
        <w:rPr>
          <w:sz w:val="24"/>
          <w:szCs w:val="24"/>
          <w:lang w:val="en-US"/>
        </w:rPr>
        <w:t>-70.</w:t>
      </w:r>
    </w:p>
    <w:p w14:paraId="060F8C9C" w14:textId="77777777" w:rsidR="003B74BC" w:rsidRPr="009363CE" w:rsidRDefault="003B74BC" w:rsidP="009363CE">
      <w:pPr>
        <w:spacing w:line="240" w:lineRule="auto"/>
        <w:rPr>
          <w:sz w:val="24"/>
          <w:szCs w:val="24"/>
          <w:lang w:val="en-US"/>
        </w:rPr>
      </w:pPr>
    </w:p>
    <w:sectPr w:rsidR="003B74BC" w:rsidRPr="009363CE" w:rsidSect="001B5C9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4BC"/>
    <w:rsid w:val="00042484"/>
    <w:rsid w:val="001B5C90"/>
    <w:rsid w:val="003B74BC"/>
    <w:rsid w:val="00683333"/>
    <w:rsid w:val="006F0579"/>
    <w:rsid w:val="0087209C"/>
    <w:rsid w:val="009363CE"/>
    <w:rsid w:val="00B175F0"/>
    <w:rsid w:val="00D210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780BA"/>
  <w15:docId w15:val="{B7099E45-888C-4641-94FF-8EDA9AB1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B5C9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841</Words>
  <Characters>4797</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UniPD</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Griguolo</dc:creator>
  <cp:keywords/>
  <dc:description/>
  <cp:lastModifiedBy>Griguolo</cp:lastModifiedBy>
  <cp:revision>2</cp:revision>
  <dcterms:created xsi:type="dcterms:W3CDTF">2021-03-22T08:51:00Z</dcterms:created>
  <dcterms:modified xsi:type="dcterms:W3CDTF">2021-03-22T08:51:00Z</dcterms:modified>
</cp:coreProperties>
</file>